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842008">
      <w:pPr>
        <w:spacing w:line="360" w:lineRule="auto"/>
        <w:ind w:firstLine="1285" w:firstLineChars="400"/>
        <w:jc w:val="right"/>
        <w:rPr>
          <w:rFonts w:hint="eastAsia" w:ascii="宋体" w:hAnsi="宋体" w:eastAsia="宋体" w:cs="宋体"/>
          <w:b/>
          <w:color w:val="auto"/>
          <w:sz w:val="28"/>
          <w:szCs w:val="28"/>
        </w:rPr>
      </w:pPr>
      <w:bookmarkStart w:id="162" w:name="_GoBack"/>
      <w:bookmarkEnd w:id="162"/>
      <w:r>
        <w:rPr>
          <w:rFonts w:hint="eastAsia" w:ascii="宋体" w:hAnsi="宋体" w:eastAsia="宋体" w:cs="宋体"/>
          <w:b/>
          <w:color w:val="auto"/>
          <w:sz w:val="32"/>
          <w:szCs w:val="32"/>
        </w:rPr>
        <w:drawing>
          <wp:anchor distT="0" distB="0" distL="114300" distR="114300" simplePos="0" relativeHeight="251660288" behindDoc="1" locked="0" layoutInCell="1" allowOverlap="1">
            <wp:simplePos x="0" y="0"/>
            <wp:positionH relativeFrom="column">
              <wp:posOffset>-130810</wp:posOffset>
            </wp:positionH>
            <wp:positionV relativeFrom="paragraph">
              <wp:posOffset>-347345</wp:posOffset>
            </wp:positionV>
            <wp:extent cx="1487170" cy="1615440"/>
            <wp:effectExtent l="0" t="0" r="17780" b="3810"/>
            <wp:wrapTight wrapText="bothSides">
              <wp:wrapPolygon>
                <wp:start x="21592" y="-2"/>
                <wp:lineTo x="0" y="0"/>
                <wp:lineTo x="0" y="21600"/>
                <wp:lineTo x="21592" y="21602"/>
                <wp:lineTo x="8" y="21602"/>
                <wp:lineTo x="21600" y="21600"/>
                <wp:lineTo x="21600" y="0"/>
                <wp:lineTo x="8" y="-2"/>
                <wp:lineTo x="21592" y="-2"/>
              </wp:wrapPolygon>
            </wp:wrapTight>
            <wp:docPr id="1" name="图片 33"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3" descr="公司Logo"/>
                    <pic:cNvPicPr>
                      <a:picLocks noChangeAspect="1"/>
                    </pic:cNvPicPr>
                  </pic:nvPicPr>
                  <pic:blipFill>
                    <a:blip r:embed="rId12" cstate="print"/>
                    <a:stretch>
                      <a:fillRect/>
                    </a:stretch>
                  </pic:blipFill>
                  <pic:spPr>
                    <a:xfrm>
                      <a:off x="0" y="0"/>
                      <a:ext cx="1487170" cy="1615440"/>
                    </a:xfrm>
                    <a:prstGeom prst="rect">
                      <a:avLst/>
                    </a:prstGeom>
                    <a:noFill/>
                    <a:ln>
                      <a:noFill/>
                    </a:ln>
                  </pic:spPr>
                </pic:pic>
              </a:graphicData>
            </a:graphic>
          </wp:anchor>
        </w:drawing>
      </w:r>
      <w:r>
        <w:rPr>
          <w:rFonts w:hint="eastAsia" w:ascii="宋体" w:hAnsi="宋体" w:eastAsia="宋体" w:cs="宋体"/>
          <w:b/>
          <w:color w:val="auto"/>
          <w:sz w:val="28"/>
          <w:szCs w:val="28"/>
        </w:rPr>
        <w:t>项目编号：</w:t>
      </w:r>
      <w:r>
        <w:rPr>
          <w:rFonts w:hint="eastAsia" w:hAnsi="宋体" w:cs="宋体"/>
          <w:b/>
          <w:color w:val="auto"/>
          <w:sz w:val="28"/>
          <w:szCs w:val="28"/>
          <w:lang w:eastAsia="zh-CN"/>
        </w:rPr>
        <w:t>YJGHCG-2026-006</w:t>
      </w:r>
      <w:r>
        <w:rPr>
          <w:rFonts w:hint="eastAsia" w:ascii="宋体" w:hAnsi="宋体" w:eastAsia="宋体" w:cs="宋体"/>
          <w:b/>
          <w:color w:val="auto"/>
          <w:sz w:val="28"/>
          <w:szCs w:val="28"/>
        </w:rPr>
        <w:t xml:space="preserve">                       </w:t>
      </w:r>
    </w:p>
    <w:p w14:paraId="01B72584">
      <w:pPr>
        <w:spacing w:line="360" w:lineRule="auto"/>
        <w:jc w:val="lef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 </w:t>
      </w:r>
    </w:p>
    <w:p w14:paraId="608CA7DB">
      <w:pPr>
        <w:pStyle w:val="6"/>
        <w:rPr>
          <w:rFonts w:hint="eastAsia" w:ascii="宋体" w:hAnsi="宋体" w:eastAsia="宋体" w:cs="宋体"/>
          <w:color w:val="auto"/>
        </w:rPr>
      </w:pPr>
    </w:p>
    <w:p w14:paraId="466322A8">
      <w:pPr>
        <w:spacing w:line="800" w:lineRule="exact"/>
        <w:jc w:val="center"/>
        <w:rPr>
          <w:rFonts w:hint="eastAsia" w:ascii="宋体" w:hAnsi="宋体" w:eastAsia="宋体" w:cs="宋体"/>
          <w:b/>
          <w:bCs/>
          <w:color w:val="auto"/>
          <w:w w:val="80"/>
          <w:sz w:val="52"/>
          <w:szCs w:val="52"/>
        </w:rPr>
      </w:pPr>
    </w:p>
    <w:p w14:paraId="1982B24B">
      <w:pPr>
        <w:keepNext w:val="0"/>
        <w:keepLines w:val="0"/>
        <w:pageBreakBefore w:val="0"/>
        <w:widowControl w:val="0"/>
        <w:kinsoku/>
        <w:wordWrap/>
        <w:overflowPunct/>
        <w:topLinePunct w:val="0"/>
        <w:autoSpaceDE/>
        <w:autoSpaceDN/>
        <w:bidi w:val="0"/>
        <w:adjustRightInd w:val="0"/>
        <w:snapToGrid/>
        <w:spacing w:line="300" w:lineRule="exact"/>
        <w:jc w:val="center"/>
        <w:textAlignment w:val="baseline"/>
        <w:rPr>
          <w:rFonts w:hint="eastAsia" w:ascii="宋体" w:hAnsi="宋体" w:eastAsia="宋体" w:cs="宋体"/>
          <w:b/>
          <w:bCs/>
          <w:color w:val="auto"/>
          <w:w w:val="80"/>
          <w:sz w:val="52"/>
          <w:szCs w:val="52"/>
        </w:rPr>
      </w:pPr>
    </w:p>
    <w:p w14:paraId="6633F33A">
      <w:pPr>
        <w:keepNext w:val="0"/>
        <w:keepLines w:val="0"/>
        <w:pageBreakBefore w:val="0"/>
        <w:widowControl w:val="0"/>
        <w:kinsoku/>
        <w:wordWrap/>
        <w:overflowPunct/>
        <w:topLinePunct w:val="0"/>
        <w:autoSpaceDE/>
        <w:autoSpaceDN/>
        <w:bidi w:val="0"/>
        <w:adjustRightInd w:val="0"/>
        <w:snapToGrid/>
        <w:spacing w:line="880" w:lineRule="exact"/>
        <w:jc w:val="center"/>
        <w:textAlignment w:val="baseline"/>
        <w:rPr>
          <w:rFonts w:hint="eastAsia" w:hAnsi="宋体" w:cs="宋体"/>
          <w:b/>
          <w:bCs/>
          <w:color w:val="auto"/>
          <w:spacing w:val="-34"/>
          <w:w w:val="100"/>
          <w:sz w:val="72"/>
          <w:szCs w:val="72"/>
          <w:lang w:eastAsia="zh-CN"/>
        </w:rPr>
      </w:pPr>
      <w:r>
        <w:rPr>
          <w:rFonts w:hint="eastAsia" w:hAnsi="宋体" w:cs="宋体"/>
          <w:b/>
          <w:bCs/>
          <w:color w:val="auto"/>
          <w:spacing w:val="-34"/>
          <w:w w:val="100"/>
          <w:sz w:val="72"/>
          <w:szCs w:val="72"/>
          <w:lang w:eastAsia="zh-CN"/>
        </w:rPr>
        <w:t>学前教育专业（群）教学资源库</w:t>
      </w:r>
    </w:p>
    <w:p w14:paraId="78BAFD03">
      <w:pPr>
        <w:keepNext w:val="0"/>
        <w:keepLines w:val="0"/>
        <w:pageBreakBefore w:val="0"/>
        <w:widowControl w:val="0"/>
        <w:kinsoku/>
        <w:wordWrap/>
        <w:overflowPunct/>
        <w:topLinePunct w:val="0"/>
        <w:autoSpaceDE/>
        <w:autoSpaceDN/>
        <w:bidi w:val="0"/>
        <w:adjustRightInd w:val="0"/>
        <w:snapToGrid/>
        <w:spacing w:line="880" w:lineRule="exact"/>
        <w:jc w:val="center"/>
        <w:textAlignment w:val="baseline"/>
        <w:rPr>
          <w:rFonts w:hint="eastAsia" w:ascii="宋体" w:hAnsi="宋体" w:eastAsia="宋体" w:cs="宋体"/>
          <w:b/>
          <w:color w:val="auto"/>
          <w:spacing w:val="-34"/>
          <w:w w:val="100"/>
          <w:sz w:val="44"/>
          <w:szCs w:val="44"/>
        </w:rPr>
      </w:pPr>
      <w:r>
        <w:rPr>
          <w:rFonts w:hint="eastAsia" w:hAnsi="宋体" w:cs="宋体"/>
          <w:b/>
          <w:bCs/>
          <w:color w:val="auto"/>
          <w:spacing w:val="-34"/>
          <w:w w:val="100"/>
          <w:sz w:val="72"/>
          <w:szCs w:val="72"/>
          <w:lang w:eastAsia="zh-CN"/>
        </w:rPr>
        <w:t>建设项目</w:t>
      </w:r>
    </w:p>
    <w:p w14:paraId="0CD5BAE0">
      <w:pPr>
        <w:pStyle w:val="12"/>
        <w:ind w:left="680"/>
        <w:rPr>
          <w:rFonts w:hint="eastAsia" w:ascii="宋体" w:hAnsi="宋体" w:eastAsia="宋体" w:cs="宋体"/>
          <w:color w:val="auto"/>
        </w:rPr>
      </w:pPr>
    </w:p>
    <w:p w14:paraId="0BEEB76A">
      <w:pPr>
        <w:pStyle w:val="10"/>
        <w:rPr>
          <w:rFonts w:hint="eastAsia" w:ascii="宋体" w:hAnsi="宋体" w:eastAsia="宋体" w:cs="宋体"/>
          <w:color w:val="auto"/>
        </w:rPr>
      </w:pPr>
    </w:p>
    <w:p w14:paraId="08C82F54">
      <w:pPr>
        <w:rPr>
          <w:rFonts w:hint="eastAsia" w:ascii="宋体" w:hAnsi="宋体" w:eastAsia="宋体" w:cs="宋体"/>
          <w:color w:val="auto"/>
        </w:rPr>
      </w:pPr>
    </w:p>
    <w:p w14:paraId="40980FBE">
      <w:pPr>
        <w:spacing w:line="360" w:lineRule="auto"/>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招 标 文 件</w:t>
      </w:r>
    </w:p>
    <w:p w14:paraId="71BA1E9F">
      <w:pPr>
        <w:spacing w:line="360" w:lineRule="auto"/>
        <w:jc w:val="center"/>
        <w:rPr>
          <w:rFonts w:hint="eastAsia" w:ascii="宋体" w:hAnsi="宋体" w:eastAsia="宋体" w:cs="宋体"/>
          <w:b/>
          <w:color w:val="auto"/>
          <w:sz w:val="44"/>
          <w:szCs w:val="44"/>
        </w:rPr>
      </w:pPr>
    </w:p>
    <w:p w14:paraId="7BE3670B">
      <w:pPr>
        <w:pStyle w:val="12"/>
        <w:ind w:left="0" w:leftChars="0" w:firstLine="0" w:firstLineChars="0"/>
        <w:rPr>
          <w:rFonts w:hint="eastAsia" w:ascii="宋体" w:hAnsi="宋体" w:eastAsia="宋体" w:cs="宋体"/>
          <w:color w:val="auto"/>
        </w:rPr>
      </w:pPr>
    </w:p>
    <w:p w14:paraId="480DFCF4">
      <w:pPr>
        <w:pStyle w:val="24"/>
        <w:jc w:val="both"/>
        <w:rPr>
          <w:rFonts w:hint="eastAsia"/>
        </w:rPr>
      </w:pPr>
    </w:p>
    <w:p w14:paraId="2F4E8D49">
      <w:pPr>
        <w:rPr>
          <w:rFonts w:hint="eastAsia"/>
        </w:rPr>
      </w:pPr>
    </w:p>
    <w:p w14:paraId="30617286">
      <w:pPr>
        <w:spacing w:line="720" w:lineRule="auto"/>
        <w:ind w:firstLine="964" w:firstLineChars="300"/>
        <w:rPr>
          <w:rFonts w:hint="eastAsia" w:ascii="宋体" w:hAnsi="宋体" w:eastAsia="宋体" w:cs="宋体"/>
          <w:b/>
          <w:color w:val="auto"/>
          <w:sz w:val="32"/>
          <w:szCs w:val="32"/>
          <w:u w:val="single"/>
        </w:rPr>
      </w:pPr>
      <w:r>
        <w:rPr>
          <w:rFonts w:hint="eastAsia" w:ascii="宋体" w:hAnsi="宋体" w:eastAsia="宋体" w:cs="宋体"/>
          <w:b/>
          <w:color w:val="auto"/>
          <w:sz w:val="32"/>
          <w:szCs w:val="32"/>
        </w:rPr>
        <w:t>采   购   人：</w:t>
      </w:r>
      <w:r>
        <w:rPr>
          <w:rFonts w:hint="eastAsia" w:ascii="宋体" w:hAnsi="宋体" w:eastAsia="宋体" w:cs="宋体"/>
          <w:b/>
          <w:color w:val="auto"/>
          <w:sz w:val="32"/>
          <w:szCs w:val="32"/>
          <w:u w:val="single"/>
        </w:rPr>
        <w:t xml:space="preserve"> </w:t>
      </w:r>
      <w:r>
        <w:rPr>
          <w:rFonts w:hint="eastAsia" w:hAnsi="宋体" w:cs="宋体"/>
          <w:b/>
          <w:color w:val="auto"/>
          <w:sz w:val="32"/>
          <w:szCs w:val="32"/>
          <w:u w:val="single"/>
          <w:lang w:val="en-US" w:eastAsia="zh-CN"/>
        </w:rPr>
        <w:t xml:space="preserve">     </w:t>
      </w:r>
      <w:r>
        <w:rPr>
          <w:rFonts w:hint="eastAsia" w:hAnsi="宋体" w:cs="宋体"/>
          <w:b/>
          <w:color w:val="auto"/>
          <w:sz w:val="32"/>
          <w:szCs w:val="32"/>
          <w:u w:val="single"/>
          <w:lang w:eastAsia="zh-CN"/>
        </w:rPr>
        <w:t>安康职业技术学院</w:t>
      </w:r>
      <w:r>
        <w:rPr>
          <w:rFonts w:hint="eastAsia" w:hAnsi="宋体" w:cs="宋体"/>
          <w:b/>
          <w:color w:val="auto"/>
          <w:sz w:val="32"/>
          <w:szCs w:val="32"/>
          <w:u w:val="single"/>
          <w:lang w:val="en-US" w:eastAsia="zh-CN"/>
        </w:rPr>
        <w:t xml:space="preserve">       </w:t>
      </w:r>
      <w:r>
        <w:rPr>
          <w:rFonts w:hint="eastAsia" w:hAnsi="宋体" w:cs="宋体"/>
          <w:b/>
          <w:color w:val="auto"/>
          <w:sz w:val="32"/>
          <w:szCs w:val="32"/>
          <w:u w:val="none"/>
          <w:lang w:val="en-US" w:eastAsia="zh-CN"/>
        </w:rPr>
        <w:t>（盖章）</w:t>
      </w:r>
    </w:p>
    <w:p w14:paraId="6A94011A">
      <w:pPr>
        <w:spacing w:line="720" w:lineRule="auto"/>
        <w:ind w:firstLine="964" w:firstLineChars="300"/>
        <w:rPr>
          <w:rFonts w:hint="eastAsia" w:ascii="宋体" w:hAnsi="宋体" w:eastAsia="宋体" w:cs="宋体"/>
          <w:b/>
          <w:color w:val="auto"/>
          <w:sz w:val="32"/>
          <w:szCs w:val="32"/>
          <w:u w:val="single"/>
        </w:rPr>
      </w:pPr>
      <w:r>
        <w:rPr>
          <w:rFonts w:hint="eastAsia" w:ascii="宋体" w:hAnsi="宋体" w:eastAsia="宋体" w:cs="宋体"/>
          <w:b/>
          <w:color w:val="auto"/>
          <w:sz w:val="32"/>
          <w:szCs w:val="32"/>
        </w:rPr>
        <w:t>采购代理机构：</w:t>
      </w:r>
      <w:r>
        <w:rPr>
          <w:rFonts w:hint="eastAsia" w:ascii="宋体" w:hAnsi="宋体" w:eastAsia="宋体" w:cs="宋体"/>
          <w:b/>
          <w:color w:val="auto"/>
          <w:sz w:val="32"/>
          <w:szCs w:val="32"/>
          <w:u w:val="single"/>
        </w:rPr>
        <w:t xml:space="preserve"> 陕西悦嘉冠宏项目管理有限公司 </w:t>
      </w:r>
      <w:r>
        <w:rPr>
          <w:rFonts w:hint="eastAsia" w:hAnsi="宋体" w:cs="宋体"/>
          <w:b/>
          <w:color w:val="auto"/>
          <w:sz w:val="32"/>
          <w:szCs w:val="32"/>
          <w:u w:val="none"/>
          <w:lang w:eastAsia="zh-CN"/>
        </w:rPr>
        <w:t>（</w:t>
      </w:r>
      <w:r>
        <w:rPr>
          <w:rFonts w:hint="eastAsia" w:hAnsi="宋体" w:cs="宋体"/>
          <w:b/>
          <w:color w:val="auto"/>
          <w:sz w:val="32"/>
          <w:szCs w:val="32"/>
          <w:u w:val="none"/>
          <w:lang w:val="en-US" w:eastAsia="zh-CN"/>
        </w:rPr>
        <w:t>盖章</w:t>
      </w:r>
      <w:r>
        <w:rPr>
          <w:rFonts w:hint="eastAsia" w:hAnsi="宋体" w:cs="宋体"/>
          <w:b/>
          <w:color w:val="auto"/>
          <w:sz w:val="32"/>
          <w:szCs w:val="32"/>
          <w:u w:val="none"/>
          <w:lang w:eastAsia="zh-CN"/>
        </w:rPr>
        <w:t>）</w:t>
      </w:r>
      <w:r>
        <w:rPr>
          <w:rFonts w:hint="eastAsia" w:ascii="宋体" w:hAnsi="宋体" w:eastAsia="宋体" w:cs="宋体"/>
          <w:b/>
          <w:color w:val="auto"/>
          <w:sz w:val="32"/>
          <w:szCs w:val="32"/>
          <w:u w:val="none"/>
        </w:rPr>
        <w:t xml:space="preserve"> </w:t>
      </w:r>
    </w:p>
    <w:p w14:paraId="55129DF8">
      <w:pPr>
        <w:spacing w:line="720" w:lineRule="auto"/>
        <w:ind w:firstLine="321" w:firstLineChars="100"/>
        <w:rPr>
          <w:rFonts w:hint="eastAsia" w:ascii="宋体" w:hAnsi="宋体" w:eastAsia="宋体" w:cs="宋体"/>
          <w:b/>
          <w:color w:val="auto"/>
          <w:sz w:val="32"/>
          <w:szCs w:val="32"/>
          <w:u w:val="single"/>
        </w:rPr>
      </w:pPr>
      <w:r>
        <w:rPr>
          <w:rFonts w:hint="eastAsia" w:ascii="宋体" w:hAnsi="宋体" w:eastAsia="宋体" w:cs="宋体"/>
          <w:b/>
          <w:color w:val="auto"/>
          <w:sz w:val="32"/>
          <w:szCs w:val="32"/>
        </w:rPr>
        <w:t xml:space="preserve">    时        间：</w:t>
      </w:r>
      <w:r>
        <w:rPr>
          <w:rFonts w:hint="eastAsia" w:ascii="宋体" w:hAnsi="宋体" w:eastAsia="宋体" w:cs="宋体"/>
          <w:b/>
          <w:color w:val="auto"/>
          <w:sz w:val="32"/>
          <w:szCs w:val="32"/>
          <w:u w:val="single"/>
        </w:rPr>
        <w:t xml:space="preserve">       二○二</w:t>
      </w:r>
      <w:r>
        <w:rPr>
          <w:rFonts w:hint="eastAsia" w:hAnsi="宋体" w:cs="宋体"/>
          <w:b/>
          <w:color w:val="auto"/>
          <w:sz w:val="32"/>
          <w:szCs w:val="32"/>
          <w:u w:val="single"/>
          <w:lang w:val="en-US" w:eastAsia="zh-CN"/>
        </w:rPr>
        <w:t>六</w:t>
      </w:r>
      <w:r>
        <w:rPr>
          <w:rFonts w:hint="eastAsia" w:ascii="宋体" w:hAnsi="宋体" w:eastAsia="宋体" w:cs="宋体"/>
          <w:b/>
          <w:color w:val="auto"/>
          <w:sz w:val="32"/>
          <w:szCs w:val="32"/>
          <w:u w:val="single"/>
        </w:rPr>
        <w:t>年</w:t>
      </w:r>
      <w:r>
        <w:rPr>
          <w:rFonts w:hint="eastAsia" w:hAnsi="宋体" w:cs="宋体"/>
          <w:b/>
          <w:color w:val="auto"/>
          <w:sz w:val="32"/>
          <w:szCs w:val="32"/>
          <w:u w:val="single"/>
          <w:lang w:val="en-US" w:eastAsia="zh-CN"/>
        </w:rPr>
        <w:t>七</w:t>
      </w:r>
      <w:r>
        <w:rPr>
          <w:rFonts w:hint="eastAsia" w:ascii="宋体" w:hAnsi="宋体" w:eastAsia="宋体" w:cs="宋体"/>
          <w:b/>
          <w:color w:val="auto"/>
          <w:sz w:val="32"/>
          <w:szCs w:val="32"/>
          <w:u w:val="single"/>
        </w:rPr>
        <w:t xml:space="preserve">月         </w:t>
      </w:r>
    </w:p>
    <w:p w14:paraId="62F45F5E">
      <w:pPr>
        <w:tabs>
          <w:tab w:val="left" w:pos="1097"/>
        </w:tabs>
        <w:jc w:val="left"/>
        <w:rPr>
          <w:rFonts w:hint="eastAsia" w:ascii="宋体" w:hAnsi="宋体" w:eastAsia="宋体" w:cs="宋体"/>
          <w:color w:val="auto"/>
        </w:rPr>
        <w:sectPr>
          <w:headerReference r:id="rId6" w:type="first"/>
          <w:headerReference r:id="rId5" w:type="default"/>
          <w:footerReference r:id="rId7" w:type="default"/>
          <w:pgSz w:w="11906" w:h="16838"/>
          <w:pgMar w:top="1418" w:right="1361" w:bottom="1418" w:left="1474" w:header="851" w:footer="992" w:gutter="0"/>
          <w:pgNumType w:fmt="decimal"/>
          <w:cols w:space="720" w:num="1"/>
          <w:titlePg/>
          <w:docGrid w:type="lines" w:linePitch="312" w:charSpace="0"/>
        </w:sectPr>
      </w:pPr>
    </w:p>
    <w:p w14:paraId="1EC5CEC4">
      <w:pPr>
        <w:keepNext w:val="0"/>
        <w:keepLines w:val="0"/>
        <w:pageBreakBefore w:val="0"/>
        <w:widowControl w:val="0"/>
        <w:kinsoku/>
        <w:wordWrap/>
        <w:overflowPunct/>
        <w:topLinePunct w:val="0"/>
        <w:autoSpaceDE/>
        <w:autoSpaceDN/>
        <w:bidi w:val="0"/>
        <w:adjustRightInd w:val="0"/>
        <w:snapToGrid/>
        <w:spacing w:before="313" w:beforeLines="100"/>
        <w:jc w:val="center"/>
        <w:textAlignment w:val="baseline"/>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5F601121">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bCs/>
          <w:snapToGrid w:val="0"/>
          <w:color w:val="auto"/>
          <w:sz w:val="24"/>
        </w:rPr>
        <w:t>1、本项目采用不见面开标系统：电子化投标方式投标，</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须使用数字认证证书（CA锁）对电子投标文件进行签章、加密、递交及开标时签到、解密等相关招投标事宜。开标时</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须携带数字认证证书（CA锁），如因</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自身原因未正确使用数字认证证书（CA锁）造成无法解密投标文件，按无效投标对待。</w:t>
      </w:r>
    </w:p>
    <w:p w14:paraId="513EFD1D">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color w:val="auto"/>
          <w:sz w:val="24"/>
          <w:szCs w:val="24"/>
        </w:rPr>
        <w:t>2、制作电子投标文件：电子</w:t>
      </w:r>
      <w:r>
        <w:rPr>
          <w:rFonts w:hint="eastAsia" w:ascii="宋体" w:hAnsi="宋体" w:eastAsia="宋体" w:cs="宋体"/>
          <w:b/>
          <w:color w:val="auto"/>
          <w:sz w:val="24"/>
          <w:szCs w:val="24"/>
          <w:lang w:eastAsia="zh-CN"/>
        </w:rPr>
        <w:t>招标文件</w:t>
      </w:r>
      <w:r>
        <w:rPr>
          <w:rFonts w:hint="eastAsia" w:ascii="宋体" w:hAnsi="宋体" w:eastAsia="宋体" w:cs="宋体"/>
          <w:b/>
          <w:color w:val="auto"/>
          <w:sz w:val="24"/>
          <w:szCs w:val="24"/>
        </w:rPr>
        <w:t>需要使用专用软件打开、浏览供应商登录下载《新点投标文件制作软件（陕西省公共资源）》，并升级至最新版本，使用该客户端可以打开电子</w:t>
      </w:r>
      <w:r>
        <w:rPr>
          <w:rFonts w:hint="eastAsia" w:ascii="宋体" w:hAnsi="宋体" w:eastAsia="宋体" w:cs="宋体"/>
          <w:b/>
          <w:color w:val="auto"/>
          <w:sz w:val="24"/>
          <w:szCs w:val="24"/>
          <w:lang w:eastAsia="zh-CN"/>
        </w:rPr>
        <w:t>招标文件</w:t>
      </w:r>
      <w:r>
        <w:rPr>
          <w:rFonts w:hint="eastAsia" w:ascii="宋体" w:hAnsi="宋体" w:eastAsia="宋体" w:cs="宋体"/>
          <w:b/>
          <w:color w:val="auto"/>
          <w:sz w:val="24"/>
          <w:szCs w:val="24"/>
        </w:rPr>
        <w:t>。制作工具下载地址：https://zhidao.bqpoint.com/epointknow2/bqepointknowquestion.html?producttype=1&amp;platformguid=684edb0d-467c-4a6a-b31b-9e7929e1fdee&amp;areacode=610000&amp;CategoryCode=16。</w:t>
      </w:r>
    </w:p>
    <w:p w14:paraId="455B62EF">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bCs/>
          <w:snapToGrid w:val="0"/>
          <w:color w:val="auto"/>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17E537A7">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textAlignment w:val="baseline"/>
        <w:rPr>
          <w:rFonts w:hint="eastAsia" w:ascii="宋体" w:hAnsi="宋体" w:eastAsia="宋体" w:cs="宋体"/>
          <w:b/>
          <w:color w:val="auto"/>
          <w:sz w:val="24"/>
          <w:szCs w:val="24"/>
        </w:rPr>
      </w:pPr>
      <w:r>
        <w:rPr>
          <w:rFonts w:hint="eastAsia" w:ascii="宋体" w:hAnsi="宋体" w:eastAsia="宋体" w:cs="宋体"/>
          <w:b/>
          <w:color w:val="auto"/>
          <w:sz w:val="24"/>
          <w:szCs w:val="24"/>
        </w:rPr>
        <w:t>4、不见面开标系统：打开登录页面网址选择点击右上角“登录”，在左侧选择“</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”身份登录</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rPr>
        <w:t>插入CA锁登录，输入密码后，点击“登录”：（</w:t>
      </w:r>
      <w:r>
        <w:rPr>
          <w:rStyle w:val="29"/>
          <w:rFonts w:hint="eastAsia" w:ascii="宋体" w:hAnsi="宋体" w:eastAsia="宋体" w:cs="宋体"/>
          <w:b/>
          <w:bCs/>
          <w:i w:val="0"/>
          <w:iCs w:val="0"/>
          <w:caps w:val="0"/>
          <w:color w:val="auto"/>
          <w:spacing w:val="0"/>
          <w:kern w:val="0"/>
          <w:sz w:val="24"/>
          <w:szCs w:val="24"/>
          <w:shd w:val="clear" w:color="auto" w:fill="FFFFFF"/>
          <w:lang w:val="en-US" w:eastAsia="zh-CN" w:bidi="ar"/>
        </w:rPr>
        <w:t>http://219.145.206.209/BidOpeningHall/bidopeninghallaction/hall/login</w:t>
      </w:r>
      <w:r>
        <w:rPr>
          <w:rFonts w:hint="eastAsia" w:ascii="宋体" w:hAnsi="宋体" w:eastAsia="宋体" w:cs="宋体"/>
          <w:b/>
          <w:color w:val="auto"/>
          <w:sz w:val="24"/>
          <w:szCs w:val="24"/>
        </w:rPr>
        <w:t>），</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登录之后可以看到当前</w:t>
      </w:r>
      <w:r>
        <w:rPr>
          <w:rFonts w:hint="eastAsia" w:ascii="宋体" w:hAnsi="宋体" w:eastAsia="宋体" w:cs="宋体"/>
          <w:b/>
          <w:color w:val="auto"/>
          <w:sz w:val="24"/>
          <w:szCs w:val="24"/>
          <w:lang w:eastAsia="zh-CN"/>
        </w:rPr>
        <w:t>供应商</w:t>
      </w:r>
      <w:r>
        <w:rPr>
          <w:rFonts w:hint="eastAsia" w:ascii="宋体" w:hAnsi="宋体" w:eastAsia="宋体" w:cs="宋体"/>
          <w:b/>
          <w:color w:val="auto"/>
          <w:sz w:val="24"/>
          <w:szCs w:val="24"/>
        </w:rPr>
        <w:t>今日开标项目；1、选择要开标的项目，点击进入，页面首先阅读开标流程，点击“我已阅读”进入开标大厅，点击“取消”返回项目列表页面。</w:t>
      </w:r>
    </w:p>
    <w:p w14:paraId="59B631A0">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default" w:ascii="宋体" w:hAnsi="宋体" w:eastAsia="宋体" w:cs="宋体"/>
          <w:b/>
          <w:bCs/>
          <w:snapToGrid w:val="0"/>
          <w:color w:val="auto"/>
          <w:sz w:val="24"/>
          <w:lang w:val="en-US" w:eastAsia="zh-CN"/>
        </w:rPr>
      </w:pPr>
      <w:r>
        <w:rPr>
          <w:rFonts w:hint="eastAsia" w:ascii="宋体" w:hAnsi="宋体" w:eastAsia="宋体" w:cs="宋体"/>
          <w:b/>
          <w:bCs/>
          <w:snapToGrid w:val="0"/>
          <w:color w:val="auto"/>
          <w:sz w:val="24"/>
        </w:rPr>
        <w:t>5、开标签到</w:t>
      </w:r>
    </w:p>
    <w:p w14:paraId="119AFD46">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lang w:eastAsia="zh-CN"/>
        </w:rPr>
      </w:pP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等待开标时需要签到，等候开标。请在</w:t>
      </w:r>
      <w:r>
        <w:rPr>
          <w:rFonts w:hint="eastAsia" w:hAnsi="宋体" w:cs="宋体"/>
          <w:b/>
          <w:bCs/>
          <w:snapToGrid w:val="0"/>
          <w:color w:val="auto"/>
          <w:sz w:val="24"/>
          <w:lang w:val="en-US" w:eastAsia="zh-CN"/>
        </w:rPr>
        <w:t>招标公告规定的开标时间前</w:t>
      </w:r>
      <w:r>
        <w:rPr>
          <w:rFonts w:hint="eastAsia" w:ascii="宋体" w:hAnsi="宋体" w:eastAsia="宋体" w:cs="宋体"/>
          <w:b/>
          <w:bCs/>
          <w:snapToGrid w:val="0"/>
          <w:color w:val="auto"/>
          <w:sz w:val="24"/>
        </w:rPr>
        <w:t>完成签到，开标时间到了之后</w:t>
      </w:r>
      <w:r>
        <w:rPr>
          <w:rFonts w:hint="eastAsia" w:hAnsi="宋体" w:cs="宋体"/>
          <w:b/>
          <w:bCs/>
          <w:snapToGrid w:val="0"/>
          <w:color w:val="auto"/>
          <w:sz w:val="24"/>
          <w:lang w:val="en-US" w:eastAsia="zh-CN"/>
        </w:rPr>
        <w:t>进入不见面开标系统属于未按开标时间规定参与投标，视为自动弃标且</w:t>
      </w:r>
      <w:r>
        <w:rPr>
          <w:rFonts w:hint="eastAsia" w:ascii="宋体" w:hAnsi="宋体" w:eastAsia="宋体" w:cs="宋体"/>
          <w:b/>
          <w:bCs/>
          <w:snapToGrid w:val="0"/>
          <w:color w:val="auto"/>
          <w:sz w:val="24"/>
        </w:rPr>
        <w:t>不能签到；点击页面上“签到”按钮进行签到，开标前</w:t>
      </w:r>
      <w:r>
        <w:rPr>
          <w:rFonts w:hint="eastAsia" w:hAnsi="宋体" w:eastAsia="宋体" w:cs="宋体"/>
          <w:b/>
          <w:bCs/>
          <w:snapToGrid w:val="0"/>
          <w:color w:val="auto"/>
          <w:sz w:val="24"/>
          <w:lang w:val="en-US" w:eastAsia="zh-CN"/>
        </w:rPr>
        <w:t>30</w:t>
      </w:r>
      <w:r>
        <w:rPr>
          <w:rFonts w:hint="eastAsia" w:ascii="宋体" w:hAnsi="宋体" w:eastAsia="宋体" w:cs="宋体"/>
          <w:b/>
          <w:bCs/>
          <w:snapToGrid w:val="0"/>
          <w:color w:val="auto"/>
          <w:sz w:val="24"/>
        </w:rPr>
        <w:t>分钟可以签到。签到成功之后，按钮灰化，无需再次签到，同时第一个座位图右下角出现绿色√</w:t>
      </w:r>
      <w:r>
        <w:rPr>
          <w:rFonts w:hint="eastAsia" w:hAnsi="宋体" w:eastAsia="宋体" w:cs="宋体"/>
          <w:b/>
          <w:bCs/>
          <w:snapToGrid w:val="0"/>
          <w:color w:val="auto"/>
          <w:sz w:val="24"/>
          <w:lang w:eastAsia="zh-CN"/>
        </w:rPr>
        <w:t>。</w:t>
      </w:r>
    </w:p>
    <w:p w14:paraId="12E35498">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rPr>
      </w:pPr>
      <w:r>
        <w:rPr>
          <w:rFonts w:hint="eastAsia" w:ascii="宋体" w:hAnsi="宋体" w:eastAsia="宋体" w:cs="宋体"/>
          <w:b/>
          <w:bCs/>
          <w:snapToGrid w:val="0"/>
          <w:color w:val="auto"/>
          <w:sz w:val="24"/>
        </w:rPr>
        <w:t>6、注意事项</w:t>
      </w:r>
    </w:p>
    <w:p w14:paraId="1A0E4822">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rPr>
      </w:pPr>
      <w:r>
        <w:rPr>
          <w:rFonts w:hint="eastAsia" w:hAnsi="宋体" w:eastAsia="宋体" w:cs="宋体"/>
          <w:b/>
          <w:bCs/>
          <w:snapToGrid w:val="0"/>
          <w:color w:val="auto"/>
          <w:sz w:val="24"/>
          <w:lang w:eastAsia="zh-CN"/>
        </w:rPr>
        <w:t>（1）</w:t>
      </w:r>
      <w:r>
        <w:rPr>
          <w:rFonts w:hint="eastAsia" w:ascii="宋体" w:hAnsi="宋体" w:eastAsia="宋体" w:cs="宋体"/>
          <w:b/>
          <w:bCs/>
          <w:snapToGrid w:val="0"/>
          <w:color w:val="auto"/>
          <w:sz w:val="24"/>
        </w:rPr>
        <w:t>为顺利实现不见面开标系统的远程交互，建议</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w:t>
      </w:r>
      <w:r>
        <w:rPr>
          <w:rFonts w:hint="eastAsia" w:ascii="宋体" w:hAnsi="宋体" w:eastAsia="宋体" w:cs="宋体"/>
          <w:b/>
          <w:color w:val="auto"/>
          <w:sz w:val="24"/>
          <w:szCs w:val="24"/>
        </w:rPr>
        <w:t>https://download.bqpoint.com/download/downloaddetail.html?SourceFrom=Down&amp;SoftGuid=55aa4e06-c384-4005-bcb9-48932d410fd4）</w:t>
      </w:r>
      <w:r>
        <w:rPr>
          <w:rFonts w:hint="eastAsia" w:ascii="宋体" w:hAnsi="宋体" w:eastAsia="宋体" w:cs="宋体"/>
          <w:b/>
          <w:bCs/>
          <w:snapToGrid w:val="0"/>
          <w:color w:val="auto"/>
          <w:sz w:val="24"/>
        </w:rPr>
        <w:t>。</w:t>
      </w:r>
    </w:p>
    <w:p w14:paraId="3D6C8F6C">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rPr>
      </w:pPr>
      <w:r>
        <w:rPr>
          <w:rFonts w:hint="eastAsia" w:hAnsi="宋体" w:eastAsia="宋体" w:cs="宋体"/>
          <w:b/>
          <w:bCs/>
          <w:snapToGrid w:val="0"/>
          <w:color w:val="auto"/>
          <w:sz w:val="24"/>
          <w:lang w:eastAsia="zh-CN"/>
        </w:rPr>
        <w:t>（2）</w:t>
      </w:r>
      <w:r>
        <w:rPr>
          <w:rFonts w:hint="eastAsia" w:ascii="宋体" w:hAnsi="宋体" w:eastAsia="宋体" w:cs="宋体"/>
          <w:b/>
          <w:bCs/>
          <w:snapToGrid w:val="0"/>
          <w:color w:val="auto"/>
          <w:sz w:val="24"/>
        </w:rPr>
        <w:t>建议</w:t>
      </w:r>
      <w:r>
        <w:rPr>
          <w:rFonts w:hint="eastAsia" w:hAnsi="宋体" w:eastAsia="宋体" w:cs="宋体"/>
          <w:b/>
          <w:bCs/>
          <w:snapToGrid w:val="0"/>
          <w:color w:val="auto"/>
          <w:sz w:val="24"/>
          <w:lang w:eastAsia="zh-CN"/>
        </w:rPr>
        <w:t>供应商</w:t>
      </w:r>
      <w:r>
        <w:rPr>
          <w:rFonts w:hint="eastAsia" w:ascii="宋体" w:hAnsi="宋体" w:eastAsia="宋体" w:cs="宋体"/>
          <w:b/>
          <w:bCs/>
          <w:snapToGrid w:val="0"/>
          <w:color w:val="auto"/>
          <w:sz w:val="24"/>
        </w:rPr>
        <w:t>在开标前半小时登录不见面开标大厅，并及时签到（开标前</w:t>
      </w:r>
      <w:r>
        <w:rPr>
          <w:rFonts w:hint="eastAsia" w:hAnsi="宋体" w:eastAsia="宋体" w:cs="宋体"/>
          <w:b/>
          <w:bCs/>
          <w:snapToGrid w:val="0"/>
          <w:color w:val="auto"/>
          <w:sz w:val="24"/>
          <w:lang w:val="en-US" w:eastAsia="zh-CN"/>
        </w:rPr>
        <w:t>3</w:t>
      </w:r>
      <w:r>
        <w:rPr>
          <w:rFonts w:hint="eastAsia" w:ascii="宋体" w:hAnsi="宋体" w:eastAsia="宋体" w:cs="宋体"/>
          <w:b/>
          <w:bCs/>
          <w:snapToGrid w:val="0"/>
          <w:color w:val="auto"/>
          <w:sz w:val="24"/>
        </w:rPr>
        <w:t>0分钟即可签到），遇到问题及时联系客服4009280095。</w:t>
      </w:r>
    </w:p>
    <w:p w14:paraId="3092D18F">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szCs w:val="22"/>
        </w:rPr>
      </w:pPr>
      <w:r>
        <w:rPr>
          <w:rFonts w:hint="eastAsia" w:hAnsi="宋体" w:eastAsia="宋体" w:cs="宋体"/>
          <w:b/>
          <w:bCs/>
          <w:snapToGrid w:val="0"/>
          <w:color w:val="auto"/>
          <w:sz w:val="24"/>
          <w:szCs w:val="22"/>
          <w:lang w:eastAsia="zh-CN"/>
        </w:rPr>
        <w:t>（3）供应商</w:t>
      </w:r>
      <w:r>
        <w:rPr>
          <w:rFonts w:hint="eastAsia" w:ascii="宋体" w:hAnsi="宋体" w:eastAsia="宋体" w:cs="宋体"/>
          <w:b/>
          <w:bCs/>
          <w:snapToGrid w:val="0"/>
          <w:color w:val="auto"/>
          <w:sz w:val="24"/>
          <w:szCs w:val="22"/>
        </w:rPr>
        <w:t>需注意CA锁一定要提前准备好，并确保CA锁为制作投标文件的CA锁。</w:t>
      </w:r>
    </w:p>
    <w:p w14:paraId="02E7DF0B">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szCs w:val="22"/>
        </w:rPr>
      </w:pPr>
      <w:r>
        <w:rPr>
          <w:rFonts w:hint="eastAsia" w:hAnsi="宋体" w:eastAsia="宋体" w:cs="宋体"/>
          <w:b/>
          <w:bCs/>
          <w:snapToGrid w:val="0"/>
          <w:color w:val="auto"/>
          <w:sz w:val="24"/>
          <w:szCs w:val="22"/>
          <w:lang w:eastAsia="zh-CN"/>
        </w:rPr>
        <w:t>（4）</w:t>
      </w:r>
      <w:r>
        <w:rPr>
          <w:rFonts w:hint="eastAsia" w:ascii="宋体" w:hAnsi="宋体" w:eastAsia="宋体" w:cs="宋体"/>
          <w:b/>
          <w:bCs/>
          <w:snapToGrid w:val="0"/>
          <w:color w:val="auto"/>
          <w:sz w:val="24"/>
          <w:szCs w:val="22"/>
        </w:rPr>
        <w:t>及时关注右侧公告及互动栏目信息。</w:t>
      </w:r>
    </w:p>
    <w:p w14:paraId="6D02AA2B">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szCs w:val="22"/>
          <w:lang w:eastAsia="zh-CN"/>
        </w:rPr>
      </w:pPr>
      <w:r>
        <w:rPr>
          <w:rFonts w:hint="eastAsia" w:hAnsi="宋体" w:eastAsia="宋体" w:cs="宋体"/>
          <w:b/>
          <w:bCs/>
          <w:snapToGrid w:val="0"/>
          <w:color w:val="auto"/>
          <w:sz w:val="24"/>
          <w:szCs w:val="22"/>
          <w:lang w:eastAsia="zh-CN"/>
        </w:rPr>
        <w:t>（5）</w:t>
      </w:r>
      <w:r>
        <w:rPr>
          <w:rFonts w:hint="eastAsia" w:ascii="宋体" w:hAnsi="宋体" w:eastAsia="宋体" w:cs="宋体"/>
          <w:b/>
          <w:bCs/>
          <w:snapToGrid w:val="0"/>
          <w:color w:val="auto"/>
          <w:sz w:val="24"/>
          <w:szCs w:val="22"/>
        </w:rPr>
        <w:t>后附不见面开标的详细操作手册</w:t>
      </w:r>
      <w:r>
        <w:rPr>
          <w:rFonts w:hint="eastAsia" w:ascii="宋体" w:hAnsi="宋体" w:cs="宋体"/>
          <w:b/>
          <w:bCs/>
          <w:snapToGrid w:val="0"/>
          <w:color w:val="auto"/>
          <w:sz w:val="24"/>
          <w:szCs w:val="22"/>
          <w:lang w:eastAsia="zh-CN"/>
        </w:rPr>
        <w:t>。</w:t>
      </w:r>
    </w:p>
    <w:p w14:paraId="4164484F">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lang w:val="zh-CN" w:eastAsia="zh-CN"/>
        </w:rPr>
      </w:pPr>
      <w:r>
        <w:rPr>
          <w:rFonts w:hint="eastAsia" w:ascii="宋体" w:hAnsi="宋体" w:eastAsia="宋体" w:cs="宋体"/>
          <w:b/>
          <w:bCs/>
          <w:snapToGrid w:val="0"/>
          <w:color w:val="auto"/>
          <w:sz w:val="24"/>
          <w:lang w:val="en-US" w:eastAsia="zh-CN"/>
        </w:rPr>
        <w:t>8、</w:t>
      </w:r>
      <w:r>
        <w:rPr>
          <w:rFonts w:hint="eastAsia" w:ascii="宋体" w:hAnsi="宋体" w:eastAsia="宋体" w:cs="宋体"/>
          <w:b/>
          <w:bCs/>
          <w:snapToGrid w:val="0"/>
          <w:color w:val="auto"/>
          <w:sz w:val="24"/>
          <w:lang w:val="zh-CN"/>
        </w:rPr>
        <w:t>供应商在获得</w:t>
      </w:r>
      <w:r>
        <w:rPr>
          <w:rFonts w:hint="eastAsia" w:ascii="宋体" w:hAnsi="宋体" w:eastAsia="宋体" w:cs="宋体"/>
          <w:b/>
          <w:bCs/>
          <w:snapToGrid w:val="0"/>
          <w:color w:val="auto"/>
          <w:sz w:val="24"/>
          <w:lang w:val="en-US" w:eastAsia="zh-CN"/>
        </w:rPr>
        <w:t>招标</w:t>
      </w:r>
      <w:r>
        <w:rPr>
          <w:rFonts w:hint="eastAsia" w:ascii="宋体" w:hAnsi="宋体" w:eastAsia="宋体" w:cs="宋体"/>
          <w:b/>
          <w:bCs/>
          <w:snapToGrid w:val="0"/>
          <w:color w:val="auto"/>
          <w:sz w:val="24"/>
          <w:lang w:val="zh-CN"/>
        </w:rPr>
        <w:t>文件后，请仔细阅读，特别注意粗体部分，如有疑问，请尽快来电咨询。电话：</w:t>
      </w:r>
      <w:r>
        <w:rPr>
          <w:rFonts w:hint="eastAsia" w:ascii="宋体" w:hAnsi="宋体" w:eastAsia="宋体" w:cs="宋体"/>
          <w:b/>
          <w:bCs/>
          <w:snapToGrid w:val="0"/>
          <w:color w:val="auto"/>
          <w:sz w:val="24"/>
          <w:lang w:val="en-US" w:eastAsia="zh-CN"/>
        </w:rPr>
        <w:t>15809159650</w:t>
      </w:r>
      <w:r>
        <w:rPr>
          <w:rFonts w:hint="eastAsia" w:ascii="宋体" w:hAnsi="宋体" w:eastAsia="宋体" w:cs="宋体"/>
          <w:b/>
          <w:bCs/>
          <w:snapToGrid w:val="0"/>
          <w:color w:val="auto"/>
          <w:sz w:val="24"/>
          <w:lang w:val="zh-CN" w:eastAsia="zh-CN"/>
        </w:rPr>
        <w:t>。</w:t>
      </w:r>
    </w:p>
    <w:p w14:paraId="00940123">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baseline"/>
        <w:rPr>
          <w:rFonts w:hint="eastAsia" w:ascii="宋体" w:hAnsi="宋体" w:eastAsia="宋体" w:cs="宋体"/>
          <w:b/>
          <w:bCs/>
          <w:snapToGrid w:val="0"/>
          <w:color w:val="auto"/>
          <w:sz w:val="24"/>
          <w:lang w:val="zh-CN"/>
        </w:rPr>
      </w:pPr>
      <w:r>
        <w:rPr>
          <w:rFonts w:hint="eastAsia" w:ascii="宋体" w:hAnsi="宋体" w:eastAsia="宋体" w:cs="宋体"/>
          <w:b/>
          <w:bCs/>
          <w:snapToGrid w:val="0"/>
          <w:color w:val="auto"/>
          <w:sz w:val="24"/>
          <w:lang w:val="en-US" w:eastAsia="zh-CN"/>
        </w:rPr>
        <w:t>9、</w:t>
      </w:r>
      <w:r>
        <w:rPr>
          <w:rFonts w:hint="eastAsia" w:ascii="宋体" w:hAnsi="宋体" w:eastAsia="宋体" w:cs="宋体"/>
          <w:b/>
          <w:bCs/>
          <w:snapToGrid w:val="0"/>
          <w:color w:val="auto"/>
          <w:sz w:val="24"/>
          <w:lang w:val="zh-CN"/>
        </w:rPr>
        <w:t>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24F20210">
      <w:pPr>
        <w:snapToGrid w:val="0"/>
        <w:spacing w:line="360" w:lineRule="auto"/>
        <w:rPr>
          <w:rFonts w:hint="eastAsia" w:ascii="宋体" w:hAnsi="宋体" w:eastAsia="宋体" w:cs="宋体"/>
          <w:b/>
          <w:color w:val="auto"/>
          <w:sz w:val="48"/>
          <w:szCs w:val="48"/>
        </w:rPr>
      </w:pPr>
    </w:p>
    <w:p w14:paraId="1106C117">
      <w:pPr>
        <w:pStyle w:val="10"/>
        <w:rPr>
          <w:rFonts w:hint="eastAsia" w:ascii="宋体" w:hAnsi="宋体" w:eastAsia="宋体" w:cs="宋体"/>
          <w:color w:val="auto"/>
        </w:rPr>
      </w:pPr>
    </w:p>
    <w:p w14:paraId="56A224A5">
      <w:pPr>
        <w:snapToGrid w:val="0"/>
        <w:spacing w:line="360" w:lineRule="auto"/>
        <w:jc w:val="center"/>
        <w:rPr>
          <w:rFonts w:hint="eastAsia" w:ascii="宋体" w:hAnsi="宋体" w:eastAsia="宋体" w:cs="宋体"/>
          <w:b/>
          <w:color w:val="auto"/>
          <w:sz w:val="48"/>
          <w:szCs w:val="48"/>
        </w:rPr>
      </w:pPr>
    </w:p>
    <w:p w14:paraId="63108B76">
      <w:pPr>
        <w:snapToGrid w:val="0"/>
        <w:spacing w:line="360" w:lineRule="auto"/>
        <w:jc w:val="center"/>
        <w:rPr>
          <w:rFonts w:hint="eastAsia" w:ascii="宋体" w:hAnsi="宋体" w:eastAsia="宋体" w:cs="宋体"/>
          <w:b/>
          <w:color w:val="auto"/>
          <w:sz w:val="48"/>
          <w:szCs w:val="48"/>
        </w:rPr>
      </w:pPr>
    </w:p>
    <w:p w14:paraId="5F7A9071">
      <w:pPr>
        <w:snapToGrid w:val="0"/>
        <w:spacing w:line="360" w:lineRule="auto"/>
        <w:jc w:val="center"/>
        <w:rPr>
          <w:rFonts w:hint="eastAsia" w:ascii="宋体" w:hAnsi="宋体" w:eastAsia="宋体" w:cs="宋体"/>
          <w:b/>
          <w:color w:val="auto"/>
          <w:sz w:val="48"/>
          <w:szCs w:val="48"/>
        </w:rPr>
      </w:pPr>
    </w:p>
    <w:p w14:paraId="66FF16A1">
      <w:pPr>
        <w:snapToGrid w:val="0"/>
        <w:spacing w:line="360" w:lineRule="auto"/>
        <w:jc w:val="center"/>
        <w:rPr>
          <w:rFonts w:hint="eastAsia" w:ascii="宋体" w:hAnsi="宋体" w:eastAsia="宋体" w:cs="宋体"/>
          <w:b/>
          <w:color w:val="auto"/>
          <w:sz w:val="48"/>
          <w:szCs w:val="48"/>
        </w:rPr>
      </w:pPr>
    </w:p>
    <w:p w14:paraId="4F7B7537">
      <w:pPr>
        <w:snapToGrid w:val="0"/>
        <w:spacing w:line="360" w:lineRule="auto"/>
        <w:jc w:val="center"/>
        <w:rPr>
          <w:rFonts w:hint="eastAsia" w:ascii="宋体" w:hAnsi="宋体" w:eastAsia="宋体" w:cs="宋体"/>
          <w:b/>
          <w:color w:val="auto"/>
          <w:sz w:val="48"/>
          <w:szCs w:val="48"/>
        </w:rPr>
      </w:pPr>
    </w:p>
    <w:p w14:paraId="68593C9E">
      <w:pPr>
        <w:snapToGrid w:val="0"/>
        <w:spacing w:line="360" w:lineRule="auto"/>
        <w:jc w:val="center"/>
        <w:rPr>
          <w:rFonts w:hint="eastAsia" w:ascii="宋体" w:hAnsi="宋体" w:eastAsia="宋体" w:cs="宋体"/>
          <w:b/>
          <w:color w:val="auto"/>
          <w:sz w:val="48"/>
          <w:szCs w:val="48"/>
        </w:rPr>
      </w:pPr>
    </w:p>
    <w:p w14:paraId="51DC953B">
      <w:pPr>
        <w:pStyle w:val="11"/>
        <w:rPr>
          <w:rFonts w:hint="eastAsia"/>
        </w:rPr>
      </w:pPr>
    </w:p>
    <w:p w14:paraId="591FA813">
      <w:pPr>
        <w:snapToGrid w:val="0"/>
        <w:spacing w:line="360" w:lineRule="auto"/>
        <w:jc w:val="both"/>
        <w:rPr>
          <w:rFonts w:hint="eastAsia" w:ascii="宋体" w:hAnsi="宋体" w:eastAsia="宋体" w:cs="宋体"/>
          <w:b/>
          <w:color w:val="auto"/>
          <w:sz w:val="48"/>
          <w:szCs w:val="48"/>
          <w:lang w:eastAsia="zh-CN"/>
        </w:rPr>
      </w:pPr>
    </w:p>
    <w:p w14:paraId="7D39662C">
      <w:pPr>
        <w:snapToGrid w:val="0"/>
        <w:spacing w:line="360" w:lineRule="auto"/>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0139FD8A">
      <w:pPr>
        <w:snapToGrid w:val="0"/>
        <w:spacing w:line="360" w:lineRule="auto"/>
        <w:jc w:val="center"/>
        <w:rPr>
          <w:rFonts w:hint="eastAsia" w:ascii="宋体" w:hAnsi="宋体" w:eastAsia="宋体" w:cs="宋体"/>
          <w:b/>
          <w:color w:val="auto"/>
          <w:sz w:val="50"/>
        </w:rPr>
      </w:pPr>
    </w:p>
    <w:p w14:paraId="6EBFBCEC">
      <w:pPr>
        <w:snapToGrid w:val="0"/>
        <w:spacing w:line="840" w:lineRule="exact"/>
        <w:ind w:firstLine="2329" w:firstLineChars="728"/>
        <w:rPr>
          <w:rFonts w:hint="eastAsia" w:ascii="宋体" w:hAnsi="宋体" w:eastAsia="宋体" w:cs="宋体"/>
          <w:b/>
          <w:color w:val="auto"/>
          <w:sz w:val="32"/>
        </w:rPr>
      </w:pPr>
      <w:r>
        <w:rPr>
          <w:rFonts w:hint="eastAsia" w:ascii="宋体" w:hAnsi="宋体" w:eastAsia="宋体" w:cs="宋体"/>
          <w:b/>
          <w:color w:val="auto"/>
          <w:sz w:val="32"/>
        </w:rPr>
        <w:t>第一章  招标公告</w:t>
      </w:r>
    </w:p>
    <w:p w14:paraId="2893301A">
      <w:pPr>
        <w:snapToGrid w:val="0"/>
        <w:spacing w:line="840" w:lineRule="exact"/>
        <w:ind w:firstLine="2329" w:firstLineChars="728"/>
        <w:rPr>
          <w:rFonts w:hint="eastAsia" w:ascii="宋体" w:hAnsi="宋体" w:eastAsia="宋体" w:cs="宋体"/>
          <w:b/>
          <w:color w:val="auto"/>
          <w:sz w:val="32"/>
        </w:rPr>
      </w:pPr>
      <w:r>
        <w:rPr>
          <w:rFonts w:hint="eastAsia" w:ascii="宋体" w:hAnsi="宋体" w:eastAsia="宋体" w:cs="宋体"/>
          <w:b/>
          <w:color w:val="auto"/>
          <w:sz w:val="32"/>
        </w:rPr>
        <w:t>第二章  投标须知</w:t>
      </w:r>
    </w:p>
    <w:p w14:paraId="1F358BD4">
      <w:pPr>
        <w:snapToGrid w:val="0"/>
        <w:spacing w:line="840" w:lineRule="exact"/>
        <w:ind w:firstLine="2329" w:firstLineChars="728"/>
        <w:rPr>
          <w:rFonts w:hint="eastAsia" w:ascii="宋体" w:hAnsi="宋体" w:eastAsia="宋体" w:cs="宋体"/>
          <w:b/>
          <w:color w:val="auto"/>
          <w:sz w:val="32"/>
        </w:rPr>
      </w:pPr>
      <w:r>
        <w:rPr>
          <w:rFonts w:hint="eastAsia" w:ascii="宋体" w:hAnsi="宋体" w:eastAsia="宋体" w:cs="宋体"/>
          <w:b/>
          <w:color w:val="auto"/>
          <w:sz w:val="32"/>
        </w:rPr>
        <w:t>第三章  拟签订合同主要条款</w:t>
      </w:r>
    </w:p>
    <w:p w14:paraId="69D226E0">
      <w:pPr>
        <w:snapToGrid w:val="0"/>
        <w:spacing w:line="840" w:lineRule="exact"/>
        <w:ind w:firstLine="2329" w:firstLineChars="728"/>
        <w:rPr>
          <w:rFonts w:hint="eastAsia" w:ascii="宋体" w:hAnsi="宋体" w:eastAsia="宋体" w:cs="宋体"/>
          <w:b/>
          <w:color w:val="auto"/>
          <w:sz w:val="32"/>
          <w:lang w:eastAsia="zh-CN"/>
        </w:rPr>
      </w:pPr>
      <w:r>
        <w:rPr>
          <w:rFonts w:hint="eastAsia" w:ascii="宋体" w:hAnsi="宋体" w:eastAsia="宋体" w:cs="宋体"/>
          <w:b/>
          <w:color w:val="auto"/>
          <w:sz w:val="32"/>
        </w:rPr>
        <w:t>第四章  采购内容与</w:t>
      </w:r>
      <w:r>
        <w:rPr>
          <w:rFonts w:hint="eastAsia" w:hAnsi="宋体" w:cs="宋体"/>
          <w:b/>
          <w:color w:val="auto"/>
          <w:sz w:val="32"/>
          <w:lang w:eastAsia="zh-CN"/>
        </w:rPr>
        <w:t>服务要求</w:t>
      </w:r>
    </w:p>
    <w:p w14:paraId="0A123160">
      <w:pPr>
        <w:snapToGrid w:val="0"/>
        <w:spacing w:line="840" w:lineRule="exact"/>
        <w:ind w:firstLine="2329" w:firstLineChars="728"/>
        <w:rPr>
          <w:rFonts w:hint="eastAsia" w:ascii="宋体" w:hAnsi="宋体" w:eastAsia="宋体" w:cs="宋体"/>
          <w:b/>
          <w:color w:val="auto"/>
          <w:sz w:val="32"/>
        </w:rPr>
      </w:pPr>
      <w:r>
        <w:rPr>
          <w:rFonts w:hint="eastAsia" w:ascii="宋体" w:hAnsi="宋体" w:eastAsia="宋体" w:cs="宋体"/>
          <w:b/>
          <w:color w:val="auto"/>
          <w:sz w:val="32"/>
        </w:rPr>
        <w:t>第五章  投标文件基本格式</w:t>
      </w:r>
    </w:p>
    <w:p w14:paraId="6CA65A0D">
      <w:pPr>
        <w:pStyle w:val="6"/>
        <w:rPr>
          <w:rFonts w:hint="eastAsia" w:ascii="宋体" w:hAnsi="宋体" w:eastAsia="宋体" w:cs="宋体"/>
          <w:b w:val="0"/>
          <w:color w:val="auto"/>
        </w:rPr>
      </w:pPr>
    </w:p>
    <w:p w14:paraId="6BCA7847">
      <w:pPr>
        <w:rPr>
          <w:rFonts w:hint="eastAsia" w:ascii="宋体" w:hAnsi="宋体" w:eastAsia="宋体" w:cs="宋体"/>
          <w:b/>
          <w:color w:val="auto"/>
          <w:sz w:val="32"/>
        </w:rPr>
      </w:pPr>
    </w:p>
    <w:p w14:paraId="3D063FD1">
      <w:pPr>
        <w:pStyle w:val="6"/>
        <w:rPr>
          <w:rFonts w:hint="eastAsia" w:ascii="宋体" w:hAnsi="宋体" w:eastAsia="宋体" w:cs="宋体"/>
          <w:b w:val="0"/>
          <w:color w:val="auto"/>
        </w:rPr>
      </w:pPr>
    </w:p>
    <w:p w14:paraId="08C7434E">
      <w:pPr>
        <w:rPr>
          <w:rFonts w:hint="eastAsia" w:ascii="宋体" w:hAnsi="宋体" w:eastAsia="宋体" w:cs="宋体"/>
          <w:b/>
          <w:color w:val="auto"/>
          <w:sz w:val="32"/>
        </w:rPr>
      </w:pPr>
    </w:p>
    <w:p w14:paraId="008A8FEF">
      <w:pPr>
        <w:pStyle w:val="11"/>
        <w:rPr>
          <w:rFonts w:hint="eastAsia"/>
        </w:rPr>
      </w:pPr>
    </w:p>
    <w:p w14:paraId="794C56D6">
      <w:pPr>
        <w:pStyle w:val="12"/>
        <w:rPr>
          <w:rFonts w:hint="eastAsia"/>
        </w:rPr>
      </w:pPr>
    </w:p>
    <w:p w14:paraId="50B2ABD5">
      <w:pPr>
        <w:rPr>
          <w:rFonts w:hint="eastAsia"/>
        </w:rPr>
      </w:pPr>
    </w:p>
    <w:p w14:paraId="5BE15CEC">
      <w:pPr>
        <w:rPr>
          <w:rFonts w:hint="eastAsia"/>
        </w:rPr>
      </w:pPr>
    </w:p>
    <w:p w14:paraId="1F36EFA5">
      <w:pPr>
        <w:rPr>
          <w:rFonts w:hint="eastAsia"/>
        </w:rPr>
      </w:pPr>
    </w:p>
    <w:p w14:paraId="61B7A6AE">
      <w:pPr>
        <w:snapToGrid w:val="0"/>
        <w:spacing w:beforeLines="100" w:afterLines="50" w:line="44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第一章  招标公告</w:t>
      </w:r>
    </w:p>
    <w:p w14:paraId="32FE576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4"/>
          <w:szCs w:val="24"/>
        </w:rPr>
      </w:pPr>
      <w:bookmarkStart w:id="0" w:name="_Toc169846759"/>
      <w:bookmarkStart w:id="1" w:name="_Toc245657538"/>
      <w:bookmarkStart w:id="2" w:name="_Toc169846856"/>
      <w:bookmarkStart w:id="3" w:name="_Toc207897901"/>
      <w:bookmarkStart w:id="4" w:name="_Toc167591475"/>
      <w:bookmarkStart w:id="5" w:name="_Toc244623576"/>
      <w:bookmarkStart w:id="6" w:name="_Toc175032420"/>
      <w:bookmarkStart w:id="7" w:name="_Toc173549961"/>
      <w:bookmarkStart w:id="8" w:name="_Toc170980535"/>
      <w:bookmarkStart w:id="9" w:name="_Toc154482462"/>
      <w:bookmarkStart w:id="10" w:name="_Toc245658519"/>
      <w:bookmarkStart w:id="11" w:name="_Toc175033575"/>
      <w:bookmarkStart w:id="12" w:name="_Toc167591026"/>
      <w:bookmarkStart w:id="13" w:name="_Toc167849343"/>
      <w:bookmarkStart w:id="14" w:name="_Toc170980437"/>
      <w:bookmarkStart w:id="15" w:name="_Toc169838515"/>
      <w:bookmarkStart w:id="16" w:name="_Toc167591127"/>
      <w:bookmarkStart w:id="17" w:name="_Toc167590758"/>
      <w:bookmarkStart w:id="18" w:name="_Toc167591313"/>
      <w:bookmarkStart w:id="19" w:name="_Toc208337149"/>
      <w:bookmarkStart w:id="20" w:name="_Toc245176650"/>
      <w:bookmarkStart w:id="21" w:name="_Toc201650492"/>
      <w:bookmarkStart w:id="22" w:name="_Toc260242592"/>
      <w:r>
        <w:rPr>
          <w:rStyle w:val="29"/>
          <w:rFonts w:hint="eastAsia" w:ascii="宋体" w:hAnsi="宋体" w:eastAsia="宋体" w:cs="宋体"/>
          <w:b/>
          <w:bCs/>
          <w:i w:val="0"/>
          <w:iCs w:val="0"/>
          <w:caps w:val="0"/>
          <w:color w:val="auto"/>
          <w:spacing w:val="0"/>
          <w:sz w:val="24"/>
          <w:szCs w:val="24"/>
          <w:shd w:val="clear" w:fill="FFFFFF"/>
        </w:rPr>
        <w:t>项目概况</w:t>
      </w:r>
    </w:p>
    <w:p w14:paraId="3F810F1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学前教育专业（群）教学资源库建设项目招标项目的潜在投标人应在安康市公共资源交易平台获取招标文件，并于2026年</w:t>
      </w:r>
      <w:r>
        <w:rPr>
          <w:rFonts w:hint="eastAsia"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24</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时00分（北京时间）前递交投标文件。</w:t>
      </w:r>
    </w:p>
    <w:p w14:paraId="7F9137E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一、项目基本情况</w:t>
      </w:r>
    </w:p>
    <w:p w14:paraId="69B9028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项目编号：YJGHCG-2026-006</w:t>
      </w:r>
    </w:p>
    <w:p w14:paraId="6F07FFC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项目名称：学前教育专业（群）教学资源库建设项目</w:t>
      </w:r>
    </w:p>
    <w:p w14:paraId="4B15F07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5070A24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预算金额：2,601,500.00元</w:t>
      </w:r>
    </w:p>
    <w:p w14:paraId="06467C9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3733943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合同包1(学前教育专业（群）教学资源库建设项目):</w:t>
      </w:r>
    </w:p>
    <w:p w14:paraId="4DF545A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合同包预算金额：2,601,500.00元</w:t>
      </w:r>
    </w:p>
    <w:p w14:paraId="0EA2559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合同包最高限价：2,601,500.00元</w:t>
      </w:r>
    </w:p>
    <w:tbl>
      <w:tblPr>
        <w:tblStyle w:val="26"/>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1"/>
        <w:gridCol w:w="1260"/>
        <w:gridCol w:w="2553"/>
        <w:gridCol w:w="1290"/>
        <w:gridCol w:w="1579"/>
        <w:gridCol w:w="1832"/>
      </w:tblGrid>
      <w:tr w14:paraId="1190D0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06C0C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6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CA2CE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w:t>
            </w:r>
          </w:p>
          <w:p w14:paraId="399C6E3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名称</w:t>
            </w:r>
          </w:p>
        </w:tc>
        <w:tc>
          <w:tcPr>
            <w:tcW w:w="13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E46DC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9661C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0A9F67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84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829A0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7498C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C8744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2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5AC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6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F7BA8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高等教育服务</w:t>
            </w:r>
          </w:p>
        </w:tc>
        <w:tc>
          <w:tcPr>
            <w:tcW w:w="13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2EBAE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学前教育专业（群）教学资源库建设</w:t>
            </w:r>
          </w:p>
        </w:tc>
        <w:tc>
          <w:tcPr>
            <w:tcW w:w="6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601A4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84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1E77B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72A908A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98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30F0A1C">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2,601,500.00</w:t>
            </w:r>
          </w:p>
        </w:tc>
      </w:tr>
    </w:tbl>
    <w:p w14:paraId="6ED5BE3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5AE328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合同履行期限：详见招标文件具体要求</w:t>
      </w:r>
    </w:p>
    <w:p w14:paraId="038EA9A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二、申请人的资格要求：</w:t>
      </w:r>
    </w:p>
    <w:p w14:paraId="5221FF9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4FD654D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526091A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合同包1(学前教育专业（群）教学资源库建设项目)落实政府采购政策需满足的资格要求如下:</w:t>
      </w:r>
    </w:p>
    <w:p w14:paraId="5CDC090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政府采购促进中小企业发展管理办法》（财库〔2020〕46号）；②《财政部司法部关于政府采购支持监狱企业发展有关问题的通知》（财库〔2014〕68号）；③财政部、发展改革委、生态环境部、市场监管总局《关于调整优化节能产品环境标志产品政府采购执行机制的通知》（财库〔2019〕9号）；④《节能产品政府采购实施意见》（财库[2004]185号）；⑤《环境标志产品政府采购实施的意见》（财库[2006]90号）；⑥《三部门联合发布关于促进残疾人就业政府采购政策的通知》（财库〔2017〕141号）；⑦《陕西省中小企业政府采购信用融资办法》（陕财办采〔2018〕23号）；⑧陕西省财政厅《关于进一步加强政府绿色采购有关问题的通知》（陕财办采〔2021〕29号）；⑨《关于运用政府采购政策支持乡村产业振兴的通知》（财库〔2021〕19号）；⑩关于印发《商品包装政府采购需求标准（试行）》、《快递包装政府采购需求标准（试行）》的通知（财办库〔2020〕123号）；⑪其他需要落实的政府采购政策。</w:t>
      </w:r>
    </w:p>
    <w:p w14:paraId="385F499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76095E6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合同包1(学前教育专业（群）教学资源库建设项目)特定资格要求如下:</w:t>
      </w:r>
    </w:p>
    <w:p w14:paraId="1BF3600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具有独立承担民事责任能力的法人、其他组织或自然人，提供年检有效的统一社会信用代码的营业执照；②法定代表人直接参加投标的，须出具法定代表人身份证；法定代表人授权代表参加投标的，须出具法定代表人授权委托书及被授权代表身份证；③供应商未被列入失信被执行人、重大税收违法失信主体、政府采购严重违法失信行为记录名单，以“信用中国”网站(www.creditchina.gov.cn)、中国政府采购网(www.ccgp.gov.cn)查询结果为准；④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⑤社会保障资金缴纳证明：提供2025年10月至项目开标前任意三个月的社会保障资金缴纳证明或社会保险缴纳清单或社会保险缴纳专用收据（依法不需要缴纳社会保障资金或新成立的投标单位应提供相关文件证明）；⑥税收缴纳证明：提供2025年10月至项目开标前任意三个月已缴纳的完税证明（依法免税或新成立的投标单位应提供相关文件证明）；⑦参加政府采购活动前三年内，在经营活动中没有重大违法记录的书面声明；⑧本项目不接受联合体投标</w:t>
      </w:r>
      <w:r>
        <w:rPr>
          <w:rFonts w:hint="eastAsia"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rPr>
        <w:t>注：以上资质（资格）要求均为必备条件。其他要求详见招标文件。</w:t>
      </w:r>
    </w:p>
    <w:p w14:paraId="03DD60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三、获取招标文件</w:t>
      </w:r>
    </w:p>
    <w:p w14:paraId="3FE6674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02</w:t>
      </w:r>
      <w:r>
        <w:rPr>
          <w:rFonts w:hint="eastAsia" w:ascii="宋体" w:hAnsi="宋体" w:eastAsia="宋体" w:cs="宋体"/>
          <w:i w:val="0"/>
          <w:iCs w:val="0"/>
          <w:caps w:val="0"/>
          <w:color w:val="auto"/>
          <w:spacing w:val="0"/>
          <w:sz w:val="24"/>
          <w:szCs w:val="24"/>
          <w:shd w:val="clear" w:fill="FFFFFF"/>
        </w:rPr>
        <w:t>日至2026年0</w:t>
      </w:r>
      <w:r>
        <w:rPr>
          <w:rFonts w:hint="eastAsia"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08</w:t>
      </w:r>
      <w:r>
        <w:rPr>
          <w:rFonts w:hint="eastAsia" w:ascii="宋体" w:hAnsi="宋体" w:eastAsia="宋体" w:cs="宋体"/>
          <w:i w:val="0"/>
          <w:iCs w:val="0"/>
          <w:caps w:val="0"/>
          <w:color w:val="auto"/>
          <w:spacing w:val="0"/>
          <w:sz w:val="24"/>
          <w:szCs w:val="24"/>
          <w:shd w:val="clear" w:fill="FFFFFF"/>
        </w:rPr>
        <w:t>日，每天上午08:00:00至12:00:00，下午12:00:00至17:00:00（北京时间）</w:t>
      </w:r>
    </w:p>
    <w:p w14:paraId="4B6AB46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途径：安康市公共资源交易平台</w:t>
      </w:r>
    </w:p>
    <w:p w14:paraId="00C1C29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52B5BE9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4EA39E0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四、提交投标文件截止时间、开标时间和地点</w:t>
      </w:r>
    </w:p>
    <w:p w14:paraId="235A4EF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24</w:t>
      </w:r>
      <w:r>
        <w:rPr>
          <w:rFonts w:hint="eastAsia" w:ascii="宋体" w:hAnsi="宋体" w:eastAsia="宋体" w:cs="宋体"/>
          <w:i w:val="0"/>
          <w:iCs w:val="0"/>
          <w:caps w:val="0"/>
          <w:color w:val="auto"/>
          <w:spacing w:val="0"/>
          <w:sz w:val="24"/>
          <w:szCs w:val="24"/>
          <w:shd w:val="clear" w:fill="FFFFFF"/>
        </w:rPr>
        <w:t>日 09时00分00秒（北京时间）</w:t>
      </w:r>
    </w:p>
    <w:p w14:paraId="4D1BA87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提交投标文件地点：安康市公共资源交易平台</w:t>
      </w:r>
    </w:p>
    <w:p w14:paraId="0D82C66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开标地点：安康市公共资源交易平台不见面开标大厅</w:t>
      </w:r>
    </w:p>
    <w:p w14:paraId="0211EB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五、公告期限</w:t>
      </w:r>
    </w:p>
    <w:p w14:paraId="494E1E1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03DD388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六、其他补充事宜</w:t>
      </w:r>
    </w:p>
    <w:p w14:paraId="11344D0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使用捆绑CA证书登录安康市公共资源交易中心（http://ak.sxggzyjy.cn/），选择有意向的项目点击“我要投标”完善相关信息。2.网上投标成功后，投标单位须在招标文件获取截止时间前将加盖公章的网上投标成功回执单、经办人身份证复印件（备注经办人联系电话及邮箱）扫描电子版发送至邮箱2991944368@qq.com；3.下载文件：投标人登录安康市公共资源交易中心（http://ak.sxggzyjy.cn/），选择“交易乙方”身份进入投标人界面下载招标文件；4.本项目采用电子化投标及远程不见面开标方式，相关操作流程详见全国公共资源交易平台（陕西省）网站[服务指南-下载专区]中的《陕西省公共资源交易中心政府采购项目投标指南》；5.电子招标文件技术支持：4009280095、4009980000；6.未及时下载招标文件的将会影响后续开评标活动。如无进行线上操作，导致无法参与投标的，责任自负。</w:t>
      </w:r>
    </w:p>
    <w:p w14:paraId="731B8B7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shd w:val="clear" w:fill="FFFFFF"/>
        </w:rPr>
        <w:t>七、对本次招标提出询问，请按以下方式联系。</w:t>
      </w:r>
    </w:p>
    <w:p w14:paraId="3825813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D0E068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名称：安康职业技术学院</w:t>
      </w:r>
    </w:p>
    <w:p w14:paraId="37B3C9F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地址：安康大道2号</w:t>
      </w:r>
    </w:p>
    <w:p w14:paraId="14388796">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联系方式：09158177650</w:t>
      </w:r>
    </w:p>
    <w:p w14:paraId="07F6092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F6BA205">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名称：陕西悦嘉冠宏项目管理有限公司</w:t>
      </w:r>
    </w:p>
    <w:p w14:paraId="6BFFE65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地址：安康市汉滨区吾悦广场二期商铺S2-121</w:t>
      </w:r>
    </w:p>
    <w:p w14:paraId="09B6F4B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联系方式：09153115535</w:t>
      </w:r>
    </w:p>
    <w:p w14:paraId="47CE103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C39309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项目联系人：熊女士</w:t>
      </w:r>
    </w:p>
    <w:p w14:paraId="02F5B87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电话：15809159650</w:t>
      </w:r>
    </w:p>
    <w:p w14:paraId="33B0681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陕西悦嘉冠宏项目管理有限公司</w:t>
      </w:r>
    </w:p>
    <w:p w14:paraId="566C519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i w:val="0"/>
          <w:iCs w:val="0"/>
          <w:caps w:val="0"/>
          <w:color w:val="00B0F0"/>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2026年</w:t>
      </w:r>
      <w:r>
        <w:rPr>
          <w:rFonts w:hint="eastAsia" w:cs="宋体"/>
          <w:i w:val="0"/>
          <w:iCs w:val="0"/>
          <w:caps w:val="0"/>
          <w:color w:val="auto"/>
          <w:spacing w:val="0"/>
          <w:sz w:val="24"/>
          <w:szCs w:val="24"/>
          <w:shd w:val="clear" w:fill="FFFFFF"/>
          <w:lang w:val="en-US" w:eastAsia="zh-CN"/>
        </w:rPr>
        <w:t>07</w:t>
      </w:r>
      <w:r>
        <w:rPr>
          <w:rFonts w:hint="eastAsia" w:ascii="宋体" w:hAnsi="宋体" w:eastAsia="宋体" w:cs="宋体"/>
          <w:i w:val="0"/>
          <w:iCs w:val="0"/>
          <w:caps w:val="0"/>
          <w:color w:val="auto"/>
          <w:spacing w:val="0"/>
          <w:sz w:val="24"/>
          <w:szCs w:val="24"/>
          <w:shd w:val="clear" w:fill="FFFFFF"/>
          <w:lang w:val="en-US" w:eastAsia="zh-CN"/>
        </w:rPr>
        <w:t>月</w:t>
      </w:r>
      <w:r>
        <w:rPr>
          <w:rFonts w:hint="eastAsia" w:cs="宋体"/>
          <w:i w:val="0"/>
          <w:iCs w:val="0"/>
          <w:caps w:val="0"/>
          <w:color w:val="auto"/>
          <w:spacing w:val="0"/>
          <w:sz w:val="24"/>
          <w:szCs w:val="24"/>
          <w:shd w:val="clear" w:fill="FFFFFF"/>
          <w:lang w:val="en-US" w:eastAsia="zh-CN"/>
        </w:rPr>
        <w:t>01</w:t>
      </w:r>
      <w:r>
        <w:rPr>
          <w:rFonts w:hint="eastAsia" w:ascii="宋体" w:hAnsi="宋体" w:eastAsia="宋体" w:cs="宋体"/>
          <w:i w:val="0"/>
          <w:iCs w:val="0"/>
          <w:caps w:val="0"/>
          <w:color w:val="auto"/>
          <w:spacing w:val="0"/>
          <w:sz w:val="24"/>
          <w:szCs w:val="24"/>
          <w:shd w:val="clear" w:fill="FFFFFF"/>
          <w:lang w:val="en-US" w:eastAsia="zh-CN"/>
        </w:rPr>
        <w:t>日</w:t>
      </w:r>
    </w:p>
    <w:p w14:paraId="132C5619">
      <w:pPr>
        <w:widowControl/>
        <w:spacing w:beforeLines="100" w:afterLines="50" w:line="440" w:lineRule="exact"/>
        <w:jc w:val="both"/>
        <w:rPr>
          <w:rFonts w:hint="eastAsia" w:ascii="宋体" w:hAnsi="宋体" w:eastAsia="宋体" w:cs="宋体"/>
          <w:b/>
          <w:color w:val="auto"/>
          <w:sz w:val="32"/>
          <w:szCs w:val="32"/>
        </w:rPr>
      </w:pPr>
    </w:p>
    <w:p w14:paraId="70F18218">
      <w:pPr>
        <w:widowControl/>
        <w:spacing w:beforeLines="100" w:afterLines="50" w:line="440" w:lineRule="exact"/>
        <w:jc w:val="center"/>
        <w:rPr>
          <w:rFonts w:hint="eastAsia" w:ascii="宋体" w:hAnsi="宋体" w:eastAsia="宋体" w:cs="宋体"/>
          <w:color w:val="auto"/>
          <w:sz w:val="24"/>
        </w:rPr>
      </w:pPr>
      <w:r>
        <w:rPr>
          <w:rFonts w:hint="eastAsia" w:ascii="宋体" w:hAnsi="宋体" w:eastAsia="宋体" w:cs="宋体"/>
          <w:b/>
          <w:color w:val="auto"/>
          <w:sz w:val="32"/>
          <w:szCs w:val="32"/>
        </w:rPr>
        <w:t>第二章  投标须知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209997C">
      <w:pPr>
        <w:spacing w:line="240" w:lineRule="auto"/>
        <w:jc w:val="left"/>
        <w:outlineLvl w:val="1"/>
        <w:rPr>
          <w:rFonts w:hint="eastAsia" w:ascii="宋体" w:hAnsi="宋体" w:eastAsia="宋体" w:cs="宋体"/>
          <w:b/>
          <w:color w:val="auto"/>
          <w:sz w:val="30"/>
          <w:szCs w:val="30"/>
        </w:rPr>
      </w:pPr>
      <w:bookmarkStart w:id="23" w:name="_Toc169846762"/>
      <w:bookmarkStart w:id="24" w:name="_Toc175032423"/>
      <w:bookmarkStart w:id="25" w:name="_Toc245657539"/>
      <w:bookmarkStart w:id="26" w:name="_Toc244623577"/>
      <w:bookmarkStart w:id="27" w:name="_Toc170980440"/>
      <w:bookmarkStart w:id="28" w:name="_Toc208337150"/>
      <w:bookmarkStart w:id="29" w:name="_Toc167591478"/>
      <w:bookmarkStart w:id="30" w:name="_Toc245658520"/>
      <w:bookmarkStart w:id="31" w:name="_Toc167591130"/>
      <w:bookmarkStart w:id="32" w:name="_Toc173549964"/>
      <w:bookmarkStart w:id="33" w:name="_Toc167590761"/>
      <w:bookmarkStart w:id="34" w:name="_Toc154482465"/>
      <w:bookmarkStart w:id="35" w:name="_Toc170980538"/>
      <w:bookmarkStart w:id="36" w:name="_Toc207897902"/>
      <w:bookmarkStart w:id="37" w:name="_Toc245176651"/>
      <w:bookmarkStart w:id="38" w:name="_Toc167591316"/>
      <w:bookmarkStart w:id="39" w:name="_Toc167849346"/>
      <w:bookmarkStart w:id="40" w:name="_Toc169838518"/>
      <w:bookmarkStart w:id="41" w:name="_Toc167591029"/>
      <w:bookmarkStart w:id="42" w:name="_Toc169846859"/>
      <w:bookmarkStart w:id="43" w:name="_Toc175033578"/>
      <w:r>
        <w:rPr>
          <w:rFonts w:hint="eastAsia" w:ascii="宋体" w:hAnsi="宋体" w:eastAsia="宋体" w:cs="宋体"/>
          <w:b/>
          <w:color w:val="auto"/>
          <w:sz w:val="30"/>
          <w:szCs w:val="30"/>
        </w:rPr>
        <w:t>一、总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2E195251">
      <w:pPr>
        <w:spacing w:line="460" w:lineRule="exact"/>
        <w:ind w:firstLine="480" w:firstLineChars="200"/>
        <w:rPr>
          <w:rFonts w:hint="eastAsia" w:ascii="宋体" w:hAnsi="宋体" w:eastAsia="宋体" w:cs="宋体"/>
          <w:color w:val="auto"/>
          <w:sz w:val="24"/>
        </w:rPr>
      </w:pPr>
      <w:r>
        <w:rPr>
          <w:rFonts w:hint="eastAsia" w:ascii="宋体" w:hAnsi="宋体" w:eastAsia="宋体" w:cs="宋体"/>
          <w:snapToGrid w:val="0"/>
          <w:color w:val="auto"/>
          <w:sz w:val="24"/>
        </w:rPr>
        <w:t>本次招标依据《中华人民共和国政府采购法》、《政府采购货物和服务招标投标管理办法》、《中华人民共和国政府采购法实施条例》及国家现行有关法律法规执行。</w:t>
      </w:r>
    </w:p>
    <w:p w14:paraId="2BC3255E">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1．采购人、采购代理机构、监督管理机构</w:t>
      </w:r>
    </w:p>
    <w:p w14:paraId="13F806E6">
      <w:pPr>
        <w:spacing w:line="46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1.1 采   购   人：</w:t>
      </w:r>
      <w:r>
        <w:rPr>
          <w:rFonts w:hint="eastAsia" w:hAnsi="宋体" w:cs="宋体"/>
          <w:color w:val="auto"/>
          <w:sz w:val="24"/>
          <w:lang w:eastAsia="zh-CN"/>
        </w:rPr>
        <w:t>安康职业技术学院</w:t>
      </w:r>
    </w:p>
    <w:p w14:paraId="03172274">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 采购代理机构：陕西悦嘉冠宏项目管理有限公司</w:t>
      </w:r>
    </w:p>
    <w:p w14:paraId="555AECF7">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 招标采购单位：采购人及采购代理机构的统称</w:t>
      </w:r>
    </w:p>
    <w:p w14:paraId="5201F0B0">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 监督管理机构：</w:t>
      </w:r>
      <w:r>
        <w:rPr>
          <w:rFonts w:hint="eastAsia" w:hAnsi="宋体" w:cs="宋体"/>
          <w:color w:val="auto"/>
          <w:sz w:val="24"/>
          <w:lang w:val="en-US" w:eastAsia="zh-CN"/>
        </w:rPr>
        <w:t>安康市</w:t>
      </w:r>
      <w:r>
        <w:rPr>
          <w:rFonts w:hint="eastAsia" w:hAnsi="宋体" w:cs="宋体"/>
          <w:color w:val="auto"/>
          <w:sz w:val="24"/>
          <w:lang w:eastAsia="zh-CN"/>
        </w:rPr>
        <w:t>财政局</w:t>
      </w:r>
      <w:r>
        <w:rPr>
          <w:rFonts w:hint="eastAsia" w:ascii="宋体" w:hAnsi="宋体" w:eastAsia="宋体" w:cs="宋体"/>
          <w:color w:val="auto"/>
          <w:sz w:val="24"/>
          <w:szCs w:val="24"/>
        </w:rPr>
        <w:t>及采购人纪监部门</w:t>
      </w:r>
    </w:p>
    <w:p w14:paraId="4792D396">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2．合格的</w:t>
      </w:r>
      <w:r>
        <w:rPr>
          <w:rFonts w:hint="eastAsia" w:hAnsi="宋体" w:cs="宋体"/>
          <w:b/>
          <w:color w:val="auto"/>
          <w:sz w:val="24"/>
          <w:lang w:val="en-US" w:eastAsia="zh-CN"/>
        </w:rPr>
        <w:t>投标人</w:t>
      </w:r>
      <w:r>
        <w:rPr>
          <w:rFonts w:hint="eastAsia" w:ascii="宋体" w:hAnsi="宋体" w:eastAsia="宋体" w:cs="宋体"/>
          <w:b/>
          <w:color w:val="auto"/>
          <w:sz w:val="24"/>
        </w:rPr>
        <w:t>、合格的服务</w:t>
      </w:r>
    </w:p>
    <w:p w14:paraId="7E31ED3B">
      <w:pPr>
        <w:spacing w:line="460" w:lineRule="exact"/>
        <w:ind w:firstLine="480" w:firstLineChars="200"/>
        <w:rPr>
          <w:rFonts w:hint="eastAsia" w:ascii="宋体" w:hAnsi="宋体" w:eastAsia="宋体" w:cs="宋体"/>
          <w:b/>
          <w:color w:val="auto"/>
          <w:sz w:val="24"/>
          <w:lang w:eastAsia="zh-CN"/>
        </w:rPr>
      </w:pPr>
      <w:r>
        <w:rPr>
          <w:rFonts w:hint="eastAsia" w:ascii="宋体" w:hAnsi="宋体" w:eastAsia="宋体" w:cs="宋体"/>
          <w:b/>
          <w:color w:val="auto"/>
          <w:sz w:val="24"/>
        </w:rPr>
        <w:t>2.1 合格的</w:t>
      </w:r>
      <w:r>
        <w:rPr>
          <w:rFonts w:hint="eastAsia" w:hAnsi="宋体" w:cs="宋体"/>
          <w:b/>
          <w:color w:val="auto"/>
          <w:sz w:val="24"/>
          <w:lang w:val="en-US" w:eastAsia="zh-CN"/>
        </w:rPr>
        <w:t>投标人</w:t>
      </w:r>
    </w:p>
    <w:p w14:paraId="5EA124F3">
      <w:pPr>
        <w:spacing w:line="460" w:lineRule="exact"/>
        <w:ind w:firstLine="470" w:firstLineChars="196"/>
        <w:rPr>
          <w:rFonts w:hint="eastAsia" w:ascii="宋体" w:hAnsi="宋体" w:eastAsia="宋体" w:cs="宋体"/>
          <w:b/>
          <w:color w:val="auto"/>
          <w:sz w:val="24"/>
        </w:rPr>
      </w:pPr>
      <w:r>
        <w:rPr>
          <w:rFonts w:hint="eastAsia" w:ascii="宋体" w:hAnsi="宋体" w:eastAsia="宋体" w:cs="宋体"/>
          <w:b/>
          <w:color w:val="auto"/>
          <w:sz w:val="24"/>
        </w:rPr>
        <w:t>2.1.1 资质要求：</w:t>
      </w:r>
    </w:p>
    <w:p w14:paraId="2EDAD94E">
      <w:pPr>
        <w:spacing w:line="46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highlight w:val="none"/>
        </w:rPr>
        <w:t>依照《中华人民共和国公司法》注册、符合《中华人民共和国政府采购法》第二十二条要求具备的条件</w:t>
      </w:r>
      <w:r>
        <w:rPr>
          <w:rFonts w:hint="eastAsia" w:ascii="宋体" w:hAnsi="宋体" w:eastAsia="宋体" w:cs="宋体"/>
          <w:bCs/>
          <w:color w:val="auto"/>
          <w:sz w:val="24"/>
          <w:highlight w:val="none"/>
        </w:rPr>
        <w:t>，</w:t>
      </w:r>
      <w:r>
        <w:rPr>
          <w:rFonts w:hint="eastAsia" w:ascii="宋体" w:hAnsi="宋体" w:eastAsia="宋体" w:cs="宋体"/>
          <w:color w:val="auto"/>
          <w:sz w:val="24"/>
          <w:highlight w:val="none"/>
        </w:rPr>
        <w:t>有能力提供本次</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采购服务的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rPr>
        <w:t>；</w:t>
      </w:r>
    </w:p>
    <w:p w14:paraId="4344D081">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（1）具有独立承担民事责任能力的法人、其他组织或自然人，提供年检有效的统一社会信用代码的营业执照</w:t>
      </w:r>
      <w:r>
        <w:rPr>
          <w:rFonts w:hint="eastAsia" w:ascii="宋体" w:hAnsi="宋体" w:eastAsia="宋体" w:cs="宋体"/>
          <w:color w:val="auto"/>
          <w:sz w:val="24"/>
        </w:rPr>
        <w:t>；</w:t>
      </w:r>
    </w:p>
    <w:p w14:paraId="4E3AD272">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i w:val="0"/>
          <w:iCs w:val="0"/>
          <w:caps w:val="0"/>
          <w:color w:val="auto"/>
          <w:spacing w:val="0"/>
          <w:sz w:val="24"/>
          <w:szCs w:val="24"/>
          <w:shd w:val="clear" w:fill="FFFFFF"/>
        </w:rPr>
        <w:t>法定代表人直接参加投标的，须出具法定代表人身份证；法定代表人授权代表参加投标的，须出具法定代表人授权委托书及被授权代表身份证</w:t>
      </w:r>
      <w:r>
        <w:rPr>
          <w:rFonts w:hint="eastAsia" w:ascii="宋体" w:hAnsi="宋体" w:eastAsia="宋体" w:cs="宋体"/>
          <w:color w:val="auto"/>
          <w:sz w:val="24"/>
          <w:szCs w:val="24"/>
        </w:rPr>
        <w:t>；</w:t>
      </w:r>
    </w:p>
    <w:p w14:paraId="0ABB09F4">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i w:val="0"/>
          <w:iCs w:val="0"/>
          <w:caps w:val="0"/>
          <w:color w:val="auto"/>
          <w:spacing w:val="0"/>
          <w:sz w:val="24"/>
          <w:szCs w:val="24"/>
          <w:shd w:val="clear" w:fill="FFFFFF"/>
        </w:rPr>
        <w:t>供应商未被列入失信被执行人、重大税收违法失信主体、政府采购严重违法失信行为记录名单，以“信用中国”网站(www.creditchina.gov.cn)、中国政府采购网(www.ccgp.gov.cn)查询结果为准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截止时点为招标文件发出至投标截止时间内，</w:t>
      </w:r>
      <w:r>
        <w:rPr>
          <w:rFonts w:hint="eastAsia" w:ascii="宋体" w:hAnsi="宋体" w:eastAsia="宋体" w:cs="宋体"/>
          <w:b/>
          <w:bCs/>
          <w:color w:val="auto"/>
          <w:kern w:val="2"/>
          <w:sz w:val="24"/>
          <w:szCs w:val="24"/>
          <w:lang w:val="en-US" w:eastAsia="zh-CN" w:bidi="ar-SA"/>
        </w:rPr>
        <w:t>网页截图加盖投标</w:t>
      </w:r>
      <w:r>
        <w:rPr>
          <w:rFonts w:hint="eastAsia" w:hAnsi="宋体" w:cs="宋体"/>
          <w:b/>
          <w:bCs/>
          <w:color w:val="auto"/>
          <w:kern w:val="2"/>
          <w:sz w:val="24"/>
          <w:szCs w:val="24"/>
          <w:lang w:val="en-US" w:eastAsia="zh-CN" w:bidi="ar-SA"/>
        </w:rPr>
        <w:t>人</w:t>
      </w:r>
      <w:r>
        <w:rPr>
          <w:rFonts w:hint="eastAsia" w:ascii="宋体" w:hAnsi="宋体" w:eastAsia="宋体" w:cs="宋体"/>
          <w:b/>
          <w:bCs/>
          <w:color w:val="auto"/>
          <w:kern w:val="2"/>
          <w:sz w:val="24"/>
          <w:szCs w:val="24"/>
          <w:lang w:val="en-US" w:eastAsia="zh-CN" w:bidi="ar-SA"/>
        </w:rPr>
        <w:t>公章</w:t>
      </w:r>
      <w:r>
        <w:rPr>
          <w:rFonts w:hint="eastAsia" w:ascii="宋体" w:hAnsi="宋体" w:cs="宋体"/>
          <w:b/>
          <w:bCs/>
          <w:color w:val="auto"/>
          <w:kern w:val="2"/>
          <w:sz w:val="24"/>
          <w:szCs w:val="24"/>
          <w:lang w:val="en-US" w:eastAsia="zh-CN" w:bidi="ar-SA"/>
        </w:rPr>
        <w:t>）</w:t>
      </w:r>
      <w:r>
        <w:rPr>
          <w:rFonts w:hint="eastAsia" w:ascii="宋体" w:hAnsi="宋体" w:eastAsia="宋体" w:cs="宋体"/>
          <w:color w:val="auto"/>
          <w:sz w:val="24"/>
        </w:rPr>
        <w:t>；</w:t>
      </w:r>
    </w:p>
    <w:p w14:paraId="695A8DA9">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hAnsi="宋体" w:cs="宋体"/>
          <w:color w:val="auto"/>
          <w:sz w:val="24"/>
          <w:szCs w:val="24"/>
          <w:lang w:val="en-US" w:eastAsia="zh-CN"/>
        </w:rPr>
        <w:t>4</w:t>
      </w:r>
      <w:r>
        <w:rPr>
          <w:rFonts w:hint="eastAsia" w:ascii="宋体" w:hAnsi="宋体" w:eastAsia="宋体" w:cs="宋体"/>
          <w:color w:val="auto"/>
          <w:sz w:val="24"/>
          <w:szCs w:val="24"/>
        </w:rPr>
        <w:t>）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w:t>
      </w:r>
    </w:p>
    <w:p w14:paraId="33D8393D">
      <w:pPr>
        <w:pStyle w:val="25"/>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hAnsi="宋体" w:cs="宋体"/>
          <w:color w:val="auto"/>
          <w:sz w:val="24"/>
          <w:szCs w:val="24"/>
          <w:lang w:val="en-US" w:eastAsia="zh-CN"/>
        </w:rPr>
        <w:t>5</w:t>
      </w:r>
      <w:r>
        <w:rPr>
          <w:rFonts w:hint="eastAsia" w:ascii="宋体" w:hAnsi="宋体" w:eastAsia="宋体" w:cs="宋体"/>
          <w:color w:val="auto"/>
          <w:sz w:val="24"/>
          <w:szCs w:val="24"/>
        </w:rPr>
        <w:t>）社会保障资金缴纳证明：提供2025年1</w:t>
      </w:r>
      <w:r>
        <w:rPr>
          <w:rFonts w:hint="eastAsia" w:hAnsi="宋体" w:cs="宋体"/>
          <w:color w:val="auto"/>
          <w:sz w:val="24"/>
          <w:szCs w:val="24"/>
          <w:lang w:val="en-US" w:eastAsia="zh-CN"/>
        </w:rPr>
        <w:t>0</w:t>
      </w:r>
      <w:r>
        <w:rPr>
          <w:rFonts w:hint="eastAsia" w:ascii="宋体" w:hAnsi="宋体" w:eastAsia="宋体" w:cs="宋体"/>
          <w:color w:val="auto"/>
          <w:sz w:val="24"/>
          <w:szCs w:val="24"/>
        </w:rPr>
        <w:t>月至</w:t>
      </w:r>
      <w:r>
        <w:rPr>
          <w:rFonts w:hint="eastAsia" w:hAnsi="宋体" w:cs="宋体"/>
          <w:color w:val="auto"/>
          <w:sz w:val="24"/>
          <w:szCs w:val="24"/>
          <w:lang w:val="en-US" w:eastAsia="zh-CN"/>
        </w:rPr>
        <w:t>项目</w:t>
      </w:r>
      <w:r>
        <w:rPr>
          <w:rFonts w:hint="eastAsia" w:ascii="宋体" w:hAnsi="宋体" w:eastAsia="宋体" w:cs="宋体"/>
          <w:color w:val="auto"/>
          <w:sz w:val="24"/>
          <w:szCs w:val="24"/>
        </w:rPr>
        <w:t>开标前任意</w:t>
      </w:r>
      <w:r>
        <w:rPr>
          <w:rFonts w:hint="eastAsia" w:hAnsi="宋体" w:cs="宋体"/>
          <w:color w:val="auto"/>
          <w:sz w:val="24"/>
          <w:szCs w:val="24"/>
          <w:lang w:val="en-US" w:eastAsia="zh-CN"/>
        </w:rPr>
        <w:t>三</w:t>
      </w:r>
      <w:r>
        <w:rPr>
          <w:rFonts w:hint="eastAsia" w:ascii="宋体" w:hAnsi="宋体" w:eastAsia="宋体" w:cs="宋体"/>
          <w:color w:val="auto"/>
          <w:sz w:val="24"/>
          <w:szCs w:val="24"/>
        </w:rPr>
        <w:t>个月的社会保障资金缴纳证明或社会保险缴纳清单或社会保险缴纳专用收据（依法不需要缴纳社会保障资金或新成立的投标单位应提供相关文件证明）；</w:t>
      </w:r>
    </w:p>
    <w:p w14:paraId="288A93CC">
      <w:pPr>
        <w:pStyle w:val="25"/>
        <w:spacing w:after="0" w:line="46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hAnsi="宋体" w:cs="宋体"/>
          <w:color w:val="auto"/>
          <w:sz w:val="24"/>
          <w:szCs w:val="24"/>
          <w:lang w:val="en-US" w:eastAsia="zh-CN"/>
        </w:rPr>
        <w:t>6</w:t>
      </w:r>
      <w:r>
        <w:rPr>
          <w:rFonts w:hint="eastAsia" w:ascii="宋体" w:hAnsi="宋体" w:eastAsia="宋体" w:cs="宋体"/>
          <w:color w:val="auto"/>
          <w:sz w:val="24"/>
          <w:szCs w:val="24"/>
        </w:rPr>
        <w:t>）税收缴纳证明：提供2025年1</w:t>
      </w:r>
      <w:r>
        <w:rPr>
          <w:rFonts w:hint="eastAsia" w:hAnsi="宋体" w:cs="宋体"/>
          <w:color w:val="auto"/>
          <w:sz w:val="24"/>
          <w:szCs w:val="24"/>
          <w:lang w:val="en-US" w:eastAsia="zh-CN"/>
        </w:rPr>
        <w:t>0</w:t>
      </w:r>
      <w:r>
        <w:rPr>
          <w:rFonts w:hint="eastAsia" w:ascii="宋体" w:hAnsi="宋体" w:eastAsia="宋体" w:cs="宋体"/>
          <w:color w:val="auto"/>
          <w:sz w:val="24"/>
          <w:szCs w:val="24"/>
        </w:rPr>
        <w:t>月至</w:t>
      </w:r>
      <w:r>
        <w:rPr>
          <w:rFonts w:hint="eastAsia" w:hAnsi="宋体" w:cs="宋体"/>
          <w:color w:val="auto"/>
          <w:sz w:val="24"/>
          <w:szCs w:val="24"/>
          <w:lang w:val="en-US" w:eastAsia="zh-CN"/>
        </w:rPr>
        <w:t>项目</w:t>
      </w:r>
      <w:r>
        <w:rPr>
          <w:rFonts w:hint="eastAsia" w:ascii="宋体" w:hAnsi="宋体" w:eastAsia="宋体" w:cs="宋体"/>
          <w:color w:val="auto"/>
          <w:sz w:val="24"/>
          <w:szCs w:val="24"/>
        </w:rPr>
        <w:t>开标前任意</w:t>
      </w:r>
      <w:r>
        <w:rPr>
          <w:rFonts w:hint="eastAsia" w:hAnsi="宋体" w:cs="宋体"/>
          <w:color w:val="auto"/>
          <w:sz w:val="24"/>
          <w:szCs w:val="24"/>
          <w:lang w:val="en-US" w:eastAsia="zh-CN"/>
        </w:rPr>
        <w:t>三</w:t>
      </w:r>
      <w:r>
        <w:rPr>
          <w:rFonts w:hint="eastAsia" w:ascii="宋体" w:hAnsi="宋体" w:eastAsia="宋体" w:cs="宋体"/>
          <w:color w:val="auto"/>
          <w:sz w:val="24"/>
          <w:szCs w:val="24"/>
        </w:rPr>
        <w:t>个月已缴纳的完税证明（依法免税或新成立的投标单位应提供相关文件证明）</w:t>
      </w:r>
      <w:r>
        <w:rPr>
          <w:rFonts w:hint="eastAsia" w:ascii="宋体" w:hAnsi="宋体" w:eastAsia="宋体" w:cs="宋体"/>
          <w:i w:val="0"/>
          <w:iCs w:val="0"/>
          <w:caps w:val="0"/>
          <w:color w:val="auto"/>
          <w:spacing w:val="0"/>
          <w:sz w:val="24"/>
          <w:szCs w:val="24"/>
          <w:shd w:val="clear" w:fill="FFFFFF"/>
          <w:lang w:eastAsia="zh-CN"/>
        </w:rPr>
        <w:t>；</w:t>
      </w:r>
    </w:p>
    <w:p w14:paraId="64700BEF">
      <w:pPr>
        <w:pStyle w:val="25"/>
        <w:spacing w:after="0" w:line="460" w:lineRule="exact"/>
        <w:ind w:firstLine="480" w:firstLineChars="200"/>
        <w:rPr>
          <w:rFonts w:hint="eastAsia" w:ascii="宋体" w:hAnsi="宋体" w:eastAsia="宋体" w:cs="宋体"/>
          <w:color w:val="auto"/>
          <w:sz w:val="24"/>
          <w:szCs w:val="24"/>
        </w:rPr>
      </w:pPr>
      <w:r>
        <w:rPr>
          <w:rFonts w:hint="eastAsia" w:hAnsi="宋体" w:cs="宋体"/>
          <w:color w:val="auto"/>
          <w:sz w:val="24"/>
          <w:szCs w:val="24"/>
          <w:lang w:eastAsia="zh-CN"/>
        </w:rPr>
        <w:t>（</w:t>
      </w:r>
      <w:r>
        <w:rPr>
          <w:rFonts w:hint="eastAsia" w:hAnsi="宋体" w:cs="宋体"/>
          <w:color w:val="auto"/>
          <w:sz w:val="24"/>
          <w:szCs w:val="24"/>
          <w:lang w:val="en-US" w:eastAsia="zh-CN"/>
        </w:rPr>
        <w:t>7</w:t>
      </w:r>
      <w:r>
        <w:rPr>
          <w:rFonts w:hint="eastAsia" w:hAnsi="宋体" w:cs="宋体"/>
          <w:color w:val="auto"/>
          <w:sz w:val="24"/>
          <w:szCs w:val="24"/>
          <w:lang w:eastAsia="zh-CN"/>
        </w:rPr>
        <w:t>）</w:t>
      </w:r>
      <w:r>
        <w:rPr>
          <w:rFonts w:hint="eastAsia" w:ascii="宋体" w:hAnsi="宋体" w:eastAsia="宋体" w:cs="宋体"/>
          <w:i w:val="0"/>
          <w:iCs w:val="0"/>
          <w:caps w:val="0"/>
          <w:color w:val="auto"/>
          <w:spacing w:val="0"/>
          <w:sz w:val="24"/>
          <w:szCs w:val="24"/>
          <w:shd w:val="clear" w:fill="FFFFFF"/>
        </w:rPr>
        <w:t>参加政府采购活动前三年内，在经营活动中没有重大违法记录的书面声明</w:t>
      </w:r>
      <w:r>
        <w:rPr>
          <w:rFonts w:hint="eastAsia" w:ascii="宋体" w:hAnsi="宋体" w:eastAsia="宋体" w:cs="宋体"/>
          <w:color w:val="auto"/>
          <w:sz w:val="24"/>
          <w:szCs w:val="24"/>
        </w:rPr>
        <w:t>；</w:t>
      </w:r>
    </w:p>
    <w:p w14:paraId="0E7A6C15">
      <w:pPr>
        <w:pStyle w:val="10"/>
        <w:spacing w:after="0" w:line="460" w:lineRule="exact"/>
        <w:ind w:firstLine="480" w:firstLineChars="200"/>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color w:val="auto"/>
          <w:sz w:val="24"/>
          <w:szCs w:val="24"/>
        </w:rPr>
        <w:t>（</w:t>
      </w:r>
      <w:r>
        <w:rPr>
          <w:rFonts w:hint="eastAsia" w:hAnsi="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i w:val="0"/>
          <w:iCs w:val="0"/>
          <w:caps w:val="0"/>
          <w:color w:val="auto"/>
          <w:spacing w:val="0"/>
          <w:sz w:val="24"/>
          <w:szCs w:val="24"/>
          <w:shd w:val="clear" w:fill="FFFFFF"/>
        </w:rPr>
        <w:t>本项目不接受联合体投标</w:t>
      </w:r>
      <w:r>
        <w:rPr>
          <w:rFonts w:hint="eastAsia" w:hAnsi="宋体" w:cs="宋体"/>
          <w:i w:val="0"/>
          <w:iCs w:val="0"/>
          <w:caps w:val="0"/>
          <w:color w:val="auto"/>
          <w:spacing w:val="0"/>
          <w:sz w:val="24"/>
          <w:szCs w:val="24"/>
          <w:shd w:val="clear" w:fill="FFFFFF"/>
          <w:lang w:eastAsia="zh-CN"/>
        </w:rPr>
        <w:t>。</w:t>
      </w:r>
    </w:p>
    <w:p w14:paraId="65F8E432">
      <w:pPr>
        <w:pStyle w:val="10"/>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2.1.2 </w:t>
      </w:r>
      <w:r>
        <w:rPr>
          <w:rFonts w:hint="eastAsia" w:ascii="宋体" w:hAnsi="宋体" w:cs="宋体"/>
          <w:color w:val="auto"/>
          <w:sz w:val="24"/>
          <w:szCs w:val="24"/>
          <w:lang w:val="en-US" w:eastAsia="zh-CN"/>
        </w:rPr>
        <w:t>投标</w:t>
      </w:r>
      <w:r>
        <w:rPr>
          <w:rFonts w:hint="eastAsia" w:hAnsi="宋体" w:cs="宋体"/>
          <w:color w:val="auto"/>
          <w:sz w:val="24"/>
          <w:szCs w:val="24"/>
          <w:lang w:val="en-US" w:eastAsia="zh-CN"/>
        </w:rPr>
        <w:t>人</w:t>
      </w:r>
      <w:r>
        <w:rPr>
          <w:rFonts w:hint="eastAsia" w:ascii="宋体" w:hAnsi="宋体" w:eastAsia="宋体" w:cs="宋体"/>
          <w:color w:val="auto"/>
          <w:sz w:val="24"/>
          <w:szCs w:val="24"/>
          <w:lang w:val="en-US" w:eastAsia="zh-CN"/>
        </w:rPr>
        <w:t>须使用CA证书在安康市公共资源交易中心点击“我要投标”完善相关信息，未完善信息的潜在</w:t>
      </w:r>
      <w:r>
        <w:rPr>
          <w:rFonts w:hint="eastAsia" w:hAnsi="宋体" w:cs="宋体"/>
          <w:color w:val="auto"/>
          <w:sz w:val="24"/>
          <w:szCs w:val="24"/>
          <w:lang w:val="en-US" w:eastAsia="zh-CN"/>
        </w:rPr>
        <w:t>投标人</w:t>
      </w:r>
      <w:r>
        <w:rPr>
          <w:rFonts w:hint="eastAsia" w:ascii="宋体" w:hAnsi="宋体" w:eastAsia="宋体" w:cs="宋体"/>
          <w:color w:val="auto"/>
          <w:sz w:val="24"/>
          <w:szCs w:val="24"/>
          <w:lang w:val="en-US" w:eastAsia="zh-CN"/>
        </w:rPr>
        <w:t>均无资格参加投标</w:t>
      </w:r>
      <w:r>
        <w:rPr>
          <w:rFonts w:hint="eastAsia" w:ascii="宋体" w:hAnsi="宋体" w:eastAsia="宋体" w:cs="宋体"/>
          <w:color w:val="auto"/>
          <w:sz w:val="24"/>
          <w:szCs w:val="24"/>
        </w:rPr>
        <w:t>。</w:t>
      </w:r>
    </w:p>
    <w:p w14:paraId="446C18E0">
      <w:pPr>
        <w:pStyle w:val="10"/>
        <w:spacing w:after="0" w:line="460" w:lineRule="exact"/>
        <w:ind w:firstLine="480" w:firstLineChars="200"/>
        <w:rPr>
          <w:rFonts w:hint="eastAsia" w:ascii="宋体" w:hAnsi="宋体" w:eastAsia="宋体" w:cs="宋体"/>
          <w:color w:val="auto"/>
        </w:rPr>
      </w:pPr>
      <w:r>
        <w:rPr>
          <w:rFonts w:hint="eastAsia" w:ascii="宋体" w:hAnsi="宋体" w:eastAsia="宋体" w:cs="宋体"/>
          <w:color w:val="auto"/>
          <w:sz w:val="24"/>
        </w:rPr>
        <w:t xml:space="preserve">2.1.3 </w:t>
      </w:r>
      <w:r>
        <w:rPr>
          <w:rFonts w:hint="eastAsia" w:ascii="宋体" w:hAnsi="宋体" w:eastAsia="宋体" w:cs="宋体"/>
          <w:b/>
          <w:color w:val="auto"/>
          <w:sz w:val="24"/>
        </w:rPr>
        <w:t>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4F4D9F90">
      <w:pPr>
        <w:spacing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rPr>
        <w:t xml:space="preserve">2.2 </w:t>
      </w:r>
      <w:r>
        <w:rPr>
          <w:rFonts w:hint="eastAsia" w:ascii="宋体" w:hAnsi="宋体" w:eastAsia="宋体" w:cs="宋体"/>
          <w:bCs/>
          <w:color w:val="auto"/>
          <w:sz w:val="24"/>
          <w:szCs w:val="24"/>
        </w:rPr>
        <w:t>合格的服务</w:t>
      </w:r>
    </w:p>
    <w:p w14:paraId="24F92B2C">
      <w:pPr>
        <w:spacing w:line="46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2.2.1 投标所用服务，均应来自上述2.1条款所规定的合格供应商。</w:t>
      </w:r>
    </w:p>
    <w:p w14:paraId="568A2199">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b/>
          <w:color w:val="auto"/>
          <w:sz w:val="24"/>
        </w:rPr>
      </w:pPr>
      <w:r>
        <w:rPr>
          <w:rFonts w:hint="eastAsia" w:ascii="宋体" w:hAnsi="宋体" w:eastAsia="宋体" w:cs="宋体"/>
          <w:color w:val="auto"/>
          <w:sz w:val="24"/>
        </w:rPr>
        <w:t xml:space="preserve">2.2.2 </w:t>
      </w:r>
      <w:r>
        <w:rPr>
          <w:rFonts w:hint="eastAsia" w:ascii="宋体" w:hAnsi="宋体" w:eastAsia="宋体" w:cs="宋体"/>
          <w:color w:val="auto"/>
          <w:sz w:val="24"/>
          <w:highlight w:val="none"/>
        </w:rPr>
        <w:t>服务系指</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文件规定的，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须承担的服务</w:t>
      </w:r>
      <w:r>
        <w:rPr>
          <w:rFonts w:hint="eastAsia" w:ascii="宋体" w:hAnsi="宋体" w:eastAsia="宋体" w:cs="宋体"/>
          <w:b w:val="0"/>
          <w:bCs/>
          <w:color w:val="auto"/>
          <w:sz w:val="24"/>
          <w:highlight w:val="none"/>
        </w:rPr>
        <w:t>。</w:t>
      </w:r>
    </w:p>
    <w:p w14:paraId="335E1B56">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3．投标费用</w:t>
      </w:r>
    </w:p>
    <w:p w14:paraId="31BFFB38">
      <w:pPr>
        <w:spacing w:line="460" w:lineRule="exact"/>
        <w:ind w:firstLine="480" w:firstLineChars="200"/>
        <w:rPr>
          <w:rFonts w:hint="eastAsia" w:ascii="宋体" w:hAnsi="宋体" w:eastAsia="宋体" w:cs="宋体"/>
          <w:b/>
          <w:color w:val="auto"/>
          <w:sz w:val="30"/>
          <w:szCs w:val="30"/>
        </w:rPr>
      </w:pPr>
      <w:r>
        <w:rPr>
          <w:rFonts w:hint="eastAsia" w:ascii="宋体" w:hAnsi="宋体" w:eastAsia="宋体" w:cs="宋体"/>
          <w:color w:val="auto"/>
          <w:sz w:val="24"/>
        </w:rPr>
        <w:t>供应商无论投标的结果如何，供应商应承担所有与准备和参加投标有关的全部费用。</w:t>
      </w:r>
      <w:bookmarkStart w:id="44" w:name="_Toc167591030"/>
      <w:bookmarkStart w:id="45" w:name="_Toc167591479"/>
      <w:bookmarkStart w:id="46" w:name="_Toc173549965"/>
      <w:bookmarkStart w:id="47" w:name="_Toc170980539"/>
      <w:bookmarkStart w:id="48" w:name="_Toc208337151"/>
      <w:bookmarkStart w:id="49" w:name="_Toc167590762"/>
      <w:bookmarkStart w:id="50" w:name="_Toc175032424"/>
      <w:bookmarkStart w:id="51" w:name="_Toc245658521"/>
      <w:bookmarkStart w:id="52" w:name="_Toc167849347"/>
      <w:bookmarkStart w:id="53" w:name="_Toc207897903"/>
      <w:bookmarkStart w:id="54" w:name="_Toc167591131"/>
      <w:bookmarkStart w:id="55" w:name="_Toc245176652"/>
      <w:bookmarkStart w:id="56" w:name="_Toc170980441"/>
      <w:bookmarkStart w:id="57" w:name="_Toc169846860"/>
      <w:bookmarkStart w:id="58" w:name="_Toc154482466"/>
      <w:bookmarkStart w:id="59" w:name="_Toc167591317"/>
      <w:bookmarkStart w:id="60" w:name="_Toc175033579"/>
      <w:bookmarkStart w:id="61" w:name="_Toc244623578"/>
      <w:bookmarkStart w:id="62" w:name="_Toc169846763"/>
      <w:bookmarkStart w:id="63" w:name="_Toc245657540"/>
      <w:bookmarkStart w:id="64" w:name="_Toc169838519"/>
    </w:p>
    <w:p w14:paraId="2673A468">
      <w:pPr>
        <w:keepNext w:val="0"/>
        <w:keepLines w:val="0"/>
        <w:pageBreakBefore w:val="0"/>
        <w:widowControl w:val="0"/>
        <w:kinsoku/>
        <w:wordWrap/>
        <w:overflowPunct/>
        <w:topLinePunct w:val="0"/>
        <w:autoSpaceDE/>
        <w:autoSpaceDN/>
        <w:bidi w:val="0"/>
        <w:adjustRightInd w:val="0"/>
        <w:snapToGrid/>
        <w:spacing w:before="157" w:beforeLines="50" w:after="157" w:afterLines="50"/>
        <w:jc w:val="center"/>
        <w:textAlignment w:val="baseline"/>
        <w:outlineLvl w:val="1"/>
        <w:rPr>
          <w:rFonts w:hint="eastAsia" w:ascii="宋体" w:hAnsi="宋体" w:eastAsia="宋体" w:cs="宋体"/>
          <w:b/>
          <w:color w:val="auto"/>
          <w:sz w:val="30"/>
          <w:szCs w:val="30"/>
        </w:rPr>
      </w:pPr>
      <w:r>
        <w:rPr>
          <w:rFonts w:hint="eastAsia" w:ascii="宋体" w:hAnsi="宋体" w:eastAsia="宋体" w:cs="宋体"/>
          <w:b/>
          <w:color w:val="auto"/>
          <w:sz w:val="30"/>
          <w:szCs w:val="30"/>
        </w:rPr>
        <w:t>二、招标文件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7A9991F7">
      <w:pPr>
        <w:spacing w:line="460" w:lineRule="exact"/>
        <w:ind w:firstLine="482"/>
        <w:rPr>
          <w:rFonts w:hint="eastAsia" w:ascii="宋体" w:hAnsi="宋体" w:eastAsia="宋体" w:cs="宋体"/>
          <w:b/>
          <w:color w:val="auto"/>
          <w:kern w:val="1"/>
          <w:sz w:val="24"/>
        </w:rPr>
      </w:pPr>
      <w:bookmarkStart w:id="65" w:name="_Toc169846764"/>
      <w:bookmarkStart w:id="66" w:name="_Toc169838520"/>
      <w:bookmarkStart w:id="67" w:name="_Toc167591031"/>
      <w:bookmarkStart w:id="68" w:name="_Toc167590763"/>
      <w:bookmarkStart w:id="69" w:name="_Toc154482467"/>
      <w:bookmarkStart w:id="70" w:name="_Toc170980540"/>
      <w:bookmarkStart w:id="71" w:name="_Toc167591318"/>
      <w:bookmarkStart w:id="72" w:name="_Toc208337152"/>
      <w:bookmarkStart w:id="73" w:name="_Toc207897904"/>
      <w:bookmarkStart w:id="74" w:name="_Toc245658522"/>
      <w:bookmarkStart w:id="75" w:name="_Toc175032425"/>
      <w:bookmarkStart w:id="76" w:name="_Toc167849348"/>
      <w:bookmarkStart w:id="77" w:name="_Toc245176653"/>
      <w:bookmarkStart w:id="78" w:name="_Toc173549966"/>
      <w:bookmarkStart w:id="79" w:name="_Toc167591132"/>
      <w:bookmarkStart w:id="80" w:name="_Toc175033580"/>
      <w:bookmarkStart w:id="81" w:name="_Toc170980442"/>
      <w:bookmarkStart w:id="82" w:name="_Toc169846861"/>
      <w:bookmarkStart w:id="83" w:name="_Toc244623579"/>
      <w:bookmarkStart w:id="84" w:name="_Toc245657541"/>
      <w:bookmarkStart w:id="85" w:name="_Toc167591480"/>
      <w:r>
        <w:rPr>
          <w:rFonts w:hint="eastAsia" w:ascii="宋体" w:hAnsi="宋体" w:eastAsia="宋体" w:cs="宋体"/>
          <w:b/>
          <w:color w:val="auto"/>
          <w:kern w:val="1"/>
          <w:sz w:val="24"/>
        </w:rPr>
        <w:t>4．招标文件构成</w:t>
      </w:r>
    </w:p>
    <w:p w14:paraId="7A2D1FBD">
      <w:pPr>
        <w:spacing w:line="460" w:lineRule="exact"/>
        <w:ind w:firstLine="470"/>
        <w:rPr>
          <w:rFonts w:hint="eastAsia" w:ascii="宋体" w:hAnsi="宋体" w:eastAsia="宋体" w:cs="宋体"/>
          <w:color w:val="auto"/>
          <w:kern w:val="1"/>
          <w:sz w:val="24"/>
        </w:rPr>
      </w:pPr>
      <w:r>
        <w:rPr>
          <w:rFonts w:hint="eastAsia" w:ascii="宋体" w:hAnsi="宋体" w:eastAsia="宋体" w:cs="宋体"/>
          <w:color w:val="auto"/>
          <w:kern w:val="1"/>
          <w:sz w:val="24"/>
        </w:rPr>
        <w:t>招标文件包括下列内容：</w:t>
      </w:r>
    </w:p>
    <w:p w14:paraId="5271DB61">
      <w:pPr>
        <w:spacing w:line="460" w:lineRule="exact"/>
        <w:ind w:firstLine="470"/>
        <w:rPr>
          <w:rFonts w:hint="eastAsia" w:ascii="宋体" w:hAnsi="宋体" w:eastAsia="宋体" w:cs="宋体"/>
          <w:color w:val="auto"/>
          <w:kern w:val="1"/>
          <w:sz w:val="24"/>
        </w:rPr>
      </w:pPr>
      <w:r>
        <w:rPr>
          <w:rFonts w:hint="eastAsia" w:ascii="宋体" w:hAnsi="宋体" w:eastAsia="宋体" w:cs="宋体"/>
          <w:color w:val="auto"/>
          <w:kern w:val="1"/>
          <w:sz w:val="24"/>
        </w:rPr>
        <w:t>第一章  招标公告</w:t>
      </w:r>
    </w:p>
    <w:p w14:paraId="66E88B6C">
      <w:pPr>
        <w:spacing w:line="460" w:lineRule="exact"/>
        <w:ind w:firstLine="470"/>
        <w:rPr>
          <w:rFonts w:hint="eastAsia" w:ascii="宋体" w:hAnsi="宋体" w:eastAsia="宋体" w:cs="宋体"/>
          <w:color w:val="auto"/>
          <w:kern w:val="1"/>
          <w:sz w:val="24"/>
        </w:rPr>
      </w:pPr>
      <w:r>
        <w:rPr>
          <w:rFonts w:hint="eastAsia" w:ascii="宋体" w:hAnsi="宋体" w:eastAsia="宋体" w:cs="宋体"/>
          <w:color w:val="auto"/>
          <w:kern w:val="1"/>
          <w:sz w:val="24"/>
        </w:rPr>
        <w:t>第二章  投标须知</w:t>
      </w:r>
    </w:p>
    <w:p w14:paraId="3BDA2ED0">
      <w:pPr>
        <w:spacing w:line="460" w:lineRule="exact"/>
        <w:ind w:firstLine="470"/>
        <w:rPr>
          <w:rFonts w:hint="eastAsia" w:ascii="宋体" w:hAnsi="宋体" w:eastAsia="宋体" w:cs="宋体"/>
          <w:color w:val="auto"/>
          <w:kern w:val="1"/>
          <w:sz w:val="24"/>
        </w:rPr>
      </w:pPr>
      <w:r>
        <w:rPr>
          <w:rFonts w:hint="eastAsia" w:ascii="宋体" w:hAnsi="宋体" w:eastAsia="宋体" w:cs="宋体"/>
          <w:color w:val="auto"/>
          <w:kern w:val="1"/>
          <w:sz w:val="24"/>
        </w:rPr>
        <w:t>第三章  拟签订合同主要条款</w:t>
      </w:r>
    </w:p>
    <w:p w14:paraId="3329AC8D">
      <w:pPr>
        <w:spacing w:line="460" w:lineRule="exact"/>
        <w:ind w:firstLine="470"/>
        <w:rPr>
          <w:rFonts w:hint="eastAsia" w:ascii="宋体" w:hAnsi="宋体" w:eastAsia="宋体" w:cs="宋体"/>
          <w:color w:val="auto"/>
          <w:kern w:val="1"/>
          <w:sz w:val="24"/>
          <w:lang w:eastAsia="zh-CN"/>
        </w:rPr>
      </w:pPr>
      <w:r>
        <w:rPr>
          <w:rFonts w:hint="eastAsia" w:ascii="宋体" w:hAnsi="宋体" w:eastAsia="宋体" w:cs="宋体"/>
          <w:color w:val="auto"/>
          <w:kern w:val="1"/>
          <w:sz w:val="24"/>
        </w:rPr>
        <w:t>第四章  采购内容与</w:t>
      </w:r>
      <w:r>
        <w:rPr>
          <w:rFonts w:hint="eastAsia" w:hAnsi="宋体" w:cs="宋体"/>
          <w:color w:val="auto"/>
          <w:kern w:val="1"/>
          <w:sz w:val="24"/>
          <w:lang w:eastAsia="zh-CN"/>
        </w:rPr>
        <w:t>服务要求</w:t>
      </w:r>
    </w:p>
    <w:p w14:paraId="3769389B">
      <w:pPr>
        <w:spacing w:line="460" w:lineRule="exact"/>
        <w:ind w:firstLine="470"/>
        <w:rPr>
          <w:rFonts w:hint="eastAsia" w:ascii="宋体" w:hAnsi="宋体" w:eastAsia="宋体" w:cs="宋体"/>
          <w:color w:val="auto"/>
          <w:kern w:val="1"/>
          <w:sz w:val="24"/>
        </w:rPr>
      </w:pPr>
      <w:r>
        <w:rPr>
          <w:rFonts w:hint="eastAsia" w:ascii="宋体" w:hAnsi="宋体" w:eastAsia="宋体" w:cs="宋体"/>
          <w:color w:val="auto"/>
          <w:kern w:val="1"/>
          <w:sz w:val="24"/>
        </w:rPr>
        <w:t>第五章  投标文件基本格式</w:t>
      </w:r>
    </w:p>
    <w:p w14:paraId="641162AF">
      <w:pPr>
        <w:spacing w:line="460" w:lineRule="exact"/>
        <w:ind w:firstLine="482"/>
        <w:rPr>
          <w:rFonts w:hint="eastAsia" w:ascii="宋体" w:hAnsi="宋体" w:eastAsia="宋体" w:cs="宋体"/>
          <w:b/>
          <w:color w:val="auto"/>
          <w:kern w:val="1"/>
          <w:sz w:val="24"/>
        </w:rPr>
      </w:pPr>
      <w:r>
        <w:rPr>
          <w:rFonts w:hint="eastAsia" w:ascii="宋体" w:hAnsi="宋体" w:eastAsia="宋体" w:cs="宋体"/>
          <w:b/>
          <w:color w:val="auto"/>
          <w:kern w:val="1"/>
          <w:sz w:val="24"/>
        </w:rPr>
        <w:t>5．招标文件的澄清和修改</w:t>
      </w:r>
    </w:p>
    <w:p w14:paraId="7EDF265C">
      <w:pPr>
        <w:spacing w:line="46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5.1 采购人或者采购代理机构可以对已发出的招标文件进行必要的澄清或者修改。澄清或者修改的内容可能影响投标文件编制的，采购人或者采购代理机构应当在投标截止时间至少15日前，须在政府采购网上</w:t>
      </w:r>
      <w:r>
        <w:rPr>
          <w:rFonts w:hint="eastAsia" w:ascii="宋体" w:hAnsi="宋体" w:eastAsia="宋体" w:cs="宋体"/>
          <w:color w:val="auto"/>
          <w:sz w:val="24"/>
        </w:rPr>
        <w:t>发布更正公告并</w:t>
      </w:r>
      <w:r>
        <w:rPr>
          <w:rFonts w:hint="eastAsia" w:ascii="宋体" w:hAnsi="宋体" w:eastAsia="宋体" w:cs="宋体"/>
          <w:color w:val="auto"/>
          <w:kern w:val="1"/>
          <w:sz w:val="24"/>
        </w:rPr>
        <w:t>以书面形式通知所有获取招标文件的潜在投标人；不足15日的，采购人或者采购代理机构应当顺延提交投标文件的截止时间；</w:t>
      </w:r>
      <w:r>
        <w:rPr>
          <w:rFonts w:hint="eastAsia" w:ascii="宋体" w:hAnsi="宋体" w:eastAsia="宋体" w:cs="宋体"/>
          <w:color w:val="auto"/>
          <w:sz w:val="24"/>
        </w:rPr>
        <w:t>该澄清或者修改的内容为招标文件的组成部分。</w:t>
      </w:r>
      <w:r>
        <w:rPr>
          <w:rFonts w:hint="eastAsia" w:ascii="宋体" w:hAnsi="宋体" w:eastAsia="宋体" w:cs="宋体"/>
          <w:b/>
          <w:color w:val="auto"/>
          <w:sz w:val="24"/>
        </w:rPr>
        <w:t>供应商在收到后应立即以书面形式（电子邮件）</w:t>
      </w:r>
      <w:r>
        <w:rPr>
          <w:rFonts w:hint="eastAsia" w:ascii="宋体" w:hAnsi="宋体" w:eastAsia="宋体" w:cs="宋体"/>
          <w:color w:val="auto"/>
          <w:sz w:val="24"/>
        </w:rPr>
        <w:t>予以确认。</w:t>
      </w:r>
    </w:p>
    <w:p w14:paraId="0A3AA6D4">
      <w:pPr>
        <w:spacing w:line="460" w:lineRule="exact"/>
        <w:ind w:firstLine="480"/>
        <w:rPr>
          <w:rFonts w:hint="eastAsia" w:ascii="宋体" w:hAnsi="宋体" w:eastAsia="宋体" w:cs="宋体"/>
          <w:color w:val="auto"/>
          <w:sz w:val="24"/>
        </w:rPr>
      </w:pPr>
      <w:r>
        <w:rPr>
          <w:rFonts w:hint="eastAsia" w:ascii="宋体" w:hAnsi="宋体" w:eastAsia="宋体" w:cs="宋体"/>
          <w:color w:val="auto"/>
          <w:kern w:val="1"/>
          <w:sz w:val="24"/>
        </w:rPr>
        <w:t xml:space="preserve">5.2 </w:t>
      </w:r>
      <w:r>
        <w:rPr>
          <w:rFonts w:hint="eastAsia" w:ascii="宋体" w:hAnsi="宋体" w:eastAsia="宋体" w:cs="宋体"/>
          <w:color w:val="auto"/>
          <w:kern w:val="1"/>
          <w:sz w:val="24"/>
          <w:szCs w:val="24"/>
        </w:rPr>
        <w:t>供应商</w:t>
      </w:r>
      <w:r>
        <w:rPr>
          <w:rFonts w:hint="eastAsia" w:ascii="宋体" w:hAnsi="宋体" w:eastAsia="宋体" w:cs="宋体"/>
          <w:color w:val="auto"/>
          <w:sz w:val="24"/>
          <w:szCs w:val="24"/>
          <w:shd w:val="clear" w:color="auto" w:fill="FFFFFF"/>
        </w:rPr>
        <w:t>对招标文件有异议的，应当在投标截止时间10日前，</w:t>
      </w:r>
      <w:r>
        <w:rPr>
          <w:rFonts w:hint="eastAsia" w:ascii="宋体" w:hAnsi="宋体" w:eastAsia="宋体" w:cs="宋体"/>
          <w:color w:val="auto"/>
          <w:kern w:val="1"/>
          <w:sz w:val="24"/>
        </w:rPr>
        <w:t>按招标公告中的通讯地址，</w:t>
      </w:r>
      <w:r>
        <w:rPr>
          <w:rFonts w:hint="eastAsia" w:ascii="宋体" w:hAnsi="宋体" w:eastAsia="宋体" w:cs="宋体"/>
          <w:color w:val="auto"/>
          <w:sz w:val="24"/>
        </w:rPr>
        <w:t>以书面形式通知采购代理机构（邮</w:t>
      </w:r>
      <w:r>
        <w:rPr>
          <w:rFonts w:hint="eastAsia" w:ascii="宋体" w:hAnsi="宋体" w:eastAsia="宋体" w:cs="宋体"/>
          <w:color w:val="auto"/>
          <w:kern w:val="1"/>
          <w:sz w:val="24"/>
        </w:rPr>
        <w:t>箱2991944368@qq.com）。采购代理机构对供应商的澄清要求均以书面形式予以答复，并将根据澄清要求涉及的范围把书面答复送达给相关的每一个购买招标文件的供应商。</w:t>
      </w:r>
      <w:r>
        <w:rPr>
          <w:rFonts w:hint="eastAsia" w:ascii="宋体" w:hAnsi="宋体" w:eastAsia="宋体" w:cs="宋体"/>
          <w:b/>
          <w:color w:val="auto"/>
          <w:sz w:val="24"/>
        </w:rPr>
        <w:t>供应商在收到后应立即以书面形式（电子邮件）</w:t>
      </w:r>
      <w:r>
        <w:rPr>
          <w:rFonts w:hint="eastAsia" w:ascii="宋体" w:hAnsi="宋体" w:eastAsia="宋体" w:cs="宋体"/>
          <w:color w:val="auto"/>
          <w:sz w:val="24"/>
        </w:rPr>
        <w:t>予以确认。</w:t>
      </w:r>
    </w:p>
    <w:p w14:paraId="415EC46C">
      <w:pPr>
        <w:spacing w:line="46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 xml:space="preserve">5.3 </w:t>
      </w:r>
      <w:r>
        <w:rPr>
          <w:rFonts w:hint="eastAsia" w:ascii="宋体" w:hAnsi="宋体" w:eastAsia="宋体" w:cs="宋体"/>
          <w:color w:val="auto"/>
          <w:sz w:val="24"/>
        </w:rPr>
        <w:t>采购人可以视采购具体情况，延长投标截止时间和开标时间。在招标文件要求提交投标文件的截止时间三日前，将变更时间书面通知所有供应商，并在</w:t>
      </w:r>
      <w:r>
        <w:rPr>
          <w:rFonts w:hint="eastAsia" w:ascii="宋体" w:hAnsi="宋体" w:eastAsia="宋体" w:cs="宋体"/>
          <w:color w:val="auto"/>
          <w:kern w:val="1"/>
          <w:sz w:val="24"/>
        </w:rPr>
        <w:t>政府采购网</w:t>
      </w:r>
      <w:r>
        <w:rPr>
          <w:rFonts w:hint="eastAsia" w:ascii="宋体" w:hAnsi="宋体" w:eastAsia="宋体" w:cs="宋体"/>
          <w:color w:val="auto"/>
          <w:sz w:val="24"/>
        </w:rPr>
        <w:t>上发布变更公告。</w:t>
      </w:r>
    </w:p>
    <w:p w14:paraId="215D34EE">
      <w:pPr>
        <w:spacing w:line="460" w:lineRule="exact"/>
        <w:ind w:firstLine="480" w:firstLineChars="200"/>
        <w:rPr>
          <w:rFonts w:hint="eastAsia" w:ascii="宋体" w:hAnsi="宋体" w:eastAsia="宋体" w:cs="宋体"/>
          <w:color w:val="auto"/>
          <w:sz w:val="24"/>
        </w:rPr>
      </w:pPr>
      <w:r>
        <w:rPr>
          <w:rFonts w:hint="eastAsia" w:ascii="宋体" w:hAnsi="宋体" w:eastAsia="宋体" w:cs="宋体"/>
          <w:b/>
          <w:color w:val="auto"/>
          <w:kern w:val="1"/>
          <w:sz w:val="24"/>
        </w:rPr>
        <w:t>6.招标文件的解释权归采购代理机构和采购人。</w:t>
      </w:r>
    </w:p>
    <w:p w14:paraId="0B50ED9E">
      <w:pPr>
        <w:keepNext w:val="0"/>
        <w:keepLines w:val="0"/>
        <w:pageBreakBefore w:val="0"/>
        <w:widowControl w:val="0"/>
        <w:kinsoku/>
        <w:wordWrap/>
        <w:overflowPunct/>
        <w:topLinePunct w:val="0"/>
        <w:autoSpaceDE/>
        <w:autoSpaceDN/>
        <w:bidi w:val="0"/>
        <w:adjustRightInd w:val="0"/>
        <w:snapToGrid/>
        <w:spacing w:beforeLines="50" w:afterLines="50" w:line="480" w:lineRule="exact"/>
        <w:jc w:val="center"/>
        <w:textAlignment w:val="baseline"/>
        <w:outlineLvl w:val="1"/>
        <w:rPr>
          <w:rFonts w:hint="eastAsia" w:ascii="宋体" w:hAnsi="宋体" w:eastAsia="宋体" w:cs="宋体"/>
          <w:b/>
          <w:color w:val="auto"/>
          <w:sz w:val="30"/>
          <w:szCs w:val="30"/>
        </w:rPr>
      </w:pPr>
      <w:r>
        <w:rPr>
          <w:rFonts w:hint="eastAsia" w:ascii="宋体" w:hAnsi="宋体" w:eastAsia="宋体" w:cs="宋体"/>
          <w:b/>
          <w:color w:val="auto"/>
          <w:sz w:val="30"/>
          <w:szCs w:val="30"/>
        </w:rPr>
        <w:t>三、投标文件的编制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2D33CC06">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7．编制要求</w:t>
      </w:r>
    </w:p>
    <w:p w14:paraId="20F47518">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7.1 供应商应认真阅读招标文件的所有内容，严格按照招标文件的要求编制和提供投标文件，并保证所提供的全部资料的真实性，使投标文件对招标文件作出实质性响应。如果供应商在投标文件中没有按照招标文件要求提交全部资料或者投标文件没有对招标文件在各方面都作出实质性响应，其投标将被拒绝。</w:t>
      </w:r>
    </w:p>
    <w:p w14:paraId="3B550EED">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7.2 供应商提交的投标文件（包括产品的技术资料）以及供应商与采购代理机构就有关投标的所有来往函电均应以中文书写。</w:t>
      </w:r>
    </w:p>
    <w:p w14:paraId="4CA7B190">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8．投标文件构成</w:t>
      </w:r>
    </w:p>
    <w:p w14:paraId="3C362BB8">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8.1 供应商编写的投标文件应包括，但不限于下列部分，请按招标文件提供的相应内容及要求并依照系统中顺序编写：</w:t>
      </w:r>
    </w:p>
    <w:p w14:paraId="7A7B1687">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（1）投标响应函</w:t>
      </w:r>
    </w:p>
    <w:p w14:paraId="311EC97F">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hAnsi="宋体" w:cs="宋体"/>
          <w:color w:val="auto"/>
          <w:sz w:val="24"/>
          <w:highlight w:val="none"/>
          <w:lang w:val="en-US" w:eastAsia="zh-CN"/>
        </w:rPr>
        <w:t>报价一览</w:t>
      </w:r>
      <w:r>
        <w:rPr>
          <w:rFonts w:hint="eastAsia" w:ascii="宋体" w:hAnsi="宋体" w:eastAsia="宋体" w:cs="宋体"/>
          <w:color w:val="auto"/>
          <w:sz w:val="24"/>
          <w:highlight w:val="none"/>
        </w:rPr>
        <w:t>表</w:t>
      </w:r>
    </w:p>
    <w:p w14:paraId="315512F3">
      <w:pPr>
        <w:spacing w:line="460" w:lineRule="exact"/>
        <w:ind w:firstLine="1080" w:firstLineChars="450"/>
        <w:rPr>
          <w:rFonts w:hint="eastAsia" w:ascii="宋体" w:hAnsi="宋体" w:eastAsia="宋体" w:cs="宋体"/>
          <w:color w:val="auto"/>
          <w:sz w:val="24"/>
          <w:highlight w:val="none"/>
        </w:rPr>
      </w:pPr>
      <w:r>
        <w:rPr>
          <w:rFonts w:hint="eastAsia" w:ascii="宋体" w:hAnsi="宋体" w:eastAsia="宋体" w:cs="宋体"/>
          <w:color w:val="auto"/>
          <w:sz w:val="24"/>
          <w:highlight w:val="none"/>
        </w:rPr>
        <w:t>分项报价表</w:t>
      </w:r>
    </w:p>
    <w:p w14:paraId="55CAF059">
      <w:pPr>
        <w:pStyle w:val="15"/>
        <w:spacing w:line="460" w:lineRule="exact"/>
        <w:ind w:firstLine="1080" w:firstLineChars="450"/>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商务条款响应说明</w:t>
      </w:r>
    </w:p>
    <w:p w14:paraId="5967204F">
      <w:pPr>
        <w:pStyle w:val="15"/>
        <w:spacing w:line="460" w:lineRule="exact"/>
        <w:ind w:firstLine="1080" w:firstLineChars="450"/>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技术条款响应说明</w:t>
      </w:r>
    </w:p>
    <w:p w14:paraId="178CE8E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（3）法定代表人授权委托书</w:t>
      </w:r>
    </w:p>
    <w:p w14:paraId="17B5C12B">
      <w:pPr>
        <w:spacing w:line="460" w:lineRule="exact"/>
        <w:ind w:firstLine="1080" w:firstLineChars="45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法定代表人证明书</w:t>
      </w:r>
    </w:p>
    <w:p w14:paraId="199EE26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hAnsi="宋体" w:cs="宋体"/>
          <w:color w:val="auto"/>
          <w:sz w:val="24"/>
          <w:highlight w:val="none"/>
          <w:lang w:val="en-US" w:eastAsia="zh-CN"/>
        </w:rPr>
        <w:t>投标人</w:t>
      </w:r>
      <w:r>
        <w:rPr>
          <w:rFonts w:hint="eastAsia" w:ascii="宋体" w:hAnsi="宋体" w:eastAsia="宋体" w:cs="宋体"/>
          <w:color w:val="auto"/>
          <w:sz w:val="24"/>
          <w:highlight w:val="none"/>
        </w:rPr>
        <w:t>资格证明文件</w:t>
      </w:r>
    </w:p>
    <w:p w14:paraId="7F1D86DD">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（5）投标方案说明及服务承诺</w:t>
      </w:r>
    </w:p>
    <w:p w14:paraId="311EC80F">
      <w:pPr>
        <w:spacing w:line="460" w:lineRule="exact"/>
        <w:ind w:firstLine="480"/>
        <w:rPr>
          <w:rFonts w:hint="eastAsia" w:ascii="宋体" w:hAnsi="宋体" w:eastAsia="宋体" w:cs="宋体"/>
          <w:color w:val="auto"/>
          <w:kern w:val="1"/>
          <w:sz w:val="24"/>
          <w:highlight w:val="none"/>
        </w:rPr>
      </w:pPr>
      <w:r>
        <w:rPr>
          <w:rFonts w:hint="eastAsia" w:ascii="宋体" w:hAnsi="宋体" w:eastAsia="宋体" w:cs="宋体"/>
          <w:color w:val="auto"/>
          <w:sz w:val="24"/>
          <w:highlight w:val="none"/>
        </w:rPr>
        <w:t>（6）供应商拒绝政府采购领域商业贿赂承诺</w:t>
      </w:r>
    </w:p>
    <w:p w14:paraId="6E19E81D">
      <w:pPr>
        <w:spacing w:line="460" w:lineRule="exact"/>
        <w:ind w:firstLine="480"/>
        <w:rPr>
          <w:rFonts w:hint="eastAsia" w:ascii="宋体" w:hAnsi="宋体" w:eastAsia="宋体" w:cs="宋体"/>
          <w:color w:val="auto"/>
          <w:kern w:val="1"/>
          <w:sz w:val="24"/>
        </w:rPr>
      </w:pPr>
      <w:r>
        <w:rPr>
          <w:rFonts w:hint="eastAsia" w:ascii="宋体" w:hAnsi="宋体" w:eastAsia="宋体" w:cs="宋体"/>
          <w:color w:val="auto"/>
          <w:kern w:val="1"/>
          <w:sz w:val="24"/>
        </w:rPr>
        <w:t xml:space="preserve">8.2 </w:t>
      </w:r>
      <w:r>
        <w:rPr>
          <w:rFonts w:hint="eastAsia" w:ascii="宋体" w:hAnsi="宋体" w:eastAsia="宋体" w:cs="宋体"/>
          <w:color w:val="auto"/>
          <w:sz w:val="24"/>
        </w:rPr>
        <w:t>供应商应按照本须知第8.1条的内容及第五章提供的内容编写响应文件</w:t>
      </w:r>
      <w:r>
        <w:rPr>
          <w:rFonts w:hint="eastAsia" w:ascii="宋体" w:hAnsi="宋体" w:eastAsia="宋体" w:cs="宋体"/>
          <w:color w:val="auto"/>
          <w:kern w:val="1"/>
          <w:sz w:val="24"/>
        </w:rPr>
        <w:t>，不得缺少招标文件要求填写的表格或提交的资料。</w:t>
      </w:r>
    </w:p>
    <w:p w14:paraId="3581DA86">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kern w:val="1"/>
          <w:sz w:val="24"/>
        </w:rPr>
        <w:t>8.3 供应商应将投标文件编制目录，逐页标注连续页码</w:t>
      </w:r>
      <w:r>
        <w:rPr>
          <w:rFonts w:hint="eastAsia" w:ascii="宋体" w:hAnsi="宋体" w:eastAsia="宋体" w:cs="宋体"/>
          <w:bCs/>
          <w:color w:val="auto"/>
          <w:kern w:val="1"/>
          <w:sz w:val="24"/>
        </w:rPr>
        <w:t>。</w:t>
      </w:r>
    </w:p>
    <w:p w14:paraId="47A9D3A3">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9．投标报价</w:t>
      </w:r>
    </w:p>
    <w:p w14:paraId="643B5684">
      <w:pPr>
        <w:pStyle w:val="10"/>
        <w:spacing w:after="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9.1投标报价以人民币为结算货币，须包括完成本项目所要求服务的全部内容及合同中载明的所有一般风险、责任和义务等一切应缴费用等完成本项目的全部工作内容所需的所有费用。</w:t>
      </w:r>
    </w:p>
    <w:p w14:paraId="4EEC7715">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9.2供应商必须对服务要求进行完整报价。招标采购单位拒绝只对部分</w:t>
      </w:r>
      <w:r>
        <w:rPr>
          <w:rFonts w:hint="eastAsia" w:hAnsi="宋体" w:cs="宋体"/>
          <w:color w:val="auto"/>
          <w:sz w:val="24"/>
          <w:lang w:val="en-US" w:eastAsia="zh-CN"/>
        </w:rPr>
        <w:t>服务</w:t>
      </w:r>
      <w:r>
        <w:rPr>
          <w:rFonts w:hint="eastAsia" w:ascii="宋体" w:hAnsi="宋体" w:eastAsia="宋体" w:cs="宋体"/>
          <w:color w:val="auto"/>
          <w:sz w:val="24"/>
        </w:rPr>
        <w:t>进行报价的投标。供应商应在投标文件中的投标分项报价表上标明对本次招标拟提供服务的单价和总价，任何有选择的报价将不予接受。</w:t>
      </w:r>
    </w:p>
    <w:p w14:paraId="673D55A8">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9.3 供应商对本项目只允许有一个报价，不接受超过招标文件中9.6项规定的预算金额的报价、可变动性报价、赠送及“零”报价，否则视为无效响应。</w:t>
      </w:r>
    </w:p>
    <w:p w14:paraId="14F29131">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9.4 供应商所报的投标报价在合同执行过程中是固定不变的，不得以任何理由予以变更。任何包含价格调整要求的投标，将被认为是非响应性投标而予以拒绝。</w:t>
      </w:r>
    </w:p>
    <w:p w14:paraId="04E842F1">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9.5 报价</w:t>
      </w:r>
      <w:r>
        <w:rPr>
          <w:rFonts w:hint="eastAsia" w:ascii="宋体" w:hAnsi="宋体" w:eastAsia="宋体" w:cs="宋体"/>
          <w:color w:val="auto"/>
          <w:sz w:val="24"/>
          <w:szCs w:val="24"/>
        </w:rPr>
        <w:t>最低不是中标的唯一依据。</w:t>
      </w:r>
    </w:p>
    <w:p w14:paraId="4C563674">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9.6 本项目</w:t>
      </w:r>
      <w:r>
        <w:rPr>
          <w:rFonts w:hint="eastAsia" w:hAnsi="宋体" w:cs="宋体"/>
          <w:color w:val="auto"/>
          <w:sz w:val="24"/>
          <w:lang w:eastAsia="zh-CN"/>
        </w:rPr>
        <w:t>采购预算</w:t>
      </w:r>
      <w:r>
        <w:rPr>
          <w:rFonts w:hint="eastAsia" w:ascii="宋体" w:hAnsi="宋体" w:eastAsia="宋体" w:cs="宋体"/>
          <w:color w:val="auto"/>
          <w:sz w:val="24"/>
        </w:rPr>
        <w:t>为：人民币</w:t>
      </w:r>
      <w:r>
        <w:rPr>
          <w:rFonts w:hint="eastAsia" w:hAnsi="宋体" w:cs="宋体"/>
          <w:color w:val="auto"/>
          <w:sz w:val="24"/>
          <w:lang w:val="en-US" w:eastAsia="zh-CN"/>
        </w:rPr>
        <w:t>贰佰陆拾万零壹仟伍佰元整</w:t>
      </w:r>
      <w:r>
        <w:rPr>
          <w:rFonts w:hint="eastAsia" w:ascii="宋体" w:hAnsi="宋体" w:eastAsia="宋体" w:cs="宋体"/>
          <w:color w:val="auto"/>
          <w:sz w:val="24"/>
        </w:rPr>
        <w:t>（￥：</w:t>
      </w:r>
      <w:r>
        <w:rPr>
          <w:rFonts w:hint="eastAsia" w:hAnsi="宋体" w:cs="宋体"/>
          <w:color w:val="auto"/>
          <w:sz w:val="24"/>
          <w:lang w:val="en-US" w:eastAsia="zh-CN"/>
        </w:rPr>
        <w:t>2,601,500.00</w:t>
      </w:r>
      <w:r>
        <w:rPr>
          <w:rFonts w:hint="eastAsia" w:ascii="宋体" w:hAnsi="宋体" w:eastAsia="宋体" w:cs="宋体"/>
          <w:color w:val="auto"/>
          <w:sz w:val="24"/>
          <w:szCs w:val="24"/>
        </w:rPr>
        <w:t>元</w:t>
      </w:r>
      <w:r>
        <w:rPr>
          <w:rFonts w:hint="eastAsia" w:ascii="宋体" w:hAnsi="宋体" w:eastAsia="宋体" w:cs="宋体"/>
          <w:color w:val="auto"/>
          <w:sz w:val="24"/>
        </w:rPr>
        <w:t>）。投标报价大于</w:t>
      </w:r>
      <w:r>
        <w:rPr>
          <w:rFonts w:hint="eastAsia" w:hAnsi="宋体" w:cs="宋体"/>
          <w:color w:val="auto"/>
          <w:sz w:val="24"/>
          <w:lang w:eastAsia="zh-CN"/>
        </w:rPr>
        <w:t>采购预算</w:t>
      </w:r>
      <w:r>
        <w:rPr>
          <w:rFonts w:hint="eastAsia" w:ascii="宋体" w:hAnsi="宋体" w:eastAsia="宋体" w:cs="宋体"/>
          <w:color w:val="auto"/>
          <w:sz w:val="24"/>
        </w:rPr>
        <w:t>，按废标处理。</w:t>
      </w:r>
    </w:p>
    <w:p w14:paraId="2B59FA82">
      <w:pPr>
        <w:spacing w:line="460" w:lineRule="exact"/>
        <w:ind w:firstLine="480" w:firstLineChars="200"/>
        <w:rPr>
          <w:rFonts w:hint="eastAsia" w:ascii="宋体" w:hAnsi="宋体" w:eastAsia="宋体" w:cs="宋体"/>
          <w:color w:val="auto"/>
          <w:sz w:val="24"/>
        </w:rPr>
      </w:pPr>
      <w:r>
        <w:rPr>
          <w:rFonts w:hint="eastAsia" w:ascii="宋体" w:hAnsi="宋体" w:eastAsia="宋体" w:cs="宋体"/>
          <w:b/>
          <w:color w:val="auto"/>
          <w:kern w:val="1"/>
          <w:sz w:val="24"/>
        </w:rPr>
        <w:t xml:space="preserve">9.7 </w:t>
      </w:r>
      <w:r>
        <w:rPr>
          <w:rFonts w:hint="eastAsia" w:ascii="宋体" w:hAnsi="宋体" w:eastAsia="宋体" w:cs="宋体"/>
          <w:b/>
          <w:bCs/>
          <w:color w:val="auto"/>
          <w:sz w:val="24"/>
        </w:rPr>
        <w:t>评标委员会</w:t>
      </w:r>
      <w:r>
        <w:rPr>
          <w:rFonts w:hint="eastAsia" w:ascii="宋体" w:hAnsi="宋体" w:eastAsia="宋体" w:cs="宋体"/>
          <w:b/>
          <w:bCs/>
          <w:color w:val="auto"/>
          <w:sz w:val="24"/>
          <w:szCs w:val="24"/>
        </w:rPr>
        <w:t>认为供应商的报价明显低于其他通过符合性审查供应商的报价，有可能影响</w:t>
      </w:r>
      <w:r>
        <w:rPr>
          <w:rFonts w:hint="eastAsia" w:hAnsi="宋体" w:cs="宋体"/>
          <w:b/>
          <w:bCs/>
          <w:color w:val="auto"/>
          <w:sz w:val="24"/>
          <w:szCs w:val="24"/>
          <w:lang w:val="en-US" w:eastAsia="zh-CN"/>
        </w:rPr>
        <w:t>服务</w:t>
      </w:r>
      <w:r>
        <w:rPr>
          <w:rFonts w:hint="eastAsia" w:ascii="宋体" w:hAnsi="宋体" w:eastAsia="宋体" w:cs="宋体"/>
          <w:b/>
          <w:bCs/>
          <w:color w:val="auto"/>
          <w:sz w:val="24"/>
          <w:szCs w:val="24"/>
        </w:rPr>
        <w:t>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b/>
          <w:bCs/>
          <w:color w:val="auto"/>
          <w:sz w:val="24"/>
        </w:rPr>
        <w:t>。</w:t>
      </w:r>
    </w:p>
    <w:p w14:paraId="03D31D85">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10．投标货币</w:t>
      </w:r>
    </w:p>
    <w:p w14:paraId="7F734775">
      <w:pPr>
        <w:spacing w:line="46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eastAsia="宋体" w:cs="宋体"/>
          <w:color w:val="auto"/>
          <w:sz w:val="24"/>
          <w:szCs w:val="24"/>
        </w:rPr>
        <w:t>投标单位提供的服务一律以人民币报价，单位：元（精确到小数点</w:t>
      </w:r>
      <w:r>
        <w:rPr>
          <w:rFonts w:hint="eastAsia" w:ascii="宋体" w:hAnsi="宋体" w:eastAsia="宋体" w:cs="宋体"/>
          <w:bCs/>
          <w:color w:val="auto"/>
          <w:sz w:val="24"/>
        </w:rPr>
        <w:t>后两位）</w:t>
      </w:r>
      <w:r>
        <w:rPr>
          <w:rFonts w:hint="eastAsia" w:ascii="宋体" w:hAnsi="宋体" w:eastAsia="宋体" w:cs="宋体"/>
          <w:color w:val="auto"/>
          <w:sz w:val="24"/>
        </w:rPr>
        <w:t>。</w:t>
      </w:r>
    </w:p>
    <w:p w14:paraId="677702AA">
      <w:pPr>
        <w:pBdr>
          <w:top w:val="none" w:color="auto" w:sz="0" w:space="1"/>
          <w:left w:val="none" w:color="auto" w:sz="0" w:space="4"/>
          <w:bottom w:val="none" w:color="auto" w:sz="0" w:space="1"/>
          <w:right w:val="none" w:color="auto" w:sz="0" w:space="4"/>
          <w:between w:val="none" w:color="auto" w:sz="0" w:space="0"/>
        </w:pBdr>
        <w:autoSpaceDE w:val="0"/>
        <w:autoSpaceDN w:val="0"/>
        <w:spacing w:line="440" w:lineRule="exact"/>
        <w:ind w:firstLine="480" w:firstLineChars="200"/>
        <w:rPr>
          <w:rFonts w:hint="eastAsia" w:ascii="宋体" w:hAnsi="宋体" w:eastAsia="宋体" w:cs="宋体"/>
          <w:b/>
          <w:color w:val="auto"/>
          <w:sz w:val="24"/>
          <w:lang w:val="en-US" w:eastAsia="zh-CN"/>
        </w:rPr>
      </w:pPr>
      <w:r>
        <w:rPr>
          <w:rFonts w:hint="eastAsia" w:ascii="宋体" w:hAnsi="宋体" w:eastAsia="宋体" w:cs="宋体"/>
          <w:b/>
          <w:color w:val="auto"/>
          <w:sz w:val="24"/>
        </w:rPr>
        <w:t>11</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 xml:space="preserve"> </w:t>
      </w:r>
      <w:r>
        <w:rPr>
          <w:rFonts w:hint="eastAsia" w:ascii="宋体" w:hAnsi="宋体" w:eastAsia="宋体" w:cs="宋体"/>
          <w:b/>
          <w:sz w:val="24"/>
        </w:rPr>
        <w:t>投标保证金</w:t>
      </w:r>
      <w:r>
        <w:rPr>
          <w:rFonts w:hint="eastAsia" w:hAnsi="宋体" w:cs="宋体"/>
          <w:b/>
          <w:sz w:val="24"/>
          <w:lang w:eastAsia="zh-CN"/>
        </w:rPr>
        <w:t>：</w:t>
      </w:r>
      <w:r>
        <w:rPr>
          <w:rFonts w:hint="eastAsia" w:ascii="宋体" w:hAnsi="宋体" w:eastAsia="宋体" w:cs="宋体"/>
          <w:b/>
          <w:sz w:val="24"/>
        </w:rPr>
        <w:t>本项目无需缴纳保证金。</w:t>
      </w:r>
    </w:p>
    <w:p w14:paraId="109E6253">
      <w:pPr>
        <w:adjustRightIn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 中标</w:t>
      </w:r>
      <w:r>
        <w:rPr>
          <w:rFonts w:hint="eastAsia" w:ascii="宋体" w:hAnsi="宋体" w:eastAsia="宋体" w:cs="宋体"/>
          <w:color w:val="auto"/>
          <w:sz w:val="24"/>
        </w:rPr>
        <w:t>单位按本须知第30.1条规定缴纳中标服务费、按本须知第29.2条规定与采购人签订采购合同后，将合同扫描件PDF格式发至采购代理机构邮箱：</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"mailto:2991944368@qq.com或将合同复印件送至安康市汉滨区长兴金座1栋2单元17+05室）后，采购代理机构将中标通知书和合同送至安康市公共资源交易中心，五个工作日内退还中标单位保证金。" </w:instrText>
      </w:r>
      <w:r>
        <w:rPr>
          <w:rFonts w:hint="eastAsia" w:ascii="宋体" w:hAnsi="宋体" w:eastAsia="宋体" w:cs="宋体"/>
          <w:color w:val="auto"/>
        </w:rPr>
        <w:fldChar w:fldCharType="separate"/>
      </w:r>
      <w:r>
        <w:rPr>
          <w:rFonts w:hint="eastAsia" w:ascii="宋体" w:hAnsi="宋体" w:eastAsia="宋体" w:cs="宋体"/>
          <w:color w:val="auto"/>
          <w:sz w:val="24"/>
        </w:rPr>
        <w:t>2991944368@qq.com。</w:t>
      </w:r>
      <w:r>
        <w:rPr>
          <w:rFonts w:hint="eastAsia" w:ascii="宋体" w:hAnsi="宋体" w:eastAsia="宋体" w:cs="宋体"/>
          <w:color w:val="auto"/>
          <w:sz w:val="24"/>
        </w:rPr>
        <w:fldChar w:fldCharType="end"/>
      </w:r>
    </w:p>
    <w:p w14:paraId="178335C9">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rPr>
        <w:t>11.2 投</w:t>
      </w:r>
      <w:r>
        <w:rPr>
          <w:rFonts w:hint="eastAsia" w:ascii="宋体" w:hAnsi="宋体" w:eastAsia="宋体" w:cs="宋体"/>
          <w:color w:val="auto"/>
          <w:sz w:val="24"/>
          <w:szCs w:val="24"/>
          <w:lang w:val="zh-CN"/>
        </w:rPr>
        <w:t>标人有下列情形之一的</w:t>
      </w:r>
      <w:r>
        <w:rPr>
          <w:rFonts w:hint="eastAsia" w:ascii="宋体" w:hAnsi="宋体" w:eastAsia="宋体" w:cs="宋体"/>
          <w:color w:val="auto"/>
          <w:sz w:val="24"/>
          <w:szCs w:val="24"/>
        </w:rPr>
        <w:t>或</w:t>
      </w:r>
      <w:r>
        <w:rPr>
          <w:rFonts w:hint="eastAsia" w:ascii="宋体" w:hAnsi="宋体" w:eastAsia="宋体" w:cs="宋体"/>
          <w:color w:val="auto"/>
          <w:sz w:val="24"/>
          <w:szCs w:val="24"/>
          <w:lang w:val="zh-CN"/>
        </w:rPr>
        <w:t>情节严重的，由财政部门将其列入不良行为记录名单，在一至三年内禁止参加政府采购活动，并予以通报：</w:t>
      </w:r>
    </w:p>
    <w:p w14:paraId="12688419">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1、中标人中标后无正当理由不与采购人签订合同的；</w:t>
      </w:r>
    </w:p>
    <w:p w14:paraId="01B9515B">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2、中标人将中标项目转让给他人，或者在投标文件中未说明，且未经采购人同意，将中标项目分包给他人的；</w:t>
      </w:r>
    </w:p>
    <w:p w14:paraId="2757EBBE">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3、供应商提供虚假资质谋取中标的；</w:t>
      </w:r>
    </w:p>
    <w:p w14:paraId="7E5976C2">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4、有围标、串标现象，经查证属实的；</w:t>
      </w:r>
    </w:p>
    <w:p w14:paraId="4B28BA12">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5、供应商在招标文件规定的投标有效期内撤回投标的；</w:t>
      </w:r>
    </w:p>
    <w:p w14:paraId="187FCA51">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6、供应商自行放弃中标资格的；</w:t>
      </w:r>
    </w:p>
    <w:p w14:paraId="108852C7">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7、中标人不在规定的时效（接到采购代理机构通知之日起七日内）内领取《中标通知书》的；</w:t>
      </w:r>
    </w:p>
    <w:p w14:paraId="40B05248">
      <w:pPr>
        <w:adjustRightInd/>
        <w:spacing w:line="460" w:lineRule="exact"/>
        <w:ind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8、中标人因自身原因未能在规定期限内与采购人签订合同的。</w:t>
      </w:r>
    </w:p>
    <w:p w14:paraId="661AB1E0">
      <w:pPr>
        <w:adjustRightInd/>
        <w:spacing w:line="46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12．投标有效期</w:t>
      </w:r>
    </w:p>
    <w:p w14:paraId="321A8F48">
      <w:pPr>
        <w:adjustRightIn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 投标有效期为开标之日起九十（90）个日历日（中标人的投标文件有效期与合同有效期一致）。供应商的投标有效期比招标文件规定短的将被视为非响应性投标而予以拒绝。</w:t>
      </w:r>
    </w:p>
    <w:p w14:paraId="255673BD">
      <w:pPr>
        <w:adjustRightIn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 在特殊情况下，在原投标有效期期满之前，采购人可征得供应商同意延长投标有效期。这种要求与答复均应为书面形式提交。</w:t>
      </w:r>
    </w:p>
    <w:p w14:paraId="17179BFC">
      <w:pPr>
        <w:spacing w:line="460" w:lineRule="exact"/>
        <w:ind w:firstLine="482"/>
        <w:rPr>
          <w:rFonts w:hint="eastAsia" w:ascii="宋体" w:hAnsi="宋体" w:eastAsia="宋体" w:cs="宋体"/>
          <w:b/>
          <w:color w:val="auto"/>
          <w:kern w:val="1"/>
          <w:sz w:val="24"/>
        </w:rPr>
      </w:pPr>
      <w:r>
        <w:rPr>
          <w:rFonts w:hint="eastAsia" w:ascii="宋体" w:hAnsi="宋体" w:eastAsia="宋体" w:cs="宋体"/>
          <w:b/>
          <w:color w:val="auto"/>
          <w:kern w:val="1"/>
          <w:sz w:val="24"/>
        </w:rPr>
        <w:t>13．投标文件的制作和签署</w:t>
      </w:r>
    </w:p>
    <w:p w14:paraId="63D263C8">
      <w:pPr>
        <w:pBdr>
          <w:top w:val="none" w:color="auto" w:sz="0" w:space="1"/>
          <w:left w:val="none" w:color="auto" w:sz="0" w:space="4"/>
          <w:bottom w:val="none" w:color="auto" w:sz="0" w:space="1"/>
          <w:right w:val="none" w:color="auto" w:sz="0" w:space="4"/>
        </w:pBdr>
        <w:autoSpaceDE w:val="0"/>
        <w:autoSpaceDN w:val="0"/>
        <w:spacing w:line="460" w:lineRule="exact"/>
        <w:ind w:firstLine="480" w:firstLineChars="200"/>
        <w:rPr>
          <w:rFonts w:hint="eastAsia" w:ascii="宋体" w:hAnsi="宋体" w:eastAsia="宋体" w:cs="宋体"/>
          <w:color w:val="auto"/>
          <w:sz w:val="24"/>
        </w:rPr>
      </w:pPr>
      <w:r>
        <w:rPr>
          <w:rFonts w:hint="eastAsia" w:ascii="宋体" w:hAnsi="宋体" w:eastAsia="宋体" w:cs="宋体"/>
          <w:b/>
          <w:bCs/>
          <w:color w:val="auto"/>
          <w:kern w:val="0"/>
          <w:sz w:val="24"/>
          <w:szCs w:val="24"/>
          <w:lang w:val="en-US" w:eastAsia="en-US"/>
        </w:rPr>
        <w:t>本项目采用电子化投标及远程不见面开标方式。</w:t>
      </w:r>
      <w:r>
        <w:rPr>
          <w:rFonts w:hint="eastAsia" w:ascii="宋体" w:hAnsi="宋体" w:eastAsia="宋体" w:cs="宋体"/>
          <w:color w:val="auto"/>
          <w:kern w:val="0"/>
          <w:sz w:val="24"/>
          <w:szCs w:val="24"/>
          <w:lang w:val="en-US" w:eastAsia="zh-CN"/>
        </w:rPr>
        <w:t>供应商</w:t>
      </w:r>
      <w:r>
        <w:rPr>
          <w:rFonts w:hint="eastAsia" w:ascii="宋体" w:hAnsi="宋体" w:eastAsia="宋体" w:cs="宋体"/>
          <w:color w:val="auto"/>
          <w:kern w:val="0"/>
          <w:sz w:val="24"/>
          <w:szCs w:val="24"/>
          <w:lang w:val="en-US" w:eastAsia="en-US"/>
        </w:rPr>
        <w:t>须使用数字认证证书(CA锁)对电子投标文件进行签章、加密、递交及开标时解密等相关投标事宜。开标前，</w:t>
      </w:r>
      <w:r>
        <w:rPr>
          <w:rFonts w:hint="eastAsia" w:ascii="宋体" w:hAnsi="宋体" w:eastAsia="宋体" w:cs="宋体"/>
          <w:color w:val="auto"/>
          <w:kern w:val="0"/>
          <w:sz w:val="24"/>
          <w:szCs w:val="24"/>
          <w:lang w:val="en-US" w:eastAsia="zh-CN"/>
        </w:rPr>
        <w:t>供应商</w:t>
      </w:r>
      <w:r>
        <w:rPr>
          <w:rFonts w:hint="eastAsia" w:ascii="宋体" w:hAnsi="宋体" w:eastAsia="宋体" w:cs="宋体"/>
          <w:color w:val="auto"/>
          <w:kern w:val="0"/>
          <w:sz w:val="24"/>
          <w:szCs w:val="24"/>
          <w:lang w:val="en-US" w:eastAsia="en-US"/>
        </w:rPr>
        <w:t>需登录网络开标大厅。开标时，按照工作人员要求进行远程解密，如因</w:t>
      </w:r>
      <w:r>
        <w:rPr>
          <w:rFonts w:hint="eastAsia" w:ascii="宋体" w:hAnsi="宋体" w:eastAsia="宋体" w:cs="宋体"/>
          <w:color w:val="auto"/>
          <w:kern w:val="0"/>
          <w:sz w:val="24"/>
          <w:szCs w:val="24"/>
          <w:lang w:val="en-US" w:eastAsia="zh-CN"/>
        </w:rPr>
        <w:t>供应商</w:t>
      </w:r>
      <w:r>
        <w:rPr>
          <w:rFonts w:hint="eastAsia" w:ascii="宋体" w:hAnsi="宋体" w:eastAsia="宋体" w:cs="宋体"/>
          <w:color w:val="auto"/>
          <w:kern w:val="0"/>
          <w:sz w:val="24"/>
          <w:szCs w:val="24"/>
          <w:lang w:val="en-US" w:eastAsia="en-US"/>
        </w:rPr>
        <w:t>自身原因造成无法解密投标文件，按无效投标对待</w:t>
      </w:r>
      <w:r>
        <w:rPr>
          <w:rFonts w:hint="eastAsia" w:ascii="宋体" w:hAnsi="宋体" w:eastAsia="宋体" w:cs="宋体"/>
          <w:color w:val="auto"/>
          <w:sz w:val="24"/>
        </w:rPr>
        <w:t>。</w:t>
      </w:r>
    </w:p>
    <w:p w14:paraId="58BF3243">
      <w:pPr>
        <w:pBdr>
          <w:top w:val="none" w:color="auto" w:sz="0" w:space="1"/>
          <w:left w:val="none" w:color="auto" w:sz="0" w:space="4"/>
          <w:bottom w:val="none" w:color="auto" w:sz="0" w:space="1"/>
          <w:right w:val="none" w:color="auto" w:sz="0" w:space="4"/>
        </w:pBdr>
        <w:spacing w:line="460" w:lineRule="exact"/>
        <w:ind w:firstLine="480" w:firstLineChars="200"/>
        <w:outlineLvl w:val="0"/>
        <w:rPr>
          <w:rFonts w:hint="eastAsia" w:ascii="宋体" w:hAnsi="宋体" w:eastAsia="宋体" w:cs="宋体"/>
          <w:color w:val="auto"/>
          <w:sz w:val="24"/>
        </w:rPr>
      </w:pPr>
      <w:r>
        <w:rPr>
          <w:rFonts w:hint="eastAsia" w:ascii="宋体" w:hAnsi="宋体" w:eastAsia="宋体" w:cs="宋体"/>
          <w:color w:val="auto"/>
          <w:sz w:val="24"/>
        </w:rPr>
        <w:t>13.1供应商登录全国公共资源交易平台（陕西省）网站(电子交易平台-企业端）后，在“我的项目”中点击“项目流程-交易文件下载”下载电子招标文件（*.SXSZF），</w:t>
      </w:r>
      <w:r>
        <w:rPr>
          <w:rFonts w:hint="eastAsia" w:ascii="宋体" w:hAnsi="宋体" w:eastAsia="宋体" w:cs="宋体"/>
          <w:b/>
          <w:bCs/>
          <w:color w:val="auto"/>
          <w:sz w:val="24"/>
        </w:rPr>
        <w:t>未进行网上下载招标文件的，后面无法进行电子投标文件的上传</w:t>
      </w:r>
      <w:r>
        <w:rPr>
          <w:rFonts w:hint="eastAsia" w:ascii="宋体" w:hAnsi="宋体" w:eastAsia="宋体" w:cs="宋体"/>
          <w:color w:val="auto"/>
          <w:sz w:val="24"/>
        </w:rPr>
        <w:t>；</w:t>
      </w:r>
    </w:p>
    <w:p w14:paraId="7E7CA831">
      <w:pPr>
        <w:pBdr>
          <w:top w:val="none" w:color="auto" w:sz="0" w:space="1"/>
          <w:left w:val="none" w:color="auto" w:sz="0" w:space="4"/>
          <w:bottom w:val="none" w:color="auto" w:sz="0" w:space="1"/>
          <w:right w:val="none" w:color="auto" w:sz="0" w:space="4"/>
        </w:pBdr>
        <w:spacing w:line="460" w:lineRule="exact"/>
        <w:ind w:firstLine="480" w:firstLineChars="200"/>
        <w:outlineLvl w:val="0"/>
        <w:rPr>
          <w:rFonts w:hint="eastAsia" w:ascii="宋体" w:hAnsi="宋体" w:eastAsia="宋体" w:cs="宋体"/>
          <w:color w:val="auto"/>
          <w:sz w:val="24"/>
        </w:rPr>
      </w:pPr>
      <w:r>
        <w:rPr>
          <w:rFonts w:hint="eastAsia" w:ascii="宋体" w:hAnsi="宋体" w:eastAsia="宋体" w:cs="宋体"/>
          <w:color w:val="auto"/>
          <w:sz w:val="24"/>
        </w:rPr>
        <w:t>注：该项目如有变更文件，则应点击“项目流程—答疑文件下载”下载更新后的电子招标文件（*.SXSCF），使用旧版电子招标文件制作的电子投标文件，系统将拒绝接收。</w:t>
      </w:r>
    </w:p>
    <w:p w14:paraId="2559E598">
      <w:pPr>
        <w:wordWrap w:val="0"/>
        <w:spacing w:line="460" w:lineRule="exact"/>
        <w:ind w:firstLine="480" w:firstLineChars="200"/>
        <w:outlineLvl w:val="0"/>
        <w:rPr>
          <w:rFonts w:hint="eastAsia" w:ascii="宋体" w:hAnsi="宋体" w:eastAsia="宋体" w:cs="宋体"/>
          <w:color w:val="auto"/>
          <w:sz w:val="24"/>
        </w:rPr>
      </w:pPr>
      <w:r>
        <w:rPr>
          <w:rFonts w:hint="eastAsia" w:ascii="宋体" w:hAnsi="宋体" w:eastAsia="宋体" w:cs="宋体"/>
          <w:color w:val="auto"/>
          <w:sz w:val="24"/>
        </w:rPr>
        <w:t>13.2 供应商登录全国公共资源交易平台（陕西省）网站（http：//www.sxggzyjy.cn/）“服务指南”—“下载专区”中免费下载“陕西省公共资源交易平台政府采购电子标书制作工具”，并升级至最新版本，使用该客户端可以打开电子招标文件及制作扩展名为“.SXSTF”的电子投标文件并进行签章、加密。软件操作手册详见全国公共资源交易平台（陕西省）网站“服务指南”—“下载专区”—《陕西省公共资源交易（政府采购类）投标文件制作软件操作手册》。下载网址：http://www.sxggzyjy.cn/fwzn/004003/20180827/c8c8fb15-a7cc-4011-a244-806289d7cf3b.html。在编制过程中，如有技术性问题，请先翻阅操作手册或致电软件开发商，技术支持热线：4009280095、4009980000。</w:t>
      </w:r>
    </w:p>
    <w:p w14:paraId="4F45407A">
      <w:pPr>
        <w:spacing w:line="460" w:lineRule="exact"/>
        <w:ind w:firstLine="480" w:firstLineChars="200"/>
        <w:outlineLvl w:val="0"/>
        <w:rPr>
          <w:rFonts w:hint="eastAsia" w:ascii="宋体" w:hAnsi="宋体" w:eastAsia="宋体" w:cs="宋体"/>
          <w:color w:val="auto"/>
          <w:sz w:val="24"/>
        </w:rPr>
      </w:pPr>
      <w:r>
        <w:rPr>
          <w:rFonts w:hint="eastAsia" w:ascii="宋体" w:hAnsi="宋体" w:eastAsia="宋体" w:cs="宋体"/>
          <w:color w:val="auto"/>
          <w:sz w:val="24"/>
        </w:rPr>
        <w:t>13.3 除供应商对投标文件错处做必要修改外，投标文件不得行间插字、涂改和增删，如有修改错漏处，必须由供应商的法定代表人或其授权代表在修改处签字后才有效。</w:t>
      </w:r>
    </w:p>
    <w:p w14:paraId="5581C450">
      <w:pPr>
        <w:spacing w:line="460" w:lineRule="exact"/>
        <w:ind w:firstLine="480"/>
        <w:rPr>
          <w:rFonts w:hint="eastAsia" w:ascii="宋体" w:hAnsi="宋体" w:eastAsia="宋体" w:cs="宋体"/>
          <w:color w:val="auto"/>
        </w:rPr>
      </w:pPr>
      <w:r>
        <w:rPr>
          <w:rFonts w:hint="eastAsia" w:ascii="宋体" w:hAnsi="宋体" w:eastAsia="宋体" w:cs="宋体"/>
          <w:b/>
          <w:bCs/>
          <w:color w:val="auto"/>
          <w:sz w:val="24"/>
        </w:rPr>
        <w:t>注：电子版投标文件中所有需要法定代表人或被授权委托人签字处均不能采用机打签名方式，应采用手写签名方式。否则供应商自行承担责任。</w:t>
      </w:r>
    </w:p>
    <w:p w14:paraId="1A079735">
      <w:pPr>
        <w:autoSpaceDE w:val="0"/>
        <w:autoSpaceDN w:val="0"/>
        <w:spacing w:line="460" w:lineRule="exact"/>
        <w:ind w:firstLine="480" w:firstLineChars="200"/>
        <w:rPr>
          <w:rFonts w:hint="eastAsia" w:ascii="宋体" w:hAnsi="宋体" w:eastAsia="宋体" w:cs="宋体"/>
          <w:color w:val="auto"/>
          <w:sz w:val="24"/>
        </w:rPr>
      </w:pPr>
      <w:r>
        <w:rPr>
          <w:rFonts w:hint="eastAsia" w:ascii="宋体" w:hAnsi="宋体" w:eastAsia="宋体" w:cs="宋体"/>
          <w:b/>
          <w:bCs/>
          <w:color w:val="auto"/>
          <w:sz w:val="24"/>
        </w:rPr>
        <w:t>14</w:t>
      </w:r>
      <w:r>
        <w:rPr>
          <w:rFonts w:hint="eastAsia" w:hAnsi="宋体" w:cs="宋体"/>
          <w:b/>
          <w:bCs/>
          <w:color w:val="auto"/>
          <w:sz w:val="24"/>
          <w:lang w:eastAsia="zh-CN"/>
        </w:rPr>
        <w:t>.</w:t>
      </w:r>
      <w:r>
        <w:rPr>
          <w:rFonts w:hint="eastAsia" w:ascii="宋体" w:hAnsi="宋体" w:eastAsia="宋体" w:cs="宋体"/>
          <w:color w:val="auto"/>
          <w:sz w:val="24"/>
        </w:rPr>
        <w:t>凡因供应商对招标文件阅读不深、理解不透、误解、疏漏或投标文件因表述不清所引起的后果由供应商自负</w:t>
      </w:r>
      <w:r>
        <w:rPr>
          <w:rFonts w:hint="eastAsia" w:ascii="宋体" w:hAnsi="宋体" w:eastAsia="宋体" w:cs="宋体"/>
          <w:color w:val="auto"/>
          <w:kern w:val="1"/>
          <w:sz w:val="24"/>
        </w:rPr>
        <w:t>。</w:t>
      </w:r>
    </w:p>
    <w:p w14:paraId="6E3BC067">
      <w:pPr>
        <w:keepNext w:val="0"/>
        <w:keepLines w:val="0"/>
        <w:pageBreakBefore w:val="0"/>
        <w:widowControl w:val="0"/>
        <w:kinsoku/>
        <w:wordWrap/>
        <w:overflowPunct/>
        <w:topLinePunct w:val="0"/>
        <w:autoSpaceDE/>
        <w:autoSpaceDN/>
        <w:bidi w:val="0"/>
        <w:adjustRightInd w:val="0"/>
        <w:snapToGrid w:val="0"/>
        <w:spacing w:beforeLines="50" w:afterLines="50"/>
        <w:jc w:val="center"/>
        <w:textAlignment w:val="baseline"/>
        <w:outlineLvl w:val="1"/>
        <w:rPr>
          <w:rFonts w:hint="eastAsia" w:ascii="宋体" w:hAnsi="宋体" w:eastAsia="宋体" w:cs="宋体"/>
          <w:b/>
          <w:color w:val="auto"/>
          <w:sz w:val="30"/>
          <w:szCs w:val="30"/>
        </w:rPr>
      </w:pPr>
      <w:bookmarkStart w:id="86" w:name="_Toc175032426"/>
      <w:bookmarkStart w:id="87" w:name="_Toc245176654"/>
      <w:bookmarkStart w:id="88" w:name="_Toc244623580"/>
      <w:bookmarkStart w:id="89" w:name="_Toc245658523"/>
      <w:bookmarkStart w:id="90" w:name="_Toc169838521"/>
      <w:bookmarkStart w:id="91" w:name="_Toc173549967"/>
      <w:bookmarkStart w:id="92" w:name="_Toc169846765"/>
      <w:bookmarkStart w:id="93" w:name="_Toc207897905"/>
      <w:bookmarkStart w:id="94" w:name="_Toc154482468"/>
      <w:bookmarkStart w:id="95" w:name="_Toc169846862"/>
      <w:bookmarkStart w:id="96" w:name="_Toc167591032"/>
      <w:bookmarkStart w:id="97" w:name="_Toc167591481"/>
      <w:bookmarkStart w:id="98" w:name="_Toc175033581"/>
      <w:bookmarkStart w:id="99" w:name="_Toc170980541"/>
      <w:bookmarkStart w:id="100" w:name="_Toc208337153"/>
      <w:bookmarkStart w:id="101" w:name="_Toc167591319"/>
      <w:bookmarkStart w:id="102" w:name="_Toc245657542"/>
      <w:bookmarkStart w:id="103" w:name="_Toc167849349"/>
      <w:bookmarkStart w:id="104" w:name="_Toc167591133"/>
      <w:bookmarkStart w:id="105" w:name="_Toc167590764"/>
      <w:bookmarkStart w:id="106" w:name="_Toc170980443"/>
      <w:r>
        <w:rPr>
          <w:rFonts w:hint="eastAsia" w:ascii="宋体" w:hAnsi="宋体" w:eastAsia="宋体" w:cs="宋体"/>
          <w:b/>
          <w:color w:val="auto"/>
          <w:sz w:val="30"/>
          <w:szCs w:val="30"/>
        </w:rPr>
        <w:t>四、投标文件的递交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5923DEE">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1</w:t>
      </w:r>
      <w:r>
        <w:rPr>
          <w:rFonts w:hint="eastAsia" w:hAnsi="宋体" w:cs="宋体"/>
          <w:b/>
          <w:color w:val="auto"/>
          <w:sz w:val="24"/>
          <w:lang w:val="en-US" w:eastAsia="zh-CN"/>
        </w:rPr>
        <w:t>5</w:t>
      </w:r>
      <w:r>
        <w:rPr>
          <w:rFonts w:hint="eastAsia" w:ascii="宋体" w:hAnsi="宋体" w:eastAsia="宋体" w:cs="宋体"/>
          <w:b/>
          <w:color w:val="auto"/>
          <w:sz w:val="24"/>
        </w:rPr>
        <w:t>. 电子版投标文件的递交</w:t>
      </w:r>
    </w:p>
    <w:p w14:paraId="3AEE6B55">
      <w:pPr>
        <w:adjustRightInd/>
        <w:spacing w:line="460" w:lineRule="exact"/>
        <w:ind w:firstLine="480" w:firstLineChars="200"/>
        <w:textAlignment w:val="auto"/>
        <w:outlineLvl w:val="0"/>
        <w:rPr>
          <w:rFonts w:hint="eastAsia" w:ascii="宋体" w:hAnsi="宋体" w:eastAsia="宋体" w:cs="宋体"/>
          <w:color w:val="auto"/>
          <w:sz w:val="24"/>
        </w:rPr>
      </w:pPr>
      <w:r>
        <w:rPr>
          <w:rFonts w:hint="eastAsia" w:ascii="宋体" w:hAnsi="宋体" w:eastAsia="宋体" w:cs="宋体"/>
          <w:color w:val="auto"/>
          <w:sz w:val="24"/>
        </w:rPr>
        <w:t>15.1 电子投标文件可于提交投标文件截止时间前任意时段登录全国公共资源交易平台（陕西省）网站[电子交易平台-企业端]进行提交，逾期系统将拒绝接收。提交时，供应商应登录全国公共资源交易中心平台（陕西省），选择“电子交易平台-陕西政府采购交易系统-企业端”进行登陆，登陆后选择“交易乙方”身份进入，进入菜单“采购业务-我的项目-项目流程-上传投标文件”，投标文件须进行签章、加密后上传，上传成功，电子化平台将予以记录。</w:t>
      </w:r>
    </w:p>
    <w:p w14:paraId="499B6660">
      <w:pPr>
        <w:adjustRightInd/>
        <w:spacing w:line="440" w:lineRule="exact"/>
        <w:ind w:firstLine="480" w:firstLineChars="200"/>
        <w:textAlignment w:val="auto"/>
        <w:outlineLvl w:val="0"/>
        <w:rPr>
          <w:rFonts w:hint="eastAsia" w:ascii="宋体" w:hAnsi="宋体" w:eastAsia="宋体" w:cs="宋体"/>
          <w:color w:val="auto"/>
          <w:sz w:val="24"/>
        </w:rPr>
      </w:pPr>
      <w:r>
        <w:rPr>
          <w:rFonts w:hint="eastAsia" w:ascii="宋体" w:hAnsi="宋体" w:eastAsia="宋体" w:cs="宋体"/>
          <w:b/>
          <w:bCs/>
          <w:color w:val="auto"/>
          <w:sz w:val="24"/>
          <w:lang w:val="en-US" w:eastAsia="zh-CN"/>
        </w:rPr>
        <w:t>注：下载招标文件-制作电子投标文件-生成加密文件-上传投标文件必须使用同一个数字认证证书（CA锁）</w:t>
      </w:r>
      <w:r>
        <w:rPr>
          <w:rFonts w:hint="eastAsia" w:ascii="宋体" w:hAnsi="宋体" w:eastAsia="宋体" w:cs="宋体"/>
          <w:color w:val="auto"/>
          <w:sz w:val="24"/>
          <w:lang w:val="en-US" w:eastAsia="zh-CN"/>
        </w:rPr>
        <w:t>。</w:t>
      </w:r>
    </w:p>
    <w:p w14:paraId="761F3733">
      <w:pPr>
        <w:pBdr>
          <w:top w:val="none" w:color="auto" w:sz="0" w:space="1"/>
          <w:left w:val="none" w:color="auto" w:sz="0" w:space="4"/>
          <w:bottom w:val="none" w:color="auto" w:sz="0" w:space="1"/>
          <w:right w:val="none" w:color="auto" w:sz="0" w:space="4"/>
        </w:pBdr>
        <w:spacing w:line="460" w:lineRule="exact"/>
        <w:ind w:firstLine="480" w:firstLineChars="200"/>
        <w:outlineLvl w:val="0"/>
        <w:rPr>
          <w:rFonts w:hint="eastAsia" w:ascii="宋体" w:hAnsi="宋体" w:eastAsia="宋体" w:cs="宋体"/>
          <w:color w:val="auto"/>
        </w:rPr>
      </w:pPr>
      <w:r>
        <w:rPr>
          <w:rFonts w:hint="eastAsia" w:ascii="宋体" w:hAnsi="宋体" w:eastAsia="宋体" w:cs="宋体"/>
          <w:color w:val="auto"/>
          <w:sz w:val="24"/>
        </w:rPr>
        <w:t>15.2 开标时投标供应商请务必</w:t>
      </w:r>
      <w:r>
        <w:rPr>
          <w:rFonts w:hint="eastAsia" w:hAnsi="宋体" w:cs="宋体"/>
          <w:color w:val="auto"/>
          <w:sz w:val="24"/>
          <w:lang w:val="en-US" w:eastAsia="zh-CN"/>
        </w:rPr>
        <w:t>使用</w:t>
      </w:r>
      <w:r>
        <w:rPr>
          <w:rFonts w:hint="eastAsia" w:ascii="宋体" w:hAnsi="宋体" w:eastAsia="宋体" w:cs="宋体"/>
          <w:color w:val="auto"/>
          <w:sz w:val="24"/>
        </w:rPr>
        <w:t>数字认证证书</w:t>
      </w:r>
      <w:r>
        <w:rPr>
          <w:rFonts w:hint="eastAsia" w:ascii="宋体" w:hAnsi="宋体" w:eastAsia="宋体" w:cs="宋体"/>
          <w:b/>
          <w:bCs/>
          <w:color w:val="auto"/>
          <w:sz w:val="24"/>
        </w:rPr>
        <w:t>（CA锁主锁）</w:t>
      </w:r>
      <w:r>
        <w:rPr>
          <w:rFonts w:hint="eastAsia" w:ascii="宋体" w:hAnsi="宋体" w:eastAsia="宋体" w:cs="宋体"/>
          <w:color w:val="auto"/>
          <w:sz w:val="24"/>
        </w:rPr>
        <w:t>对投标文件进行解密等相关投标事宜。如因投标供应商自身原因未</w:t>
      </w:r>
      <w:r>
        <w:rPr>
          <w:rFonts w:hint="eastAsia" w:hAnsi="宋体" w:cs="宋体"/>
          <w:color w:val="auto"/>
          <w:sz w:val="24"/>
          <w:lang w:val="en-US" w:eastAsia="zh-CN"/>
        </w:rPr>
        <w:t>正确使用</w:t>
      </w:r>
      <w:r>
        <w:rPr>
          <w:rFonts w:hint="eastAsia" w:ascii="宋体" w:hAnsi="宋体" w:eastAsia="宋体" w:cs="宋体"/>
          <w:color w:val="auto"/>
          <w:sz w:val="24"/>
        </w:rPr>
        <w:t>数字认证证书造成无法解密投标文件的，按无效投标处理。</w:t>
      </w:r>
    </w:p>
    <w:p w14:paraId="1A568E54">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16．投标截止日期</w:t>
      </w:r>
    </w:p>
    <w:p w14:paraId="0A23E2E0">
      <w:pPr>
        <w:keepNext w:val="0"/>
        <w:keepLines w:val="0"/>
        <w:pageBreakBefore w:val="0"/>
        <w:widowControl w:val="0"/>
        <w:kinsoku/>
        <w:wordWrap w:val="0"/>
        <w:overflowPunct/>
        <w:topLinePunct w:val="0"/>
        <w:autoSpaceDE/>
        <w:autoSpaceDN/>
        <w:bidi w:val="0"/>
        <w:adjustRightInd w:val="0"/>
        <w:snapToGrid/>
        <w:spacing w:line="460" w:lineRule="exact"/>
        <w:ind w:firstLine="480" w:firstLineChars="200"/>
        <w:textAlignment w:val="baseline"/>
        <w:rPr>
          <w:rFonts w:hint="eastAsia" w:ascii="宋体" w:hAnsi="宋体" w:eastAsia="宋体" w:cs="宋体"/>
          <w:color w:val="auto"/>
          <w:sz w:val="24"/>
        </w:rPr>
      </w:pPr>
      <w:r>
        <w:rPr>
          <w:rFonts w:hint="eastAsia" w:ascii="宋体" w:hAnsi="宋体" w:eastAsia="宋体" w:cs="宋体"/>
          <w:color w:val="auto"/>
          <w:sz w:val="24"/>
        </w:rPr>
        <w:t>16.1 供应商应在不迟于招标文件中规定的投标截止时间将电子版投标文件上传提交至全国公共资源交易中心平台（陕西省）网站电子交易平台，逾期将被拒绝接收。</w:t>
      </w:r>
    </w:p>
    <w:p w14:paraId="04150F1C">
      <w:pPr>
        <w:pBdr>
          <w:top w:val="none" w:color="auto" w:sz="0" w:space="1"/>
          <w:left w:val="none" w:color="auto" w:sz="0" w:space="4"/>
          <w:bottom w:val="none" w:color="auto" w:sz="0" w:space="1"/>
          <w:right w:val="none" w:color="auto" w:sz="0" w:space="4"/>
        </w:pBdr>
        <w:snapToGrid w:val="0"/>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16.2 采购代理机构可以按本须知</w:t>
      </w:r>
      <w:r>
        <w:rPr>
          <w:rFonts w:hint="eastAsia" w:ascii="宋体" w:hAnsi="宋体" w:eastAsia="宋体" w:cs="宋体"/>
          <w:snapToGrid w:val="0"/>
          <w:color w:val="auto"/>
          <w:kern w:val="24"/>
          <w:sz w:val="24"/>
        </w:rPr>
        <w:t>第5.3条</w:t>
      </w:r>
      <w:r>
        <w:rPr>
          <w:rFonts w:hint="eastAsia" w:ascii="宋体" w:hAnsi="宋体" w:eastAsia="宋体" w:cs="宋体"/>
          <w:snapToGrid w:val="0"/>
          <w:color w:val="auto"/>
          <w:sz w:val="24"/>
        </w:rPr>
        <w:t>规</w:t>
      </w:r>
      <w:r>
        <w:rPr>
          <w:rFonts w:hint="eastAsia" w:ascii="宋体" w:hAnsi="宋体" w:eastAsia="宋体" w:cs="宋体"/>
          <w:color w:val="auto"/>
          <w:sz w:val="24"/>
        </w:rPr>
        <w:t>定，通知因修改招标文件而适当延长投标截止期。在此情况下，招标采购单位和供应商受投标截止期制约的所有权利和义务均应延长至新的截止期。</w:t>
      </w:r>
    </w:p>
    <w:p w14:paraId="7E8FF28D">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17．迟交的投标文件</w:t>
      </w:r>
    </w:p>
    <w:p w14:paraId="03DF59E1">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17.1采购代理机构将拒绝接收投标截止时间后送达的任何电子版投标文件。</w:t>
      </w:r>
    </w:p>
    <w:p w14:paraId="66800042">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b/>
          <w:color w:val="auto"/>
          <w:sz w:val="24"/>
        </w:rPr>
        <w:t>18．投标文件的修改和撤回</w:t>
      </w:r>
    </w:p>
    <w:p w14:paraId="0AA7365B">
      <w:pPr>
        <w:spacing w:line="4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18.1 供应商在上传提交电子版投标文件后，投标截止时间前，可以修改或撤回其电子版投标文件。</w:t>
      </w:r>
    </w:p>
    <w:p w14:paraId="49D19B53">
      <w:pPr>
        <w:spacing w:line="4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18.2 在投标截止日期之后，供应商不得对其投标文件做任何修改或撤回。</w:t>
      </w:r>
    </w:p>
    <w:p w14:paraId="6CA5B78B">
      <w:pPr>
        <w:snapToGrid w:val="0"/>
        <w:spacing w:line="460" w:lineRule="exact"/>
        <w:ind w:firstLine="482"/>
        <w:rPr>
          <w:rFonts w:hint="eastAsia" w:ascii="宋体" w:hAnsi="宋体" w:eastAsia="宋体" w:cs="宋体"/>
          <w:color w:val="auto"/>
          <w:sz w:val="24"/>
          <w:szCs w:val="24"/>
        </w:rPr>
      </w:pPr>
      <w:r>
        <w:rPr>
          <w:rFonts w:hint="eastAsia" w:ascii="宋体" w:hAnsi="宋体" w:eastAsia="宋体" w:cs="宋体"/>
          <w:color w:val="auto"/>
          <w:sz w:val="24"/>
          <w:szCs w:val="24"/>
        </w:rPr>
        <w:t>18.3 从投标截止期始至招标文件确定的投标文件有效期期满这段时间内，供应商不得撤回其投标文件。</w:t>
      </w:r>
    </w:p>
    <w:p w14:paraId="7B2C7732">
      <w:pPr>
        <w:keepNext w:val="0"/>
        <w:keepLines w:val="0"/>
        <w:pageBreakBefore w:val="0"/>
        <w:widowControl w:val="0"/>
        <w:kinsoku/>
        <w:wordWrap/>
        <w:overflowPunct/>
        <w:topLinePunct w:val="0"/>
        <w:autoSpaceDE/>
        <w:autoSpaceDN/>
        <w:bidi w:val="0"/>
        <w:adjustRightInd w:val="0"/>
        <w:snapToGrid w:val="0"/>
        <w:spacing w:beforeLines="50" w:after="157" w:afterLines="50" w:line="440" w:lineRule="exact"/>
        <w:jc w:val="center"/>
        <w:textAlignment w:val="baseline"/>
        <w:outlineLvl w:val="1"/>
        <w:rPr>
          <w:rFonts w:hint="eastAsia" w:ascii="宋体" w:hAnsi="宋体" w:eastAsia="宋体" w:cs="宋体"/>
          <w:b/>
          <w:color w:val="auto"/>
          <w:sz w:val="30"/>
          <w:szCs w:val="30"/>
        </w:rPr>
      </w:pPr>
      <w:bookmarkStart w:id="107" w:name="_Toc154482469"/>
      <w:bookmarkStart w:id="108" w:name="_Toc208337154"/>
      <w:bookmarkStart w:id="109" w:name="_Toc169846863"/>
      <w:bookmarkStart w:id="110" w:name="_Toc245658524"/>
      <w:bookmarkStart w:id="111" w:name="_Toc245176655"/>
      <w:bookmarkStart w:id="112" w:name="_Toc167591320"/>
      <w:bookmarkStart w:id="113" w:name="_Toc170980542"/>
      <w:bookmarkStart w:id="114" w:name="_Toc245657543"/>
      <w:bookmarkStart w:id="115" w:name="_Toc167591482"/>
      <w:bookmarkStart w:id="116" w:name="_Toc175032427"/>
      <w:bookmarkStart w:id="117" w:name="_Toc175033582"/>
      <w:bookmarkStart w:id="118" w:name="_Toc170980444"/>
      <w:bookmarkStart w:id="119" w:name="_Toc167591134"/>
      <w:bookmarkStart w:id="120" w:name="_Toc169838522"/>
      <w:bookmarkStart w:id="121" w:name="_Toc173549968"/>
      <w:bookmarkStart w:id="122" w:name="_Toc167849350"/>
      <w:bookmarkStart w:id="123" w:name="_Toc207897906"/>
      <w:bookmarkStart w:id="124" w:name="_Toc244623581"/>
      <w:bookmarkStart w:id="125" w:name="_Toc167591033"/>
      <w:bookmarkStart w:id="126" w:name="_Toc169846766"/>
      <w:bookmarkStart w:id="127" w:name="_Toc167590765"/>
      <w:r>
        <w:rPr>
          <w:rFonts w:hint="eastAsia" w:ascii="宋体" w:hAnsi="宋体" w:eastAsia="宋体" w:cs="宋体"/>
          <w:b/>
          <w:color w:val="auto"/>
          <w:sz w:val="30"/>
          <w:szCs w:val="30"/>
        </w:rPr>
        <w:t>五、开标与评标</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6B6FB84E">
      <w:pPr>
        <w:pBdr>
          <w:top w:val="none" w:color="auto" w:sz="0" w:space="1"/>
          <w:left w:val="none" w:color="auto" w:sz="0" w:space="4"/>
          <w:bottom w:val="none" w:color="auto" w:sz="0" w:space="1"/>
          <w:right w:val="none" w:color="auto" w:sz="0" w:space="4"/>
        </w:pBdr>
        <w:snapToGrid w:val="0"/>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19．</w:t>
      </w:r>
      <w:r>
        <w:rPr>
          <w:rFonts w:hint="eastAsia" w:ascii="宋体" w:hAnsi="宋体" w:eastAsia="宋体" w:cs="宋体"/>
          <w:b/>
          <w:color w:val="auto"/>
          <w:sz w:val="24"/>
          <w:szCs w:val="24"/>
        </w:rPr>
        <w:t>电子版投标文件解密和评审</w:t>
      </w:r>
    </w:p>
    <w:p w14:paraId="24A37DF2">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19.1 采购代理机构组织开标、文件解密、评审工作，开标整个过程接受监督部门的监督。</w:t>
      </w:r>
    </w:p>
    <w:p w14:paraId="50FA0970">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19.2 </w:t>
      </w:r>
      <w:r>
        <w:rPr>
          <w:rFonts w:hint="eastAsia" w:ascii="宋体" w:hAnsi="宋体" w:eastAsia="宋体" w:cs="宋体"/>
          <w:color w:val="auto"/>
          <w:sz w:val="24"/>
          <w:lang w:val="en-US" w:eastAsia="zh-CN"/>
        </w:rPr>
        <w:t>采购代理机构在规定的时间和地点组织远程不见面开标，投标人无须委派代表出席开标现场</w:t>
      </w:r>
      <w:r>
        <w:rPr>
          <w:rFonts w:hint="eastAsia" w:ascii="宋体" w:hAnsi="宋体" w:eastAsia="宋体" w:cs="宋体"/>
          <w:color w:val="auto"/>
          <w:sz w:val="24"/>
        </w:rPr>
        <w:t>。</w:t>
      </w:r>
    </w:p>
    <w:p w14:paraId="062627DB">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19.3 </w:t>
      </w:r>
      <w:r>
        <w:rPr>
          <w:rFonts w:hint="eastAsia" w:ascii="宋体" w:hAnsi="宋体" w:eastAsia="宋体" w:cs="宋体"/>
          <w:color w:val="auto"/>
          <w:sz w:val="24"/>
          <w:lang w:val="en-US" w:eastAsia="zh-CN"/>
        </w:rPr>
        <w:t>本项目采用电子化投标及远程不见面开标方式。投标人须使用数字认证证书(CA锁)对电子投标文件进行签章、加密、递交及开标时解密等相关投标事宜。开标时投标人须使用数字认证证书（CA 锁），如因投标人自身原因未正确使用数字认证证书（CA 锁）造成无法解密投标文件，按无效投标对待</w:t>
      </w:r>
      <w:r>
        <w:rPr>
          <w:rFonts w:hint="eastAsia" w:ascii="宋体" w:hAnsi="宋体" w:eastAsia="宋体" w:cs="宋体"/>
          <w:color w:val="auto"/>
          <w:sz w:val="24"/>
        </w:rPr>
        <w:t>。</w:t>
      </w:r>
    </w:p>
    <w:p w14:paraId="666263B0">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19.4 </w:t>
      </w:r>
      <w:r>
        <w:rPr>
          <w:rFonts w:hint="eastAsia" w:ascii="宋体" w:hAnsi="宋体" w:eastAsia="宋体" w:cs="宋体"/>
          <w:b/>
          <w:bCs/>
          <w:color w:val="auto"/>
          <w:spacing w:val="0"/>
          <w:w w:val="100"/>
          <w:sz w:val="24"/>
          <w:lang w:val="en-US" w:eastAsia="zh-CN"/>
        </w:rPr>
        <w:t>不见面开标：打开安康市公共资源交易中心网页（http://ak.sxggzyjy.cn/），为保障正常操作，请使用IE11浏览器。</w:t>
      </w:r>
      <w:r>
        <w:rPr>
          <w:rFonts w:hint="eastAsia" w:ascii="宋体" w:hAnsi="宋体" w:eastAsia="宋体" w:cs="宋体"/>
          <w:color w:val="auto"/>
          <w:spacing w:val="0"/>
          <w:w w:val="100"/>
          <w:sz w:val="24"/>
          <w:lang w:val="en-US" w:eastAsia="zh-CN"/>
        </w:rPr>
        <w:t>选择点击“首页”——右下角点“不见面开标”，在右上角点击“登录”，选择“投标人”，插入 CA 锁登录，输入密码后，投标人登录之后可以看到当前投标人今日开标项目：1、选择要开标的项目，点击进入，页面首先阅读开标流程，点击“我已阅读”进入开标大厅，点击“取消”返回项目列表页面</w:t>
      </w:r>
      <w:r>
        <w:rPr>
          <w:rFonts w:hint="eastAsia" w:ascii="宋体" w:hAnsi="宋体" w:eastAsia="宋体" w:cs="宋体"/>
          <w:color w:val="auto"/>
          <w:sz w:val="24"/>
          <w:lang w:val="en-US" w:eastAsia="zh-CN"/>
        </w:rPr>
        <w:t>。</w:t>
      </w:r>
    </w:p>
    <w:p w14:paraId="19B34840">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19.5 开标签到：投标人等待开标时需要签到，等候开标。请在开标前完成签到，</w:t>
      </w:r>
      <w:r>
        <w:rPr>
          <w:rFonts w:hint="eastAsia" w:ascii="宋体" w:hAnsi="宋体" w:eastAsia="宋体" w:cs="宋体"/>
          <w:b/>
          <w:bCs/>
          <w:snapToGrid w:val="0"/>
          <w:color w:val="auto"/>
          <w:sz w:val="24"/>
        </w:rPr>
        <w:t>开标时间到了之后</w:t>
      </w:r>
      <w:r>
        <w:rPr>
          <w:rFonts w:hint="eastAsia" w:hAnsi="宋体" w:cs="宋体"/>
          <w:b/>
          <w:bCs/>
          <w:snapToGrid w:val="0"/>
          <w:color w:val="auto"/>
          <w:sz w:val="24"/>
          <w:lang w:val="en-US" w:eastAsia="zh-CN"/>
        </w:rPr>
        <w:t>进入不见面开标系统属于未按开标时间规定参与投标，视为自动弃标且</w:t>
      </w:r>
      <w:r>
        <w:rPr>
          <w:rFonts w:hint="eastAsia" w:ascii="宋体" w:hAnsi="宋体" w:eastAsia="宋体" w:cs="宋体"/>
          <w:b/>
          <w:bCs/>
          <w:snapToGrid w:val="0"/>
          <w:color w:val="auto"/>
          <w:sz w:val="24"/>
        </w:rPr>
        <w:t>不能签到</w:t>
      </w:r>
      <w:r>
        <w:rPr>
          <w:rFonts w:hint="eastAsia" w:ascii="宋体" w:hAnsi="宋体" w:eastAsia="宋体" w:cs="宋体"/>
          <w:color w:val="auto"/>
          <w:sz w:val="24"/>
          <w:lang w:val="en-US" w:eastAsia="zh-CN"/>
        </w:rPr>
        <w:t>；点击页面上“签到”按钮进行签到，开标前60分钟可以签到。签到成功之后，按钮灰化，无需再次签到，同时第一个座位图右下角出现绿色√。</w:t>
      </w:r>
    </w:p>
    <w:p w14:paraId="128BB47D">
      <w:pPr>
        <w:spacing w:line="44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19.6 </w:t>
      </w:r>
      <w:r>
        <w:rPr>
          <w:rFonts w:hint="eastAsia" w:ascii="宋体" w:hAnsi="宋体"/>
          <w:color w:val="auto"/>
          <w:kern w:val="0"/>
          <w:sz w:val="24"/>
          <w:szCs w:val="24"/>
          <w:highlight w:val="none"/>
        </w:rPr>
        <w:t>开标时，供应商须使用电子投标文件加密时所用的数字认证证书（CA 锁）在自备电脑上自行远程解密电子文件</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系统默认解密时长为 20 分钟，</w:t>
      </w:r>
      <w:r>
        <w:rPr>
          <w:rFonts w:hint="eastAsia" w:ascii="宋体" w:hAnsi="宋体"/>
          <w:color w:val="auto"/>
          <w:kern w:val="0"/>
          <w:sz w:val="24"/>
          <w:szCs w:val="24"/>
          <w:highlight w:val="none"/>
          <w:lang w:eastAsia="zh-CN"/>
        </w:rPr>
        <w:t>供应商</w:t>
      </w:r>
      <w:r>
        <w:rPr>
          <w:rFonts w:hint="eastAsia" w:ascii="宋体" w:hAnsi="宋体"/>
          <w:color w:val="auto"/>
          <w:kern w:val="0"/>
          <w:sz w:val="24"/>
          <w:szCs w:val="24"/>
          <w:highlight w:val="none"/>
        </w:rPr>
        <w:t>需在解密时间规定内完成</w:t>
      </w:r>
      <w:r>
        <w:rPr>
          <w:rFonts w:hint="eastAsia" w:ascii="宋体" w:hAnsi="宋体"/>
          <w:color w:val="auto"/>
          <w:kern w:val="0"/>
          <w:sz w:val="24"/>
          <w:szCs w:val="24"/>
          <w:highlight w:val="none"/>
          <w:lang w:eastAsia="zh-CN"/>
        </w:rPr>
        <w:t>文件</w:t>
      </w:r>
      <w:r>
        <w:rPr>
          <w:rFonts w:hint="eastAsia" w:ascii="宋体" w:hAnsi="宋体"/>
          <w:color w:val="auto"/>
          <w:kern w:val="0"/>
          <w:sz w:val="24"/>
          <w:szCs w:val="24"/>
          <w:highlight w:val="none"/>
        </w:rPr>
        <w:t>解密。所有</w:t>
      </w:r>
      <w:r>
        <w:rPr>
          <w:rFonts w:hint="eastAsia" w:ascii="宋体" w:hAnsi="宋体"/>
          <w:color w:val="auto"/>
          <w:kern w:val="0"/>
          <w:sz w:val="24"/>
          <w:szCs w:val="24"/>
          <w:highlight w:val="none"/>
          <w:lang w:eastAsia="zh-CN"/>
        </w:rPr>
        <w:t>供应商</w:t>
      </w:r>
      <w:r>
        <w:rPr>
          <w:rFonts w:hint="eastAsia" w:ascii="宋体" w:hAnsi="宋体"/>
          <w:color w:val="auto"/>
          <w:kern w:val="0"/>
          <w:sz w:val="24"/>
          <w:szCs w:val="24"/>
          <w:highlight w:val="none"/>
        </w:rPr>
        <w:t>解密完成后由</w:t>
      </w:r>
      <w:r>
        <w:rPr>
          <w:rFonts w:hint="eastAsia" w:ascii="宋体" w:hAnsi="宋体"/>
          <w:color w:val="auto"/>
          <w:kern w:val="0"/>
          <w:sz w:val="24"/>
          <w:szCs w:val="24"/>
          <w:highlight w:val="none"/>
          <w:lang w:eastAsia="zh-CN"/>
        </w:rPr>
        <w:t>工作</w:t>
      </w:r>
      <w:r>
        <w:rPr>
          <w:rFonts w:hint="eastAsia" w:ascii="宋体" w:hAnsi="宋体"/>
          <w:color w:val="auto"/>
          <w:kern w:val="0"/>
          <w:sz w:val="24"/>
          <w:szCs w:val="24"/>
          <w:highlight w:val="none"/>
        </w:rPr>
        <w:t>人员将</w:t>
      </w:r>
      <w:r>
        <w:rPr>
          <w:rFonts w:hint="eastAsia" w:ascii="宋体" w:hAnsi="宋体"/>
          <w:color w:val="auto"/>
          <w:kern w:val="0"/>
          <w:sz w:val="24"/>
          <w:szCs w:val="24"/>
          <w:highlight w:val="none"/>
          <w:lang w:val="en-US" w:eastAsia="zh-CN"/>
        </w:rPr>
        <w:t>投标</w:t>
      </w:r>
      <w:r>
        <w:rPr>
          <w:rFonts w:hint="eastAsia" w:ascii="宋体" w:hAnsi="宋体"/>
          <w:color w:val="auto"/>
          <w:kern w:val="0"/>
          <w:sz w:val="24"/>
          <w:szCs w:val="24"/>
          <w:highlight w:val="none"/>
        </w:rPr>
        <w:t>文件导入开评标系统。</w:t>
      </w:r>
    </w:p>
    <w:p w14:paraId="13E39F79">
      <w:pPr>
        <w:spacing w:line="44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 xml:space="preserve">19.7 </w:t>
      </w:r>
      <w:r>
        <w:rPr>
          <w:rFonts w:hint="eastAsia" w:ascii="宋体" w:hAnsi="宋体" w:eastAsia="宋体" w:cs="宋体"/>
          <w:color w:val="auto"/>
          <w:sz w:val="24"/>
          <w:lang w:val="en-US" w:eastAsia="zh-CN"/>
        </w:rPr>
        <w:t>建议投标人在开标前半小时登录不见面开标大厅，并及时签到（开标前 60 分钟即可签到），遇到问题及时联系客服 4009280095。</w:t>
      </w:r>
      <w:r>
        <w:rPr>
          <w:rFonts w:hint="eastAsia" w:ascii="宋体" w:hAnsi="宋体"/>
          <w:color w:val="auto"/>
          <w:kern w:val="0"/>
          <w:sz w:val="24"/>
          <w:szCs w:val="24"/>
          <w:highlight w:val="none"/>
        </w:rPr>
        <w:t>请及时关注不见面开播大厅右侧公告及互动栏目信息。</w:t>
      </w:r>
    </w:p>
    <w:p w14:paraId="34BB6F57">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w:t>
      </w:r>
      <w:r>
        <w:rPr>
          <w:rFonts w:hint="eastAsia" w:hAnsi="宋体" w:cs="宋体"/>
          <w:color w:val="auto"/>
          <w:sz w:val="24"/>
          <w:lang w:val="en-US" w:eastAsia="zh-CN"/>
        </w:rPr>
        <w:t>8</w:t>
      </w:r>
      <w:r>
        <w:rPr>
          <w:rFonts w:hint="eastAsia" w:ascii="宋体" w:hAnsi="宋体" w:eastAsia="宋体" w:cs="宋体"/>
          <w:color w:val="auto"/>
          <w:sz w:val="24"/>
        </w:rPr>
        <w:t xml:space="preserve"> 采购代理机构将在开标会议现场做开标记录，开标记录包括开标时录入的全部内容。</w:t>
      </w:r>
    </w:p>
    <w:p w14:paraId="73B06422">
      <w:pPr>
        <w:pBdr>
          <w:top w:val="none" w:color="auto" w:sz="0" w:space="1"/>
          <w:left w:val="none" w:color="auto" w:sz="0" w:space="4"/>
          <w:bottom w:val="none" w:color="auto" w:sz="0" w:space="1"/>
          <w:right w:val="none" w:color="auto" w:sz="0" w:space="4"/>
        </w:pBd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w:t>
      </w:r>
      <w:r>
        <w:rPr>
          <w:rFonts w:hint="eastAsia" w:hAnsi="宋体" w:cs="宋体"/>
          <w:color w:val="auto"/>
          <w:sz w:val="24"/>
          <w:lang w:val="en-US" w:eastAsia="zh-CN"/>
        </w:rPr>
        <w:t>9</w:t>
      </w:r>
      <w:r>
        <w:rPr>
          <w:rFonts w:hint="eastAsia" w:ascii="宋体" w:hAnsi="宋体" w:eastAsia="宋体" w:cs="宋体"/>
          <w:color w:val="auto"/>
          <w:sz w:val="24"/>
        </w:rPr>
        <w:t xml:space="preserve"> 特殊情形下的应急处置：在开标、评审过程中，如因停电、断网、电子化系统故障等特殊原因导致电子化开、评标无法正常进行时，将按照《安康市公共资源交易平台电子化交易应急处置管理办法（试行）》进行处理。</w:t>
      </w:r>
    </w:p>
    <w:p w14:paraId="36128BE0">
      <w:pPr>
        <w:spacing w:line="460" w:lineRule="exact"/>
        <w:ind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20．评标委员会</w:t>
      </w:r>
    </w:p>
    <w:p w14:paraId="72FA13F7">
      <w:pPr>
        <w:spacing w:line="460" w:lineRule="exact"/>
        <w:ind w:firstLine="480" w:firstLineChars="200"/>
        <w:rPr>
          <w:rFonts w:hint="eastAsia" w:ascii="宋体" w:hAnsi="宋体" w:eastAsia="宋体" w:cs="宋体"/>
          <w:snapToGrid w:val="0"/>
          <w:color w:val="auto"/>
          <w:sz w:val="24"/>
          <w:szCs w:val="24"/>
        </w:rPr>
      </w:pPr>
      <w:r>
        <w:rPr>
          <w:rFonts w:hint="eastAsia" w:ascii="宋体" w:hAnsi="宋体" w:eastAsia="宋体" w:cs="宋体"/>
          <w:color w:val="auto"/>
          <w:sz w:val="24"/>
          <w:szCs w:val="24"/>
        </w:rPr>
        <w:t>20.1 采购人</w:t>
      </w:r>
      <w:r>
        <w:rPr>
          <w:rFonts w:hint="eastAsia" w:ascii="宋体" w:hAnsi="宋体" w:eastAsia="宋体" w:cs="宋体"/>
          <w:snapToGrid w:val="0"/>
          <w:color w:val="auto"/>
          <w:sz w:val="24"/>
          <w:szCs w:val="24"/>
        </w:rPr>
        <w:t>将按照《中华人民共和国政府采购法》、《政府采购货物和服务招标投标管理办法》及有关规定组建评标委员会。</w:t>
      </w:r>
    </w:p>
    <w:p w14:paraId="7C6A6926">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20.2 评标委员会由采购人代表及评审专家组成，专家从陕西省政府采购（专家库中）随机抽取产生。</w:t>
      </w:r>
    </w:p>
    <w:p w14:paraId="117200BC">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20.3 评标委员会负责评标工作，对投标文件进行审查和评估，并向采购人提交书面评审意见。</w:t>
      </w:r>
    </w:p>
    <w:p w14:paraId="0883FB59">
      <w:pPr>
        <w:spacing w:line="460" w:lineRule="exact"/>
        <w:ind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21．评标过程的保密性</w:t>
      </w:r>
    </w:p>
    <w:p w14:paraId="05B2FE0E">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21.1 文件解密后，直至发布中标公告时止，凡与审查、澄清、评价和比较投标的有关资料以及授标意见等，均属保密范围，评标委员会及招标工作人员不得向供应商及与评标无关的其他人透露。</w:t>
      </w:r>
    </w:p>
    <w:p w14:paraId="23F3E6F6">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21.2 在评标过程中，如果供应商试图在投标文件审查、澄清、比较及授予合同方面向评标委员会或采购人施加任何影响，其投标将被拒绝。</w:t>
      </w:r>
    </w:p>
    <w:p w14:paraId="64833CCF">
      <w:pPr>
        <w:spacing w:line="460" w:lineRule="exact"/>
        <w:ind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22. 投标文件的澄清</w:t>
      </w:r>
    </w:p>
    <w:p w14:paraId="78083FCB">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22.1 在评标期间，为有助于对投标文件的审查、评价和比较，评标委员会可分别要求供应商对其投标文件进行澄清或说明，有关澄清或说明的要求和答复应以书面形式提交。澄清和说明的内容不得超出投标文件的范围或改变投标文件实质性内容。</w:t>
      </w:r>
    </w:p>
    <w:p w14:paraId="1DCED7E8">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23. </w:t>
      </w:r>
      <w:r>
        <w:rPr>
          <w:rFonts w:hint="eastAsia" w:ascii="宋体" w:hAnsi="宋体" w:eastAsia="宋体" w:cs="宋体"/>
          <w:b/>
          <w:color w:val="auto"/>
          <w:sz w:val="24"/>
          <w:szCs w:val="24"/>
        </w:rPr>
        <w:t>出现下列情况之一的，其电子版投标文件视为无效文件：</w:t>
      </w:r>
    </w:p>
    <w:p w14:paraId="52C529C6">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（1）供应商拒绝对电子版投标文件进行解密的；</w:t>
      </w:r>
    </w:p>
    <w:p w14:paraId="6F629EA0">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（2）因供应商自身原因(如未带CA锁或所带CA锁与制作电子投标文件使用的CA锁不一致，或延用旧版本招标文件编制投标文件等情形)，导致在规定时间内无法解密投标文件的；</w:t>
      </w:r>
    </w:p>
    <w:p w14:paraId="5A30B020">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（3）上传的电子投标文件无法打开的或投标响应缺项、漏项的；</w:t>
      </w:r>
    </w:p>
    <w:p w14:paraId="12310060">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（4）投标文件未按照招标文件要求签署、盖章的；</w:t>
      </w:r>
    </w:p>
    <w:p w14:paraId="4C0ECFD4">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（5）不具备招标文件中规定的资格要求的；</w:t>
      </w:r>
    </w:p>
    <w:p w14:paraId="3E83063A">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（6）报价超过招标文件中规定的预算金额或者最高限价的；</w:t>
      </w:r>
    </w:p>
    <w:p w14:paraId="64A122EC">
      <w:pPr>
        <w:pStyle w:val="25"/>
        <w:pBdr>
          <w:top w:val="none" w:color="auto" w:sz="0" w:space="1"/>
          <w:left w:val="none" w:color="auto" w:sz="0" w:space="4"/>
          <w:bottom w:val="none" w:color="auto" w:sz="0" w:space="1"/>
          <w:right w:val="none" w:color="auto" w:sz="0" w:space="4"/>
        </w:pBdr>
        <w:adjustRightInd/>
        <w:spacing w:after="0" w:line="46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（7）投标文件含有采购人不能接受的附加条件的；</w:t>
      </w:r>
    </w:p>
    <w:p w14:paraId="090CC85A">
      <w:pPr>
        <w:spacing w:line="46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（8）法律、法规和招标文件规定的其他无效情形。</w:t>
      </w:r>
    </w:p>
    <w:p w14:paraId="2789DEC3">
      <w:pPr>
        <w:spacing w:line="460" w:lineRule="exact"/>
        <w:ind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24．投标文件的初审</w:t>
      </w:r>
    </w:p>
    <w:p w14:paraId="1601ADA3">
      <w:pPr>
        <w:spacing w:line="460" w:lineRule="exact"/>
        <w:ind w:firstLine="480" w:firstLineChars="200"/>
        <w:rPr>
          <w:rFonts w:hint="eastAsia"/>
        </w:rPr>
      </w:pPr>
      <w:r>
        <w:rPr>
          <w:rFonts w:hint="eastAsia" w:ascii="宋体" w:hAnsi="宋体" w:eastAsia="宋体" w:cs="宋体"/>
          <w:color w:val="auto"/>
          <w:sz w:val="24"/>
          <w:szCs w:val="24"/>
        </w:rPr>
        <w:t xml:space="preserve">24.1 </w:t>
      </w:r>
      <w:r>
        <w:rPr>
          <w:rFonts w:hint="eastAsia" w:ascii="宋体" w:hAnsi="宋体" w:eastAsia="宋体" w:cs="宋体"/>
          <w:color w:val="auto"/>
          <w:sz w:val="24"/>
        </w:rPr>
        <w:t>资质有效性评审：本次招标所要求的必备资质证明文件，缺其中一项或某项达不到招标文件要求，均按无效文件处理。</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93"/>
        <w:gridCol w:w="1546"/>
        <w:gridCol w:w="6839"/>
      </w:tblGrid>
      <w:tr w14:paraId="79C0C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4" w:hRule="exact"/>
          <w:jc w:val="center"/>
        </w:trPr>
        <w:tc>
          <w:tcPr>
            <w:tcW w:w="432" w:type="pct"/>
            <w:tcBorders>
              <w:top w:val="single" w:color="auto" w:sz="4" w:space="0"/>
              <w:left w:val="single" w:color="auto" w:sz="4" w:space="0"/>
              <w:bottom w:val="single" w:color="auto" w:sz="4" w:space="0"/>
              <w:right w:val="single" w:color="auto" w:sz="4" w:space="0"/>
            </w:tcBorders>
            <w:vAlign w:val="center"/>
          </w:tcPr>
          <w:p w14:paraId="55008C2A">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842" w:type="pct"/>
            <w:tcBorders>
              <w:top w:val="single" w:color="auto" w:sz="4" w:space="0"/>
              <w:left w:val="single" w:color="auto" w:sz="4" w:space="0"/>
              <w:bottom w:val="single" w:color="auto" w:sz="4" w:space="0"/>
              <w:right w:val="single" w:color="auto" w:sz="4" w:space="0"/>
            </w:tcBorders>
            <w:vAlign w:val="center"/>
          </w:tcPr>
          <w:p w14:paraId="1C4CEDB8">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审查因素</w:t>
            </w:r>
          </w:p>
        </w:tc>
        <w:tc>
          <w:tcPr>
            <w:tcW w:w="3725" w:type="pct"/>
            <w:tcBorders>
              <w:top w:val="single" w:color="auto" w:sz="4" w:space="0"/>
              <w:left w:val="single" w:color="auto" w:sz="4" w:space="0"/>
              <w:bottom w:val="single" w:color="auto" w:sz="4" w:space="0"/>
              <w:right w:val="single" w:color="auto" w:sz="4" w:space="0"/>
            </w:tcBorders>
            <w:vAlign w:val="center"/>
          </w:tcPr>
          <w:p w14:paraId="2AC88FAD">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审查标准</w:t>
            </w:r>
          </w:p>
        </w:tc>
      </w:tr>
      <w:tr w14:paraId="0207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3" w:hRule="exact"/>
          <w:jc w:val="center"/>
        </w:trPr>
        <w:tc>
          <w:tcPr>
            <w:tcW w:w="432" w:type="pct"/>
            <w:tcBorders>
              <w:top w:val="single" w:color="auto" w:sz="4" w:space="0"/>
              <w:left w:val="single" w:color="auto" w:sz="4" w:space="0"/>
              <w:right w:val="single" w:color="auto" w:sz="4" w:space="0"/>
            </w:tcBorders>
            <w:vAlign w:val="center"/>
          </w:tcPr>
          <w:p w14:paraId="5078B10D">
            <w:pPr>
              <w:spacing w:line="34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p>
        </w:tc>
        <w:tc>
          <w:tcPr>
            <w:tcW w:w="842" w:type="pct"/>
            <w:tcBorders>
              <w:top w:val="single" w:color="auto" w:sz="4" w:space="0"/>
              <w:left w:val="single" w:color="auto" w:sz="4" w:space="0"/>
              <w:bottom w:val="single" w:color="auto" w:sz="4" w:space="0"/>
              <w:right w:val="single" w:color="auto" w:sz="4" w:space="0"/>
            </w:tcBorders>
            <w:vAlign w:val="center"/>
          </w:tcPr>
          <w:p w14:paraId="093AB94D">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营业执照</w:t>
            </w:r>
          </w:p>
        </w:tc>
        <w:tc>
          <w:tcPr>
            <w:tcW w:w="3725" w:type="pct"/>
            <w:tcBorders>
              <w:top w:val="single" w:color="auto" w:sz="4" w:space="0"/>
              <w:left w:val="single" w:color="auto" w:sz="4" w:space="0"/>
              <w:bottom w:val="single" w:color="auto" w:sz="4" w:space="0"/>
              <w:right w:val="single" w:color="auto" w:sz="4" w:space="0"/>
            </w:tcBorders>
            <w:vAlign w:val="center"/>
          </w:tcPr>
          <w:p w14:paraId="4F5A0DB3">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具有独立承担民事责任能力的法人、其他组织或自然人，提供年检有效的统一社会信用代码的营业执照。</w:t>
            </w:r>
          </w:p>
        </w:tc>
      </w:tr>
      <w:tr w14:paraId="43EC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9" w:hRule="atLeast"/>
          <w:jc w:val="center"/>
        </w:trPr>
        <w:tc>
          <w:tcPr>
            <w:tcW w:w="432" w:type="pct"/>
            <w:tcBorders>
              <w:left w:val="single" w:color="auto" w:sz="4" w:space="0"/>
              <w:right w:val="single" w:color="auto" w:sz="4" w:space="0"/>
            </w:tcBorders>
            <w:vAlign w:val="center"/>
          </w:tcPr>
          <w:p w14:paraId="7250A3EB">
            <w:pPr>
              <w:spacing w:line="34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2</w:t>
            </w:r>
          </w:p>
        </w:tc>
        <w:tc>
          <w:tcPr>
            <w:tcW w:w="842" w:type="pct"/>
            <w:tcBorders>
              <w:top w:val="single" w:color="auto" w:sz="4" w:space="0"/>
              <w:left w:val="single" w:color="auto" w:sz="4" w:space="0"/>
              <w:bottom w:val="single" w:color="auto" w:sz="4" w:space="0"/>
              <w:right w:val="single" w:color="auto" w:sz="4" w:space="0"/>
            </w:tcBorders>
            <w:vAlign w:val="center"/>
          </w:tcPr>
          <w:p w14:paraId="1C53D342">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授权委托书</w:t>
            </w:r>
          </w:p>
        </w:tc>
        <w:tc>
          <w:tcPr>
            <w:tcW w:w="3725" w:type="pct"/>
            <w:tcBorders>
              <w:top w:val="single" w:color="auto" w:sz="4" w:space="0"/>
              <w:left w:val="single" w:color="auto" w:sz="4" w:space="0"/>
              <w:bottom w:val="single" w:color="auto" w:sz="4" w:space="0"/>
              <w:right w:val="single" w:color="auto" w:sz="4" w:space="0"/>
            </w:tcBorders>
            <w:vAlign w:val="center"/>
          </w:tcPr>
          <w:p w14:paraId="07039552">
            <w:pPr>
              <w:tabs>
                <w:tab w:val="left" w:pos="210"/>
              </w:tabs>
              <w:spacing w:line="34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法定代表人直接参加投标的，须出具法定代表人身份证；法定代表人授权代表参加投标的，须出具法定代表人授权委托书及被授权代表身份证。</w:t>
            </w:r>
          </w:p>
        </w:tc>
      </w:tr>
      <w:tr w14:paraId="28FD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32" w:type="pct"/>
            <w:tcBorders>
              <w:left w:val="single" w:color="auto" w:sz="4" w:space="0"/>
              <w:right w:val="single" w:color="auto" w:sz="4" w:space="0"/>
            </w:tcBorders>
            <w:vAlign w:val="center"/>
          </w:tcPr>
          <w:p w14:paraId="2D1C2303">
            <w:pPr>
              <w:spacing w:line="340" w:lineRule="exact"/>
              <w:jc w:val="center"/>
              <w:rPr>
                <w:rFonts w:hint="default" w:ascii="宋体" w:hAnsi="宋体" w:eastAsia="宋体" w:cs="宋体"/>
                <w:bCs/>
                <w:color w:val="auto"/>
                <w:sz w:val="21"/>
                <w:szCs w:val="21"/>
                <w:lang w:val="en-US" w:eastAsia="zh-CN"/>
              </w:rPr>
            </w:pPr>
            <w:r>
              <w:rPr>
                <w:rFonts w:hint="eastAsia" w:hAnsi="宋体" w:cs="宋体"/>
                <w:bCs/>
                <w:color w:val="auto"/>
                <w:sz w:val="21"/>
                <w:szCs w:val="21"/>
                <w:lang w:val="en-US" w:eastAsia="zh-CN"/>
              </w:rPr>
              <w:t>3</w:t>
            </w:r>
          </w:p>
        </w:tc>
        <w:tc>
          <w:tcPr>
            <w:tcW w:w="842" w:type="pct"/>
            <w:tcBorders>
              <w:top w:val="single" w:color="auto" w:sz="4" w:space="0"/>
              <w:left w:val="single" w:color="auto" w:sz="4" w:space="0"/>
              <w:bottom w:val="single" w:color="auto" w:sz="4" w:space="0"/>
              <w:right w:val="single" w:color="auto" w:sz="4" w:space="0"/>
            </w:tcBorders>
            <w:vAlign w:val="center"/>
          </w:tcPr>
          <w:p w14:paraId="0E2B6538">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健全的财务</w:t>
            </w:r>
          </w:p>
          <w:p w14:paraId="677FCB75">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会计制度</w:t>
            </w:r>
          </w:p>
        </w:tc>
        <w:tc>
          <w:tcPr>
            <w:tcW w:w="3725" w:type="pct"/>
            <w:tcBorders>
              <w:top w:val="single" w:color="auto" w:sz="4" w:space="0"/>
              <w:left w:val="single" w:color="auto" w:sz="4" w:space="0"/>
              <w:bottom w:val="single" w:color="auto" w:sz="4" w:space="0"/>
              <w:right w:val="single" w:color="auto" w:sz="4" w:space="0"/>
            </w:tcBorders>
            <w:vAlign w:val="center"/>
          </w:tcPr>
          <w:p w14:paraId="29227F19">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w:t>
            </w:r>
          </w:p>
        </w:tc>
      </w:tr>
      <w:tr w14:paraId="093DA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44" w:hRule="atLeast"/>
          <w:jc w:val="center"/>
        </w:trPr>
        <w:tc>
          <w:tcPr>
            <w:tcW w:w="432" w:type="pct"/>
            <w:tcBorders>
              <w:left w:val="single" w:color="auto" w:sz="4" w:space="0"/>
              <w:right w:val="single" w:color="auto" w:sz="4" w:space="0"/>
            </w:tcBorders>
            <w:vAlign w:val="center"/>
          </w:tcPr>
          <w:p w14:paraId="60B093CC">
            <w:pPr>
              <w:spacing w:line="340" w:lineRule="exact"/>
              <w:jc w:val="center"/>
              <w:rPr>
                <w:rFonts w:hint="default" w:ascii="宋体" w:hAnsi="宋体" w:eastAsia="宋体" w:cs="宋体"/>
                <w:bCs/>
                <w:color w:val="auto"/>
                <w:sz w:val="21"/>
                <w:szCs w:val="21"/>
                <w:lang w:val="en-US" w:eastAsia="zh-CN"/>
              </w:rPr>
            </w:pPr>
            <w:r>
              <w:rPr>
                <w:rFonts w:hint="eastAsia" w:hAnsi="宋体" w:cs="宋体"/>
                <w:bCs/>
                <w:color w:val="auto"/>
                <w:sz w:val="21"/>
                <w:szCs w:val="21"/>
                <w:lang w:val="en-US" w:eastAsia="zh-CN"/>
              </w:rPr>
              <w:t>4</w:t>
            </w:r>
          </w:p>
        </w:tc>
        <w:tc>
          <w:tcPr>
            <w:tcW w:w="842" w:type="pct"/>
            <w:tcBorders>
              <w:top w:val="single" w:color="auto" w:sz="4" w:space="0"/>
              <w:left w:val="single" w:color="auto" w:sz="4" w:space="0"/>
              <w:bottom w:val="single" w:color="auto" w:sz="4" w:space="0"/>
              <w:right w:val="single" w:color="auto" w:sz="4" w:space="0"/>
            </w:tcBorders>
            <w:vAlign w:val="center"/>
          </w:tcPr>
          <w:p w14:paraId="553283EA">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社会保障资金</w:t>
            </w:r>
          </w:p>
          <w:p w14:paraId="25F508CC">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缴纳证明</w:t>
            </w:r>
          </w:p>
        </w:tc>
        <w:tc>
          <w:tcPr>
            <w:tcW w:w="3725" w:type="pct"/>
            <w:tcBorders>
              <w:top w:val="single" w:color="auto" w:sz="4" w:space="0"/>
              <w:left w:val="single" w:color="auto" w:sz="4" w:space="0"/>
              <w:bottom w:val="single" w:color="auto" w:sz="4" w:space="0"/>
              <w:right w:val="single" w:color="auto" w:sz="4" w:space="0"/>
            </w:tcBorders>
            <w:vAlign w:val="center"/>
          </w:tcPr>
          <w:p w14:paraId="73054FE6">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社会保障资金缴纳证明：提供2025年1</w:t>
            </w:r>
            <w:r>
              <w:rPr>
                <w:rFonts w:hint="eastAsia" w:hAnsi="宋体" w:cs="宋体"/>
                <w:color w:val="auto"/>
                <w:sz w:val="21"/>
                <w:szCs w:val="21"/>
                <w:lang w:val="en-US" w:eastAsia="zh-CN"/>
              </w:rPr>
              <w:t>0</w:t>
            </w:r>
            <w:r>
              <w:rPr>
                <w:rFonts w:hint="eastAsia" w:ascii="宋体" w:hAnsi="宋体" w:eastAsia="宋体" w:cs="宋体"/>
                <w:color w:val="auto"/>
                <w:sz w:val="21"/>
                <w:szCs w:val="21"/>
              </w:rPr>
              <w:t>月至</w:t>
            </w:r>
            <w:r>
              <w:rPr>
                <w:rFonts w:hint="eastAsia" w:hAnsi="宋体" w:cs="宋体"/>
                <w:color w:val="auto"/>
                <w:sz w:val="21"/>
                <w:szCs w:val="21"/>
                <w:lang w:val="en-US" w:eastAsia="zh-CN"/>
              </w:rPr>
              <w:t>项目</w:t>
            </w:r>
            <w:r>
              <w:rPr>
                <w:rFonts w:hint="eastAsia" w:ascii="宋体" w:hAnsi="宋体" w:eastAsia="宋体" w:cs="宋体"/>
                <w:color w:val="auto"/>
                <w:sz w:val="21"/>
                <w:szCs w:val="21"/>
              </w:rPr>
              <w:t>开标前任意</w:t>
            </w:r>
            <w:r>
              <w:rPr>
                <w:rFonts w:hint="eastAsia" w:hAnsi="宋体" w:cs="宋体"/>
                <w:color w:val="auto"/>
                <w:sz w:val="21"/>
                <w:szCs w:val="21"/>
                <w:lang w:val="en-US" w:eastAsia="zh-CN"/>
              </w:rPr>
              <w:t>三</w:t>
            </w:r>
            <w:r>
              <w:rPr>
                <w:rFonts w:hint="eastAsia" w:ascii="宋体" w:hAnsi="宋体" w:eastAsia="宋体" w:cs="宋体"/>
                <w:color w:val="auto"/>
                <w:sz w:val="21"/>
                <w:szCs w:val="21"/>
              </w:rPr>
              <w:t>个月的社会保障资金缴纳证明或社会保险缴纳清单或社会保险缴纳专用收据（依法不需要缴纳社会保障资金或新成立的投标单位应提供相关文件证明）。</w:t>
            </w:r>
          </w:p>
        </w:tc>
      </w:tr>
      <w:tr w14:paraId="01CC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2" w:hRule="atLeast"/>
          <w:jc w:val="center"/>
        </w:trPr>
        <w:tc>
          <w:tcPr>
            <w:tcW w:w="432" w:type="pct"/>
            <w:tcBorders>
              <w:left w:val="single" w:color="auto" w:sz="4" w:space="0"/>
              <w:right w:val="single" w:color="auto" w:sz="4" w:space="0"/>
            </w:tcBorders>
            <w:vAlign w:val="center"/>
          </w:tcPr>
          <w:p w14:paraId="4A8A8B0C">
            <w:pPr>
              <w:spacing w:line="340" w:lineRule="exact"/>
              <w:jc w:val="center"/>
              <w:rPr>
                <w:rFonts w:hint="default" w:ascii="宋体" w:hAnsi="宋体" w:eastAsia="宋体" w:cs="宋体"/>
                <w:bCs/>
                <w:color w:val="auto"/>
                <w:sz w:val="21"/>
                <w:szCs w:val="21"/>
                <w:lang w:val="en-US" w:eastAsia="zh-CN"/>
              </w:rPr>
            </w:pPr>
            <w:r>
              <w:rPr>
                <w:rFonts w:hint="eastAsia" w:hAnsi="宋体" w:cs="宋体"/>
                <w:bCs/>
                <w:color w:val="auto"/>
                <w:sz w:val="21"/>
                <w:szCs w:val="21"/>
                <w:lang w:val="en-US" w:eastAsia="zh-CN"/>
              </w:rPr>
              <w:t>5</w:t>
            </w:r>
          </w:p>
        </w:tc>
        <w:tc>
          <w:tcPr>
            <w:tcW w:w="842" w:type="pct"/>
            <w:tcBorders>
              <w:top w:val="single" w:color="auto" w:sz="4" w:space="0"/>
              <w:left w:val="single" w:color="auto" w:sz="4" w:space="0"/>
              <w:bottom w:val="single" w:color="auto" w:sz="4" w:space="0"/>
              <w:right w:val="single" w:color="auto" w:sz="4" w:space="0"/>
            </w:tcBorders>
            <w:vAlign w:val="center"/>
          </w:tcPr>
          <w:p w14:paraId="5C11B1C8">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税收缴纳证明</w:t>
            </w:r>
          </w:p>
        </w:tc>
        <w:tc>
          <w:tcPr>
            <w:tcW w:w="3725" w:type="pct"/>
            <w:tcBorders>
              <w:top w:val="single" w:color="auto" w:sz="4" w:space="0"/>
              <w:left w:val="single" w:color="auto" w:sz="4" w:space="0"/>
              <w:bottom w:val="single" w:color="auto" w:sz="4" w:space="0"/>
              <w:right w:val="single" w:color="auto" w:sz="4" w:space="0"/>
            </w:tcBorders>
            <w:vAlign w:val="center"/>
          </w:tcPr>
          <w:p w14:paraId="6FEAEF49">
            <w:pPr>
              <w:spacing w:line="340" w:lineRule="exact"/>
              <w:rPr>
                <w:rFonts w:hint="eastAsia" w:ascii="宋体" w:hAnsi="宋体" w:eastAsia="宋体" w:cs="宋体"/>
                <w:color w:val="auto"/>
                <w:sz w:val="21"/>
                <w:szCs w:val="21"/>
                <w:lang w:eastAsia="zh-CN"/>
              </w:rPr>
            </w:pPr>
            <w:r>
              <w:rPr>
                <w:rFonts w:hint="eastAsia" w:hAnsi="宋体" w:cs="宋体"/>
                <w:color w:val="auto"/>
                <w:sz w:val="21"/>
                <w:szCs w:val="21"/>
                <w:lang w:eastAsia="zh-CN"/>
              </w:rPr>
              <w:t>税收缴纳证明：提供2025年1</w:t>
            </w:r>
            <w:r>
              <w:rPr>
                <w:rFonts w:hint="eastAsia" w:hAnsi="宋体" w:cs="宋体"/>
                <w:color w:val="auto"/>
                <w:sz w:val="21"/>
                <w:szCs w:val="21"/>
                <w:lang w:val="en-US" w:eastAsia="zh-CN"/>
              </w:rPr>
              <w:t>0</w:t>
            </w:r>
            <w:r>
              <w:rPr>
                <w:rFonts w:hint="eastAsia" w:hAnsi="宋体" w:cs="宋体"/>
                <w:color w:val="auto"/>
                <w:sz w:val="21"/>
                <w:szCs w:val="21"/>
                <w:lang w:eastAsia="zh-CN"/>
              </w:rPr>
              <w:t>月至</w:t>
            </w:r>
            <w:r>
              <w:rPr>
                <w:rFonts w:hint="eastAsia" w:hAnsi="宋体" w:cs="宋体"/>
                <w:color w:val="auto"/>
                <w:sz w:val="21"/>
                <w:szCs w:val="21"/>
                <w:lang w:val="en-US" w:eastAsia="zh-CN"/>
              </w:rPr>
              <w:t>项目</w:t>
            </w:r>
            <w:r>
              <w:rPr>
                <w:rFonts w:hint="eastAsia" w:hAnsi="宋体" w:cs="宋体"/>
                <w:color w:val="auto"/>
                <w:sz w:val="21"/>
                <w:szCs w:val="21"/>
                <w:lang w:eastAsia="zh-CN"/>
              </w:rPr>
              <w:t>开标前任意</w:t>
            </w:r>
            <w:r>
              <w:rPr>
                <w:rFonts w:hint="eastAsia" w:hAnsi="宋体" w:cs="宋体"/>
                <w:color w:val="auto"/>
                <w:sz w:val="21"/>
                <w:szCs w:val="21"/>
                <w:lang w:val="en-US" w:eastAsia="zh-CN"/>
              </w:rPr>
              <w:t>三</w:t>
            </w:r>
            <w:r>
              <w:rPr>
                <w:rFonts w:hint="eastAsia" w:hAnsi="宋体" w:cs="宋体"/>
                <w:color w:val="auto"/>
                <w:sz w:val="21"/>
                <w:szCs w:val="21"/>
                <w:lang w:eastAsia="zh-CN"/>
              </w:rPr>
              <w:t>个月已缴纳的完税证明（依法免税或新成立的投标单位应提供相关文件证明）。</w:t>
            </w:r>
          </w:p>
        </w:tc>
      </w:tr>
      <w:tr w14:paraId="70FA1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2" w:hRule="atLeast"/>
          <w:jc w:val="center"/>
        </w:trPr>
        <w:tc>
          <w:tcPr>
            <w:tcW w:w="432" w:type="pct"/>
            <w:tcBorders>
              <w:left w:val="single" w:color="auto" w:sz="4" w:space="0"/>
              <w:right w:val="single" w:color="auto" w:sz="4" w:space="0"/>
            </w:tcBorders>
            <w:vAlign w:val="center"/>
          </w:tcPr>
          <w:p w14:paraId="1D2B1ED8">
            <w:pPr>
              <w:spacing w:line="340" w:lineRule="exact"/>
              <w:jc w:val="center"/>
              <w:rPr>
                <w:rFonts w:hint="default" w:ascii="宋体" w:hAnsi="宋体" w:eastAsia="宋体" w:cs="宋体"/>
                <w:bCs/>
                <w:color w:val="auto"/>
                <w:sz w:val="21"/>
                <w:szCs w:val="21"/>
                <w:lang w:val="en-US" w:eastAsia="zh-CN"/>
              </w:rPr>
            </w:pPr>
            <w:r>
              <w:rPr>
                <w:rFonts w:hint="eastAsia" w:hAnsi="宋体" w:cs="宋体"/>
                <w:bCs/>
                <w:color w:val="auto"/>
                <w:sz w:val="21"/>
                <w:szCs w:val="21"/>
                <w:lang w:val="en-US" w:eastAsia="zh-CN"/>
              </w:rPr>
              <w:t>6</w:t>
            </w:r>
          </w:p>
        </w:tc>
        <w:tc>
          <w:tcPr>
            <w:tcW w:w="842" w:type="pct"/>
            <w:tcBorders>
              <w:top w:val="single" w:color="auto" w:sz="4" w:space="0"/>
              <w:left w:val="single" w:color="auto" w:sz="4" w:space="0"/>
              <w:bottom w:val="single" w:color="auto" w:sz="4" w:space="0"/>
              <w:right w:val="single" w:color="auto" w:sz="4" w:space="0"/>
            </w:tcBorders>
            <w:vAlign w:val="center"/>
          </w:tcPr>
          <w:p w14:paraId="7B0727EA">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主体信用</w:t>
            </w:r>
          </w:p>
          <w:p w14:paraId="22A2CBFF">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查询记录</w:t>
            </w:r>
          </w:p>
        </w:tc>
        <w:tc>
          <w:tcPr>
            <w:tcW w:w="3725" w:type="pct"/>
            <w:tcBorders>
              <w:top w:val="single" w:color="auto" w:sz="4" w:space="0"/>
              <w:left w:val="single" w:color="auto" w:sz="4" w:space="0"/>
              <w:bottom w:val="single" w:color="auto" w:sz="4" w:space="0"/>
              <w:right w:val="single" w:color="auto" w:sz="4" w:space="0"/>
            </w:tcBorders>
            <w:vAlign w:val="center"/>
          </w:tcPr>
          <w:p w14:paraId="67CB4A35">
            <w:pPr>
              <w:keepNext w:val="0"/>
              <w:keepLines w:val="0"/>
              <w:pageBreakBefore w:val="0"/>
              <w:widowControl w:val="0"/>
              <w:kinsoku/>
              <w:wordWrap w:val="0"/>
              <w:overflowPunct/>
              <w:topLinePunct w:val="0"/>
              <w:autoSpaceDE/>
              <w:autoSpaceDN/>
              <w:bidi w:val="0"/>
              <w:adjustRightInd w:val="0"/>
              <w:snapToGrid/>
              <w:spacing w:line="340" w:lineRule="exact"/>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供应商未被列入失信被执行人、重大税收违法失信主体、政府采购严重违法失信行为记录名单，以“信用中国”网站(www.creditchina.gov.cn)、中国政府采购网(www.ccgp.gov.cn)查询结果为准</w:t>
            </w:r>
            <w:r>
              <w:rPr>
                <w:rFonts w:hint="eastAsia" w:ascii="宋体" w:hAnsi="宋体" w:eastAsia="宋体" w:cs="宋体"/>
                <w:b/>
                <w:bCs/>
                <w:color w:val="auto"/>
                <w:sz w:val="21"/>
                <w:szCs w:val="21"/>
              </w:rPr>
              <w:t>（截止时点为</w:t>
            </w:r>
            <w:r>
              <w:rPr>
                <w:rFonts w:hint="eastAsia" w:hAnsi="宋体" w:cs="宋体"/>
                <w:b/>
                <w:bCs/>
                <w:color w:val="auto"/>
                <w:sz w:val="21"/>
                <w:szCs w:val="21"/>
                <w:lang w:val="en-US" w:eastAsia="zh-CN"/>
              </w:rPr>
              <w:t>招标</w:t>
            </w:r>
            <w:r>
              <w:rPr>
                <w:rFonts w:hint="eastAsia" w:ascii="宋体" w:hAnsi="宋体" w:eastAsia="宋体" w:cs="宋体"/>
                <w:b/>
                <w:bCs/>
                <w:color w:val="auto"/>
                <w:sz w:val="21"/>
                <w:szCs w:val="21"/>
              </w:rPr>
              <w:t>文件发出至投标截止时间内，网页截图加盖投标供应商公章）</w:t>
            </w:r>
            <w:r>
              <w:rPr>
                <w:rFonts w:hint="eastAsia" w:ascii="宋体" w:hAnsi="宋体" w:eastAsia="宋体" w:cs="宋体"/>
                <w:color w:val="auto"/>
                <w:sz w:val="21"/>
                <w:szCs w:val="21"/>
              </w:rPr>
              <w:t>。</w:t>
            </w:r>
          </w:p>
        </w:tc>
      </w:tr>
      <w:tr w14:paraId="0D21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82" w:hRule="atLeast"/>
          <w:jc w:val="center"/>
        </w:trPr>
        <w:tc>
          <w:tcPr>
            <w:tcW w:w="432" w:type="pct"/>
            <w:tcBorders>
              <w:left w:val="single" w:color="auto" w:sz="4" w:space="0"/>
              <w:right w:val="single" w:color="auto" w:sz="4" w:space="0"/>
            </w:tcBorders>
            <w:vAlign w:val="center"/>
          </w:tcPr>
          <w:p w14:paraId="2E80313A">
            <w:pPr>
              <w:spacing w:line="340" w:lineRule="exact"/>
              <w:jc w:val="center"/>
              <w:rPr>
                <w:rFonts w:hint="default" w:ascii="宋体" w:hAnsi="宋体" w:eastAsia="宋体" w:cs="宋体"/>
                <w:bCs/>
                <w:color w:val="auto"/>
                <w:sz w:val="21"/>
                <w:szCs w:val="21"/>
                <w:lang w:val="en-US" w:eastAsia="zh-CN"/>
              </w:rPr>
            </w:pPr>
            <w:r>
              <w:rPr>
                <w:rFonts w:hint="eastAsia" w:hAnsi="宋体" w:cs="宋体"/>
                <w:bCs/>
                <w:color w:val="auto"/>
                <w:sz w:val="21"/>
                <w:szCs w:val="21"/>
                <w:lang w:val="en-US" w:eastAsia="zh-CN"/>
              </w:rPr>
              <w:t>7</w:t>
            </w:r>
          </w:p>
        </w:tc>
        <w:tc>
          <w:tcPr>
            <w:tcW w:w="842" w:type="pct"/>
            <w:tcBorders>
              <w:top w:val="single" w:color="auto" w:sz="4" w:space="0"/>
              <w:left w:val="single" w:color="auto" w:sz="4" w:space="0"/>
              <w:bottom w:val="single" w:color="auto" w:sz="4" w:space="0"/>
              <w:right w:val="single" w:color="auto" w:sz="4" w:space="0"/>
            </w:tcBorders>
            <w:vAlign w:val="center"/>
          </w:tcPr>
          <w:p w14:paraId="41265A7B">
            <w:pPr>
              <w:spacing w:line="34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无重大违法记录的书面声明</w:t>
            </w:r>
          </w:p>
        </w:tc>
        <w:tc>
          <w:tcPr>
            <w:tcW w:w="3725" w:type="pct"/>
            <w:tcBorders>
              <w:top w:val="single" w:color="auto" w:sz="4" w:space="0"/>
              <w:left w:val="single" w:color="auto" w:sz="4" w:space="0"/>
              <w:bottom w:val="single" w:color="auto" w:sz="4" w:space="0"/>
              <w:right w:val="single" w:color="auto" w:sz="4" w:space="0"/>
            </w:tcBorders>
            <w:vAlign w:val="center"/>
          </w:tcPr>
          <w:p w14:paraId="079EDE17">
            <w:pPr>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供应商参加政府采购活动前3年内，在经营活动中没有重大违法记录的书面声明</w:t>
            </w:r>
            <w:r>
              <w:rPr>
                <w:rFonts w:hint="eastAsia" w:ascii="宋体" w:hAnsi="宋体" w:eastAsia="宋体" w:cs="宋体"/>
                <w:b/>
                <w:color w:val="auto"/>
                <w:sz w:val="21"/>
                <w:szCs w:val="21"/>
              </w:rPr>
              <w:t>（加盖投标供应商公章）。</w:t>
            </w:r>
          </w:p>
        </w:tc>
      </w:tr>
      <w:tr w14:paraId="7C85A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56" w:hRule="atLeast"/>
          <w:jc w:val="center"/>
        </w:trPr>
        <w:tc>
          <w:tcPr>
            <w:tcW w:w="432" w:type="pct"/>
            <w:tcBorders>
              <w:left w:val="single" w:color="auto" w:sz="4" w:space="0"/>
              <w:right w:val="single" w:color="auto" w:sz="4" w:space="0"/>
            </w:tcBorders>
            <w:vAlign w:val="center"/>
          </w:tcPr>
          <w:p w14:paraId="42D0B209">
            <w:pPr>
              <w:spacing w:line="340" w:lineRule="exact"/>
              <w:jc w:val="center"/>
              <w:rPr>
                <w:rFonts w:hint="default" w:ascii="宋体" w:hAnsi="宋体" w:eastAsia="宋体" w:cs="宋体"/>
                <w:bCs/>
                <w:color w:val="auto"/>
                <w:sz w:val="21"/>
                <w:szCs w:val="21"/>
                <w:lang w:val="en-US" w:eastAsia="zh-CN"/>
              </w:rPr>
            </w:pPr>
            <w:r>
              <w:rPr>
                <w:rFonts w:hint="eastAsia" w:hAnsi="宋体" w:cs="宋体"/>
                <w:bCs/>
                <w:color w:val="auto"/>
                <w:sz w:val="21"/>
                <w:szCs w:val="21"/>
                <w:lang w:val="en-US" w:eastAsia="zh-CN"/>
              </w:rPr>
              <w:t>8</w:t>
            </w:r>
          </w:p>
        </w:tc>
        <w:tc>
          <w:tcPr>
            <w:tcW w:w="842" w:type="pct"/>
            <w:tcBorders>
              <w:top w:val="single" w:color="auto" w:sz="4" w:space="0"/>
              <w:left w:val="single" w:color="auto" w:sz="4" w:space="0"/>
              <w:bottom w:val="single" w:color="auto" w:sz="4" w:space="0"/>
              <w:right w:val="single" w:color="auto" w:sz="4" w:space="0"/>
            </w:tcBorders>
            <w:vAlign w:val="center"/>
          </w:tcPr>
          <w:p w14:paraId="1005487B">
            <w:pPr>
              <w:snapToGrid w:val="0"/>
              <w:spacing w:line="340" w:lineRule="exact"/>
              <w:jc w:val="center"/>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rPr>
              <w:t>联合体投标</w:t>
            </w:r>
          </w:p>
        </w:tc>
        <w:tc>
          <w:tcPr>
            <w:tcW w:w="3725" w:type="pct"/>
            <w:tcBorders>
              <w:top w:val="single" w:color="auto" w:sz="4" w:space="0"/>
              <w:left w:val="single" w:color="auto" w:sz="4" w:space="0"/>
              <w:bottom w:val="single" w:color="auto" w:sz="4" w:space="0"/>
              <w:right w:val="single" w:color="auto" w:sz="4" w:space="0"/>
            </w:tcBorders>
            <w:vAlign w:val="center"/>
          </w:tcPr>
          <w:p w14:paraId="00343DEB">
            <w:pPr>
              <w:snapToGrid w:val="0"/>
              <w:spacing w:line="340" w:lineRule="exact"/>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本项目不接受联合体投标，出具非联合体投标的</w:t>
            </w:r>
            <w:r>
              <w:rPr>
                <w:rFonts w:hint="eastAsia" w:hAnsi="宋体" w:cs="宋体"/>
                <w:color w:val="auto"/>
                <w:sz w:val="21"/>
                <w:szCs w:val="21"/>
                <w:lang w:eastAsia="zh-CN"/>
              </w:rPr>
              <w:t>声明函</w:t>
            </w:r>
            <w:r>
              <w:rPr>
                <w:rFonts w:hint="eastAsia" w:ascii="宋体" w:hAnsi="宋体" w:eastAsia="宋体" w:cs="宋体"/>
                <w:color w:val="auto"/>
                <w:sz w:val="21"/>
                <w:szCs w:val="21"/>
              </w:rPr>
              <w:t>。</w:t>
            </w:r>
          </w:p>
        </w:tc>
      </w:tr>
      <w:tr w14:paraId="24220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000" w:type="pct"/>
            <w:gridSpan w:val="3"/>
            <w:tcBorders>
              <w:left w:val="single" w:color="auto" w:sz="4" w:space="0"/>
              <w:bottom w:val="single" w:color="auto" w:sz="4" w:space="0"/>
              <w:right w:val="single" w:color="auto" w:sz="4" w:space="0"/>
            </w:tcBorders>
            <w:vAlign w:val="center"/>
          </w:tcPr>
          <w:p w14:paraId="452ED072">
            <w:pPr>
              <w:spacing w:line="3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注：供应商须保证投标文件中包含上述资质证明文件的复印件加盖公章，审查不合格将视为非响应投标。</w:t>
            </w:r>
          </w:p>
        </w:tc>
      </w:tr>
    </w:tbl>
    <w:p w14:paraId="4EA01507">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24.2 评标委员会将审查投标文件是否实质性响应了招标文件的要求。实质性响应的投标应该是与招标文件要求的全部条款、条件和规格相符，评标委员会只根据投标文件本身的内容确定投标文件的响应性，而不寻求外部的证据。</w:t>
      </w:r>
    </w:p>
    <w:p w14:paraId="249B6DFD">
      <w:pPr>
        <w:spacing w:line="460" w:lineRule="exact"/>
        <w:ind w:firstLine="480" w:firstLineChars="200"/>
        <w:rPr>
          <w:rFonts w:hint="eastAsia"/>
          <w:color w:val="auto"/>
        </w:rPr>
      </w:pPr>
      <w:r>
        <w:rPr>
          <w:rFonts w:hint="eastAsia" w:ascii="宋体" w:hAnsi="宋体" w:eastAsia="宋体" w:cs="宋体"/>
          <w:color w:val="auto"/>
          <w:sz w:val="24"/>
          <w:szCs w:val="24"/>
        </w:rPr>
        <w:t>24.3 投标文件符合性审查表</w:t>
      </w:r>
    </w:p>
    <w:tbl>
      <w:tblPr>
        <w:tblStyle w:val="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5721"/>
        <w:gridCol w:w="2809"/>
      </w:tblGrid>
      <w:tr w14:paraId="1549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tcPr>
          <w:p w14:paraId="25D51C2B">
            <w:pPr>
              <w:widowControl/>
              <w:adjustRightInd/>
              <w:snapToGrid w:val="0"/>
              <w:spacing w:line="400" w:lineRule="exact"/>
              <w:jc w:val="left"/>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序号</w:t>
            </w:r>
          </w:p>
        </w:tc>
        <w:tc>
          <w:tcPr>
            <w:tcW w:w="3081" w:type="pct"/>
            <w:vAlign w:val="center"/>
          </w:tcPr>
          <w:p w14:paraId="1D31AE52">
            <w:pPr>
              <w:widowControl/>
              <w:adjustRightInd/>
              <w:snapToGrid w:val="0"/>
              <w:spacing w:line="400" w:lineRule="exact"/>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评审内容</w:t>
            </w:r>
          </w:p>
        </w:tc>
        <w:tc>
          <w:tcPr>
            <w:tcW w:w="1513" w:type="pct"/>
            <w:vAlign w:val="center"/>
          </w:tcPr>
          <w:p w14:paraId="7191209D">
            <w:pPr>
              <w:widowControl/>
              <w:adjustRightInd/>
              <w:snapToGrid w:val="0"/>
              <w:spacing w:line="400" w:lineRule="exact"/>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审核标准</w:t>
            </w:r>
          </w:p>
        </w:tc>
      </w:tr>
      <w:tr w14:paraId="7B539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23549CB0">
            <w:pPr>
              <w:widowControl/>
              <w:adjustRightInd/>
              <w:snapToGrid w:val="0"/>
              <w:spacing w:line="400" w:lineRule="exact"/>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1</w:t>
            </w:r>
          </w:p>
        </w:tc>
        <w:tc>
          <w:tcPr>
            <w:tcW w:w="3081" w:type="pct"/>
            <w:vAlign w:val="center"/>
          </w:tcPr>
          <w:p w14:paraId="41EE068C">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响应文件项目名称、项目编号与招标文件是否一致。</w:t>
            </w:r>
          </w:p>
        </w:tc>
        <w:tc>
          <w:tcPr>
            <w:tcW w:w="1513" w:type="pct"/>
            <w:vAlign w:val="center"/>
          </w:tcPr>
          <w:p w14:paraId="52BE87E1">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0ED8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404" w:type="pct"/>
            <w:vAlign w:val="center"/>
          </w:tcPr>
          <w:p w14:paraId="6D4EF361">
            <w:pPr>
              <w:widowControl/>
              <w:adjustRightInd/>
              <w:snapToGrid w:val="0"/>
              <w:spacing w:line="400" w:lineRule="exact"/>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2</w:t>
            </w:r>
          </w:p>
        </w:tc>
        <w:tc>
          <w:tcPr>
            <w:tcW w:w="3081" w:type="pct"/>
            <w:vAlign w:val="center"/>
          </w:tcPr>
          <w:p w14:paraId="044D7175">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投标文件要求加盖投标单位公章、法定代表人或被授权人签字处是否执行文件规定，是否齐全。</w:t>
            </w:r>
          </w:p>
        </w:tc>
        <w:tc>
          <w:tcPr>
            <w:tcW w:w="1513" w:type="pct"/>
            <w:vAlign w:val="center"/>
          </w:tcPr>
          <w:p w14:paraId="303FAAD8">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57F8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6385BA76">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3</w:t>
            </w:r>
          </w:p>
        </w:tc>
        <w:tc>
          <w:tcPr>
            <w:tcW w:w="3081" w:type="pct"/>
            <w:vAlign w:val="center"/>
          </w:tcPr>
          <w:p w14:paraId="219133A7">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投标人名称</w:t>
            </w:r>
            <w:r>
              <w:rPr>
                <w:rFonts w:hint="eastAsia" w:ascii="宋体" w:hAnsi="宋体" w:eastAsia="宋体" w:cs="宋体"/>
                <w:color w:val="auto"/>
                <w:sz w:val="21"/>
                <w:szCs w:val="21"/>
                <w:highlight w:val="none"/>
                <w:lang w:eastAsia="zh-CN"/>
              </w:rPr>
              <w:t>与营业执照</w:t>
            </w:r>
            <w:r>
              <w:rPr>
                <w:rFonts w:hint="eastAsia" w:ascii="宋体" w:hAnsi="宋体" w:eastAsia="宋体" w:cs="宋体"/>
                <w:color w:val="auto"/>
                <w:sz w:val="21"/>
                <w:szCs w:val="21"/>
              </w:rPr>
              <w:t>是否一致。</w:t>
            </w:r>
          </w:p>
        </w:tc>
        <w:tc>
          <w:tcPr>
            <w:tcW w:w="1513" w:type="pct"/>
            <w:vAlign w:val="center"/>
          </w:tcPr>
          <w:p w14:paraId="177AAFA7">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07961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5FF45A60">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4</w:t>
            </w:r>
          </w:p>
        </w:tc>
        <w:tc>
          <w:tcPr>
            <w:tcW w:w="3081" w:type="pct"/>
            <w:vAlign w:val="center"/>
          </w:tcPr>
          <w:p w14:paraId="6A0798AB">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投标文件的投标有效期是否符合招标文件的要求。</w:t>
            </w:r>
          </w:p>
        </w:tc>
        <w:tc>
          <w:tcPr>
            <w:tcW w:w="1513" w:type="pct"/>
            <w:vAlign w:val="center"/>
          </w:tcPr>
          <w:p w14:paraId="3887DBF5">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是/否符合招标文件要求</w:t>
            </w:r>
          </w:p>
        </w:tc>
      </w:tr>
      <w:tr w14:paraId="062C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759BD1FA">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5</w:t>
            </w:r>
          </w:p>
        </w:tc>
        <w:tc>
          <w:tcPr>
            <w:tcW w:w="3081" w:type="pct"/>
            <w:vAlign w:val="center"/>
          </w:tcPr>
          <w:p w14:paraId="799E2BBA">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投标文件的组成及有效性。</w:t>
            </w:r>
          </w:p>
        </w:tc>
        <w:tc>
          <w:tcPr>
            <w:tcW w:w="1513" w:type="pct"/>
            <w:vAlign w:val="center"/>
          </w:tcPr>
          <w:p w14:paraId="7B1B294E">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是/否符合招标文件要求</w:t>
            </w:r>
          </w:p>
        </w:tc>
      </w:tr>
      <w:tr w14:paraId="3F944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0C5E9C84">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6</w:t>
            </w:r>
          </w:p>
        </w:tc>
        <w:tc>
          <w:tcPr>
            <w:tcW w:w="3081" w:type="pct"/>
            <w:vAlign w:val="center"/>
          </w:tcPr>
          <w:p w14:paraId="27C152BD">
            <w:pPr>
              <w:widowControl/>
              <w:adjustRightInd/>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制作及交付期限是否符合招标文件要求。</w:t>
            </w:r>
          </w:p>
        </w:tc>
        <w:tc>
          <w:tcPr>
            <w:tcW w:w="1513" w:type="pct"/>
            <w:vAlign w:val="center"/>
          </w:tcPr>
          <w:p w14:paraId="2DB22E9E">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是/否符合招标文件要求</w:t>
            </w:r>
          </w:p>
        </w:tc>
      </w:tr>
      <w:tr w14:paraId="39339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44B158CF">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7</w:t>
            </w:r>
          </w:p>
        </w:tc>
        <w:tc>
          <w:tcPr>
            <w:tcW w:w="3081" w:type="pct"/>
            <w:vAlign w:val="center"/>
          </w:tcPr>
          <w:p w14:paraId="50E11D8A">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投标报价未超出</w:t>
            </w:r>
            <w:r>
              <w:rPr>
                <w:rFonts w:hint="eastAsia" w:hAnsi="宋体" w:cs="宋体"/>
                <w:color w:val="auto"/>
                <w:sz w:val="21"/>
                <w:szCs w:val="21"/>
                <w:lang w:eastAsia="zh-CN"/>
              </w:rPr>
              <w:t>采购预算</w:t>
            </w:r>
            <w:r>
              <w:rPr>
                <w:rFonts w:hint="eastAsia" w:ascii="宋体" w:hAnsi="宋体" w:eastAsia="宋体" w:cs="宋体"/>
                <w:color w:val="auto"/>
                <w:sz w:val="21"/>
                <w:szCs w:val="21"/>
              </w:rPr>
              <w:t>。</w:t>
            </w:r>
          </w:p>
        </w:tc>
        <w:tc>
          <w:tcPr>
            <w:tcW w:w="1513" w:type="pct"/>
            <w:vAlign w:val="center"/>
          </w:tcPr>
          <w:p w14:paraId="2A85BFBF">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是/否符合招标文件要求</w:t>
            </w:r>
          </w:p>
        </w:tc>
      </w:tr>
      <w:tr w14:paraId="471C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576F9323">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8</w:t>
            </w:r>
          </w:p>
        </w:tc>
        <w:tc>
          <w:tcPr>
            <w:tcW w:w="3081" w:type="pct"/>
            <w:vAlign w:val="center"/>
          </w:tcPr>
          <w:p w14:paraId="18943E8C">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投标报价明细表。</w:t>
            </w:r>
          </w:p>
        </w:tc>
        <w:tc>
          <w:tcPr>
            <w:tcW w:w="1513" w:type="pct"/>
            <w:vAlign w:val="center"/>
          </w:tcPr>
          <w:p w14:paraId="4F2D1EEC">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是/否符合招标文件要求</w:t>
            </w:r>
          </w:p>
        </w:tc>
      </w:tr>
      <w:tr w14:paraId="0A8A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04" w:type="pct"/>
            <w:vAlign w:val="center"/>
          </w:tcPr>
          <w:p w14:paraId="0F0A1D19">
            <w:pPr>
              <w:widowControl/>
              <w:adjustRightInd/>
              <w:snapToGrid w:val="0"/>
              <w:spacing w:line="400" w:lineRule="exact"/>
              <w:jc w:val="center"/>
              <w:textAlignment w:val="auto"/>
              <w:rPr>
                <w:rFonts w:hint="default" w:ascii="宋体" w:hAnsi="宋体" w:eastAsia="宋体" w:cs="宋体"/>
                <w:color w:val="auto"/>
                <w:spacing w:val="10"/>
                <w:sz w:val="21"/>
                <w:szCs w:val="21"/>
                <w:lang w:val="en-US" w:eastAsia="zh-CN"/>
              </w:rPr>
            </w:pPr>
            <w:r>
              <w:rPr>
                <w:rFonts w:hint="eastAsia" w:hAnsi="宋体" w:cs="宋体"/>
                <w:color w:val="auto"/>
                <w:spacing w:val="10"/>
                <w:sz w:val="21"/>
                <w:szCs w:val="21"/>
                <w:lang w:val="en-US" w:eastAsia="zh-CN"/>
              </w:rPr>
              <w:t>9</w:t>
            </w:r>
          </w:p>
        </w:tc>
        <w:tc>
          <w:tcPr>
            <w:tcW w:w="3081" w:type="pct"/>
            <w:vAlign w:val="center"/>
          </w:tcPr>
          <w:p w14:paraId="0B8AF72C">
            <w:pPr>
              <w:widowControl/>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招标文件中规定的其他要求。</w:t>
            </w:r>
          </w:p>
        </w:tc>
        <w:tc>
          <w:tcPr>
            <w:tcW w:w="1513" w:type="pct"/>
            <w:vAlign w:val="center"/>
          </w:tcPr>
          <w:p w14:paraId="4EC41EB1">
            <w:pPr>
              <w:widowControl/>
              <w:adjustRightInd/>
              <w:snapToGrid w:val="0"/>
              <w:spacing w:line="4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bl>
    <w:p w14:paraId="39A296A1">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24.4 如果投标文件没有实质性响应招标文件的要求，评标委员会将予以拒绝，投标供应商不得通过修正或撤销不合要求的偏离从而使其投标成为实质性响应的投标。</w:t>
      </w:r>
    </w:p>
    <w:p w14:paraId="1A4CD0D0">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24.5 评标委员会将只对确定为实质性响应的投标进行审核，看其是否有计算上和累加上的算术错误，修正错误的原则如下：</w:t>
      </w:r>
    </w:p>
    <w:p w14:paraId="44392C1A">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1）投标报价表中内容与投标文件投标分项报价表内容不一致的，应以投标报价表为准；</w:t>
      </w:r>
    </w:p>
    <w:p w14:paraId="3871AA99">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2）投标文件的大写金额和小写金额不一致的，以大写金额为准；总价金额与按单价汇总金额不一致的，以单价金额计算结果为准；单价金额小数点有明显错位的，应以总价为准，并修改单价；</w:t>
      </w:r>
    </w:p>
    <w:p w14:paraId="18DF7C28">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24.6 评标委员会将按上述修正错误的原则调整投标文件中的投标报价，调整后的价格应对供应商具有约束力。如果供应商不接受修正后的价格，则其投标将被拒绝。</w:t>
      </w:r>
    </w:p>
    <w:p w14:paraId="16F7FA3F">
      <w:pPr>
        <w:spacing w:line="460" w:lineRule="exact"/>
        <w:ind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25．投标文件的详细评审</w:t>
      </w:r>
    </w:p>
    <w:p w14:paraId="30526755">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25.1 评标委员会将按照第24条规定只对确定为实质性响应招标文件要求的投标进行详细的评价和比较。</w:t>
      </w:r>
    </w:p>
    <w:p w14:paraId="28839F68">
      <w:pPr>
        <w:spacing w:line="460" w:lineRule="exact"/>
        <w:ind w:firstLine="480"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25.2 评标方法：综合评分法</w:t>
      </w:r>
    </w:p>
    <w:p w14:paraId="5681D4AD">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评价和比较以招标文件为依据，对所有实质上响应的投标分别从</w:t>
      </w:r>
      <w:r>
        <w:rPr>
          <w:rFonts w:hint="eastAsia" w:ascii="宋体" w:hAnsi="宋体" w:eastAsia="宋体" w:cs="宋体"/>
          <w:color w:val="auto"/>
          <w:sz w:val="24"/>
          <w:highlight w:val="none"/>
          <w:lang w:eastAsia="zh-CN"/>
        </w:rPr>
        <w:t>“投标报价”、“</w:t>
      </w:r>
      <w:r>
        <w:rPr>
          <w:rFonts w:hint="eastAsia" w:hAnsi="宋体" w:cs="宋体"/>
          <w:color w:val="auto"/>
          <w:sz w:val="24"/>
          <w:highlight w:val="none"/>
          <w:lang w:val="en-US" w:eastAsia="zh-CN"/>
        </w:rPr>
        <w:t>技术响应</w:t>
      </w:r>
      <w:r>
        <w:rPr>
          <w:rFonts w:hint="eastAsia" w:ascii="宋体" w:hAnsi="宋体" w:eastAsia="宋体" w:cs="宋体"/>
          <w:color w:val="auto"/>
          <w:sz w:val="24"/>
          <w:highlight w:val="none"/>
          <w:lang w:eastAsia="zh-CN"/>
        </w:rPr>
        <w:t>”、“</w:t>
      </w:r>
      <w:r>
        <w:rPr>
          <w:rFonts w:hint="eastAsia" w:hAnsi="宋体" w:cs="宋体"/>
          <w:color w:val="auto"/>
          <w:sz w:val="24"/>
          <w:highlight w:val="none"/>
          <w:lang w:val="en-US" w:eastAsia="zh-CN"/>
        </w:rPr>
        <w:t>资源库平台运营能力</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w:t>
      </w:r>
      <w:r>
        <w:rPr>
          <w:rFonts w:hint="eastAsia" w:hAnsi="宋体" w:cs="宋体"/>
          <w:color w:val="auto"/>
          <w:sz w:val="24"/>
          <w:highlight w:val="none"/>
          <w:lang w:val="en-US" w:eastAsia="zh-CN"/>
        </w:rPr>
        <w:t>实施方案</w:t>
      </w:r>
      <w:r>
        <w:rPr>
          <w:rFonts w:hint="eastAsia" w:ascii="宋体" w:hAnsi="宋体" w:eastAsia="宋体" w:cs="宋体"/>
          <w:color w:val="auto"/>
          <w:sz w:val="24"/>
          <w:highlight w:val="none"/>
          <w:lang w:eastAsia="zh-CN"/>
        </w:rPr>
        <w:t>”</w:t>
      </w:r>
      <w:r>
        <w:rPr>
          <w:rFonts w:hint="eastAsia" w:hAnsi="宋体" w:cs="宋体"/>
          <w:color w:val="auto"/>
          <w:sz w:val="24"/>
          <w:highlight w:val="none"/>
          <w:lang w:eastAsia="zh-CN"/>
        </w:rPr>
        <w:t>、“</w:t>
      </w:r>
      <w:r>
        <w:rPr>
          <w:rFonts w:hint="eastAsia" w:hAnsi="宋体" w:cs="宋体"/>
          <w:color w:val="auto"/>
          <w:sz w:val="24"/>
          <w:highlight w:val="none"/>
          <w:lang w:val="en-US" w:eastAsia="zh-CN"/>
        </w:rPr>
        <w:t>服务能力</w:t>
      </w:r>
      <w:r>
        <w:rPr>
          <w:rFonts w:hint="eastAsia" w:hAnsi="宋体" w:cs="宋体"/>
          <w:color w:val="auto"/>
          <w:sz w:val="24"/>
          <w:highlight w:val="none"/>
          <w:lang w:eastAsia="zh-CN"/>
        </w:rPr>
        <w:t>”、“</w:t>
      </w:r>
      <w:r>
        <w:rPr>
          <w:rFonts w:hint="eastAsia" w:hAnsi="宋体" w:cs="宋体"/>
          <w:color w:val="auto"/>
          <w:sz w:val="24"/>
          <w:highlight w:val="none"/>
          <w:lang w:val="en-US" w:eastAsia="zh-CN"/>
        </w:rPr>
        <w:t>企业业绩</w:t>
      </w:r>
      <w:r>
        <w:rPr>
          <w:rFonts w:hint="eastAsia" w:hAnsi="宋体" w:cs="宋体"/>
          <w:color w:val="auto"/>
          <w:sz w:val="24"/>
          <w:highlight w:val="none"/>
          <w:lang w:eastAsia="zh-CN"/>
        </w:rPr>
        <w:t>”、“</w:t>
      </w:r>
      <w:r>
        <w:rPr>
          <w:rFonts w:hint="eastAsia" w:hAnsi="宋体" w:cs="宋体"/>
          <w:color w:val="auto"/>
          <w:sz w:val="24"/>
          <w:highlight w:val="none"/>
          <w:lang w:val="en-US" w:eastAsia="zh-CN"/>
        </w:rPr>
        <w:t>售后服务方案</w:t>
      </w:r>
      <w:r>
        <w:rPr>
          <w:rFonts w:hint="eastAsia" w:hAnsi="宋体" w:cs="宋体"/>
          <w:color w:val="auto"/>
          <w:sz w:val="24"/>
          <w:highlight w:val="none"/>
          <w:lang w:eastAsia="zh-CN"/>
        </w:rPr>
        <w:t>”、“</w:t>
      </w:r>
      <w:r>
        <w:rPr>
          <w:rFonts w:hint="eastAsia" w:hAnsi="宋体" w:cs="宋体"/>
          <w:color w:val="auto"/>
          <w:sz w:val="24"/>
          <w:highlight w:val="none"/>
          <w:lang w:val="en-US" w:eastAsia="zh-CN"/>
        </w:rPr>
        <w:t>现场演示</w:t>
      </w:r>
      <w:r>
        <w:rPr>
          <w:rFonts w:hint="eastAsia" w:hAnsi="宋体" w:cs="宋体"/>
          <w:color w:val="auto"/>
          <w:sz w:val="24"/>
          <w:highlight w:val="none"/>
          <w:lang w:eastAsia="zh-CN"/>
        </w:rPr>
        <w:t>”</w:t>
      </w:r>
      <w:r>
        <w:rPr>
          <w:rFonts w:hint="eastAsia" w:ascii="宋体" w:hAnsi="宋体" w:eastAsia="宋体" w:cs="宋体"/>
          <w:color w:val="auto"/>
          <w:sz w:val="24"/>
        </w:rPr>
        <w:t>等方面进行评审赋分。</w:t>
      </w:r>
    </w:p>
    <w:p w14:paraId="75BC6D49">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rPr>
      </w:pPr>
      <w:r>
        <w:rPr>
          <w:rFonts w:hint="eastAsia" w:ascii="宋体" w:hAnsi="宋体" w:eastAsia="宋体" w:cs="宋体"/>
          <w:b/>
          <w:color w:val="auto"/>
          <w:sz w:val="24"/>
        </w:rPr>
        <w:t>评审总分值为100分，具体分值如下：</w:t>
      </w:r>
    </w:p>
    <w:tbl>
      <w:tblPr>
        <w:tblStyle w:val="26"/>
        <w:tblpPr w:leftFromText="180" w:rightFromText="180" w:vertAnchor="text" w:horzAnchor="page" w:tblpX="1485" w:tblpY="522"/>
        <w:tblOverlap w:val="never"/>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590"/>
        <w:gridCol w:w="6111"/>
        <w:gridCol w:w="945"/>
      </w:tblGrid>
      <w:tr w14:paraId="783F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blHeader/>
        </w:trPr>
        <w:tc>
          <w:tcPr>
            <w:tcW w:w="754" w:type="dxa"/>
            <w:noWrap w:val="0"/>
            <w:vAlign w:val="center"/>
          </w:tcPr>
          <w:p w14:paraId="5D0E96BA">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b/>
                <w:color w:val="auto"/>
                <w:sz w:val="24"/>
              </w:rPr>
            </w:pPr>
            <w:r>
              <w:rPr>
                <w:rFonts w:hint="eastAsia" w:ascii="宋体" w:hAnsi="宋体"/>
                <w:b/>
                <w:color w:val="auto"/>
                <w:sz w:val="24"/>
              </w:rPr>
              <w:t>序号</w:t>
            </w:r>
          </w:p>
        </w:tc>
        <w:tc>
          <w:tcPr>
            <w:tcW w:w="1590" w:type="dxa"/>
            <w:noWrap w:val="0"/>
            <w:vAlign w:val="center"/>
          </w:tcPr>
          <w:p w14:paraId="4C0B659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b/>
                <w:color w:val="auto"/>
                <w:sz w:val="24"/>
                <w:lang w:eastAsia="zh-CN"/>
              </w:rPr>
            </w:pPr>
            <w:r>
              <w:rPr>
                <w:rFonts w:hint="eastAsia" w:ascii="宋体" w:hAnsi="宋体"/>
                <w:b/>
                <w:color w:val="auto"/>
                <w:sz w:val="24"/>
                <w:lang w:eastAsia="zh-CN"/>
              </w:rPr>
              <w:t>评分因素</w:t>
            </w:r>
          </w:p>
        </w:tc>
        <w:tc>
          <w:tcPr>
            <w:tcW w:w="6111" w:type="dxa"/>
            <w:noWrap w:val="0"/>
            <w:vAlign w:val="center"/>
          </w:tcPr>
          <w:p w14:paraId="470F172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b/>
                <w:color w:val="auto"/>
                <w:sz w:val="24"/>
                <w:lang w:eastAsia="zh-CN"/>
              </w:rPr>
            </w:pPr>
            <w:r>
              <w:rPr>
                <w:rFonts w:hint="eastAsia" w:ascii="宋体" w:hAnsi="宋体"/>
                <w:b/>
                <w:color w:val="auto"/>
                <w:sz w:val="24"/>
                <w:lang w:eastAsia="zh-CN"/>
              </w:rPr>
              <w:t>评分标准</w:t>
            </w:r>
          </w:p>
        </w:tc>
        <w:tc>
          <w:tcPr>
            <w:tcW w:w="945" w:type="dxa"/>
            <w:noWrap w:val="0"/>
            <w:vAlign w:val="center"/>
          </w:tcPr>
          <w:p w14:paraId="63D5174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b/>
                <w:color w:val="auto"/>
                <w:sz w:val="24"/>
                <w:lang w:eastAsia="zh-CN"/>
              </w:rPr>
            </w:pPr>
            <w:r>
              <w:rPr>
                <w:rFonts w:hint="eastAsia" w:ascii="宋体" w:hAnsi="宋体"/>
                <w:b/>
                <w:color w:val="auto"/>
                <w:sz w:val="24"/>
              </w:rPr>
              <w:t>分值</w:t>
            </w:r>
          </w:p>
        </w:tc>
      </w:tr>
      <w:tr w14:paraId="12B7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54" w:type="dxa"/>
            <w:noWrap w:val="0"/>
            <w:vAlign w:val="center"/>
          </w:tcPr>
          <w:p w14:paraId="211AA23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kern w:val="2"/>
                <w:sz w:val="22"/>
                <w:szCs w:val="22"/>
                <w:lang w:val="en-US" w:eastAsia="zh-CN" w:bidi="ar-SA"/>
              </w:rPr>
            </w:pPr>
            <w:r>
              <w:rPr>
                <w:rFonts w:hint="eastAsia" w:ascii="宋体" w:hAnsi="宋体" w:cs="Times New Roman"/>
                <w:color w:val="auto"/>
                <w:kern w:val="2"/>
                <w:sz w:val="22"/>
                <w:szCs w:val="22"/>
                <w:lang w:val="en-US" w:eastAsia="zh-CN" w:bidi="ar-SA"/>
              </w:rPr>
              <w:t>1</w:t>
            </w:r>
          </w:p>
        </w:tc>
        <w:tc>
          <w:tcPr>
            <w:tcW w:w="1590" w:type="dxa"/>
            <w:noWrap w:val="0"/>
            <w:vAlign w:val="center"/>
          </w:tcPr>
          <w:p w14:paraId="2357BB9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Times New Roman"/>
                <w:color w:val="auto"/>
                <w:sz w:val="22"/>
                <w:szCs w:val="22"/>
              </w:rPr>
            </w:pPr>
            <w:r>
              <w:rPr>
                <w:rFonts w:hint="eastAsia" w:ascii="宋体" w:hAnsi="宋体" w:eastAsia="宋体" w:cs="Times New Roman"/>
                <w:color w:val="auto"/>
                <w:sz w:val="22"/>
                <w:szCs w:val="22"/>
              </w:rPr>
              <w:t>投标报价</w:t>
            </w:r>
          </w:p>
          <w:p w14:paraId="22AB4584">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Times New Roman"/>
                <w:color w:val="auto"/>
                <w:kern w:val="2"/>
                <w:sz w:val="22"/>
                <w:szCs w:val="22"/>
                <w:lang w:val="en-US" w:eastAsia="zh-CN" w:bidi="ar-SA"/>
              </w:rPr>
            </w:pPr>
            <w:r>
              <w:rPr>
                <w:rFonts w:hint="eastAsia" w:ascii="宋体" w:hAnsi="宋体" w:eastAsia="宋体" w:cs="Times New Roman"/>
                <w:color w:val="auto"/>
                <w:sz w:val="22"/>
                <w:szCs w:val="22"/>
                <w:lang w:eastAsia="zh-CN"/>
              </w:rPr>
              <w:t>（</w:t>
            </w:r>
            <w:r>
              <w:rPr>
                <w:rFonts w:hint="eastAsia" w:hAnsi="宋体" w:cs="Times New Roman"/>
                <w:color w:val="auto"/>
                <w:sz w:val="22"/>
                <w:szCs w:val="22"/>
                <w:lang w:val="en-US" w:eastAsia="zh-CN"/>
              </w:rPr>
              <w:t>10</w:t>
            </w:r>
            <w:r>
              <w:rPr>
                <w:rFonts w:hint="eastAsia" w:ascii="宋体" w:hAnsi="宋体" w:eastAsia="宋体" w:cs="Times New Roman"/>
                <w:color w:val="auto"/>
                <w:sz w:val="22"/>
                <w:szCs w:val="22"/>
                <w:lang w:val="en-US" w:eastAsia="zh-CN"/>
              </w:rPr>
              <w:t>分</w:t>
            </w:r>
            <w:r>
              <w:rPr>
                <w:rFonts w:hint="eastAsia" w:ascii="宋体" w:hAnsi="宋体" w:eastAsia="宋体" w:cs="Times New Roman"/>
                <w:color w:val="auto"/>
                <w:sz w:val="22"/>
                <w:szCs w:val="22"/>
                <w:lang w:eastAsia="zh-CN"/>
              </w:rPr>
              <w:t>）</w:t>
            </w:r>
          </w:p>
        </w:tc>
        <w:tc>
          <w:tcPr>
            <w:tcW w:w="6111" w:type="dxa"/>
            <w:noWrap w:val="0"/>
            <w:vAlign w:val="center"/>
          </w:tcPr>
          <w:p w14:paraId="536B530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rPr>
              <w:t>以满足</w:t>
            </w:r>
            <w:r>
              <w:rPr>
                <w:rFonts w:hint="eastAsia" w:hAnsi="宋体" w:cs="Times New Roman"/>
                <w:color w:val="auto"/>
                <w:sz w:val="22"/>
                <w:szCs w:val="22"/>
                <w:lang w:eastAsia="zh-CN"/>
              </w:rPr>
              <w:t>招标</w:t>
            </w:r>
            <w:r>
              <w:rPr>
                <w:rFonts w:hint="eastAsia" w:ascii="宋体" w:hAnsi="宋体" w:eastAsia="宋体" w:cs="Times New Roman"/>
                <w:color w:val="auto"/>
                <w:sz w:val="22"/>
                <w:szCs w:val="22"/>
              </w:rPr>
              <w:t>文件要求且报价最低的</w:t>
            </w:r>
            <w:r>
              <w:rPr>
                <w:rFonts w:hint="eastAsia" w:ascii="宋体" w:hAnsi="宋体" w:cs="Times New Roman"/>
                <w:color w:val="auto"/>
                <w:sz w:val="22"/>
                <w:szCs w:val="22"/>
                <w:lang w:val="en-US" w:eastAsia="zh-CN"/>
              </w:rPr>
              <w:t>供应商的价格</w:t>
            </w:r>
            <w:r>
              <w:rPr>
                <w:rFonts w:hint="eastAsia" w:ascii="宋体" w:hAnsi="宋体" w:eastAsia="宋体" w:cs="Times New Roman"/>
                <w:color w:val="auto"/>
                <w:sz w:val="22"/>
                <w:szCs w:val="22"/>
              </w:rPr>
              <w:t>为</w:t>
            </w:r>
            <w:r>
              <w:rPr>
                <w:rFonts w:hint="eastAsia" w:hAnsi="宋体" w:cs="Times New Roman"/>
                <w:color w:val="auto"/>
                <w:sz w:val="22"/>
                <w:szCs w:val="22"/>
                <w:lang w:val="en-US" w:eastAsia="zh-CN"/>
              </w:rPr>
              <w:t>评标</w:t>
            </w:r>
            <w:r>
              <w:rPr>
                <w:rFonts w:hint="eastAsia" w:ascii="宋体" w:hAnsi="宋体" w:eastAsia="宋体" w:cs="Times New Roman"/>
                <w:color w:val="auto"/>
                <w:sz w:val="22"/>
                <w:szCs w:val="22"/>
              </w:rPr>
              <w:t>基准价,其价格分为满分</w:t>
            </w:r>
            <w:r>
              <w:rPr>
                <w:rFonts w:hint="eastAsia" w:hAnsi="宋体" w:cs="Times New Roman"/>
                <w:color w:val="auto"/>
                <w:sz w:val="22"/>
                <w:szCs w:val="22"/>
                <w:lang w:val="en-US" w:eastAsia="zh-CN"/>
              </w:rPr>
              <w:t>10</w:t>
            </w:r>
            <w:r>
              <w:rPr>
                <w:rFonts w:hint="eastAsia" w:ascii="宋体" w:hAnsi="宋体" w:eastAsia="宋体" w:cs="Times New Roman"/>
                <w:color w:val="auto"/>
                <w:sz w:val="22"/>
                <w:szCs w:val="22"/>
              </w:rPr>
              <w:t>分,其他</w:t>
            </w:r>
            <w:r>
              <w:rPr>
                <w:rFonts w:hint="eastAsia" w:ascii="宋体" w:hAnsi="宋体" w:cs="Times New Roman"/>
                <w:color w:val="auto"/>
                <w:sz w:val="22"/>
                <w:szCs w:val="22"/>
                <w:lang w:eastAsia="zh-CN"/>
              </w:rPr>
              <w:t>供应商</w:t>
            </w:r>
            <w:r>
              <w:rPr>
                <w:rFonts w:hint="eastAsia" w:ascii="宋体" w:hAnsi="宋体" w:eastAsia="宋体" w:cs="Times New Roman"/>
                <w:color w:val="auto"/>
                <w:sz w:val="22"/>
                <w:szCs w:val="22"/>
              </w:rPr>
              <w:t>的价格分按照下列公式计算:</w:t>
            </w:r>
            <w:r>
              <w:rPr>
                <w:rFonts w:hint="eastAsia" w:hAnsi="宋体" w:cs="Times New Roman"/>
                <w:color w:val="auto"/>
                <w:sz w:val="22"/>
                <w:szCs w:val="22"/>
                <w:lang w:val="en-US" w:eastAsia="zh-CN"/>
              </w:rPr>
              <w:t>投标报价得分=(评标基准价/投标报价)×10</w:t>
            </w:r>
            <w:r>
              <w:rPr>
                <w:rFonts w:hint="eastAsia" w:ascii="宋体" w:hAnsi="宋体" w:eastAsia="宋体" w:cs="Times New Roman"/>
                <w:color w:val="auto"/>
                <w:sz w:val="22"/>
                <w:szCs w:val="22"/>
              </w:rPr>
              <w:t>。</w:t>
            </w:r>
          </w:p>
        </w:tc>
        <w:tc>
          <w:tcPr>
            <w:tcW w:w="945" w:type="dxa"/>
            <w:noWrap w:val="0"/>
            <w:vAlign w:val="center"/>
          </w:tcPr>
          <w:p w14:paraId="239FA74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Times New Roman"/>
                <w:color w:val="auto"/>
                <w:kern w:val="2"/>
                <w:sz w:val="22"/>
                <w:szCs w:val="22"/>
                <w:lang w:val="en-US" w:eastAsia="zh-CN" w:bidi="ar-SA"/>
              </w:rPr>
            </w:pPr>
            <w:r>
              <w:rPr>
                <w:rFonts w:hint="eastAsia" w:hAnsi="宋体" w:cs="Times New Roman"/>
                <w:color w:val="auto"/>
                <w:sz w:val="22"/>
                <w:szCs w:val="22"/>
                <w:lang w:val="en-US" w:eastAsia="zh-CN"/>
              </w:rPr>
              <w:t>10</w:t>
            </w:r>
            <w:r>
              <w:rPr>
                <w:rFonts w:hint="eastAsia" w:ascii="宋体" w:hAnsi="宋体" w:eastAsia="宋体" w:cs="Times New Roman"/>
                <w:color w:val="auto"/>
                <w:sz w:val="22"/>
                <w:szCs w:val="22"/>
                <w:lang w:val="en-US" w:eastAsia="zh-CN"/>
              </w:rPr>
              <w:t>分</w:t>
            </w:r>
          </w:p>
        </w:tc>
      </w:tr>
      <w:tr w14:paraId="3BDA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0" w:hRule="atLeast"/>
        </w:trPr>
        <w:tc>
          <w:tcPr>
            <w:tcW w:w="754" w:type="dxa"/>
            <w:noWrap w:val="0"/>
            <w:vAlign w:val="center"/>
          </w:tcPr>
          <w:p w14:paraId="4A64315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2</w:t>
            </w:r>
          </w:p>
        </w:tc>
        <w:tc>
          <w:tcPr>
            <w:tcW w:w="1590" w:type="dxa"/>
            <w:noWrap w:val="0"/>
            <w:vAlign w:val="center"/>
          </w:tcPr>
          <w:p w14:paraId="2DF2B4F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技术响应</w:t>
            </w:r>
          </w:p>
          <w:p w14:paraId="48F31AA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（15分）</w:t>
            </w:r>
          </w:p>
        </w:tc>
        <w:tc>
          <w:tcPr>
            <w:tcW w:w="6111" w:type="dxa"/>
            <w:noWrap w:val="0"/>
            <w:vAlign w:val="center"/>
          </w:tcPr>
          <w:p w14:paraId="5A5131B4">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根据</w:t>
            </w:r>
            <w:r>
              <w:rPr>
                <w:rFonts w:hint="eastAsia" w:hAnsi="宋体" w:cs="Times New Roman"/>
                <w:color w:val="auto"/>
                <w:sz w:val="22"/>
                <w:szCs w:val="22"/>
                <w:lang w:val="en-US" w:eastAsia="zh-CN"/>
              </w:rPr>
              <w:t>招标文件第四章第二项</w:t>
            </w:r>
            <w:r>
              <w:rPr>
                <w:rFonts w:hint="eastAsia" w:ascii="宋体" w:hAnsi="宋体" w:eastAsia="宋体" w:cs="Times New Roman"/>
                <w:color w:val="auto"/>
                <w:sz w:val="22"/>
                <w:szCs w:val="22"/>
                <w:lang w:val="en-US" w:eastAsia="zh-CN"/>
              </w:rPr>
              <w:t>技术要求响应情况打分： 1.完全满足技术要求的，得15分； 2.技术要求中非▲项参数每负偏离一项扣0.5分，▲项参数每负偏离一项扣1分，扣完为止；</w:t>
            </w:r>
            <w:r>
              <w:rPr>
                <w:rFonts w:hint="eastAsia" w:hAnsi="宋体" w:cs="Times New Roman"/>
                <w:b/>
                <w:bCs/>
                <w:color w:val="auto"/>
                <w:sz w:val="22"/>
                <w:szCs w:val="22"/>
                <w:lang w:val="en-US" w:eastAsia="zh-CN"/>
              </w:rPr>
              <w:t>注</w:t>
            </w:r>
            <w:r>
              <w:rPr>
                <w:rFonts w:hint="eastAsia" w:ascii="宋体" w:hAnsi="宋体" w:eastAsia="宋体" w:cs="Times New Roman"/>
                <w:b/>
                <w:bCs/>
                <w:color w:val="auto"/>
                <w:sz w:val="22"/>
                <w:szCs w:val="22"/>
                <w:lang w:val="en-US" w:eastAsia="zh-CN"/>
              </w:rPr>
              <w:t>：</w:t>
            </w:r>
            <w:r>
              <w:rPr>
                <w:rFonts w:hint="eastAsia" w:hAnsi="宋体" w:cs="Times New Roman"/>
                <w:b/>
                <w:bCs/>
                <w:color w:val="auto"/>
                <w:sz w:val="22"/>
                <w:szCs w:val="22"/>
                <w:lang w:val="en-US" w:eastAsia="zh-CN"/>
              </w:rPr>
              <w:t>技术要求条款中</w:t>
            </w:r>
            <w:r>
              <w:rPr>
                <w:rFonts w:hint="eastAsia" w:hAnsi="宋体" w:cs="Times New Roman"/>
                <w:b/>
                <w:bCs/>
                <w:color w:val="auto"/>
                <w:sz w:val="22"/>
                <w:szCs w:val="22"/>
                <w:u w:val="single"/>
                <w:lang w:val="en-US" w:eastAsia="zh-CN"/>
              </w:rPr>
              <w:t>括号内要求提供</w:t>
            </w:r>
            <w:r>
              <w:rPr>
                <w:rFonts w:hint="eastAsia" w:ascii="宋体" w:hAnsi="宋体" w:eastAsia="宋体" w:cs="Times New Roman"/>
                <w:b/>
                <w:bCs/>
                <w:color w:val="auto"/>
                <w:sz w:val="22"/>
                <w:szCs w:val="22"/>
                <w:u w:val="single"/>
                <w:lang w:val="en-US" w:eastAsia="zh-CN"/>
              </w:rPr>
              <w:t>相关指标项的证明材料或功能截图</w:t>
            </w:r>
            <w:r>
              <w:rPr>
                <w:rFonts w:hint="eastAsia" w:hAnsi="宋体" w:cs="Times New Roman"/>
                <w:b/>
                <w:bCs/>
                <w:color w:val="auto"/>
                <w:sz w:val="22"/>
                <w:szCs w:val="22"/>
                <w:u w:val="single"/>
                <w:lang w:val="en-US" w:eastAsia="zh-CN"/>
              </w:rPr>
              <w:t>的</w:t>
            </w:r>
            <w:r>
              <w:rPr>
                <w:rFonts w:hint="eastAsia" w:hAnsi="宋体" w:cs="Times New Roman"/>
                <w:b/>
                <w:bCs/>
                <w:color w:val="auto"/>
                <w:sz w:val="22"/>
                <w:szCs w:val="22"/>
                <w:lang w:val="en-US" w:eastAsia="zh-CN"/>
              </w:rPr>
              <w:t>，</w:t>
            </w:r>
            <w:r>
              <w:rPr>
                <w:rFonts w:hint="eastAsia" w:ascii="宋体" w:hAnsi="宋体" w:eastAsia="宋体" w:cs="Times New Roman"/>
                <w:b/>
                <w:bCs/>
                <w:color w:val="auto"/>
                <w:sz w:val="22"/>
                <w:szCs w:val="22"/>
                <w:lang w:val="en-US" w:eastAsia="zh-CN"/>
              </w:rPr>
              <w:t>供应商</w:t>
            </w:r>
            <w:r>
              <w:rPr>
                <w:rFonts w:hint="eastAsia" w:hAnsi="宋体" w:cs="Times New Roman"/>
                <w:b/>
                <w:bCs/>
                <w:color w:val="auto"/>
                <w:sz w:val="22"/>
                <w:szCs w:val="22"/>
                <w:lang w:val="en-US" w:eastAsia="zh-CN"/>
              </w:rPr>
              <w:t>须</w:t>
            </w:r>
            <w:r>
              <w:rPr>
                <w:rFonts w:hint="eastAsia" w:ascii="宋体" w:hAnsi="宋体" w:eastAsia="宋体" w:cs="Times New Roman"/>
                <w:b/>
                <w:bCs/>
                <w:color w:val="auto"/>
                <w:sz w:val="22"/>
                <w:szCs w:val="22"/>
                <w:lang w:val="en-US" w:eastAsia="zh-CN"/>
              </w:rPr>
              <w:t>在投标文件</w:t>
            </w:r>
            <w:r>
              <w:rPr>
                <w:rFonts w:hint="eastAsia" w:hAnsi="宋体" w:cs="Times New Roman"/>
                <w:b/>
                <w:bCs/>
                <w:color w:val="auto"/>
                <w:sz w:val="22"/>
                <w:szCs w:val="22"/>
                <w:lang w:val="en-US" w:eastAsia="zh-CN"/>
              </w:rPr>
              <w:t>“技术条款响应说明”表后如实</w:t>
            </w:r>
            <w:r>
              <w:rPr>
                <w:rFonts w:hint="eastAsia" w:ascii="宋体" w:hAnsi="宋体" w:eastAsia="宋体" w:cs="Times New Roman"/>
                <w:b/>
                <w:bCs/>
                <w:color w:val="auto"/>
                <w:sz w:val="22"/>
                <w:szCs w:val="22"/>
                <w:lang w:val="en-US" w:eastAsia="zh-CN"/>
              </w:rPr>
              <w:t>提供</w:t>
            </w:r>
            <w:r>
              <w:rPr>
                <w:rFonts w:hint="eastAsia" w:hAnsi="宋体" w:cs="Times New Roman"/>
                <w:b/>
                <w:bCs/>
                <w:color w:val="auto"/>
                <w:sz w:val="22"/>
                <w:szCs w:val="22"/>
                <w:lang w:val="en-US" w:eastAsia="zh-CN"/>
              </w:rPr>
              <w:t>并加盖公章，</w:t>
            </w:r>
            <w:r>
              <w:rPr>
                <w:rFonts w:hint="eastAsia" w:ascii="宋体" w:hAnsi="宋体" w:eastAsia="宋体" w:cs="Times New Roman"/>
                <w:b/>
                <w:bCs/>
                <w:color w:val="auto"/>
                <w:sz w:val="22"/>
                <w:szCs w:val="22"/>
                <w:lang w:val="en-US" w:eastAsia="zh-CN"/>
              </w:rPr>
              <w:t>未提供有效证明材料或功能截图或证明材料中内容与所填报指标不一致的，该指标按负偏离处理。</w:t>
            </w:r>
          </w:p>
        </w:tc>
        <w:tc>
          <w:tcPr>
            <w:tcW w:w="945" w:type="dxa"/>
            <w:noWrap w:val="0"/>
            <w:vAlign w:val="center"/>
          </w:tcPr>
          <w:p w14:paraId="472F3C6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15分</w:t>
            </w:r>
          </w:p>
        </w:tc>
      </w:tr>
      <w:tr w14:paraId="11CF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0" w:hRule="atLeast"/>
        </w:trPr>
        <w:tc>
          <w:tcPr>
            <w:tcW w:w="754" w:type="dxa"/>
            <w:vMerge w:val="restart"/>
            <w:noWrap w:val="0"/>
            <w:vAlign w:val="center"/>
          </w:tcPr>
          <w:p w14:paraId="55D7780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3</w:t>
            </w:r>
          </w:p>
        </w:tc>
        <w:tc>
          <w:tcPr>
            <w:tcW w:w="1590" w:type="dxa"/>
            <w:vMerge w:val="restart"/>
            <w:noWrap w:val="0"/>
            <w:vAlign w:val="center"/>
          </w:tcPr>
          <w:p w14:paraId="299BD67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资源库平台</w:t>
            </w:r>
          </w:p>
          <w:p w14:paraId="79DEA70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运营能力</w:t>
            </w:r>
          </w:p>
          <w:p w14:paraId="1A0D1B7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（15分）</w:t>
            </w:r>
          </w:p>
        </w:tc>
        <w:tc>
          <w:tcPr>
            <w:tcW w:w="6111" w:type="dxa"/>
            <w:noWrap w:val="0"/>
            <w:vAlign w:val="center"/>
          </w:tcPr>
          <w:p w14:paraId="4F9520E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1、供应商提供的资源库运营平台需具备职业教育专业教学资源库运营服务能力，并提供有效证明材料，证明材料包括但不限于所提供的资源库运行平台官方网站截图、平台介绍、资源库项目网址链接、资源库项目清单目录、资源库项目截图等。材料齐全且平台运行50个及以上国家级专业资源库项目的，得8分；材料齐全且平台运行30-49个国家级专业资源库项目的，得5分；材料齐全且平台运行15-29个国家级专业资源库项目的，得2分；运行项目数量在15个以内或未提供完整证明材料的，不得分。</w:t>
            </w:r>
            <w:r>
              <w:rPr>
                <w:rFonts w:hint="eastAsia" w:ascii="宋体" w:hAnsi="宋体" w:eastAsia="宋体" w:cs="Times New Roman"/>
                <w:b/>
                <w:bCs/>
                <w:color w:val="auto"/>
                <w:sz w:val="22"/>
                <w:szCs w:val="22"/>
                <w:lang w:val="en-US" w:eastAsia="zh-CN"/>
              </w:rPr>
              <w:t>注：项目实施过程中，如供应商提供的资源库运行平台与此处提供的证明材料不符，视为虚假应标，将追究供应商责任。</w:t>
            </w:r>
          </w:p>
        </w:tc>
        <w:tc>
          <w:tcPr>
            <w:tcW w:w="945" w:type="dxa"/>
            <w:noWrap w:val="0"/>
            <w:vAlign w:val="center"/>
          </w:tcPr>
          <w:p w14:paraId="586970C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8分</w:t>
            </w:r>
          </w:p>
        </w:tc>
      </w:tr>
      <w:tr w14:paraId="7FD6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trPr>
        <w:tc>
          <w:tcPr>
            <w:tcW w:w="754" w:type="dxa"/>
            <w:vMerge w:val="continue"/>
            <w:noWrap w:val="0"/>
            <w:vAlign w:val="center"/>
          </w:tcPr>
          <w:p w14:paraId="6E862249">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1590" w:type="dxa"/>
            <w:vMerge w:val="continue"/>
            <w:noWrap w:val="0"/>
            <w:vAlign w:val="center"/>
          </w:tcPr>
          <w:p w14:paraId="4E289C3D">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6111" w:type="dxa"/>
            <w:noWrap w:val="0"/>
            <w:vAlign w:val="center"/>
          </w:tcPr>
          <w:p w14:paraId="522E4BA1">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2、供应商提供的资源库运行平台已成功与</w:t>
            </w:r>
            <w:r>
              <w:rPr>
                <w:rFonts w:hint="eastAsia" w:hAnsi="宋体" w:cs="Times New Roman"/>
                <w:color w:val="auto"/>
                <w:sz w:val="22"/>
                <w:szCs w:val="22"/>
                <w:lang w:val="en-US" w:eastAsia="zh-CN"/>
              </w:rPr>
              <w:t>“</w:t>
            </w:r>
            <w:r>
              <w:rPr>
                <w:rFonts w:hint="eastAsia" w:ascii="宋体" w:hAnsi="宋体" w:eastAsia="宋体" w:cs="Times New Roman"/>
                <w:color w:val="auto"/>
                <w:sz w:val="22"/>
                <w:szCs w:val="22"/>
                <w:lang w:val="en-US" w:eastAsia="zh-CN"/>
              </w:rPr>
              <w:t>国家职业教育智慧教育平台</w:t>
            </w:r>
            <w:r>
              <w:rPr>
                <w:rFonts w:hint="eastAsia" w:hAnsi="宋体" w:cs="Times New Roman"/>
                <w:color w:val="auto"/>
                <w:sz w:val="22"/>
                <w:szCs w:val="22"/>
                <w:lang w:val="en-US" w:eastAsia="zh-CN"/>
              </w:rPr>
              <w:t>”</w:t>
            </w:r>
            <w:r>
              <w:rPr>
                <w:rFonts w:hint="eastAsia" w:ascii="宋体" w:hAnsi="宋体" w:eastAsia="宋体" w:cs="Times New Roman"/>
                <w:color w:val="auto"/>
                <w:sz w:val="22"/>
                <w:szCs w:val="22"/>
                <w:lang w:val="en-US" w:eastAsia="zh-CN"/>
              </w:rPr>
              <w:t>完成官方标准对接，且有已正式上线运行的职业教育专业教学资源库项目实例。满足要求并提供以下完整、真实证明材料的，得 3 分；未提供证明材料、材料不齐全或经现场核查不真实的，不得分。</w:t>
            </w:r>
          </w:p>
          <w:p w14:paraId="266570A7">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Times New Roman"/>
                <w:color w:val="auto"/>
                <w:sz w:val="22"/>
                <w:szCs w:val="22"/>
                <w:lang w:val="en-US" w:eastAsia="zh-CN"/>
              </w:rPr>
            </w:pPr>
            <w:r>
              <w:rPr>
                <w:rFonts w:hint="eastAsia" w:hAnsi="宋体" w:cs="Times New Roman"/>
                <w:b/>
                <w:bCs/>
                <w:color w:val="auto"/>
                <w:sz w:val="22"/>
                <w:szCs w:val="22"/>
                <w:lang w:val="en-US" w:eastAsia="zh-CN"/>
              </w:rPr>
              <w:t>证明材料需包含但不限于：1.</w:t>
            </w:r>
            <w:r>
              <w:rPr>
                <w:rFonts w:hint="eastAsia" w:ascii="宋体" w:hAnsi="宋体" w:eastAsia="宋体" w:cs="Times New Roman"/>
                <w:b/>
                <w:bCs/>
                <w:color w:val="auto"/>
                <w:sz w:val="22"/>
                <w:szCs w:val="22"/>
                <w:lang w:val="en-US" w:eastAsia="zh-CN"/>
              </w:rPr>
              <w:t>供应商提供的资源库平台已上线的资源库项目在国家职业教育智慧教育平台的完整页面截图（截图须同时清晰显示以下全部要素：①国家职业教育智慧教育平台官方 logo 及顶部统一导航栏；②资源库项目列表及项目名称；③供应商所投本次项目的资源库运行平台品牌标识 / 官方名称）</w:t>
            </w:r>
            <w:r>
              <w:rPr>
                <w:rFonts w:hint="eastAsia" w:hAnsi="宋体" w:cs="Times New Roman"/>
                <w:b/>
                <w:bCs/>
                <w:color w:val="auto"/>
                <w:sz w:val="22"/>
                <w:szCs w:val="22"/>
                <w:lang w:val="en-US" w:eastAsia="zh-CN"/>
              </w:rPr>
              <w:t>。2.</w:t>
            </w:r>
            <w:r>
              <w:rPr>
                <w:rFonts w:hint="eastAsia" w:ascii="宋体" w:hAnsi="宋体" w:eastAsia="宋体" w:cs="Times New Roman"/>
                <w:b/>
                <w:bCs/>
                <w:color w:val="auto"/>
                <w:sz w:val="22"/>
                <w:szCs w:val="22"/>
                <w:lang w:val="en-US" w:eastAsia="zh-CN"/>
              </w:rPr>
              <w:t>供应商出具的《平台对接真实性承诺函》（加盖公章，明确承诺所提供对接项目真实有效，项目实施过程中可实现同等标准对接）。</w:t>
            </w:r>
          </w:p>
        </w:tc>
        <w:tc>
          <w:tcPr>
            <w:tcW w:w="945" w:type="dxa"/>
            <w:noWrap w:val="0"/>
            <w:vAlign w:val="center"/>
          </w:tcPr>
          <w:p w14:paraId="4DAC23D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3分</w:t>
            </w:r>
          </w:p>
        </w:tc>
      </w:tr>
      <w:tr w14:paraId="4CA66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trPr>
        <w:tc>
          <w:tcPr>
            <w:tcW w:w="754" w:type="dxa"/>
            <w:vMerge w:val="continue"/>
            <w:noWrap w:val="0"/>
            <w:vAlign w:val="center"/>
          </w:tcPr>
          <w:p w14:paraId="4B06E6D1">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Times New Roman"/>
                <w:color w:val="auto"/>
                <w:sz w:val="22"/>
                <w:szCs w:val="22"/>
                <w:lang w:val="en-US" w:eastAsia="zh-CN"/>
              </w:rPr>
            </w:pPr>
          </w:p>
        </w:tc>
        <w:tc>
          <w:tcPr>
            <w:tcW w:w="1590" w:type="dxa"/>
            <w:vMerge w:val="continue"/>
            <w:noWrap w:val="0"/>
            <w:vAlign w:val="center"/>
          </w:tcPr>
          <w:p w14:paraId="529A9C0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Times New Roman"/>
                <w:color w:val="auto"/>
                <w:sz w:val="22"/>
                <w:szCs w:val="22"/>
                <w:lang w:val="en-US" w:eastAsia="zh-CN"/>
              </w:rPr>
            </w:pPr>
          </w:p>
        </w:tc>
        <w:tc>
          <w:tcPr>
            <w:tcW w:w="6111" w:type="dxa"/>
            <w:noWrap w:val="0"/>
            <w:vAlign w:val="center"/>
          </w:tcPr>
          <w:p w14:paraId="04C17D72">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3、供应商提供的资源库运行平台需具备课程思政服务能力，平台入选国家级课程思政服务平台的，得4分，入选省级课程思政服务平台的得2分，入选校级课程思政服务平台的得1分，没入选不得分。</w:t>
            </w:r>
            <w:r>
              <w:rPr>
                <w:rFonts w:hint="eastAsia" w:ascii="宋体" w:hAnsi="宋体" w:eastAsia="宋体" w:cs="Times New Roman"/>
                <w:b/>
                <w:bCs/>
                <w:color w:val="auto"/>
                <w:sz w:val="22"/>
                <w:szCs w:val="22"/>
                <w:lang w:val="en-US" w:eastAsia="zh-CN"/>
              </w:rPr>
              <w:t>注：须提供有效的证明材料，包括但不限于官方文件、通知通告等。</w:t>
            </w:r>
          </w:p>
        </w:tc>
        <w:tc>
          <w:tcPr>
            <w:tcW w:w="945" w:type="dxa"/>
            <w:noWrap w:val="0"/>
            <w:vAlign w:val="center"/>
          </w:tcPr>
          <w:p w14:paraId="7DEC54F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4分</w:t>
            </w:r>
          </w:p>
        </w:tc>
      </w:tr>
      <w:tr w14:paraId="4A22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trPr>
        <w:tc>
          <w:tcPr>
            <w:tcW w:w="754" w:type="dxa"/>
            <w:vMerge w:val="restart"/>
            <w:noWrap w:val="0"/>
            <w:vAlign w:val="center"/>
          </w:tcPr>
          <w:p w14:paraId="43BEE10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4</w:t>
            </w:r>
          </w:p>
        </w:tc>
        <w:tc>
          <w:tcPr>
            <w:tcW w:w="1590" w:type="dxa"/>
            <w:vMerge w:val="restart"/>
            <w:noWrap w:val="0"/>
            <w:vAlign w:val="center"/>
          </w:tcPr>
          <w:p w14:paraId="61370CC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实施方案</w:t>
            </w:r>
          </w:p>
          <w:p w14:paraId="1B2C236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（28分）</w:t>
            </w:r>
          </w:p>
        </w:tc>
        <w:tc>
          <w:tcPr>
            <w:tcW w:w="6111" w:type="dxa"/>
            <w:noWrap w:val="0"/>
            <w:vAlign w:val="center"/>
          </w:tcPr>
          <w:p w14:paraId="6D01827B">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en-US" w:eastAsia="zh-CN"/>
              </w:rPr>
            </w:pPr>
            <w:r>
              <w:rPr>
                <w:rFonts w:hint="eastAsia" w:ascii="宋体" w:hAnsi="宋体" w:eastAsia="宋体" w:cs="宋体"/>
                <w:sz w:val="22"/>
                <w:szCs w:val="22"/>
                <w:lang w:val="en-US" w:eastAsia="zh-CN"/>
              </w:rPr>
              <w:t>总体实施方案：针对本项目能够提供切实可行的实施方案，包括具体的项目理解、需求分析、组织框架、时间进度安排、风险管控预案、交付验收计划等，实施方案有详细的说明，内容完整合理可行，与项目实际需求完全适配，完全满足采购人需求的得4.1-6分； 方案内容有制定方案，但描述简略且缺少关键点及重要内容的得2.1-4分；方案内容有缺漏，内容阐述缺乏主次，与本次服务要求适配度差的得0-2分。</w:t>
            </w:r>
          </w:p>
        </w:tc>
        <w:tc>
          <w:tcPr>
            <w:tcW w:w="945" w:type="dxa"/>
            <w:noWrap w:val="0"/>
            <w:vAlign w:val="center"/>
          </w:tcPr>
          <w:p w14:paraId="3F6604C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6分</w:t>
            </w:r>
          </w:p>
        </w:tc>
      </w:tr>
      <w:tr w14:paraId="1C4C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trPr>
        <w:tc>
          <w:tcPr>
            <w:tcW w:w="754" w:type="dxa"/>
            <w:vMerge w:val="continue"/>
            <w:noWrap w:val="0"/>
            <w:vAlign w:val="center"/>
          </w:tcPr>
          <w:p w14:paraId="3DAA3C68">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1590" w:type="dxa"/>
            <w:vMerge w:val="continue"/>
            <w:noWrap w:val="0"/>
            <w:vAlign w:val="center"/>
          </w:tcPr>
          <w:p w14:paraId="7A1365E2">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6111" w:type="dxa"/>
            <w:noWrap w:val="0"/>
            <w:vAlign w:val="center"/>
          </w:tcPr>
          <w:p w14:paraId="5EC7CD13">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技术方案：能够对照招标文件技术要求提供详细的技术方案，包括资源开发方案、资源库平台建设方案、数字教材建设方案，技术方案有详细的说明，内容完整合理可行，与项目实际需求完全适配，完全满足采购人需求的得 4.1-6分；技术方案内容有制定方案，但描述简略且缺少关键点及重要内容的得2.1-4分；技术方案内容有缺漏，内容阐述缺乏主次，与本次服务要求适配度差的得 0-2 分。</w:t>
            </w:r>
          </w:p>
        </w:tc>
        <w:tc>
          <w:tcPr>
            <w:tcW w:w="945" w:type="dxa"/>
            <w:noWrap w:val="0"/>
            <w:vAlign w:val="center"/>
          </w:tcPr>
          <w:p w14:paraId="36F0EAD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6分</w:t>
            </w:r>
          </w:p>
        </w:tc>
      </w:tr>
      <w:tr w14:paraId="07C8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trPr>
        <w:tc>
          <w:tcPr>
            <w:tcW w:w="754" w:type="dxa"/>
            <w:vMerge w:val="continue"/>
            <w:noWrap w:val="0"/>
            <w:vAlign w:val="center"/>
          </w:tcPr>
          <w:p w14:paraId="3201DFF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lang w:val="en-US" w:eastAsia="zh-CN"/>
              </w:rPr>
            </w:pPr>
          </w:p>
        </w:tc>
        <w:tc>
          <w:tcPr>
            <w:tcW w:w="1590" w:type="dxa"/>
            <w:vMerge w:val="continue"/>
            <w:noWrap w:val="0"/>
            <w:vAlign w:val="center"/>
          </w:tcPr>
          <w:p w14:paraId="767D2AF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sz w:val="24"/>
                <w:szCs w:val="24"/>
                <w:lang w:val="en-US" w:eastAsia="zh-CN"/>
              </w:rPr>
            </w:pPr>
          </w:p>
        </w:tc>
        <w:tc>
          <w:tcPr>
            <w:tcW w:w="6111" w:type="dxa"/>
            <w:noWrap w:val="0"/>
            <w:vAlign w:val="center"/>
          </w:tcPr>
          <w:p w14:paraId="5D5541F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培训方案：针对本项目制定可行的技术培训方案及培训计划表，明确培训地点与时间（具体日期及人数由使用单位确定），确保培训后人员能够熟练操作。培训方案详细具体且切实可行的，计4.1-6分；较详细且可行性较好的，计2.1-4分；不具体且可行性较差的，计0-</w:t>
            </w:r>
            <w:r>
              <w:rPr>
                <w:rFonts w:hint="eastAsia" w:hAnsi="宋体" w:cs="宋体"/>
                <w:sz w:val="22"/>
                <w:szCs w:val="22"/>
                <w:lang w:val="en-US" w:eastAsia="zh-CN"/>
              </w:rPr>
              <w:t>2</w:t>
            </w:r>
            <w:r>
              <w:rPr>
                <w:rFonts w:hint="eastAsia" w:ascii="宋体" w:hAnsi="宋体" w:eastAsia="宋体" w:cs="宋体"/>
                <w:sz w:val="22"/>
                <w:szCs w:val="22"/>
                <w:lang w:val="en-US" w:eastAsia="zh-CN"/>
              </w:rPr>
              <w:t>分。</w:t>
            </w:r>
          </w:p>
        </w:tc>
        <w:tc>
          <w:tcPr>
            <w:tcW w:w="945" w:type="dxa"/>
            <w:noWrap w:val="0"/>
            <w:vAlign w:val="center"/>
          </w:tcPr>
          <w:p w14:paraId="75C1BAB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hAnsi="宋体" w:cs="宋体"/>
                <w:sz w:val="24"/>
                <w:szCs w:val="24"/>
                <w:lang w:val="en-US" w:eastAsia="zh-CN"/>
              </w:rPr>
              <w:t>6</w:t>
            </w:r>
            <w:r>
              <w:rPr>
                <w:rFonts w:hint="eastAsia" w:ascii="宋体" w:hAnsi="宋体" w:eastAsia="宋体" w:cs="宋体"/>
                <w:sz w:val="24"/>
                <w:szCs w:val="24"/>
                <w:lang w:val="en-US" w:eastAsia="zh-CN"/>
              </w:rPr>
              <w:t>分</w:t>
            </w:r>
          </w:p>
        </w:tc>
      </w:tr>
      <w:tr w14:paraId="585BA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0" w:hRule="atLeast"/>
        </w:trPr>
        <w:tc>
          <w:tcPr>
            <w:tcW w:w="754" w:type="dxa"/>
            <w:vMerge w:val="continue"/>
            <w:noWrap w:val="0"/>
            <w:vAlign w:val="center"/>
          </w:tcPr>
          <w:p w14:paraId="62BC3FBF">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1590" w:type="dxa"/>
            <w:vMerge w:val="continue"/>
            <w:noWrap w:val="0"/>
            <w:vAlign w:val="center"/>
          </w:tcPr>
          <w:p w14:paraId="3013B9C3">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6111" w:type="dxa"/>
            <w:noWrap w:val="0"/>
            <w:vAlign w:val="center"/>
          </w:tcPr>
          <w:p w14:paraId="71486AA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人员配置：需提供不少于7人的项目实施团队，团队成员至少包括项目经理1人、课程顾问（编导）2人、视频工程师2人、动画设计师1人、网页设计师1人，且团队成员需具备专业教学资源库建设经验。其中：项目经理需提供项目管理类相关证书；其他人员需提供助教类、教师资格类、视频剪辑包装类、动画设计类、3D动画设计类、计算机程序设计类、计算机信息类相关专业证书。以上证书须由人社部门、行业主管部门、行业协会或具备资质的评价机构颁发，包括技能证书、职业资格证书、职业技能等级证书、专项职业能力证书等任意一种，均予以认可。同时，需提供证书持有人近两年（任意一个月）由供应商缴纳社保的证明材料，每有1人（证书、人员、社保信息一致）满足要求得1分；本项满分7分。</w:t>
            </w:r>
          </w:p>
          <w:p w14:paraId="59216B90">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注：1</w:t>
            </w:r>
            <w:r>
              <w:rPr>
                <w:rFonts w:hint="eastAsia" w:hAnsi="宋体" w:cs="宋体"/>
                <w:b/>
                <w:bCs/>
                <w:sz w:val="22"/>
                <w:szCs w:val="22"/>
                <w:lang w:val="en-US" w:eastAsia="zh-CN"/>
              </w:rPr>
              <w:t>.</w:t>
            </w:r>
            <w:r>
              <w:rPr>
                <w:rFonts w:hint="eastAsia" w:ascii="宋体" w:hAnsi="宋体" w:eastAsia="宋体" w:cs="宋体"/>
                <w:b/>
                <w:bCs/>
                <w:sz w:val="22"/>
                <w:szCs w:val="22"/>
                <w:lang w:val="en-US" w:eastAsia="zh-CN"/>
              </w:rPr>
              <w:t>毕业证书、学位证书不作为本次评审的有效依据，不予计分；</w:t>
            </w:r>
            <w:r>
              <w:rPr>
                <w:rFonts w:hint="eastAsia" w:hAnsi="宋体" w:cs="宋体"/>
                <w:b/>
                <w:bCs/>
                <w:sz w:val="22"/>
                <w:szCs w:val="22"/>
                <w:lang w:val="en-US" w:eastAsia="zh-CN"/>
              </w:rPr>
              <w:t>2.</w:t>
            </w:r>
            <w:r>
              <w:rPr>
                <w:rFonts w:hint="eastAsia" w:ascii="宋体" w:hAnsi="宋体" w:eastAsia="宋体" w:cs="宋体"/>
                <w:b/>
                <w:bCs/>
                <w:sz w:val="22"/>
                <w:szCs w:val="22"/>
                <w:lang w:val="en-US" w:eastAsia="zh-CN"/>
              </w:rPr>
              <w:t>供应商下属子公司人员的证书及社保缴纳证明不予认可</w:t>
            </w:r>
            <w:r>
              <w:rPr>
                <w:rFonts w:hint="eastAsia" w:hAnsi="宋体" w:cs="宋体"/>
                <w:b/>
                <w:bCs/>
                <w:sz w:val="22"/>
                <w:szCs w:val="22"/>
                <w:lang w:val="en-US" w:eastAsia="zh-CN"/>
              </w:rPr>
              <w:t>；3.</w:t>
            </w:r>
            <w:r>
              <w:rPr>
                <w:rFonts w:hint="eastAsia" w:ascii="宋体" w:hAnsi="宋体" w:eastAsia="宋体" w:cs="宋体"/>
                <w:b/>
                <w:bCs/>
                <w:sz w:val="22"/>
                <w:szCs w:val="22"/>
                <w:lang w:val="en-US" w:eastAsia="zh-CN"/>
              </w:rPr>
              <w:t>同一人员持有多个同岗位证书的，不重复计分。</w:t>
            </w:r>
          </w:p>
        </w:tc>
        <w:tc>
          <w:tcPr>
            <w:tcW w:w="945" w:type="dxa"/>
            <w:noWrap w:val="0"/>
            <w:vAlign w:val="center"/>
          </w:tcPr>
          <w:p w14:paraId="1D23137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7分</w:t>
            </w:r>
          </w:p>
        </w:tc>
      </w:tr>
      <w:tr w14:paraId="01BDD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754" w:type="dxa"/>
            <w:vMerge w:val="continue"/>
            <w:noWrap w:val="0"/>
            <w:vAlign w:val="center"/>
          </w:tcPr>
          <w:p w14:paraId="72DEC578">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1590" w:type="dxa"/>
            <w:vMerge w:val="continue"/>
            <w:noWrap w:val="0"/>
            <w:vAlign w:val="center"/>
          </w:tcPr>
          <w:p w14:paraId="34B3A444">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6111" w:type="dxa"/>
            <w:noWrap w:val="0"/>
            <w:vAlign w:val="center"/>
          </w:tcPr>
          <w:p w14:paraId="4F7C557D">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专家团队：供应商组建专家团队负责本项目全程教学指导、资源审核及质量把控工作。每提供 1 位副高级职称</w:t>
            </w:r>
            <w:r>
              <w:rPr>
                <w:rFonts w:hint="eastAsia" w:hAnsi="宋体" w:cs="宋体"/>
                <w:sz w:val="22"/>
                <w:szCs w:val="22"/>
                <w:lang w:val="en-US" w:eastAsia="zh-CN"/>
              </w:rPr>
              <w:t>（副教授 / 高级工程师）</w:t>
            </w:r>
            <w:r>
              <w:rPr>
                <w:rFonts w:hint="eastAsia" w:ascii="宋体" w:hAnsi="宋体" w:eastAsia="宋体" w:cs="宋体"/>
                <w:sz w:val="22"/>
                <w:szCs w:val="22"/>
                <w:lang w:val="en-US" w:eastAsia="zh-CN"/>
              </w:rPr>
              <w:t>的专家，得0.5 分；每提供 1 位正高级职称（教授/正高级工程师）的专家，得1 分；本项累计最高得 3 分。</w:t>
            </w:r>
          </w:p>
          <w:p w14:paraId="2251F1CA">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sz w:val="24"/>
                <w:szCs w:val="24"/>
                <w:lang w:val="en-US" w:eastAsia="zh-CN"/>
              </w:rPr>
            </w:pPr>
            <w:r>
              <w:rPr>
                <w:rFonts w:hint="eastAsia" w:ascii="宋体" w:hAnsi="宋体" w:eastAsia="宋体" w:cs="宋体"/>
                <w:b/>
                <w:bCs/>
                <w:sz w:val="22"/>
                <w:szCs w:val="22"/>
                <w:lang w:val="en-US" w:eastAsia="zh-CN"/>
              </w:rPr>
              <w:t>注：1</w:t>
            </w:r>
            <w:r>
              <w:rPr>
                <w:rFonts w:hint="eastAsia" w:hAnsi="宋体" w:cs="宋体"/>
                <w:b/>
                <w:bCs/>
                <w:sz w:val="22"/>
                <w:szCs w:val="22"/>
                <w:lang w:val="en-US" w:eastAsia="zh-CN"/>
              </w:rPr>
              <w:t>.</w:t>
            </w:r>
            <w:r>
              <w:rPr>
                <w:rFonts w:hint="eastAsia" w:ascii="宋体" w:hAnsi="宋体" w:eastAsia="宋体" w:cs="宋体"/>
                <w:b/>
                <w:bCs/>
                <w:sz w:val="22"/>
                <w:szCs w:val="22"/>
                <w:lang w:val="en-US" w:eastAsia="zh-CN"/>
              </w:rPr>
              <w:t>须提供专家相关资料（含姓名、工作单位、职称证书复印件、相关经历简介）并加盖投标人公章；</w:t>
            </w:r>
            <w:r>
              <w:rPr>
                <w:rFonts w:hint="eastAsia" w:hAnsi="宋体" w:cs="宋体"/>
                <w:b/>
                <w:bCs/>
                <w:sz w:val="22"/>
                <w:szCs w:val="22"/>
                <w:lang w:val="en-US" w:eastAsia="zh-CN"/>
              </w:rPr>
              <w:t>2.</w:t>
            </w:r>
            <w:r>
              <w:rPr>
                <w:rFonts w:hint="eastAsia" w:ascii="宋体" w:hAnsi="宋体" w:eastAsia="宋体" w:cs="宋体"/>
                <w:b/>
                <w:bCs/>
                <w:sz w:val="22"/>
                <w:szCs w:val="22"/>
                <w:lang w:val="en-US" w:eastAsia="zh-CN"/>
              </w:rPr>
              <w:t>项目实施过程中会进行专家信息核对，若实际参与专家与投标文件提供的不一致的，视为违约</w:t>
            </w:r>
            <w:r>
              <w:rPr>
                <w:rFonts w:hint="eastAsia" w:hAnsi="宋体" w:cs="宋体"/>
                <w:b/>
                <w:bCs/>
                <w:sz w:val="22"/>
                <w:szCs w:val="22"/>
                <w:lang w:val="en-US" w:eastAsia="zh-CN"/>
              </w:rPr>
              <w:t>。</w:t>
            </w:r>
          </w:p>
        </w:tc>
        <w:tc>
          <w:tcPr>
            <w:tcW w:w="945" w:type="dxa"/>
            <w:noWrap w:val="0"/>
            <w:vAlign w:val="center"/>
          </w:tcPr>
          <w:p w14:paraId="61B4F473">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3分</w:t>
            </w:r>
          </w:p>
        </w:tc>
      </w:tr>
      <w:tr w14:paraId="12DF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754" w:type="dxa"/>
            <w:vMerge w:val="restart"/>
            <w:noWrap w:val="0"/>
            <w:vAlign w:val="center"/>
          </w:tcPr>
          <w:p w14:paraId="2DF030F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hAnsi="宋体" w:cs="Times New Roman"/>
                <w:color w:val="auto"/>
                <w:sz w:val="22"/>
                <w:szCs w:val="22"/>
                <w:lang w:val="en-US" w:eastAsia="zh-CN"/>
              </w:rPr>
              <w:t>5</w:t>
            </w:r>
          </w:p>
        </w:tc>
        <w:tc>
          <w:tcPr>
            <w:tcW w:w="1590" w:type="dxa"/>
            <w:vMerge w:val="restart"/>
            <w:noWrap w:val="0"/>
            <w:vAlign w:val="center"/>
          </w:tcPr>
          <w:p w14:paraId="17C2619D">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服务能力</w:t>
            </w:r>
          </w:p>
          <w:p w14:paraId="03510DB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hAnsi="宋体" w:cs="Times New Roman"/>
                <w:color w:val="auto"/>
                <w:sz w:val="22"/>
                <w:szCs w:val="22"/>
                <w:lang w:val="en-US" w:eastAsia="zh-CN"/>
              </w:rPr>
              <w:t>（9分）</w:t>
            </w:r>
          </w:p>
        </w:tc>
        <w:tc>
          <w:tcPr>
            <w:tcW w:w="6111" w:type="dxa"/>
            <w:noWrap w:val="0"/>
            <w:vAlign w:val="center"/>
          </w:tcPr>
          <w:p w14:paraId="0B26E2C5">
            <w:pPr>
              <w:keepNext w:val="0"/>
              <w:keepLines w:val="0"/>
              <w:pageBreakBefore w:val="0"/>
              <w:widowControl w:val="0"/>
              <w:numPr>
                <w:ilvl w:val="0"/>
                <w:numId w:val="1"/>
              </w:numPr>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供应商具备信息服务能力及良好的企业信誉，提供信息安全管理体系认证证书、信息技术服务管理体系认证证书、</w:t>
            </w:r>
            <w:r>
              <w:rPr>
                <w:rFonts w:hint="default" w:ascii="宋体" w:hAnsi="宋体" w:eastAsia="宋体" w:cs="Times New Roman"/>
                <w:color w:val="auto"/>
                <w:sz w:val="22"/>
                <w:szCs w:val="22"/>
                <w:lang w:val="en-US" w:eastAsia="zh-CN"/>
              </w:rPr>
              <w:t>AAA级</w:t>
            </w:r>
            <w:r>
              <w:rPr>
                <w:rFonts w:hint="eastAsia" w:ascii="宋体" w:hAnsi="宋体" w:eastAsia="宋体" w:cs="Times New Roman"/>
                <w:color w:val="auto"/>
                <w:sz w:val="22"/>
                <w:szCs w:val="22"/>
                <w:lang w:val="en-US" w:eastAsia="zh-CN"/>
              </w:rPr>
              <w:t>信用等级证书的，每提供1项得1分，本项满分3分。</w:t>
            </w:r>
          </w:p>
          <w:p w14:paraId="7FEAAFF5">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both"/>
              <w:textAlignment w:val="auto"/>
              <w:rPr>
                <w:rFonts w:hint="default" w:ascii="宋体" w:hAnsi="宋体" w:eastAsia="宋体" w:cs="Times New Roman"/>
                <w:color w:val="auto"/>
                <w:sz w:val="22"/>
                <w:szCs w:val="22"/>
                <w:lang w:val="en-US" w:eastAsia="zh-CN"/>
              </w:rPr>
            </w:pPr>
            <w:r>
              <w:rPr>
                <w:rFonts w:hint="eastAsia" w:hAnsi="宋体" w:cs="Times New Roman"/>
                <w:b/>
                <w:bCs/>
                <w:color w:val="auto"/>
                <w:sz w:val="22"/>
                <w:szCs w:val="22"/>
                <w:lang w:val="en-US" w:eastAsia="zh-CN"/>
              </w:rPr>
              <w:t>注：</w:t>
            </w:r>
            <w:r>
              <w:rPr>
                <w:b/>
                <w:bCs/>
                <w:spacing w:val="-6"/>
                <w:sz w:val="22"/>
                <w:szCs w:val="22"/>
              </w:rPr>
              <w:t>须提供有效期内的证件复印件并加盖公章，</w:t>
            </w:r>
            <w:r>
              <w:rPr>
                <w:b/>
                <w:bCs/>
                <w:spacing w:val="-7"/>
                <w:sz w:val="22"/>
                <w:szCs w:val="22"/>
              </w:rPr>
              <w:t>否则不得分</w:t>
            </w:r>
            <w:r>
              <w:rPr>
                <w:spacing w:val="-7"/>
                <w:sz w:val="22"/>
                <w:szCs w:val="22"/>
              </w:rPr>
              <w:t>。</w:t>
            </w:r>
          </w:p>
        </w:tc>
        <w:tc>
          <w:tcPr>
            <w:tcW w:w="945" w:type="dxa"/>
            <w:noWrap w:val="0"/>
            <w:vAlign w:val="center"/>
          </w:tcPr>
          <w:p w14:paraId="291C5AF2">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3分</w:t>
            </w:r>
          </w:p>
        </w:tc>
      </w:tr>
      <w:tr w14:paraId="64E7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trPr>
        <w:tc>
          <w:tcPr>
            <w:tcW w:w="754" w:type="dxa"/>
            <w:vMerge w:val="continue"/>
            <w:noWrap w:val="0"/>
            <w:vAlign w:val="center"/>
          </w:tcPr>
          <w:p w14:paraId="4F64299F">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1590" w:type="dxa"/>
            <w:vMerge w:val="continue"/>
            <w:noWrap w:val="0"/>
            <w:vAlign w:val="center"/>
          </w:tcPr>
          <w:p w14:paraId="74BE1DD0">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6111" w:type="dxa"/>
            <w:noWrap w:val="0"/>
            <w:vAlign w:val="center"/>
          </w:tcPr>
          <w:p w14:paraId="51A98143">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2、供应商提供其自主研发、与资源库建设相关的计算机软件著作权（复印件加盖公章）。相关软件著作权包括但不限于以下类别：AI 智能内容识别类、数字人与课程生成类、AI 智能评价类、AI 智能伴学类、AI产教应用类</w:t>
            </w:r>
            <w:r>
              <w:rPr>
                <w:rFonts w:hint="eastAsia" w:hAnsi="宋体" w:cs="Times New Roman"/>
                <w:color w:val="auto"/>
                <w:sz w:val="22"/>
                <w:szCs w:val="22"/>
                <w:lang w:val="en-US" w:eastAsia="zh-CN"/>
              </w:rPr>
              <w:t>，</w:t>
            </w:r>
            <w:r>
              <w:rPr>
                <w:rFonts w:hint="eastAsia" w:ascii="宋体" w:hAnsi="宋体" w:eastAsia="宋体" w:cs="Times New Roman"/>
                <w:color w:val="auto"/>
                <w:sz w:val="22"/>
                <w:szCs w:val="22"/>
                <w:lang w:val="en-US" w:eastAsia="zh-CN"/>
              </w:rPr>
              <w:t>每提供1项符合要求的著作权得1分；若提供的软件著作权超出上述列明类别的，</w:t>
            </w:r>
            <w:r>
              <w:rPr>
                <w:rFonts w:hint="eastAsia" w:hAnsi="宋体" w:cs="Times New Roman"/>
                <w:color w:val="auto"/>
                <w:sz w:val="22"/>
                <w:szCs w:val="22"/>
                <w:lang w:val="en-US" w:eastAsia="zh-CN"/>
              </w:rPr>
              <w:t>且</w:t>
            </w:r>
            <w:r>
              <w:rPr>
                <w:rFonts w:hint="eastAsia" w:ascii="宋体" w:hAnsi="宋体" w:eastAsia="宋体" w:cs="Times New Roman"/>
                <w:color w:val="auto"/>
                <w:sz w:val="22"/>
                <w:szCs w:val="22"/>
                <w:lang w:val="en-US" w:eastAsia="zh-CN"/>
              </w:rPr>
              <w:t>与采购内容或技术要求相适用的著作权</w:t>
            </w:r>
            <w:r>
              <w:rPr>
                <w:rFonts w:hint="eastAsia" w:hAnsi="宋体" w:cs="Times New Roman"/>
                <w:color w:val="auto"/>
                <w:sz w:val="22"/>
                <w:szCs w:val="22"/>
                <w:lang w:val="en-US" w:eastAsia="zh-CN"/>
              </w:rPr>
              <w:t>，每多提供1项</w:t>
            </w:r>
            <w:r>
              <w:rPr>
                <w:rFonts w:hint="eastAsia" w:ascii="宋体" w:hAnsi="宋体" w:eastAsia="宋体" w:cs="Times New Roman"/>
                <w:color w:val="auto"/>
                <w:sz w:val="22"/>
                <w:szCs w:val="22"/>
                <w:lang w:val="en-US" w:eastAsia="zh-CN"/>
              </w:rPr>
              <w:t>加0.5分，最多加1分；同一软件著作权或同一技术类型的软件著作权重复提交的不加分。本项满分6分</w:t>
            </w:r>
            <w:r>
              <w:rPr>
                <w:rFonts w:hint="eastAsia" w:hAnsi="宋体" w:cs="Times New Roman"/>
                <w:color w:val="auto"/>
                <w:sz w:val="22"/>
                <w:szCs w:val="22"/>
                <w:lang w:val="en-US" w:eastAsia="zh-CN"/>
              </w:rPr>
              <w:t>。</w:t>
            </w:r>
          </w:p>
        </w:tc>
        <w:tc>
          <w:tcPr>
            <w:tcW w:w="945" w:type="dxa"/>
            <w:noWrap w:val="0"/>
            <w:vAlign w:val="center"/>
          </w:tcPr>
          <w:p w14:paraId="4C186BEA">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6分</w:t>
            </w:r>
          </w:p>
        </w:tc>
      </w:tr>
      <w:tr w14:paraId="1E6F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754" w:type="dxa"/>
            <w:noWrap w:val="0"/>
            <w:vAlign w:val="center"/>
          </w:tcPr>
          <w:p w14:paraId="033C6A7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6</w:t>
            </w:r>
          </w:p>
        </w:tc>
        <w:tc>
          <w:tcPr>
            <w:tcW w:w="1590" w:type="dxa"/>
            <w:noWrap w:val="0"/>
            <w:vAlign w:val="center"/>
          </w:tcPr>
          <w:p w14:paraId="1C58C87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企业业绩</w:t>
            </w:r>
          </w:p>
          <w:p w14:paraId="71EA8C00">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（6分）</w:t>
            </w:r>
          </w:p>
        </w:tc>
        <w:tc>
          <w:tcPr>
            <w:tcW w:w="6111" w:type="dxa"/>
            <w:noWrap w:val="0"/>
            <w:vAlign w:val="center"/>
          </w:tcPr>
          <w:p w14:paraId="529D7788">
            <w:pPr>
              <w:keepNext w:val="0"/>
              <w:keepLines w:val="0"/>
              <w:pageBreakBefore w:val="0"/>
              <w:widowControl w:val="0"/>
              <w:kinsoku/>
              <w:wordWrap/>
              <w:overflowPunct/>
              <w:topLinePunct w:val="0"/>
              <w:autoSpaceDE/>
              <w:autoSpaceDN/>
              <w:bidi w:val="0"/>
              <w:adjustRightInd w:val="0"/>
              <w:snapToGrid/>
              <w:spacing w:line="300" w:lineRule="exact"/>
              <w:ind w:left="6" w:right="153"/>
              <w:textAlignment w:val="baseline"/>
              <w:rPr>
                <w:rFonts w:hint="eastAsia" w:hAnsi="宋体" w:cs="Times New Roman"/>
                <w:color w:val="auto"/>
                <w:sz w:val="22"/>
                <w:szCs w:val="22"/>
                <w:lang w:val="en-US" w:eastAsia="zh-CN"/>
              </w:rPr>
            </w:pPr>
            <w:r>
              <w:rPr>
                <w:rFonts w:hint="eastAsia" w:hAnsi="宋体" w:cs="Times New Roman"/>
                <w:color w:val="auto"/>
                <w:sz w:val="22"/>
                <w:szCs w:val="22"/>
                <w:lang w:val="en-US" w:eastAsia="zh-CN"/>
              </w:rPr>
              <w:t>投标人提供2024 年 1 月 1 日至本项目投标截止日期间签订的教学资源库建设同类项目业绩，每提供 1 份符合全部要求的有效业绩得 2 分，最多得 6 分。</w:t>
            </w:r>
          </w:p>
          <w:p w14:paraId="044CD00F">
            <w:pPr>
              <w:keepNext w:val="0"/>
              <w:keepLines w:val="0"/>
              <w:pageBreakBefore w:val="0"/>
              <w:widowControl w:val="0"/>
              <w:kinsoku/>
              <w:wordWrap/>
              <w:overflowPunct/>
              <w:topLinePunct w:val="0"/>
              <w:autoSpaceDE/>
              <w:autoSpaceDN/>
              <w:bidi w:val="0"/>
              <w:adjustRightInd w:val="0"/>
              <w:snapToGrid/>
              <w:spacing w:line="300" w:lineRule="exact"/>
              <w:ind w:left="6" w:right="153"/>
              <w:textAlignment w:val="baseline"/>
              <w:rPr>
                <w:rFonts w:hint="eastAsia" w:hAnsi="宋体" w:cs="Times New Roman"/>
                <w:color w:val="auto"/>
                <w:sz w:val="22"/>
                <w:szCs w:val="22"/>
                <w:lang w:val="en-US" w:eastAsia="zh-CN"/>
              </w:rPr>
            </w:pPr>
            <w:r>
              <w:rPr>
                <w:rFonts w:hint="eastAsia" w:hAnsi="宋体" w:cs="Times New Roman"/>
                <w:b/>
                <w:bCs/>
                <w:color w:val="auto"/>
                <w:sz w:val="22"/>
                <w:szCs w:val="22"/>
                <w:lang w:val="en-US" w:eastAsia="zh-CN"/>
              </w:rPr>
              <w:t>注：1.须提供完整合同、中标通知书以及在官方媒介发布的中标公告截图；2.业绩合同的甲方为该业绩项目的招标人（即项目采购方），而非任何第三方主体。</w:t>
            </w:r>
          </w:p>
        </w:tc>
        <w:tc>
          <w:tcPr>
            <w:tcW w:w="945" w:type="dxa"/>
            <w:noWrap w:val="0"/>
            <w:vAlign w:val="center"/>
          </w:tcPr>
          <w:p w14:paraId="1DA8A407">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6分</w:t>
            </w:r>
          </w:p>
        </w:tc>
      </w:tr>
      <w:tr w14:paraId="0DB2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754" w:type="dxa"/>
            <w:vMerge w:val="restart"/>
            <w:noWrap w:val="0"/>
            <w:vAlign w:val="center"/>
          </w:tcPr>
          <w:p w14:paraId="046935D8">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hAnsi="宋体" w:cs="Times New Roman"/>
                <w:color w:val="auto"/>
                <w:sz w:val="22"/>
                <w:szCs w:val="22"/>
                <w:lang w:val="en-US" w:eastAsia="zh-CN"/>
              </w:rPr>
              <w:t>7</w:t>
            </w:r>
          </w:p>
          <w:p w14:paraId="5BB867A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en-US" w:eastAsia="zh-CN"/>
              </w:rPr>
            </w:pPr>
          </w:p>
        </w:tc>
        <w:tc>
          <w:tcPr>
            <w:tcW w:w="1590" w:type="dxa"/>
            <w:vMerge w:val="restart"/>
            <w:noWrap w:val="0"/>
            <w:vAlign w:val="center"/>
          </w:tcPr>
          <w:p w14:paraId="74AD06A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Times New Roman"/>
                <w:color w:val="auto"/>
                <w:sz w:val="22"/>
                <w:szCs w:val="22"/>
                <w:lang w:eastAsia="zh-CN"/>
              </w:rPr>
            </w:pPr>
            <w:r>
              <w:rPr>
                <w:rFonts w:hint="eastAsia" w:hAnsi="宋体" w:cs="Times New Roman"/>
                <w:color w:val="auto"/>
                <w:sz w:val="22"/>
                <w:szCs w:val="22"/>
                <w:lang w:val="en-US" w:eastAsia="zh-CN"/>
              </w:rPr>
              <w:t>售后服务方案（9分）</w:t>
            </w:r>
          </w:p>
        </w:tc>
        <w:tc>
          <w:tcPr>
            <w:tcW w:w="6111" w:type="dxa"/>
            <w:noWrap w:val="0"/>
            <w:vAlign w:val="center"/>
          </w:tcPr>
          <w:p w14:paraId="26D02242">
            <w:pPr>
              <w:keepNext w:val="0"/>
              <w:keepLines w:val="0"/>
              <w:pageBreakBefore w:val="0"/>
              <w:widowControl w:val="0"/>
              <w:kinsoku/>
              <w:wordWrap/>
              <w:overflowPunct/>
              <w:topLinePunct w:val="0"/>
              <w:autoSpaceDE/>
              <w:autoSpaceDN/>
              <w:bidi w:val="0"/>
              <w:adjustRightInd/>
              <w:snapToGrid/>
              <w:spacing w:line="300" w:lineRule="exact"/>
              <w:textAlignment w:val="auto"/>
              <w:rPr>
                <w:rFonts w:hint="default" w:ascii="宋体" w:hAnsi="宋体" w:eastAsia="宋体" w:cs="Times New Roman"/>
                <w:color w:val="auto"/>
                <w:sz w:val="22"/>
                <w:szCs w:val="22"/>
                <w:lang w:val="en-US" w:eastAsia="zh-CN"/>
              </w:rPr>
            </w:pPr>
            <w:r>
              <w:rPr>
                <w:rFonts w:hint="default" w:ascii="宋体" w:hAnsi="宋体" w:eastAsia="宋体" w:cs="Times New Roman"/>
                <w:color w:val="auto"/>
                <w:sz w:val="22"/>
                <w:szCs w:val="22"/>
                <w:lang w:val="en-US" w:eastAsia="zh-CN"/>
              </w:rPr>
              <w:t>针对本采购项目及采购人实际需求提供详细、具体、可行的售后服务方案，内容至少包含2名售后服务人员配置、服务标准、服务流程及服务内容等，根据方案对需求的响应程度得0-</w:t>
            </w:r>
            <w:r>
              <w:rPr>
                <w:rFonts w:hint="eastAsia" w:hAnsi="宋体" w:cs="Times New Roman"/>
                <w:color w:val="auto"/>
                <w:sz w:val="22"/>
                <w:szCs w:val="22"/>
                <w:lang w:val="en-US" w:eastAsia="zh-CN"/>
              </w:rPr>
              <w:t>4</w:t>
            </w:r>
            <w:r>
              <w:rPr>
                <w:rFonts w:hint="default" w:ascii="宋体" w:hAnsi="宋体" w:eastAsia="宋体" w:cs="Times New Roman"/>
                <w:color w:val="auto"/>
                <w:sz w:val="22"/>
                <w:szCs w:val="22"/>
                <w:lang w:val="en-US" w:eastAsia="zh-CN"/>
              </w:rPr>
              <w:t>分</w:t>
            </w:r>
            <w:r>
              <w:rPr>
                <w:rFonts w:hint="eastAsia" w:hAnsi="宋体" w:cs="Times New Roman"/>
                <w:color w:val="auto"/>
                <w:sz w:val="22"/>
                <w:szCs w:val="22"/>
                <w:lang w:val="en-US" w:eastAsia="zh-CN"/>
              </w:rPr>
              <w:t>。</w:t>
            </w:r>
          </w:p>
        </w:tc>
        <w:tc>
          <w:tcPr>
            <w:tcW w:w="945" w:type="dxa"/>
            <w:noWrap w:val="0"/>
            <w:vAlign w:val="center"/>
          </w:tcPr>
          <w:p w14:paraId="6292172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hAnsi="宋体" w:cs="Times New Roman"/>
                <w:color w:val="auto"/>
                <w:sz w:val="22"/>
                <w:szCs w:val="22"/>
                <w:lang w:val="en-US" w:eastAsia="zh-CN"/>
              </w:rPr>
              <w:t>4分</w:t>
            </w:r>
          </w:p>
        </w:tc>
      </w:tr>
      <w:tr w14:paraId="15EA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754" w:type="dxa"/>
            <w:vMerge w:val="continue"/>
            <w:noWrap w:val="0"/>
            <w:vAlign w:val="center"/>
          </w:tcPr>
          <w:p w14:paraId="7E04D00B">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1590" w:type="dxa"/>
            <w:vMerge w:val="continue"/>
            <w:noWrap w:val="0"/>
            <w:vAlign w:val="center"/>
          </w:tcPr>
          <w:p w14:paraId="5851F495">
            <w:pPr>
              <w:keepNext w:val="0"/>
              <w:keepLines w:val="0"/>
              <w:pageBreakBefore w:val="0"/>
              <w:widowControl w:val="0"/>
              <w:kinsoku/>
              <w:wordWrap/>
              <w:overflowPunct/>
              <w:topLinePunct w:val="0"/>
              <w:autoSpaceDE/>
              <w:autoSpaceDN/>
              <w:bidi w:val="0"/>
              <w:adjustRightInd/>
              <w:snapToGrid/>
              <w:spacing w:line="300" w:lineRule="exact"/>
              <w:jc w:val="center"/>
              <w:textAlignment w:val="auto"/>
            </w:pPr>
          </w:p>
        </w:tc>
        <w:tc>
          <w:tcPr>
            <w:tcW w:w="6111" w:type="dxa"/>
            <w:noWrap w:val="0"/>
            <w:vAlign w:val="center"/>
          </w:tcPr>
          <w:p w14:paraId="60172D11">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宋体" w:hAnsi="宋体" w:eastAsia="宋体" w:cs="Times New Roman"/>
                <w:color w:val="auto"/>
                <w:sz w:val="22"/>
                <w:szCs w:val="22"/>
                <w:lang w:val="en-US" w:eastAsia="zh-CN"/>
              </w:rPr>
            </w:pPr>
            <w:r>
              <w:rPr>
                <w:rFonts w:hint="default" w:ascii="宋体" w:hAnsi="宋体" w:eastAsia="宋体" w:cs="Times New Roman"/>
                <w:color w:val="auto"/>
                <w:sz w:val="22"/>
                <w:szCs w:val="22"/>
                <w:lang w:val="en-US" w:eastAsia="zh-CN"/>
              </w:rPr>
              <w:t>提供项目建成后的运营及维护方案，内容包括但不限于技术支持响应时间、后续修改等，根据方案对需求的响应程度得0-3分。</w:t>
            </w:r>
          </w:p>
        </w:tc>
        <w:tc>
          <w:tcPr>
            <w:tcW w:w="945" w:type="dxa"/>
            <w:noWrap w:val="0"/>
            <w:vAlign w:val="center"/>
          </w:tcPr>
          <w:p w14:paraId="4C7E595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hAnsi="宋体" w:cs="Times New Roman"/>
                <w:color w:val="auto"/>
                <w:sz w:val="22"/>
                <w:szCs w:val="22"/>
                <w:lang w:val="en-US" w:eastAsia="zh-CN"/>
              </w:rPr>
              <w:t>3分</w:t>
            </w:r>
          </w:p>
        </w:tc>
      </w:tr>
      <w:tr w14:paraId="3A7C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54" w:type="dxa"/>
            <w:vMerge w:val="continue"/>
            <w:noWrap w:val="0"/>
            <w:vAlign w:val="center"/>
          </w:tcPr>
          <w:p w14:paraId="25EC5F9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p>
        </w:tc>
        <w:tc>
          <w:tcPr>
            <w:tcW w:w="1590" w:type="dxa"/>
            <w:vMerge w:val="continue"/>
            <w:noWrap w:val="0"/>
            <w:vAlign w:val="center"/>
          </w:tcPr>
          <w:p w14:paraId="1D2BAF39">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p>
        </w:tc>
        <w:tc>
          <w:tcPr>
            <w:tcW w:w="6111" w:type="dxa"/>
            <w:noWrap w:val="0"/>
            <w:vAlign w:val="center"/>
          </w:tcPr>
          <w:p w14:paraId="2A418856">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default" w:ascii="宋体" w:hAnsi="宋体" w:eastAsia="宋体" w:cs="Times New Roman"/>
                <w:color w:val="auto"/>
                <w:sz w:val="22"/>
                <w:szCs w:val="22"/>
                <w:lang w:val="en-US" w:eastAsia="zh-CN"/>
              </w:rPr>
            </w:pPr>
            <w:r>
              <w:rPr>
                <w:rFonts w:hint="eastAsia" w:ascii="宋体" w:hAnsi="宋体" w:eastAsia="宋体" w:cs="宋体"/>
                <w:spacing w:val="-4"/>
                <w:sz w:val="22"/>
                <w:szCs w:val="22"/>
                <w:lang w:val="en-US" w:eastAsia="zh-CN"/>
              </w:rPr>
              <w:t>提供项目验收后3年的资源库运行平台免费更新、升级服务</w:t>
            </w:r>
            <w:r>
              <w:rPr>
                <w:rFonts w:hint="eastAsia" w:hAnsi="宋体" w:cs="宋体"/>
                <w:spacing w:val="-4"/>
                <w:sz w:val="22"/>
                <w:szCs w:val="22"/>
                <w:lang w:val="en-US" w:eastAsia="zh-CN"/>
              </w:rPr>
              <w:t>承诺</w:t>
            </w:r>
            <w:r>
              <w:rPr>
                <w:rFonts w:hint="eastAsia" w:ascii="宋体" w:hAnsi="宋体" w:eastAsia="宋体" w:cs="宋体"/>
                <w:spacing w:val="-4"/>
                <w:sz w:val="22"/>
                <w:szCs w:val="22"/>
                <w:lang w:val="en-US" w:eastAsia="zh-CN"/>
              </w:rPr>
              <w:t>，</w:t>
            </w:r>
            <w:r>
              <w:rPr>
                <w:rFonts w:hint="eastAsia" w:hAnsi="宋体" w:cs="宋体"/>
                <w:spacing w:val="-4"/>
                <w:sz w:val="22"/>
                <w:szCs w:val="22"/>
                <w:lang w:val="en-US" w:eastAsia="zh-CN"/>
              </w:rPr>
              <w:t>完全响应得2分，未响应不得分</w:t>
            </w:r>
            <w:r>
              <w:rPr>
                <w:rFonts w:hint="eastAsia" w:ascii="宋体" w:hAnsi="宋体" w:eastAsia="宋体" w:cs="宋体"/>
                <w:color w:val="auto"/>
                <w:sz w:val="22"/>
                <w:szCs w:val="22"/>
                <w:lang w:val="en-US" w:eastAsia="zh-CN" w:bidi="ar-SA"/>
              </w:rPr>
              <w:t>。</w:t>
            </w:r>
          </w:p>
        </w:tc>
        <w:tc>
          <w:tcPr>
            <w:tcW w:w="945" w:type="dxa"/>
            <w:noWrap w:val="0"/>
            <w:vAlign w:val="center"/>
          </w:tcPr>
          <w:p w14:paraId="169C736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Times New Roman"/>
                <w:color w:val="auto"/>
                <w:sz w:val="22"/>
                <w:szCs w:val="22"/>
                <w:lang w:val="en-US" w:eastAsia="zh-CN"/>
              </w:rPr>
            </w:pPr>
            <w:r>
              <w:rPr>
                <w:rFonts w:hint="eastAsia" w:hAnsi="宋体" w:cs="Times New Roman"/>
                <w:color w:val="auto"/>
                <w:sz w:val="22"/>
                <w:szCs w:val="22"/>
                <w:lang w:val="en-US" w:eastAsia="zh-CN"/>
              </w:rPr>
              <w:t>2分</w:t>
            </w:r>
          </w:p>
        </w:tc>
      </w:tr>
      <w:tr w14:paraId="443A1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0" w:hRule="atLeast"/>
        </w:trPr>
        <w:tc>
          <w:tcPr>
            <w:tcW w:w="754" w:type="dxa"/>
            <w:noWrap w:val="0"/>
            <w:vAlign w:val="center"/>
          </w:tcPr>
          <w:p w14:paraId="1846266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hAnsi="宋体" w:cs="Times New Roman"/>
                <w:color w:val="auto"/>
                <w:sz w:val="22"/>
                <w:szCs w:val="22"/>
                <w:lang w:val="en-US" w:eastAsia="zh-CN"/>
              </w:rPr>
            </w:pPr>
            <w:r>
              <w:rPr>
                <w:rFonts w:hint="eastAsia" w:hAnsi="宋体" w:cs="Times New Roman"/>
                <w:color w:val="auto"/>
                <w:sz w:val="22"/>
                <w:szCs w:val="22"/>
                <w:lang w:val="en-US" w:eastAsia="zh-CN"/>
              </w:rPr>
              <w:t>8</w:t>
            </w:r>
          </w:p>
        </w:tc>
        <w:tc>
          <w:tcPr>
            <w:tcW w:w="1590" w:type="dxa"/>
            <w:noWrap w:val="0"/>
            <w:vAlign w:val="center"/>
          </w:tcPr>
          <w:p w14:paraId="1E2422EB">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hAnsi="宋体" w:cs="Times New Roman"/>
                <w:color w:val="auto"/>
                <w:sz w:val="22"/>
                <w:szCs w:val="22"/>
                <w:lang w:val="en-US" w:eastAsia="zh-CN"/>
              </w:rPr>
            </w:pPr>
            <w:r>
              <w:rPr>
                <w:rFonts w:hint="eastAsia" w:hAnsi="宋体" w:cs="Times New Roman"/>
                <w:color w:val="auto"/>
                <w:sz w:val="22"/>
                <w:szCs w:val="22"/>
                <w:lang w:val="en-US" w:eastAsia="zh-CN"/>
              </w:rPr>
              <w:t>现场演示</w:t>
            </w:r>
          </w:p>
          <w:p w14:paraId="6ADED4F5">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color w:val="auto"/>
                <w:sz w:val="22"/>
                <w:szCs w:val="22"/>
                <w:lang w:val="en-US" w:eastAsia="zh-CN"/>
              </w:rPr>
            </w:pPr>
            <w:r>
              <w:rPr>
                <w:rFonts w:hint="eastAsia" w:hAnsi="宋体" w:cs="Times New Roman"/>
                <w:color w:val="auto"/>
                <w:sz w:val="22"/>
                <w:szCs w:val="22"/>
                <w:lang w:val="en-US" w:eastAsia="zh-CN"/>
              </w:rPr>
              <w:t>（8分）</w:t>
            </w:r>
          </w:p>
        </w:tc>
        <w:tc>
          <w:tcPr>
            <w:tcW w:w="6111" w:type="dxa"/>
            <w:noWrap w:val="0"/>
            <w:vAlign w:val="center"/>
          </w:tcPr>
          <w:p w14:paraId="6E36AFB5">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color w:val="auto"/>
                <w:sz w:val="22"/>
                <w:szCs w:val="22"/>
                <w:lang w:val="zh-CN" w:eastAsia="zh-CN"/>
              </w:rPr>
            </w:pPr>
            <w:r>
              <w:rPr>
                <w:rFonts w:hint="eastAsia" w:ascii="宋体" w:hAnsi="宋体" w:eastAsia="宋体" w:cs="Times New Roman"/>
                <w:color w:val="auto"/>
                <w:sz w:val="22"/>
                <w:szCs w:val="22"/>
                <w:lang w:val="en-US" w:eastAsia="zh-CN"/>
              </w:rPr>
              <w:t>1、技术要求中“✦”项</w:t>
            </w:r>
            <w:r>
              <w:rPr>
                <w:rFonts w:hint="eastAsia" w:ascii="宋体" w:hAnsi="宋体" w:eastAsia="宋体" w:cs="Times New Roman"/>
                <w:color w:val="auto"/>
                <w:sz w:val="22"/>
                <w:szCs w:val="22"/>
                <w:lang w:val="zh-CN" w:eastAsia="zh-CN"/>
              </w:rPr>
              <w:t>功能演示部分需逐项完成演示内容，演示符合要求且无漏项计</w:t>
            </w:r>
            <w:r>
              <w:rPr>
                <w:rFonts w:hint="eastAsia" w:hAnsi="宋体" w:cs="Times New Roman"/>
                <w:color w:val="auto"/>
                <w:sz w:val="22"/>
                <w:szCs w:val="22"/>
                <w:lang w:val="en-US" w:eastAsia="zh-CN"/>
              </w:rPr>
              <w:t>6</w:t>
            </w:r>
            <w:r>
              <w:rPr>
                <w:rFonts w:hint="eastAsia" w:ascii="宋体" w:hAnsi="宋体" w:eastAsia="宋体" w:cs="Times New Roman"/>
                <w:color w:val="auto"/>
                <w:sz w:val="22"/>
                <w:szCs w:val="22"/>
                <w:lang w:val="zh-CN" w:eastAsia="zh-CN"/>
              </w:rPr>
              <w:t>分，每漏一项或每有一项演示不合格扣</w:t>
            </w:r>
            <w:r>
              <w:rPr>
                <w:rFonts w:hint="eastAsia" w:hAnsi="宋体" w:cs="Times New Roman"/>
                <w:color w:val="auto"/>
                <w:sz w:val="22"/>
                <w:szCs w:val="22"/>
                <w:lang w:val="en-US" w:eastAsia="zh-CN"/>
              </w:rPr>
              <w:t>1.5</w:t>
            </w:r>
            <w:r>
              <w:rPr>
                <w:rFonts w:hint="eastAsia" w:ascii="宋体" w:hAnsi="宋体" w:eastAsia="宋体" w:cs="Times New Roman"/>
                <w:color w:val="auto"/>
                <w:sz w:val="22"/>
                <w:szCs w:val="22"/>
                <w:lang w:val="zh-CN" w:eastAsia="zh-CN"/>
              </w:rPr>
              <w:t>分，扣完为止。</w:t>
            </w:r>
          </w:p>
          <w:p w14:paraId="6FA0E29F">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2、供应商完整演示从国家职业教育智慧教育平台发起的跨平台资源库访问全流程，点击资源库项目入口，实现系统自动单点登录跳转（无需二次输入账号密码），直接进入供应商提供的本项目资源库运行平台的对应项目详情页，在跳转后的供应商提供的资源库平台内，完成完整课程学习操作（包括课程章节切换、教学视频正常播放、配套课件查看），演示全程无卡顿、无报错，且全部符合要求的，得 2 分，演示不合格不得分。</w:t>
            </w:r>
          </w:p>
          <w:p w14:paraId="2915C7CE">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Times New Roman"/>
                <w:b/>
                <w:bCs/>
                <w:color w:val="auto"/>
                <w:sz w:val="22"/>
                <w:szCs w:val="22"/>
                <w:lang w:val="zh-CN" w:eastAsia="zh-CN"/>
              </w:rPr>
            </w:pPr>
            <w:r>
              <w:rPr>
                <w:rFonts w:hint="eastAsia" w:ascii="宋体" w:hAnsi="宋体" w:eastAsia="宋体" w:cs="Times New Roman"/>
                <w:b/>
                <w:bCs/>
                <w:color w:val="auto"/>
                <w:sz w:val="22"/>
                <w:szCs w:val="22"/>
                <w:lang w:val="zh-CN" w:eastAsia="zh-CN"/>
              </w:rPr>
              <w:t>演示方式：通过腾讯会议进行远程演示，开标现场代理机构使用不见面开标系统通知各投标单位腾讯会议号，各投标单位通过腾讯会议依次进入并进行远程演示。</w:t>
            </w:r>
          </w:p>
          <w:p w14:paraId="416E92F9">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hint="default" w:ascii="宋体" w:hAnsi="宋体" w:eastAsia="宋体" w:cs="宋体"/>
                <w:b/>
                <w:bCs/>
                <w:color w:val="auto"/>
                <w:sz w:val="22"/>
                <w:szCs w:val="22"/>
                <w:lang w:val="en-US" w:eastAsia="zh-CN" w:bidi="ar-SA"/>
              </w:rPr>
            </w:pPr>
            <w:r>
              <w:rPr>
                <w:rFonts w:hint="eastAsia" w:ascii="宋体" w:hAnsi="宋体" w:eastAsia="宋体" w:cs="Times New Roman"/>
                <w:b/>
                <w:bCs/>
                <w:color w:val="auto"/>
                <w:sz w:val="22"/>
                <w:szCs w:val="22"/>
                <w:lang w:val="en-US" w:eastAsia="zh-CN"/>
              </w:rPr>
              <w:t>注：投标单位务必提前下载好腾讯会议APP并确保正常使用，同时保持手机畅通且不见面开标系统保持在线状态，如因投标单位自身原因导致无法正常演示，则本项不计分，责任自负。</w:t>
            </w:r>
          </w:p>
        </w:tc>
        <w:tc>
          <w:tcPr>
            <w:tcW w:w="945" w:type="dxa"/>
            <w:noWrap w:val="0"/>
            <w:vAlign w:val="center"/>
          </w:tcPr>
          <w:p w14:paraId="16B62A5E">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cs="宋体"/>
                <w:color w:val="auto"/>
                <w:sz w:val="22"/>
                <w:szCs w:val="22"/>
                <w:lang w:val="en-US" w:eastAsia="zh-CN"/>
              </w:rPr>
            </w:pPr>
            <w:r>
              <w:rPr>
                <w:rFonts w:hint="eastAsia" w:hAnsi="宋体" w:cs="Times New Roman"/>
                <w:color w:val="auto"/>
                <w:sz w:val="22"/>
                <w:szCs w:val="22"/>
                <w:lang w:val="en-US" w:eastAsia="zh-CN"/>
              </w:rPr>
              <w:t>8分</w:t>
            </w:r>
          </w:p>
        </w:tc>
      </w:tr>
    </w:tbl>
    <w:p w14:paraId="62A0F1FB">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25.3供应商的投标文件中须提供与以上评分因素相关的证明材料。如果发现有弄虚作假的，评标委员会将取消其投标资格。</w:t>
      </w:r>
    </w:p>
    <w:p w14:paraId="074656DD">
      <w:pPr>
        <w:autoSpaceDE w:val="0"/>
        <w:autoSpaceDN w:val="0"/>
        <w:snapToGrid w:val="0"/>
        <w:spacing w:line="460" w:lineRule="exact"/>
        <w:ind w:firstLine="480" w:firstLineChars="200"/>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rPr>
        <w:t>6</w:t>
      </w:r>
      <w:r>
        <w:rPr>
          <w:rFonts w:hint="eastAsia" w:ascii="宋体" w:hAnsi="宋体" w:eastAsia="宋体" w:cs="宋体"/>
          <w:b/>
          <w:color w:val="auto"/>
          <w:sz w:val="24"/>
          <w:szCs w:val="24"/>
          <w:lang w:val="zh-CN"/>
        </w:rPr>
        <w:t>.</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zh-CN"/>
        </w:rPr>
        <w:t>本项目落实政府采购政策</w:t>
      </w:r>
    </w:p>
    <w:p w14:paraId="1AF0D27D">
      <w:pPr>
        <w:autoSpaceDE w:val="0"/>
        <w:autoSpaceDN w:val="0"/>
        <w:snapToGrid w:val="0"/>
        <w:spacing w:line="460" w:lineRule="exact"/>
        <w:ind w:firstLine="480" w:firstLineChars="200"/>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rPr>
        <w:t>6</w:t>
      </w:r>
      <w:r>
        <w:rPr>
          <w:rFonts w:hint="eastAsia" w:ascii="宋体" w:hAnsi="宋体" w:eastAsia="宋体" w:cs="宋体"/>
          <w:b/>
          <w:color w:val="auto"/>
          <w:sz w:val="24"/>
          <w:szCs w:val="24"/>
          <w:lang w:val="zh-CN"/>
        </w:rPr>
        <w:t>.1</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zh-CN"/>
        </w:rPr>
        <w:t>投标企业政府采购政策</w:t>
      </w:r>
    </w:p>
    <w:p w14:paraId="4543F86D">
      <w:pPr>
        <w:spacing w:line="460" w:lineRule="exact"/>
        <w:ind w:firstLine="480" w:firstLineChars="200"/>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t>（一）中小</w:t>
      </w:r>
      <w:r>
        <w:rPr>
          <w:rFonts w:hint="eastAsia" w:ascii="宋体" w:hAnsi="宋体" w:eastAsia="宋体" w:cs="宋体"/>
          <w:b/>
          <w:bCs/>
          <w:color w:val="auto"/>
          <w:sz w:val="24"/>
          <w:szCs w:val="24"/>
          <w:lang w:val="zh-CN"/>
        </w:rPr>
        <w:t>企业</w:t>
      </w:r>
      <w:r>
        <w:rPr>
          <w:rFonts w:hint="eastAsia" w:ascii="宋体" w:hAnsi="宋体" w:eastAsia="宋体" w:cs="宋体"/>
          <w:b/>
          <w:bCs/>
          <w:color w:val="auto"/>
          <w:sz w:val="24"/>
          <w:szCs w:val="24"/>
        </w:rPr>
        <w:t>落实政府采购政策</w:t>
      </w:r>
    </w:p>
    <w:p w14:paraId="1F527E0A">
      <w:pPr>
        <w:spacing w:line="460" w:lineRule="exact"/>
        <w:ind w:firstLine="480" w:firstLineChars="200"/>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（1）根据</w:t>
      </w:r>
      <w:r>
        <w:rPr>
          <w:rFonts w:hint="eastAsia" w:ascii="宋体" w:hAnsi="宋体" w:eastAsia="宋体" w:cs="宋体"/>
          <w:color w:val="auto"/>
          <w:sz w:val="24"/>
          <w:szCs w:val="24"/>
          <w:shd w:val="clear" w:color="auto" w:fill="FFFFFF"/>
        </w:rPr>
        <w:t>《政府采购促进中小企业发展管理办法》（财库〔2020〕46号）</w:t>
      </w:r>
      <w:r>
        <w:rPr>
          <w:rFonts w:hint="eastAsia" w:ascii="宋体" w:hAnsi="宋体" w:eastAsia="宋体" w:cs="宋体"/>
          <w:color w:val="auto"/>
          <w:sz w:val="24"/>
          <w:szCs w:val="24"/>
        </w:rPr>
        <w:t>的规定，</w:t>
      </w:r>
      <w:r>
        <w:rPr>
          <w:rFonts w:hint="eastAsia" w:ascii="宋体" w:hAnsi="宋体" w:eastAsia="宋体" w:cs="宋体"/>
          <w:color w:val="auto"/>
          <w:sz w:val="24"/>
          <w:szCs w:val="24"/>
          <w:shd w:val="clear" w:color="auto" w:fill="FFFFFF"/>
        </w:rPr>
        <w:t>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920454A">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（2）在政府采购活动中，供应商提供的货物、工程或者服务符合下列情形的，享受本办法规定的中小企业扶持政策：</w:t>
      </w:r>
    </w:p>
    <w:p w14:paraId="6CC20FAE">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（一）在货物采购项目中，货物由中小企业制造，即货物由中小企业生产且使用该中小企业商号或者注册商标；</w:t>
      </w:r>
    </w:p>
    <w:p w14:paraId="00F9479E">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（二）在工程采购项目中，工程由中小企业承建，即工程施工单位为中小企业；</w:t>
      </w:r>
    </w:p>
    <w:p w14:paraId="3E1431C6">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（三）在服务采购项目中，服务由中小企业承接，即提供服务的人员为中小企业依照《中华人民共和国劳动合同法》订立劳动合同的从业人员。</w:t>
      </w:r>
    </w:p>
    <w:p w14:paraId="33A2A6E9">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（3）在货物采购项目中，供应商提供的货物既有中小企业制造货物，也有大型企业制造货物的，不享受本办法规定的中小企业扶持政策。</w:t>
      </w:r>
    </w:p>
    <w:p w14:paraId="5662A8AC">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（4）以联合体形式参加政府采购活动，联合体各方均为中小企业的，联合体视同中小企业。其中，联合体各方均为小微企业的，联合体视同小微企业。</w:t>
      </w:r>
    </w:p>
    <w:p w14:paraId="076CFB28">
      <w:pPr>
        <w:spacing w:line="460" w:lineRule="exact"/>
        <w:ind w:firstLine="480" w:firstLineChars="200"/>
        <w:rPr>
          <w:rFonts w:hint="eastAsia" w:ascii="宋体" w:hAnsi="宋体" w:eastAsia="宋体" w:cs="宋体"/>
          <w:color w:val="auto"/>
        </w:rPr>
      </w:pPr>
      <w:r>
        <w:rPr>
          <w:rFonts w:hint="eastAsia" w:ascii="宋体" w:hAnsi="宋体" w:eastAsia="宋体" w:cs="宋体"/>
          <w:color w:val="auto"/>
          <w:sz w:val="24"/>
          <w:szCs w:val="24"/>
        </w:rPr>
        <w:t>（5）中小企业划分标准参照《关于印发中小企业划型标准规定的通知》（工信部联企业〔2011〕300号）执行，本项目采购标的对应的中小企业划分标准所属行业为</w:t>
      </w:r>
      <w:r>
        <w:rPr>
          <w:rFonts w:hint="eastAsia" w:ascii="宋体" w:hAnsi="宋体" w:eastAsia="宋体" w:cs="宋体"/>
          <w:color w:val="auto"/>
          <w:sz w:val="24"/>
          <w:szCs w:val="24"/>
          <w:lang w:eastAsia="zh-CN"/>
        </w:rPr>
        <w:t>：</w:t>
      </w:r>
      <w:r>
        <w:rPr>
          <w:rFonts w:hint="eastAsia" w:hAnsi="宋体" w:cs="宋体"/>
          <w:color w:val="auto"/>
          <w:sz w:val="24"/>
          <w:szCs w:val="24"/>
          <w:lang w:val="en-US" w:eastAsia="zh-CN"/>
        </w:rPr>
        <w:t>其他未列明行业</w:t>
      </w:r>
      <w:r>
        <w:rPr>
          <w:rFonts w:hint="eastAsia" w:ascii="宋体" w:hAnsi="宋体" w:eastAsia="宋体" w:cs="宋体"/>
          <w:color w:val="auto"/>
          <w:sz w:val="24"/>
          <w:szCs w:val="24"/>
        </w:rPr>
        <w:t>。</w:t>
      </w:r>
    </w:p>
    <w:p w14:paraId="4A5568C0">
      <w:pPr>
        <w:autoSpaceDE w:val="0"/>
        <w:autoSpaceDN w:val="0"/>
        <w:snapToGrid w:val="0"/>
        <w:spacing w:line="460" w:lineRule="exact"/>
        <w:ind w:firstLine="480"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（6）</w:t>
      </w:r>
      <w:r>
        <w:rPr>
          <w:rFonts w:hint="eastAsia" w:ascii="宋体" w:hAnsi="宋体" w:cs="宋体"/>
          <w:b/>
          <w:bCs/>
          <w:color w:val="auto"/>
          <w:kern w:val="0"/>
          <w:sz w:val="24"/>
          <w:highlight w:val="none"/>
          <w:lang w:val="en-US" w:eastAsia="zh-CN"/>
        </w:rPr>
        <w:t>本项目</w:t>
      </w:r>
      <w:r>
        <w:rPr>
          <w:rFonts w:hint="eastAsia" w:hAnsi="宋体" w:cs="宋体"/>
          <w:b/>
          <w:bCs/>
          <w:color w:val="auto"/>
          <w:kern w:val="0"/>
          <w:sz w:val="24"/>
          <w:highlight w:val="none"/>
          <w:lang w:val="en-US" w:eastAsia="zh-CN"/>
        </w:rPr>
        <w:t>不</w:t>
      </w:r>
      <w:r>
        <w:rPr>
          <w:rFonts w:hint="eastAsia" w:ascii="宋体" w:hAnsi="宋体" w:cs="宋体"/>
          <w:b/>
          <w:bCs/>
          <w:color w:val="auto"/>
          <w:kern w:val="0"/>
          <w:sz w:val="24"/>
          <w:highlight w:val="none"/>
          <w:lang w:val="en-US" w:eastAsia="zh-CN"/>
        </w:rPr>
        <w:t>专门面向中小企业采购，</w:t>
      </w:r>
      <w:r>
        <w:rPr>
          <w:rFonts w:hint="eastAsia" w:hAnsi="宋体" w:cs="宋体"/>
          <w:b/>
          <w:bCs/>
          <w:color w:val="auto"/>
          <w:kern w:val="0"/>
          <w:sz w:val="24"/>
          <w:highlight w:val="none"/>
          <w:lang w:val="en-US" w:eastAsia="zh-CN"/>
        </w:rPr>
        <w:t>投标企业若为中小微企业，</w:t>
      </w:r>
      <w:r>
        <w:rPr>
          <w:rFonts w:hint="eastAsia" w:ascii="宋体" w:hAnsi="宋体" w:cs="宋体"/>
          <w:b/>
          <w:bCs/>
          <w:color w:val="auto"/>
          <w:kern w:val="0"/>
          <w:sz w:val="24"/>
          <w:highlight w:val="none"/>
        </w:rPr>
        <w:t>应当出具</w:t>
      </w:r>
      <w:r>
        <w:rPr>
          <w:rFonts w:hint="eastAsia" w:ascii="宋体" w:hAnsi="宋体" w:cs="宋体"/>
          <w:b/>
          <w:bCs/>
          <w:color w:val="auto"/>
          <w:sz w:val="24"/>
          <w:highlight w:val="none"/>
          <w:shd w:val="clear" w:color="auto" w:fill="FFFFFF"/>
        </w:rPr>
        <w:t>《政府采购促进中小企业发展管理办法》（财库〔2020〕46号）</w:t>
      </w:r>
      <w:r>
        <w:rPr>
          <w:rFonts w:hint="eastAsia" w:ascii="宋体" w:hAnsi="宋体" w:cs="宋体"/>
          <w:b/>
          <w:bCs/>
          <w:color w:val="auto"/>
          <w:kern w:val="0"/>
          <w:sz w:val="24"/>
          <w:highlight w:val="none"/>
        </w:rPr>
        <w:t>规定的《中小企业声明函》</w:t>
      </w:r>
      <w:r>
        <w:rPr>
          <w:rFonts w:hint="eastAsia" w:ascii="宋体" w:hAnsi="宋体" w:cs="宋体"/>
          <w:b/>
          <w:bCs/>
          <w:color w:val="auto"/>
          <w:kern w:val="0"/>
          <w:sz w:val="24"/>
          <w:highlight w:val="none"/>
          <w:lang w:eastAsia="zh-CN"/>
        </w:rPr>
        <w:t>（</w:t>
      </w:r>
      <w:r>
        <w:rPr>
          <w:rFonts w:hint="eastAsia" w:ascii="宋体" w:hAnsi="宋体" w:cs="宋体"/>
          <w:b/>
          <w:bCs/>
          <w:color w:val="auto"/>
          <w:kern w:val="0"/>
          <w:sz w:val="24"/>
          <w:highlight w:val="none"/>
          <w:lang w:val="en-US" w:eastAsia="zh-CN"/>
        </w:rPr>
        <w:t>格式详见附件1</w:t>
      </w:r>
      <w:r>
        <w:rPr>
          <w:rFonts w:hint="eastAsia" w:ascii="宋体" w:hAnsi="宋体" w:cs="宋体"/>
          <w:b/>
          <w:bCs/>
          <w:color w:val="auto"/>
          <w:kern w:val="0"/>
          <w:sz w:val="24"/>
          <w:highlight w:val="none"/>
          <w:lang w:eastAsia="zh-CN"/>
        </w:rPr>
        <w:t>）</w:t>
      </w:r>
      <w:r>
        <w:rPr>
          <w:rFonts w:hint="eastAsia" w:ascii="宋体" w:hAnsi="宋体" w:eastAsia="宋体" w:cs="宋体"/>
          <w:b/>
          <w:bCs/>
          <w:color w:val="auto"/>
          <w:sz w:val="24"/>
          <w:szCs w:val="24"/>
        </w:rPr>
        <w:t>。</w:t>
      </w:r>
    </w:p>
    <w:p w14:paraId="239BF637">
      <w:pPr>
        <w:autoSpaceDE w:val="0"/>
        <w:autoSpaceDN w:val="0"/>
        <w:snapToGri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lang w:val="zh-CN"/>
        </w:rPr>
        <w:t>监狱和戒毒企业</w:t>
      </w:r>
      <w:r>
        <w:rPr>
          <w:rFonts w:hint="eastAsia" w:ascii="宋体" w:hAnsi="宋体" w:eastAsia="宋体" w:cs="宋体"/>
          <w:color w:val="auto"/>
          <w:sz w:val="24"/>
          <w:szCs w:val="24"/>
        </w:rPr>
        <w:t>落实政府采购政策</w:t>
      </w:r>
    </w:p>
    <w:p w14:paraId="6DFF63CF">
      <w:pPr>
        <w:autoSpaceDE w:val="0"/>
        <w:autoSpaceDN w:val="0"/>
        <w:snapToGri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zh-CN"/>
        </w:rPr>
        <w:t>监狱和戒毒企业应符合《财政部</w:t>
      </w:r>
      <w:r>
        <w:rPr>
          <w:rFonts w:hint="eastAsia" w:ascii="宋体" w:hAnsi="宋体" w:eastAsia="宋体" w:cs="宋体"/>
          <w:color w:val="auto"/>
          <w:sz w:val="24"/>
          <w:szCs w:val="24"/>
        </w:rPr>
        <w:t>、司法部关于政府采购支持监狱企业发展有关问题的通知》--财库[2014]68号</w:t>
      </w:r>
      <w:r>
        <w:rPr>
          <w:rFonts w:hint="eastAsia" w:ascii="宋体" w:hAnsi="宋体" w:eastAsia="宋体" w:cs="宋体"/>
          <w:color w:val="auto"/>
          <w:sz w:val="24"/>
          <w:szCs w:val="24"/>
          <w:lang w:val="zh-CN"/>
        </w:rPr>
        <w:t>，并提供由省级以上监狱管理局、戒毒管理局(含新疆生产建设兵团)出具的属于监狱企业的证明文件。</w:t>
      </w:r>
    </w:p>
    <w:p w14:paraId="552B4D19">
      <w:pPr>
        <w:autoSpaceDE w:val="0"/>
        <w:autoSpaceDN w:val="0"/>
        <w:snapToGri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（三）残疾人福利性单位落实政府采购政策</w:t>
      </w:r>
    </w:p>
    <w:p w14:paraId="7857EAC8">
      <w:pPr>
        <w:autoSpaceDE w:val="0"/>
        <w:autoSpaceDN w:val="0"/>
        <w:snapToGri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（1）残疾人福利性单位应符合《财政部 民政部 中国残疾人联合会关于促进残疾人就业政府采购政策的通知》--财库〔2017〕141号规定的条件，并提供《残疾人福利性单位声明函》，并对声明的真实性负责。</w:t>
      </w:r>
    </w:p>
    <w:p w14:paraId="343A913F">
      <w:pPr>
        <w:autoSpaceDE w:val="0"/>
        <w:autoSpaceDN w:val="0"/>
        <w:snapToGri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(2)中标、成交供应商为残疾人福利性单位的，采购人或者其委托的采购代理机构应当随中标、成交结果同时公告其《残疾人福利性单位声明函》，接受社会监督。</w:t>
      </w:r>
    </w:p>
    <w:p w14:paraId="6FA08577">
      <w:pPr>
        <w:autoSpaceDE w:val="0"/>
        <w:autoSpaceDN w:val="0"/>
        <w:snapToGrid w:val="0"/>
        <w:spacing w:line="46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投标人</w:t>
      </w:r>
      <w:r>
        <w:rPr>
          <w:rFonts w:hint="eastAsia" w:ascii="宋体" w:hAnsi="宋体" w:eastAsia="宋体" w:cs="宋体"/>
          <w:bCs/>
          <w:color w:val="auto"/>
          <w:sz w:val="24"/>
          <w:szCs w:val="24"/>
        </w:rPr>
        <w:t>应如实提供以上证明文件，如存在虚假应标，将取消其投标资格。</w:t>
      </w:r>
    </w:p>
    <w:p w14:paraId="3C9AC233">
      <w:pPr>
        <w:autoSpaceDE w:val="0"/>
        <w:autoSpaceDN w:val="0"/>
        <w:snapToGrid w:val="0"/>
        <w:spacing w:line="460" w:lineRule="exact"/>
        <w:ind w:firstLine="470" w:firstLineChars="196"/>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rPr>
        <w:t>6</w:t>
      </w: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zh-CN"/>
        </w:rPr>
        <w:t>投标产品政府采购政策</w:t>
      </w:r>
    </w:p>
    <w:p w14:paraId="4CED3C89">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节能产品根据《关于调整优化节能产品环境标志产品政府采购执行机制的通知》（财库〔2019〕9号）的规定，以中国政府采购网（http://www.ccgp.gov.cn/）公布的最新一期节能产品政府采购清单为准。</w:t>
      </w:r>
    </w:p>
    <w:p w14:paraId="70613759">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（2）环境标志产品</w:t>
      </w:r>
      <w:r>
        <w:rPr>
          <w:rFonts w:hint="eastAsia" w:ascii="宋体" w:hAnsi="宋体" w:eastAsia="宋体" w:cs="宋体"/>
          <w:color w:val="auto"/>
          <w:sz w:val="24"/>
          <w:szCs w:val="24"/>
          <w:lang w:val="zh-CN"/>
        </w:rPr>
        <w:t>根据《环境标志产品政府采购实施的意见》</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财库</w:t>
      </w:r>
      <w:r>
        <w:rPr>
          <w:rFonts w:hint="eastAsia" w:ascii="宋体" w:hAnsi="宋体" w:eastAsia="宋体" w:cs="宋体"/>
          <w:color w:val="auto"/>
          <w:sz w:val="24"/>
          <w:szCs w:val="24"/>
        </w:rPr>
        <w:t>[2006]90</w:t>
      </w:r>
      <w:r>
        <w:rPr>
          <w:rFonts w:hint="eastAsia" w:ascii="宋体" w:hAnsi="宋体" w:eastAsia="宋体" w:cs="宋体"/>
          <w:color w:val="auto"/>
          <w:sz w:val="24"/>
          <w:szCs w:val="24"/>
          <w:lang w:val="zh-CN"/>
        </w:rPr>
        <w:t>号</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的规定</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以中国政府采购网</w:t>
      </w:r>
      <w:r>
        <w:rPr>
          <w:rFonts w:hint="eastAsia" w:ascii="宋体" w:hAnsi="宋体" w:eastAsia="宋体" w:cs="宋体"/>
          <w:color w:val="auto"/>
          <w:sz w:val="24"/>
          <w:szCs w:val="24"/>
        </w:rPr>
        <w:t>（http://www.ccgp.gov.cn/）</w:t>
      </w:r>
      <w:r>
        <w:rPr>
          <w:rFonts w:hint="eastAsia" w:ascii="宋体" w:hAnsi="宋体" w:eastAsia="宋体" w:cs="宋体"/>
          <w:color w:val="auto"/>
          <w:sz w:val="24"/>
          <w:szCs w:val="24"/>
          <w:lang w:val="zh-CN"/>
        </w:rPr>
        <w:t>公布的最新一期环境标志产品政府采购清单为准。</w:t>
      </w:r>
    </w:p>
    <w:p w14:paraId="31AEB10B">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46338C3A">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若节能、环保、环境标志清单内的产品仅是构成投标产品的部件、组件或零件的，则该投标产品不享受鼓励优惠政策。</w:t>
      </w:r>
    </w:p>
    <w:p w14:paraId="21820B4A">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同一标段的节能、环保、环境标志产品部分优惠只对属于清单内的非强制类产品进行优惠，强制类产品不给予优惠。</w:t>
      </w:r>
    </w:p>
    <w:p w14:paraId="32CB6EE7">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（6）</w:t>
      </w:r>
      <w:r>
        <w:rPr>
          <w:rFonts w:hint="eastAsia" w:ascii="宋体" w:hAnsi="宋体" w:eastAsia="宋体" w:cs="宋体"/>
          <w:color w:val="auto"/>
          <w:sz w:val="24"/>
          <w:szCs w:val="24"/>
          <w:lang w:val="zh-CN"/>
        </w:rPr>
        <w:t>节能、环保、环境标志产品不重复优惠；同时列入国家级清单和省级清单的产品不重复优惠。</w:t>
      </w:r>
    </w:p>
    <w:p w14:paraId="32321244">
      <w:pPr>
        <w:autoSpaceDE w:val="0"/>
        <w:autoSpaceDN w:val="0"/>
        <w:snapToGrid w:val="0"/>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color w:val="auto"/>
          <w:sz w:val="24"/>
          <w:szCs w:val="24"/>
        </w:rPr>
        <w:t>（7）</w:t>
      </w:r>
      <w:r>
        <w:rPr>
          <w:rFonts w:hint="eastAsia" w:ascii="宋体" w:hAnsi="宋体" w:eastAsia="宋体" w:cs="宋体"/>
          <w:color w:val="auto"/>
          <w:sz w:val="24"/>
          <w:szCs w:val="24"/>
          <w:lang w:val="zh-CN"/>
        </w:rPr>
        <w:t>获得上述认证的产品在投标时应提供有效证明材料。以上所有证明文件复印件须加盖投标人公章并注明“与原件一致”。</w:t>
      </w:r>
    </w:p>
    <w:p w14:paraId="5133EF14">
      <w:pPr>
        <w:spacing w:line="460" w:lineRule="exact"/>
        <w:ind w:firstLine="470" w:firstLineChars="196"/>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2</w:t>
      </w:r>
      <w:r>
        <w:rPr>
          <w:rFonts w:hint="eastAsia" w:ascii="宋体" w:hAnsi="宋体" w:eastAsia="宋体" w:cs="宋体"/>
          <w:b/>
          <w:color w:val="auto"/>
          <w:sz w:val="24"/>
          <w:szCs w:val="24"/>
        </w:rPr>
        <w:t>6</w:t>
      </w:r>
      <w:r>
        <w:rPr>
          <w:rFonts w:hint="eastAsia" w:ascii="宋体" w:hAnsi="宋体" w:eastAsia="宋体" w:cs="宋体"/>
          <w:b/>
          <w:color w:val="auto"/>
          <w:sz w:val="24"/>
          <w:szCs w:val="24"/>
          <w:lang w:val="zh-CN"/>
        </w:rPr>
        <w:t>.3</w:t>
      </w:r>
      <w:r>
        <w:rPr>
          <w:rFonts w:hint="eastAsia" w:ascii="宋体" w:hAnsi="宋体" w:eastAsia="宋体" w:cs="宋体"/>
          <w:b/>
          <w:color w:val="auto"/>
          <w:sz w:val="24"/>
          <w:szCs w:val="24"/>
        </w:rPr>
        <w:t xml:space="preserve"> </w:t>
      </w:r>
      <w:r>
        <w:rPr>
          <w:rFonts w:hint="eastAsia" w:ascii="宋体" w:hAnsi="宋体" w:eastAsia="宋体" w:cs="宋体"/>
          <w:b/>
          <w:color w:val="auto"/>
          <w:sz w:val="24"/>
          <w:szCs w:val="24"/>
          <w:lang w:val="zh-CN"/>
        </w:rPr>
        <w:t>价格优惠比例</w:t>
      </w:r>
    </w:p>
    <w:p w14:paraId="7CB75824">
      <w:pPr>
        <w:spacing w:line="460" w:lineRule="exact"/>
        <w:ind w:firstLine="470" w:firstLineChars="196"/>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zh-CN"/>
        </w:rPr>
        <w:t>（</w:t>
      </w: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zh-CN"/>
        </w:rPr>
        <w:t>）</w:t>
      </w:r>
      <w:r>
        <w:rPr>
          <w:rFonts w:hint="eastAsia" w:ascii="宋体" w:hAnsi="宋体" w:eastAsia="宋体" w:cs="宋体"/>
          <w:bCs/>
          <w:color w:val="auto"/>
          <w:sz w:val="24"/>
          <w:szCs w:val="24"/>
        </w:rPr>
        <w:t>根据</w:t>
      </w:r>
      <w:r>
        <w:rPr>
          <w:rFonts w:hint="eastAsia" w:ascii="宋体" w:hAnsi="宋体" w:eastAsia="宋体" w:cs="宋体"/>
          <w:color w:val="auto"/>
          <w:sz w:val="24"/>
          <w:szCs w:val="24"/>
          <w:shd w:val="clear" w:color="auto" w:fill="FFFFFF"/>
        </w:rPr>
        <w:t>《政府采购促进中小企业发展管理办法》（财库〔2020〕46号）及《财政部关于进一步加大政府采购支持中小企业力度的通知》（财库〔2022〕19号）的相关规定，</w:t>
      </w:r>
      <w:r>
        <w:rPr>
          <w:rFonts w:hint="eastAsia" w:ascii="宋体" w:hAnsi="宋体" w:eastAsia="宋体" w:cs="宋体"/>
          <w:color w:val="auto"/>
          <w:sz w:val="24"/>
          <w:szCs w:val="24"/>
        </w:rPr>
        <w:t>对符合规定的</w:t>
      </w:r>
      <w:r>
        <w:rPr>
          <w:rFonts w:hint="eastAsia" w:hAnsi="宋体" w:cs="宋体"/>
          <w:color w:val="auto"/>
          <w:sz w:val="24"/>
          <w:szCs w:val="24"/>
          <w:lang w:val="en-US" w:eastAsia="zh-CN"/>
        </w:rPr>
        <w:t>中小</w:t>
      </w:r>
      <w:r>
        <w:rPr>
          <w:rFonts w:hint="eastAsia" w:ascii="宋体" w:hAnsi="宋体" w:eastAsia="宋体" w:cs="宋体"/>
          <w:color w:val="auto"/>
          <w:sz w:val="24"/>
          <w:szCs w:val="24"/>
        </w:rPr>
        <w:t>企业报价给予 10% 的扣除，用扣除后的价格参加评审；</w:t>
      </w:r>
      <w:r>
        <w:rPr>
          <w:rFonts w:hint="eastAsia" w:ascii="宋体" w:hAnsi="宋体" w:eastAsia="宋体" w:cs="宋体"/>
          <w:color w:val="auto"/>
          <w:sz w:val="24"/>
          <w:szCs w:val="24"/>
          <w:lang w:val="zh-CN"/>
        </w:rPr>
        <w:t>在政府采购活动中，监狱企业</w:t>
      </w:r>
      <w:r>
        <w:rPr>
          <w:rFonts w:hint="eastAsia" w:ascii="宋体" w:hAnsi="宋体" w:eastAsia="宋体" w:cs="宋体"/>
          <w:color w:val="auto"/>
          <w:sz w:val="24"/>
          <w:szCs w:val="24"/>
        </w:rPr>
        <w:t>和</w:t>
      </w:r>
      <w:r>
        <w:rPr>
          <w:rFonts w:hint="eastAsia" w:ascii="宋体" w:hAnsi="宋体" w:eastAsia="宋体" w:cs="宋体"/>
          <w:color w:val="auto"/>
          <w:sz w:val="24"/>
          <w:szCs w:val="24"/>
          <w:lang w:val="zh-CN"/>
        </w:rPr>
        <w:t>残疾人福利性单位视同小型、微型企业，享受预留份额、评审中价格扣除等促进中小企业发展的政府采购政策（不重复优惠，最高为</w:t>
      </w:r>
      <w:r>
        <w:rPr>
          <w:rFonts w:hint="eastAsia" w:ascii="宋体" w:hAnsi="宋体" w:eastAsia="宋体" w:cs="宋体"/>
          <w:color w:val="auto"/>
          <w:sz w:val="24"/>
          <w:szCs w:val="24"/>
        </w:rPr>
        <w:t>10</w:t>
      </w:r>
      <w:r>
        <w:rPr>
          <w:rFonts w:hint="eastAsia" w:ascii="宋体" w:hAnsi="宋体" w:eastAsia="宋体" w:cs="宋体"/>
          <w:color w:val="auto"/>
          <w:sz w:val="24"/>
          <w:szCs w:val="24"/>
          <w:lang w:val="zh-CN"/>
        </w:rPr>
        <w:t>%）。</w:t>
      </w:r>
    </w:p>
    <w:p w14:paraId="1B17941B">
      <w:pPr>
        <w:spacing w:line="460" w:lineRule="exact"/>
        <w:ind w:firstLine="470" w:firstLineChars="196"/>
        <w:rPr>
          <w:rFonts w:hint="eastAsia" w:ascii="宋体" w:hAnsi="宋体" w:eastAsia="宋体" w:cs="宋体"/>
          <w:b/>
          <w:bCs/>
          <w:color w:val="auto"/>
          <w:kern w:val="1"/>
          <w:sz w:val="24"/>
          <w:szCs w:val="24"/>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w:t>
      </w:r>
      <w:r>
        <w:rPr>
          <w:rFonts w:hint="eastAsia" w:ascii="宋体" w:hAnsi="宋体" w:eastAsia="宋体" w:cs="宋体"/>
          <w:bCs/>
          <w:color w:val="auto"/>
          <w:sz w:val="24"/>
          <w:szCs w:val="24"/>
        </w:rPr>
        <w:t>中标（成交）企业</w:t>
      </w:r>
      <w:r>
        <w:rPr>
          <w:rFonts w:hint="eastAsia" w:ascii="宋体" w:hAnsi="宋体" w:eastAsia="宋体" w:cs="宋体"/>
          <w:bCs/>
          <w:color w:val="auto"/>
          <w:sz w:val="24"/>
          <w:szCs w:val="24"/>
          <w:lang w:val="zh-CN"/>
        </w:rPr>
        <w:t>享受了中小企业优惠政策的，其《中小企业声明函》或《残疾人福利性单位声明函》</w:t>
      </w:r>
      <w:r>
        <w:rPr>
          <w:rFonts w:hint="eastAsia" w:ascii="宋体" w:hAnsi="宋体" w:eastAsia="宋体" w:cs="宋体"/>
          <w:bCs/>
          <w:color w:val="auto"/>
          <w:sz w:val="24"/>
          <w:szCs w:val="24"/>
        </w:rPr>
        <w:t>或</w:t>
      </w:r>
      <w:r>
        <w:rPr>
          <w:rFonts w:hint="eastAsia" w:ascii="宋体" w:hAnsi="宋体" w:eastAsia="宋体" w:cs="宋体"/>
          <w:color w:val="auto"/>
          <w:sz w:val="24"/>
          <w:szCs w:val="24"/>
        </w:rPr>
        <w:t>《残疾人福利性单位声明函》</w:t>
      </w:r>
      <w:r>
        <w:rPr>
          <w:rFonts w:hint="eastAsia" w:ascii="宋体" w:hAnsi="宋体" w:eastAsia="宋体" w:cs="宋体"/>
          <w:bCs/>
          <w:color w:val="auto"/>
          <w:sz w:val="24"/>
          <w:szCs w:val="24"/>
        </w:rPr>
        <w:t>等相应证明材料</w:t>
      </w:r>
      <w:r>
        <w:rPr>
          <w:rFonts w:hint="eastAsia" w:ascii="宋体" w:hAnsi="宋体" w:eastAsia="宋体" w:cs="宋体"/>
          <w:bCs/>
          <w:color w:val="auto"/>
          <w:sz w:val="24"/>
          <w:szCs w:val="24"/>
          <w:lang w:val="zh-CN"/>
        </w:rPr>
        <w:t>随</w:t>
      </w:r>
      <w:r>
        <w:rPr>
          <w:rFonts w:hint="eastAsia" w:ascii="宋体" w:hAnsi="宋体" w:eastAsia="宋体" w:cs="宋体"/>
          <w:bCs/>
          <w:color w:val="auto"/>
          <w:sz w:val="24"/>
          <w:szCs w:val="24"/>
        </w:rPr>
        <w:t>中标（成交）</w:t>
      </w:r>
      <w:r>
        <w:rPr>
          <w:rFonts w:hint="eastAsia" w:ascii="宋体" w:hAnsi="宋体" w:eastAsia="宋体" w:cs="宋体"/>
          <w:bCs/>
          <w:color w:val="auto"/>
          <w:sz w:val="24"/>
          <w:szCs w:val="24"/>
          <w:lang w:val="zh-CN"/>
        </w:rPr>
        <w:t>公告一并公布。</w:t>
      </w:r>
    </w:p>
    <w:p w14:paraId="4C597D94">
      <w:pPr>
        <w:spacing w:line="460" w:lineRule="exact"/>
        <w:ind w:firstLine="480" w:firstLineChars="200"/>
        <w:rPr>
          <w:rFonts w:hint="eastAsia" w:ascii="宋体" w:hAnsi="宋体" w:eastAsia="宋体" w:cs="宋体"/>
          <w:color w:val="auto"/>
          <w:kern w:val="1"/>
          <w:sz w:val="24"/>
          <w:szCs w:val="24"/>
        </w:rPr>
      </w:pPr>
      <w:r>
        <w:rPr>
          <w:rFonts w:hint="eastAsia" w:ascii="宋体" w:hAnsi="宋体" w:eastAsia="宋体" w:cs="宋体"/>
          <w:b/>
          <w:bCs/>
          <w:color w:val="auto"/>
          <w:kern w:val="1"/>
          <w:sz w:val="24"/>
          <w:szCs w:val="24"/>
        </w:rPr>
        <w:t xml:space="preserve">26.4 </w:t>
      </w:r>
      <w:r>
        <w:rPr>
          <w:rFonts w:hint="eastAsia" w:ascii="宋体" w:hAnsi="宋体" w:eastAsia="宋体" w:cs="宋体"/>
          <w:color w:val="auto"/>
          <w:kern w:val="1"/>
          <w:sz w:val="24"/>
          <w:szCs w:val="24"/>
        </w:rPr>
        <w:t>《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4F47A0DB">
      <w:pPr>
        <w:spacing w:line="460" w:lineRule="exact"/>
        <w:ind w:firstLine="480" w:firstLineChars="20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1）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70F41886">
      <w:pPr>
        <w:wordWrap w:val="0"/>
        <w:spacing w:line="460" w:lineRule="exact"/>
        <w:ind w:firstLine="480" w:firstLineChars="200"/>
        <w:rPr>
          <w:rFonts w:hint="eastAsia" w:ascii="宋体" w:hAnsi="宋体" w:eastAsia="宋体" w:cs="宋体"/>
          <w:color w:val="auto"/>
          <w:kern w:val="1"/>
          <w:sz w:val="24"/>
          <w:szCs w:val="24"/>
        </w:rPr>
      </w:pPr>
      <w:r>
        <w:rPr>
          <w:rFonts w:hint="eastAsia" w:ascii="宋体" w:hAnsi="宋体" w:eastAsia="宋体" w:cs="宋体"/>
          <w:color w:val="auto"/>
          <w:kern w:val="1"/>
          <w:sz w:val="24"/>
          <w:szCs w:val="24"/>
        </w:rPr>
        <w:t>（2）</w:t>
      </w:r>
      <w:r>
        <w:rPr>
          <w:rFonts w:hint="eastAsia" w:ascii="宋体" w:hAnsi="宋体" w:eastAsia="宋体" w:cs="宋体"/>
          <w:color w:val="auto"/>
          <w:sz w:val="24"/>
          <w:szCs w:val="24"/>
        </w:rPr>
        <w:t>本着“银企自愿，风险自担”的原则，中标（成交）单位为中小企业的可以自愿选择政府采购贷款进行融资，</w:t>
      </w:r>
      <w:r>
        <w:rPr>
          <w:rFonts w:hint="eastAsia" w:ascii="宋体" w:hAnsi="宋体" w:eastAsia="宋体" w:cs="宋体"/>
          <w:color w:val="auto"/>
          <w:kern w:val="1"/>
          <w:sz w:val="24"/>
          <w:szCs w:val="24"/>
        </w:rPr>
        <w:t>具体可登陆http://www.ccgp-shaanxi.gov.cn/zcdservice/zcd/shananxi（陕西省政府采购信用融资平台）查看办理</w:t>
      </w:r>
      <w:r>
        <w:rPr>
          <w:rFonts w:hint="eastAsia" w:ascii="宋体" w:hAnsi="宋体" w:eastAsia="宋体" w:cs="宋体"/>
          <w:color w:val="auto"/>
          <w:sz w:val="24"/>
          <w:szCs w:val="24"/>
        </w:rPr>
        <w:t>。</w:t>
      </w:r>
    </w:p>
    <w:p w14:paraId="0B582176">
      <w:pPr>
        <w:spacing w:line="460" w:lineRule="exact"/>
        <w:ind w:firstLine="480" w:firstLineChars="200"/>
        <w:rPr>
          <w:rFonts w:hint="eastAsia" w:ascii="宋体" w:hAnsi="宋体" w:eastAsia="宋体" w:cs="宋体"/>
          <w:b/>
          <w:bCs/>
          <w:color w:val="auto"/>
          <w:kern w:val="1"/>
          <w:sz w:val="24"/>
          <w:szCs w:val="24"/>
        </w:rPr>
      </w:pPr>
      <w:r>
        <w:rPr>
          <w:rFonts w:hint="eastAsia" w:ascii="宋体" w:hAnsi="宋体" w:eastAsia="宋体" w:cs="宋体"/>
          <w:b/>
          <w:bCs/>
          <w:color w:val="auto"/>
          <w:kern w:val="1"/>
          <w:sz w:val="24"/>
          <w:szCs w:val="24"/>
        </w:rPr>
        <w:t xml:space="preserve">26.5 </w:t>
      </w:r>
      <w:r>
        <w:rPr>
          <w:rFonts w:hint="eastAsia" w:ascii="宋体" w:hAnsi="宋体" w:eastAsia="宋体" w:cs="宋体"/>
          <w:color w:val="auto"/>
          <w:kern w:val="1"/>
          <w:sz w:val="24"/>
          <w:szCs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9EAE1FA">
      <w:pPr>
        <w:spacing w:line="460" w:lineRule="exact"/>
        <w:ind w:firstLine="480" w:firstLineChars="200"/>
        <w:rPr>
          <w:rFonts w:hint="eastAsia" w:ascii="宋体" w:hAnsi="宋体" w:eastAsia="宋体" w:cs="宋体"/>
          <w:b/>
          <w:color w:val="auto"/>
          <w:sz w:val="30"/>
          <w:szCs w:val="30"/>
        </w:rPr>
      </w:pPr>
      <w:r>
        <w:rPr>
          <w:rFonts w:hint="eastAsia" w:ascii="宋体" w:hAnsi="宋体" w:eastAsia="宋体" w:cs="宋体"/>
          <w:b/>
          <w:bCs/>
          <w:color w:val="auto"/>
          <w:kern w:val="1"/>
          <w:sz w:val="24"/>
          <w:szCs w:val="24"/>
        </w:rPr>
        <w:t xml:space="preserve">27. </w:t>
      </w:r>
      <w:r>
        <w:rPr>
          <w:rFonts w:hint="eastAsia" w:ascii="宋体" w:hAnsi="宋体" w:eastAsia="宋体" w:cs="宋体"/>
          <w:color w:val="auto"/>
          <w:kern w:val="1"/>
          <w:sz w:val="24"/>
          <w:szCs w:val="24"/>
        </w:rPr>
        <w:t>评标委员会根据</w:t>
      </w:r>
      <w:r>
        <w:rPr>
          <w:rFonts w:hint="eastAsia" w:ascii="宋体" w:hAnsi="宋体" w:eastAsia="宋体" w:cs="宋体"/>
          <w:color w:val="auto"/>
          <w:sz w:val="24"/>
          <w:szCs w:val="24"/>
        </w:rPr>
        <w:t>原始评标记录和评标结果编写</w:t>
      </w:r>
      <w:r>
        <w:rPr>
          <w:rFonts w:hint="eastAsia" w:ascii="宋体" w:hAnsi="宋体" w:eastAsia="宋体" w:cs="宋体"/>
          <w:color w:val="auto"/>
          <w:kern w:val="1"/>
          <w:sz w:val="24"/>
          <w:szCs w:val="24"/>
        </w:rPr>
        <w:t>评标报告，报采购人。</w:t>
      </w:r>
      <w:bookmarkStart w:id="128" w:name="_Toc167591034"/>
      <w:bookmarkStart w:id="129" w:name="_Toc169838523"/>
      <w:bookmarkStart w:id="130" w:name="_Toc167590766"/>
      <w:bookmarkStart w:id="131" w:name="_Toc154482470"/>
      <w:bookmarkStart w:id="132" w:name="_Toc245658525"/>
      <w:bookmarkStart w:id="133" w:name="_Toc169846767"/>
      <w:bookmarkStart w:id="134" w:name="_Toc245176656"/>
      <w:bookmarkStart w:id="135" w:name="_Toc208337155"/>
      <w:bookmarkStart w:id="136" w:name="_Toc169846864"/>
      <w:bookmarkStart w:id="137" w:name="_Toc207897907"/>
      <w:bookmarkStart w:id="138" w:name="_Toc175032428"/>
      <w:bookmarkStart w:id="139" w:name="_Toc167591321"/>
      <w:bookmarkStart w:id="140" w:name="_Toc245657544"/>
      <w:bookmarkStart w:id="141" w:name="_Toc244623582"/>
      <w:bookmarkStart w:id="142" w:name="_Toc167591483"/>
      <w:bookmarkStart w:id="143" w:name="_Toc173549969"/>
      <w:bookmarkStart w:id="144" w:name="_Toc167591135"/>
      <w:bookmarkStart w:id="145" w:name="_Toc175033583"/>
      <w:bookmarkStart w:id="146" w:name="_Toc170980543"/>
      <w:bookmarkStart w:id="147" w:name="_Toc170980445"/>
      <w:bookmarkStart w:id="148" w:name="_Toc167849351"/>
    </w:p>
    <w:p w14:paraId="0E852018">
      <w:pPr>
        <w:spacing w:beforeLines="50" w:afterLines="50" w:line="240" w:lineRule="auto"/>
        <w:jc w:val="center"/>
        <w:rPr>
          <w:rFonts w:hint="eastAsia" w:ascii="宋体" w:hAnsi="宋体" w:eastAsia="宋体" w:cs="宋体"/>
          <w:color w:val="auto"/>
          <w:sz w:val="24"/>
        </w:rPr>
      </w:pPr>
      <w:r>
        <w:rPr>
          <w:rFonts w:hint="eastAsia" w:ascii="宋体" w:hAnsi="宋体" w:eastAsia="宋体" w:cs="宋体"/>
          <w:b/>
          <w:color w:val="auto"/>
          <w:sz w:val="30"/>
          <w:szCs w:val="30"/>
        </w:rPr>
        <w:t>六、质疑与投诉</w:t>
      </w:r>
    </w:p>
    <w:p w14:paraId="53CC2A73">
      <w:pPr>
        <w:spacing w:line="460" w:lineRule="exact"/>
        <w:ind w:firstLine="470" w:firstLineChars="196"/>
        <w:rPr>
          <w:rFonts w:hint="eastAsia" w:ascii="宋体" w:hAnsi="宋体" w:eastAsia="宋体" w:cs="宋体"/>
          <w:b/>
          <w:color w:val="auto"/>
          <w:sz w:val="24"/>
        </w:rPr>
      </w:pPr>
      <w:r>
        <w:rPr>
          <w:rFonts w:hint="eastAsia" w:ascii="宋体" w:hAnsi="宋体" w:eastAsia="宋体" w:cs="宋体"/>
          <w:b/>
          <w:color w:val="auto"/>
          <w:sz w:val="24"/>
        </w:rPr>
        <w:t>28. 质疑及投诉</w:t>
      </w:r>
    </w:p>
    <w:p w14:paraId="15FFEF62">
      <w:pPr>
        <w:spacing w:line="460" w:lineRule="exact"/>
        <w:ind w:firstLine="470" w:firstLineChars="196"/>
        <w:rPr>
          <w:rFonts w:hint="eastAsia" w:ascii="宋体" w:hAnsi="宋体" w:eastAsia="宋体" w:cs="宋体"/>
          <w:b/>
          <w:color w:val="auto"/>
          <w:sz w:val="24"/>
        </w:rPr>
      </w:pPr>
      <w:r>
        <w:rPr>
          <w:rFonts w:hint="eastAsia" w:ascii="宋体" w:hAnsi="宋体" w:eastAsia="宋体" w:cs="宋体"/>
          <w:b/>
          <w:color w:val="auto"/>
          <w:sz w:val="24"/>
        </w:rPr>
        <w:t>28.1 质疑</w:t>
      </w:r>
    </w:p>
    <w:p w14:paraId="27BC5512">
      <w:pPr>
        <w:spacing w:line="460" w:lineRule="exact"/>
        <w:ind w:firstLine="470" w:firstLineChars="196"/>
        <w:rPr>
          <w:rFonts w:hint="eastAsia" w:ascii="宋体" w:hAnsi="宋体" w:eastAsia="宋体" w:cs="宋体"/>
          <w:b/>
          <w:color w:val="auto"/>
          <w:sz w:val="24"/>
        </w:rPr>
      </w:pPr>
      <w:r>
        <w:rPr>
          <w:rFonts w:hint="eastAsia" w:ascii="宋体" w:hAnsi="宋体" w:eastAsia="宋体" w:cs="宋体"/>
          <w:color w:val="auto"/>
          <w:sz w:val="24"/>
        </w:rPr>
        <w:t>（1）</w:t>
      </w:r>
      <w:r>
        <w:rPr>
          <w:rFonts w:hint="eastAsia" w:ascii="宋体" w:hAnsi="宋体" w:eastAsia="宋体" w:cs="宋体"/>
          <w:color w:val="auto"/>
          <w:sz w:val="24"/>
          <w:szCs w:val="24"/>
          <w:shd w:val="clear" w:color="auto" w:fill="FFFFFF"/>
        </w:rPr>
        <w:t>供应商认为招标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r>
        <w:rPr>
          <w:rFonts w:hint="eastAsia" w:ascii="宋体" w:hAnsi="宋体" w:eastAsia="宋体" w:cs="宋体"/>
          <w:color w:val="auto"/>
          <w:sz w:val="24"/>
        </w:rPr>
        <w:t>。</w:t>
      </w:r>
    </w:p>
    <w:p w14:paraId="4F65C5B6">
      <w:pPr>
        <w:spacing w:line="460" w:lineRule="exact"/>
        <w:ind w:firstLine="470" w:firstLineChars="196"/>
        <w:rPr>
          <w:rFonts w:hint="eastAsia" w:ascii="宋体" w:hAnsi="宋体" w:eastAsia="宋体" w:cs="宋体"/>
          <w:b/>
          <w:color w:val="auto"/>
          <w:sz w:val="24"/>
        </w:rPr>
      </w:pPr>
      <w:r>
        <w:rPr>
          <w:rFonts w:hint="eastAsia" w:ascii="宋体" w:hAnsi="宋体" w:eastAsia="宋体" w:cs="宋体"/>
          <w:color w:val="auto"/>
          <w:sz w:val="24"/>
        </w:rPr>
        <w:t>（2）</w:t>
      </w:r>
      <w:r>
        <w:rPr>
          <w:rFonts w:hint="eastAsia" w:ascii="宋体" w:hAnsi="宋体" w:eastAsia="宋体" w:cs="宋体"/>
          <w:color w:val="auto"/>
          <w:sz w:val="24"/>
          <w:szCs w:val="24"/>
          <w:shd w:val="clear" w:color="auto" w:fill="FFFFFF"/>
        </w:rPr>
        <w:t>提出质疑的供应商（以下简称质疑供应商）应当是参与所质疑项目采购活动的供应商。潜在供应商已依法获取其可质疑的招标文件的，可以对该文件提出质疑。对招标文件提出质疑的，应当在获取招标文件或者招标文件公告期限届满之日起7个工作日内提出。</w:t>
      </w:r>
    </w:p>
    <w:p w14:paraId="125F3308">
      <w:pPr>
        <w:spacing w:line="460" w:lineRule="exact"/>
        <w:ind w:firstLine="480"/>
        <w:rPr>
          <w:rFonts w:hint="eastAsia" w:ascii="宋体" w:hAnsi="宋体" w:eastAsia="宋体" w:cs="宋体"/>
          <w:color w:val="auto"/>
          <w:sz w:val="24"/>
        </w:rPr>
      </w:pPr>
      <w:r>
        <w:rPr>
          <w:rFonts w:hint="eastAsia" w:ascii="宋体" w:hAnsi="宋体" w:eastAsia="宋体" w:cs="宋体"/>
          <w:color w:val="auto"/>
          <w:sz w:val="24"/>
        </w:rPr>
        <w:t>（3）供应商提出质疑应当提交质疑函和必要的证明材料，质疑函应包括下列内容：</w:t>
      </w:r>
    </w:p>
    <w:p w14:paraId="5AE9670E">
      <w:pPr>
        <w:spacing w:line="460" w:lineRule="exact"/>
        <w:ind w:firstLine="578" w:firstLineChars="241"/>
        <w:rPr>
          <w:rFonts w:hint="eastAsia" w:ascii="宋体" w:hAnsi="宋体" w:eastAsia="宋体" w:cs="宋体"/>
          <w:color w:val="auto"/>
          <w:sz w:val="24"/>
          <w:szCs w:val="24"/>
        </w:rPr>
      </w:pPr>
      <w:r>
        <w:rPr>
          <w:rFonts w:hint="eastAsia" w:ascii="宋体" w:hAnsi="宋体" w:eastAsia="宋体" w:cs="宋体"/>
          <w:color w:val="auto"/>
          <w:sz w:val="24"/>
          <w:szCs w:val="24"/>
        </w:rPr>
        <w:t>① 供应商的姓名或者名称、地址、邮编、联系人及联系电话；</w:t>
      </w:r>
    </w:p>
    <w:p w14:paraId="74A6DCBB">
      <w:pPr>
        <w:spacing w:line="460" w:lineRule="exact"/>
        <w:ind w:firstLine="578" w:firstLineChars="241"/>
        <w:rPr>
          <w:rFonts w:hint="eastAsia" w:ascii="宋体" w:hAnsi="宋体" w:eastAsia="宋体" w:cs="宋体"/>
          <w:color w:val="auto"/>
          <w:sz w:val="24"/>
          <w:szCs w:val="24"/>
        </w:rPr>
      </w:pPr>
      <w:r>
        <w:rPr>
          <w:rFonts w:hint="eastAsia" w:ascii="宋体" w:hAnsi="宋体" w:eastAsia="宋体" w:cs="宋体"/>
          <w:color w:val="auto"/>
          <w:sz w:val="24"/>
          <w:szCs w:val="24"/>
        </w:rPr>
        <w:t>② 质疑项目的名称、编号；</w:t>
      </w:r>
    </w:p>
    <w:p w14:paraId="23F1C045">
      <w:pPr>
        <w:spacing w:line="460" w:lineRule="exact"/>
        <w:ind w:firstLine="578" w:firstLineChars="241"/>
        <w:rPr>
          <w:rFonts w:hint="eastAsia" w:ascii="宋体" w:hAnsi="宋体" w:eastAsia="宋体" w:cs="宋体"/>
          <w:color w:val="auto"/>
          <w:sz w:val="24"/>
          <w:szCs w:val="24"/>
        </w:rPr>
      </w:pPr>
      <w:r>
        <w:rPr>
          <w:rFonts w:hint="eastAsia" w:ascii="宋体" w:hAnsi="宋体" w:eastAsia="宋体" w:cs="宋体"/>
          <w:color w:val="auto"/>
          <w:sz w:val="24"/>
          <w:szCs w:val="24"/>
        </w:rPr>
        <w:t>③ 具体、明确的质疑事项和与质疑事项相关的请求；</w:t>
      </w:r>
    </w:p>
    <w:p w14:paraId="52952F03">
      <w:pPr>
        <w:spacing w:line="460" w:lineRule="exact"/>
        <w:ind w:firstLine="578" w:firstLineChars="241"/>
        <w:rPr>
          <w:rFonts w:hint="eastAsia" w:ascii="宋体" w:hAnsi="宋体" w:eastAsia="宋体" w:cs="宋体"/>
          <w:color w:val="auto"/>
          <w:sz w:val="24"/>
          <w:szCs w:val="24"/>
        </w:rPr>
      </w:pPr>
      <w:r>
        <w:rPr>
          <w:rFonts w:hint="eastAsia" w:ascii="宋体" w:hAnsi="宋体" w:eastAsia="宋体" w:cs="宋体"/>
          <w:color w:val="auto"/>
          <w:sz w:val="24"/>
          <w:szCs w:val="24"/>
        </w:rPr>
        <w:t>④ 事实依据；</w:t>
      </w:r>
    </w:p>
    <w:p w14:paraId="4AABE399">
      <w:pPr>
        <w:spacing w:line="460" w:lineRule="exact"/>
        <w:ind w:firstLine="578" w:firstLineChars="241"/>
        <w:rPr>
          <w:rFonts w:hint="eastAsia" w:ascii="宋体" w:hAnsi="宋体" w:eastAsia="宋体" w:cs="宋体"/>
          <w:color w:val="auto"/>
          <w:sz w:val="24"/>
          <w:szCs w:val="24"/>
        </w:rPr>
      </w:pPr>
      <w:r>
        <w:rPr>
          <w:rFonts w:hint="eastAsia" w:ascii="宋体" w:hAnsi="宋体" w:eastAsia="宋体" w:cs="宋体"/>
          <w:color w:val="auto"/>
          <w:sz w:val="24"/>
          <w:szCs w:val="24"/>
        </w:rPr>
        <w:t>⑤ 必要的法律依据；</w:t>
      </w:r>
    </w:p>
    <w:p w14:paraId="3795532D">
      <w:pPr>
        <w:spacing w:line="460" w:lineRule="exact"/>
        <w:ind w:firstLine="578" w:firstLineChars="241"/>
        <w:rPr>
          <w:rFonts w:hint="eastAsia" w:ascii="宋体" w:hAnsi="宋体" w:eastAsia="宋体" w:cs="宋体"/>
          <w:color w:val="auto"/>
          <w:sz w:val="24"/>
          <w:szCs w:val="24"/>
        </w:rPr>
      </w:pPr>
      <w:r>
        <w:rPr>
          <w:rFonts w:hint="eastAsia" w:ascii="宋体" w:hAnsi="宋体" w:eastAsia="宋体" w:cs="宋体"/>
          <w:color w:val="auto"/>
          <w:sz w:val="24"/>
          <w:szCs w:val="24"/>
        </w:rPr>
        <w:t>⑥ 提出质疑的日期。</w:t>
      </w:r>
    </w:p>
    <w:p w14:paraId="0469E0C5">
      <w:pPr>
        <w:widowControl/>
        <w:shd w:val="clear" w:color="auto" w:fill="FFFFFF"/>
        <w:spacing w:line="46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（4）供应商为自然人的，应当由本人签字；供应商为法人或者其他组织的，应当由法定代表人、主要负责人，或者其授权代表签字或者盖章，并加盖公章。</w:t>
      </w:r>
    </w:p>
    <w:p w14:paraId="7C679377">
      <w:pPr>
        <w:spacing w:line="460" w:lineRule="exact"/>
        <w:ind w:firstLine="480"/>
        <w:rPr>
          <w:rFonts w:hint="eastAsia" w:ascii="宋体" w:hAnsi="宋体" w:eastAsia="宋体" w:cs="宋体"/>
          <w:color w:val="auto"/>
          <w:sz w:val="24"/>
        </w:rPr>
      </w:pPr>
      <w:r>
        <w:rPr>
          <w:rFonts w:hint="eastAsia" w:ascii="宋体" w:hAnsi="宋体" w:eastAsia="宋体" w:cs="宋体"/>
          <w:color w:val="auto"/>
          <w:sz w:val="24"/>
        </w:rPr>
        <w:t>（5）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CAB7652">
      <w:pPr>
        <w:spacing w:line="460" w:lineRule="exact"/>
        <w:ind w:firstLine="480"/>
        <w:rPr>
          <w:rFonts w:hint="eastAsia" w:ascii="宋体" w:hAnsi="宋体" w:eastAsia="宋体" w:cs="宋体"/>
          <w:color w:val="auto"/>
          <w:sz w:val="24"/>
        </w:rPr>
      </w:pPr>
      <w:r>
        <w:rPr>
          <w:rFonts w:hint="eastAsia" w:ascii="宋体" w:hAnsi="宋体" w:eastAsia="宋体" w:cs="宋体"/>
          <w:color w:val="auto"/>
          <w:sz w:val="24"/>
        </w:rPr>
        <w:t>（6）采购人负责供应商质疑答复。采购人委托采购代理机构采购的，采购代理机构在委托授权范围内作出答复。</w:t>
      </w:r>
    </w:p>
    <w:p w14:paraId="52EF7C94">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（7）接收质疑函的方式和联系方式：</w:t>
      </w:r>
    </w:p>
    <w:p w14:paraId="1DF8763B">
      <w:pPr>
        <w:spacing w:line="460" w:lineRule="exact"/>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① 接收质疑函的方式：书面递交质疑函纸质版（当面递交）或PDF格式扫描件（发至电子邮箱）</w:t>
      </w:r>
    </w:p>
    <w:p w14:paraId="1DE1688D">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② 联系方式</w:t>
      </w:r>
    </w:p>
    <w:p w14:paraId="0B7105A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安康职业技术学院</w:t>
      </w:r>
    </w:p>
    <w:p w14:paraId="44D9633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default" w:eastAsia="宋体" w:cs="宋体"/>
          <w:i w:val="0"/>
          <w:iCs w:val="0"/>
          <w:caps w:val="0"/>
          <w:color w:val="auto"/>
          <w:spacing w:val="0"/>
          <w:sz w:val="24"/>
          <w:szCs w:val="24"/>
          <w:shd w:val="clear" w:fill="FFFFFF"/>
          <w:lang w:val="en-US" w:eastAsia="zh-CN"/>
        </w:rPr>
      </w:pPr>
      <w:r>
        <w:rPr>
          <w:rFonts w:hint="eastAsia" w:eastAsia="宋体" w:cs="宋体"/>
          <w:i w:val="0"/>
          <w:iCs w:val="0"/>
          <w:caps w:val="0"/>
          <w:color w:val="auto"/>
          <w:spacing w:val="0"/>
          <w:sz w:val="24"/>
          <w:szCs w:val="24"/>
          <w:shd w:val="clear" w:fill="FFFFFF"/>
          <w:lang w:eastAsia="zh-CN"/>
        </w:rPr>
        <w:t>地址：</w:t>
      </w:r>
      <w:r>
        <w:rPr>
          <w:rFonts w:hint="eastAsia" w:cs="宋体"/>
          <w:i w:val="0"/>
          <w:iCs w:val="0"/>
          <w:caps w:val="0"/>
          <w:color w:val="auto"/>
          <w:spacing w:val="0"/>
          <w:sz w:val="24"/>
          <w:szCs w:val="24"/>
          <w:shd w:val="clear" w:fill="FFFFFF"/>
          <w:lang w:eastAsia="zh-CN"/>
        </w:rPr>
        <w:t>安康大道2号</w:t>
      </w:r>
    </w:p>
    <w:p w14:paraId="71C2CA1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default" w:eastAsia="宋体" w:cs="宋体"/>
          <w:i w:val="0"/>
          <w:iCs w:val="0"/>
          <w:caps w:val="0"/>
          <w:color w:val="auto"/>
          <w:spacing w:val="0"/>
          <w:sz w:val="24"/>
          <w:szCs w:val="24"/>
          <w:shd w:val="clear" w:fill="FFFFFF"/>
          <w:lang w:val="en-US" w:eastAsia="zh-CN"/>
        </w:rPr>
      </w:pPr>
      <w:r>
        <w:rPr>
          <w:rFonts w:hint="eastAsia" w:eastAsia="宋体" w:cs="宋体"/>
          <w:i w:val="0"/>
          <w:iCs w:val="0"/>
          <w:caps w:val="0"/>
          <w:color w:val="auto"/>
          <w:spacing w:val="0"/>
          <w:sz w:val="24"/>
          <w:szCs w:val="24"/>
          <w:shd w:val="clear" w:fill="FFFFFF"/>
          <w:lang w:eastAsia="zh-CN"/>
        </w:rPr>
        <w:t>联系方式：</w:t>
      </w:r>
      <w:r>
        <w:rPr>
          <w:rFonts w:hint="eastAsia" w:cs="宋体"/>
          <w:i w:val="0"/>
          <w:iCs w:val="0"/>
          <w:caps w:val="0"/>
          <w:color w:val="auto"/>
          <w:spacing w:val="0"/>
          <w:sz w:val="24"/>
          <w:szCs w:val="24"/>
          <w:shd w:val="clear" w:fill="FFFFFF"/>
          <w:lang w:val="en-US" w:eastAsia="zh-CN"/>
        </w:rPr>
        <w:t>09158177650</w:t>
      </w:r>
    </w:p>
    <w:p w14:paraId="373A9B05">
      <w:pPr>
        <w:widowControl/>
        <w:shd w:val="clear" w:color="auto" w:fill="FFFFFF"/>
        <w:spacing w:line="46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采购代理机构：陕西悦嘉冠宏项目管理有限公司</w:t>
      </w:r>
    </w:p>
    <w:p w14:paraId="3CBEE998">
      <w:pPr>
        <w:widowControl/>
        <w:spacing w:line="46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地    址：</w:t>
      </w:r>
      <w:r>
        <w:rPr>
          <w:rFonts w:hint="eastAsia" w:hAnsi="宋体" w:cs="宋体"/>
          <w:color w:val="auto"/>
          <w:kern w:val="2"/>
          <w:sz w:val="24"/>
          <w:lang w:eastAsia="zh-CN"/>
        </w:rPr>
        <w:t>安康市汉滨区吾悦广场二期商铺S2-121</w:t>
      </w:r>
    </w:p>
    <w:p w14:paraId="789BA000">
      <w:pPr>
        <w:widowControl/>
        <w:spacing w:line="4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联系方式：0915-3115535、15809159650</w:t>
      </w:r>
    </w:p>
    <w:p w14:paraId="17B07975">
      <w:pPr>
        <w:widowControl/>
        <w:spacing w:line="4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邮    箱：2991944368@qq.com</w:t>
      </w:r>
    </w:p>
    <w:p w14:paraId="42A48BEE">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28.2 投诉</w:t>
      </w:r>
    </w:p>
    <w:p w14:paraId="0D2C2491">
      <w:pPr>
        <w:spacing w:line="460" w:lineRule="exact"/>
        <w:ind w:firstLine="480"/>
        <w:rPr>
          <w:rFonts w:hint="eastAsia" w:ascii="宋体" w:hAnsi="宋体" w:eastAsia="宋体" w:cs="宋体"/>
          <w:color w:val="auto"/>
          <w:sz w:val="24"/>
        </w:rPr>
      </w:pPr>
      <w:r>
        <w:rPr>
          <w:rFonts w:hint="eastAsia" w:ascii="宋体" w:hAnsi="宋体" w:eastAsia="宋体" w:cs="宋体"/>
          <w:color w:val="auto"/>
          <w:sz w:val="24"/>
        </w:rPr>
        <w:t>（1）质疑供应商对采购人、采购代理机构的答复不满意，或者采购人、采购代理机构未在规定时间内作出答复的，可以在答复期满后15个工作日内向同级财政部门提起投诉。</w:t>
      </w:r>
    </w:p>
    <w:p w14:paraId="576FFA3C">
      <w:pPr>
        <w:spacing w:line="460" w:lineRule="exact"/>
        <w:ind w:firstLine="480"/>
        <w:rPr>
          <w:rFonts w:hint="eastAsia" w:ascii="宋体" w:hAnsi="宋体" w:eastAsia="宋体" w:cs="宋体"/>
          <w:color w:val="auto"/>
          <w:sz w:val="24"/>
        </w:rPr>
      </w:pPr>
      <w:r>
        <w:rPr>
          <w:rFonts w:hint="eastAsia" w:ascii="宋体" w:hAnsi="宋体" w:eastAsia="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05F78388">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① 投诉人和被投诉人的姓名或者名称、通讯地址、邮编、联系人及联系电话；</w:t>
      </w:r>
    </w:p>
    <w:p w14:paraId="2E7E085A">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② 质疑和质疑答复情况说明及相关证明材料；</w:t>
      </w:r>
    </w:p>
    <w:p w14:paraId="1106EECC">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③ 具体、明确的投诉事项和与投诉事项相关的投诉请求；</w:t>
      </w:r>
    </w:p>
    <w:p w14:paraId="75DE09EE">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④ 事实依据；</w:t>
      </w:r>
    </w:p>
    <w:p w14:paraId="79D6DF5A">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⑤ 法律依据；</w:t>
      </w:r>
    </w:p>
    <w:p w14:paraId="20FD3154">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⑥ 提起投诉的日期。</w:t>
      </w:r>
    </w:p>
    <w:p w14:paraId="06204204">
      <w:pPr>
        <w:widowControl/>
        <w:shd w:val="clear" w:color="auto" w:fill="FFFFFF"/>
        <w:spacing w:line="46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（3）投诉人为自然人的，应当由本人签字；投诉人为法人或者其他组织的，应当由法定代表人、主要负责人，或者其授权代表签字或者盖章，并加盖公章。</w:t>
      </w:r>
    </w:p>
    <w:p w14:paraId="3A9A370A">
      <w:pPr>
        <w:widowControl/>
        <w:shd w:val="clear" w:color="auto" w:fill="FFFFFF"/>
        <w:spacing w:line="46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（4）投诉人提起投诉应当符合下列条件：</w:t>
      </w:r>
    </w:p>
    <w:p w14:paraId="0D8BC761">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① 提起投诉前已依法进行质疑；</w:t>
      </w:r>
    </w:p>
    <w:p w14:paraId="4F69A303">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② 投诉书内容符合《政府采购质疑和投诉办法》（财政部令第94号令）的规定；</w:t>
      </w:r>
    </w:p>
    <w:p w14:paraId="69F7916F">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③ 在投诉有效期限内提起投诉；</w:t>
      </w:r>
    </w:p>
    <w:p w14:paraId="05835532">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④ 同一投诉事项未经财政部门投诉处理；</w:t>
      </w:r>
    </w:p>
    <w:p w14:paraId="7055C6AE">
      <w:pPr>
        <w:widowControl/>
        <w:shd w:val="clear" w:color="auto" w:fill="FFFFFF"/>
        <w:spacing w:line="460" w:lineRule="exact"/>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⑤ 财政部规定的其他条件。</w:t>
      </w:r>
    </w:p>
    <w:p w14:paraId="18F65F88">
      <w:pPr>
        <w:widowControl/>
        <w:shd w:val="clear" w:color="auto" w:fill="FFFFFF"/>
        <w:spacing w:line="460" w:lineRule="exact"/>
        <w:ind w:firstLine="480"/>
        <w:jc w:val="left"/>
        <w:rPr>
          <w:rFonts w:hint="eastAsia" w:ascii="宋体" w:hAnsi="宋体" w:eastAsia="宋体" w:cs="宋体"/>
          <w:b/>
          <w:color w:val="auto"/>
          <w:sz w:val="30"/>
          <w:szCs w:val="30"/>
        </w:rPr>
      </w:pPr>
      <w:r>
        <w:rPr>
          <w:rFonts w:hint="eastAsia" w:ascii="宋体" w:hAnsi="宋体" w:eastAsia="宋体" w:cs="宋体"/>
          <w:color w:val="auto"/>
          <w:sz w:val="24"/>
        </w:rPr>
        <w:t>（5）供应商投诉的事项不得超出已质疑事项的范围，但基于质疑答复内容提出的投诉事项除外。</w:t>
      </w:r>
    </w:p>
    <w:p w14:paraId="25231375">
      <w:pPr>
        <w:snapToGrid w:val="0"/>
        <w:spacing w:beforeLines="50" w:afterLines="50" w:line="240" w:lineRule="auto"/>
        <w:jc w:val="center"/>
        <w:outlineLvl w:val="1"/>
        <w:rPr>
          <w:rFonts w:hint="eastAsia" w:ascii="宋体" w:hAnsi="宋体" w:eastAsia="宋体" w:cs="宋体"/>
          <w:b/>
          <w:color w:val="auto"/>
          <w:sz w:val="30"/>
          <w:szCs w:val="30"/>
        </w:rPr>
      </w:pPr>
      <w:r>
        <w:rPr>
          <w:rFonts w:hint="eastAsia" w:ascii="宋体" w:hAnsi="宋体" w:eastAsia="宋体" w:cs="宋体"/>
          <w:b/>
          <w:color w:val="auto"/>
          <w:sz w:val="30"/>
          <w:szCs w:val="30"/>
        </w:rPr>
        <w:t>七、授予合同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455C590D">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29．中标通知书</w:t>
      </w:r>
    </w:p>
    <w:p w14:paraId="72E2695F">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29.1采购代理机构在收到采购人的定标复函后，将在陕西省政府采购网、陕西省公共资源交易中心网上发布中标公告，并在规定时间向中标人发出中标通知书。</w:t>
      </w:r>
    </w:p>
    <w:p w14:paraId="6323013B">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29.2 中标人在收到中标通知书后</w:t>
      </w:r>
      <w:r>
        <w:rPr>
          <w:rFonts w:hint="eastAsia" w:hAnsi="宋体" w:cs="宋体"/>
          <w:color w:val="auto"/>
          <w:sz w:val="24"/>
          <w:lang w:val="en-US" w:eastAsia="zh-CN"/>
        </w:rPr>
        <w:t>二十五</w:t>
      </w:r>
      <w:r>
        <w:rPr>
          <w:rFonts w:hint="eastAsia" w:ascii="宋体" w:hAnsi="宋体" w:eastAsia="宋体" w:cs="宋体"/>
          <w:color w:val="auto"/>
          <w:sz w:val="24"/>
        </w:rPr>
        <w:t>日内，与采购人签订合同。</w:t>
      </w:r>
    </w:p>
    <w:p w14:paraId="39FE776F">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29.3 中标通知书是合同的组成部分。</w:t>
      </w:r>
    </w:p>
    <w:p w14:paraId="2F4953F3">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30．中标服务费</w:t>
      </w:r>
    </w:p>
    <w:p w14:paraId="42BF5716">
      <w:pPr>
        <w:snapToGrid w:val="0"/>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30.1依据</w:t>
      </w:r>
      <w:r>
        <w:rPr>
          <w:rFonts w:hint="eastAsia" w:ascii="宋体" w:hAnsi="宋体" w:eastAsia="宋体" w:cs="宋体"/>
          <w:bCs/>
          <w:color w:val="auto"/>
          <w:sz w:val="24"/>
          <w:szCs w:val="24"/>
        </w:rPr>
        <w:t>《政府采购代理机构管理暂行办法》（</w:t>
      </w:r>
      <w:r>
        <w:rPr>
          <w:rFonts w:hint="eastAsia" w:ascii="宋体" w:hAnsi="宋体" w:eastAsia="宋体" w:cs="宋体"/>
          <w:color w:val="auto"/>
          <w:sz w:val="24"/>
          <w:szCs w:val="24"/>
        </w:rPr>
        <w:t>财库〔2018〕2号</w:t>
      </w:r>
      <w:r>
        <w:rPr>
          <w:rFonts w:hint="eastAsia" w:ascii="宋体" w:hAnsi="宋体" w:eastAsia="宋体" w:cs="宋体"/>
          <w:bCs/>
          <w:color w:val="auto"/>
          <w:sz w:val="24"/>
          <w:szCs w:val="24"/>
        </w:rPr>
        <w:t>）的规定，</w:t>
      </w:r>
      <w:r>
        <w:rPr>
          <w:rFonts w:hint="eastAsia" w:ascii="宋体" w:hAnsi="宋体" w:eastAsia="宋体" w:cs="宋体"/>
          <w:color w:val="auto"/>
          <w:sz w:val="24"/>
          <w:szCs w:val="24"/>
        </w:rPr>
        <w:t>参照原</w:t>
      </w:r>
      <w:r>
        <w:rPr>
          <w:rFonts w:hint="eastAsia" w:ascii="宋体" w:hAnsi="宋体" w:eastAsia="宋体" w:cs="宋体"/>
          <w:bCs/>
          <w:color w:val="auto"/>
          <w:sz w:val="24"/>
          <w:szCs w:val="24"/>
        </w:rPr>
        <w:t>国家计委《招标代理服务收费管理暂行办法》(</w:t>
      </w:r>
      <w:r>
        <w:rPr>
          <w:rFonts w:hint="eastAsia" w:ascii="宋体" w:hAnsi="宋体" w:eastAsia="宋体" w:cs="宋体"/>
          <w:color w:val="auto"/>
          <w:sz w:val="24"/>
          <w:szCs w:val="24"/>
        </w:rPr>
        <w:t>计价格〔2002〕1980号)</w:t>
      </w:r>
      <w:r>
        <w:rPr>
          <w:rFonts w:hint="eastAsia" w:ascii="宋体" w:hAnsi="宋体" w:eastAsia="宋体" w:cs="宋体"/>
          <w:bCs/>
          <w:color w:val="auto"/>
          <w:sz w:val="24"/>
          <w:szCs w:val="24"/>
        </w:rPr>
        <w:t>规定的收费标准，</w:t>
      </w:r>
      <w:r>
        <w:rPr>
          <w:rFonts w:hint="eastAsia" w:ascii="宋体" w:hAnsi="宋体" w:eastAsia="宋体" w:cs="宋体"/>
          <w:b/>
          <w:bCs/>
          <w:color w:val="auto"/>
          <w:sz w:val="24"/>
          <w:szCs w:val="24"/>
        </w:rPr>
        <w:t>中标供应商应在领取中标通知书时，向陕西悦嘉冠宏项目管理有限公司缴纳中标服务费</w:t>
      </w:r>
      <w:r>
        <w:rPr>
          <w:rFonts w:hint="eastAsia" w:hAnsi="宋体" w:cs="宋体"/>
          <w:b/>
          <w:bCs/>
          <w:color w:val="auto"/>
          <w:sz w:val="24"/>
          <w:szCs w:val="24"/>
          <w:lang w:eastAsia="zh-CN"/>
        </w:rPr>
        <w:t>，同时提供纸质版投标文件</w:t>
      </w:r>
      <w:r>
        <w:rPr>
          <w:rFonts w:hint="eastAsia" w:hAnsi="宋体" w:cs="宋体"/>
          <w:b/>
          <w:bCs/>
          <w:color w:val="auto"/>
          <w:sz w:val="24"/>
          <w:szCs w:val="24"/>
          <w:lang w:val="en-US" w:eastAsia="zh-CN"/>
        </w:rPr>
        <w:t>1</w:t>
      </w:r>
      <w:r>
        <w:rPr>
          <w:rFonts w:hint="eastAsia" w:hAnsi="宋体" w:cs="宋体"/>
          <w:b/>
          <w:bCs/>
          <w:color w:val="auto"/>
          <w:sz w:val="24"/>
          <w:szCs w:val="24"/>
          <w:lang w:eastAsia="zh-CN"/>
        </w:rPr>
        <w:t>份和【加盖公章的电子版投标文件（PDF格式）】U盘</w:t>
      </w:r>
      <w:r>
        <w:rPr>
          <w:rFonts w:hint="eastAsia" w:hAnsi="宋体" w:cs="宋体"/>
          <w:b/>
          <w:bCs/>
          <w:color w:val="auto"/>
          <w:sz w:val="24"/>
          <w:szCs w:val="24"/>
          <w:lang w:val="en-US" w:eastAsia="zh-CN"/>
        </w:rPr>
        <w:t>1</w:t>
      </w:r>
      <w:r>
        <w:rPr>
          <w:rFonts w:hint="eastAsia" w:hAnsi="宋体" w:cs="宋体"/>
          <w:b/>
          <w:bCs/>
          <w:color w:val="auto"/>
          <w:sz w:val="24"/>
          <w:szCs w:val="24"/>
          <w:lang w:eastAsia="zh-CN"/>
        </w:rPr>
        <w:t>份</w:t>
      </w:r>
      <w:r>
        <w:rPr>
          <w:rFonts w:hint="eastAsia" w:ascii="宋体" w:hAnsi="宋体" w:eastAsia="宋体" w:cs="宋体"/>
          <w:b/>
          <w:bCs/>
          <w:color w:val="auto"/>
          <w:sz w:val="24"/>
          <w:szCs w:val="24"/>
        </w:rPr>
        <w:t>。</w:t>
      </w:r>
    </w:p>
    <w:p w14:paraId="2C014696">
      <w:pPr>
        <w:adjustRightInd/>
        <w:spacing w:line="460" w:lineRule="exact"/>
        <w:ind w:firstLine="480" w:firstLineChars="200"/>
        <w:textAlignment w:val="auto"/>
        <w:rPr>
          <w:rFonts w:hint="eastAsia" w:ascii="宋体" w:hAnsi="宋体" w:eastAsia="宋体" w:cs="宋体"/>
          <w:color w:val="auto"/>
        </w:rPr>
      </w:pPr>
      <w:r>
        <w:rPr>
          <w:rFonts w:hint="eastAsia" w:ascii="宋体" w:hAnsi="宋体" w:eastAsia="宋体" w:cs="宋体"/>
          <w:b/>
          <w:bCs/>
          <w:color w:val="auto"/>
          <w:sz w:val="24"/>
          <w:szCs w:val="24"/>
        </w:rPr>
        <w:t>30.2</w:t>
      </w:r>
      <w:r>
        <w:rPr>
          <w:rFonts w:hint="eastAsia" w:ascii="宋体" w:hAnsi="宋体" w:eastAsia="宋体" w:cs="宋体"/>
          <w:color w:val="auto"/>
          <w:sz w:val="24"/>
        </w:rPr>
        <w:t>本项目代理服务费按</w:t>
      </w:r>
      <w:r>
        <w:rPr>
          <w:rFonts w:hint="eastAsia" w:hAnsi="宋体" w:cs="宋体"/>
          <w:color w:val="auto"/>
          <w:sz w:val="24"/>
          <w:lang w:val="en-US" w:eastAsia="zh-CN"/>
        </w:rPr>
        <w:t>服务</w:t>
      </w:r>
      <w:r>
        <w:rPr>
          <w:rFonts w:hint="eastAsia" w:ascii="宋体" w:hAnsi="宋体" w:eastAsia="宋体" w:cs="宋体"/>
          <w:color w:val="auto"/>
          <w:sz w:val="24"/>
        </w:rPr>
        <w:t>招标标准计取。</w:t>
      </w:r>
    </w:p>
    <w:tbl>
      <w:tblPr>
        <w:tblStyle w:val="26"/>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4542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6656A4DA">
            <w:pPr>
              <w:pStyle w:val="23"/>
              <w:adjustRightInd/>
              <w:spacing w:before="0" w:beforeAutospacing="0" w:after="0" w:afterAutospacing="0" w:line="340" w:lineRule="exact"/>
              <w:jc w:val="center"/>
              <w:textAlignment w:val="auto"/>
              <w:rPr>
                <w:rFonts w:hint="eastAsia" w:ascii="宋体" w:hAnsi="宋体" w:eastAsia="宋体" w:cs="宋体"/>
                <w:color w:val="auto"/>
              </w:rPr>
            </w:pPr>
            <w:r>
              <w:rPr>
                <w:rFonts w:hint="eastAsia" w:ascii="宋体" w:hAnsi="宋体" w:eastAsia="宋体" w:cs="宋体"/>
                <w:b/>
                <w:color w:val="auto"/>
              </w:rPr>
              <w:t>中标金额（万元）</w:t>
            </w:r>
          </w:p>
        </w:tc>
        <w:tc>
          <w:tcPr>
            <w:tcW w:w="1831" w:type="dxa"/>
            <w:tcBorders>
              <w:top w:val="single" w:color="auto" w:sz="4" w:space="0"/>
              <w:left w:val="single" w:color="auto" w:sz="4" w:space="0"/>
              <w:bottom w:val="single" w:color="auto" w:sz="4" w:space="0"/>
              <w:right w:val="single" w:color="auto" w:sz="4" w:space="0"/>
            </w:tcBorders>
            <w:vAlign w:val="center"/>
          </w:tcPr>
          <w:p w14:paraId="70360EF6">
            <w:pPr>
              <w:pStyle w:val="23"/>
              <w:adjustRightInd/>
              <w:spacing w:before="0" w:beforeAutospacing="0" w:after="0" w:afterAutospacing="0" w:line="340" w:lineRule="exact"/>
              <w:jc w:val="center"/>
              <w:textAlignment w:val="auto"/>
              <w:rPr>
                <w:rFonts w:hint="eastAsia" w:ascii="宋体" w:hAnsi="宋体" w:eastAsia="宋体" w:cs="宋体"/>
                <w:color w:val="auto"/>
              </w:rPr>
            </w:pPr>
            <w:r>
              <w:rPr>
                <w:rFonts w:hint="eastAsia" w:ascii="宋体" w:hAnsi="宋体" w:eastAsia="宋体" w:cs="宋体"/>
                <w:b/>
                <w:color w:val="auto"/>
              </w:rPr>
              <w:t>货物招标</w:t>
            </w:r>
          </w:p>
        </w:tc>
        <w:tc>
          <w:tcPr>
            <w:tcW w:w="2090" w:type="dxa"/>
            <w:tcBorders>
              <w:top w:val="single" w:color="auto" w:sz="4" w:space="0"/>
              <w:left w:val="single" w:color="auto" w:sz="4" w:space="0"/>
              <w:bottom w:val="single" w:color="auto" w:sz="4" w:space="0"/>
              <w:right w:val="single" w:color="auto" w:sz="4" w:space="0"/>
            </w:tcBorders>
            <w:vAlign w:val="center"/>
          </w:tcPr>
          <w:p w14:paraId="4834FD80">
            <w:pPr>
              <w:pStyle w:val="23"/>
              <w:adjustRightInd/>
              <w:spacing w:before="0" w:beforeAutospacing="0" w:after="0" w:afterAutospacing="0" w:line="340" w:lineRule="exact"/>
              <w:jc w:val="center"/>
              <w:textAlignment w:val="auto"/>
              <w:rPr>
                <w:rFonts w:hint="eastAsia" w:ascii="宋体" w:hAnsi="宋体" w:eastAsia="宋体" w:cs="宋体"/>
                <w:color w:val="auto"/>
              </w:rPr>
            </w:pPr>
            <w:r>
              <w:rPr>
                <w:rFonts w:hint="eastAsia" w:ascii="宋体" w:hAnsi="宋体" w:eastAsia="宋体" w:cs="宋体"/>
                <w:b/>
                <w:color w:val="auto"/>
              </w:rPr>
              <w:t>服务招标</w:t>
            </w:r>
          </w:p>
        </w:tc>
        <w:tc>
          <w:tcPr>
            <w:tcW w:w="2090" w:type="dxa"/>
            <w:tcBorders>
              <w:top w:val="single" w:color="auto" w:sz="4" w:space="0"/>
              <w:left w:val="single" w:color="auto" w:sz="4" w:space="0"/>
              <w:bottom w:val="single" w:color="auto" w:sz="4" w:space="0"/>
              <w:right w:val="single" w:color="auto" w:sz="4" w:space="0"/>
            </w:tcBorders>
            <w:vAlign w:val="center"/>
          </w:tcPr>
          <w:p w14:paraId="079A8CBE">
            <w:pPr>
              <w:pStyle w:val="23"/>
              <w:adjustRightInd/>
              <w:spacing w:before="0" w:beforeAutospacing="0" w:after="0" w:afterAutospacing="0" w:line="340" w:lineRule="exact"/>
              <w:jc w:val="center"/>
              <w:textAlignment w:val="auto"/>
              <w:rPr>
                <w:rFonts w:hint="eastAsia" w:ascii="宋体" w:hAnsi="宋体" w:eastAsia="宋体" w:cs="宋体"/>
                <w:color w:val="auto"/>
              </w:rPr>
            </w:pPr>
            <w:r>
              <w:rPr>
                <w:rFonts w:hint="eastAsia" w:ascii="宋体" w:hAnsi="宋体" w:eastAsia="宋体" w:cs="宋体"/>
                <w:b/>
                <w:color w:val="auto"/>
              </w:rPr>
              <w:t>工程招标</w:t>
            </w:r>
          </w:p>
        </w:tc>
      </w:tr>
      <w:tr w14:paraId="5AC0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19D5525">
            <w:pPr>
              <w:pStyle w:val="23"/>
              <w:spacing w:before="0" w:beforeAutospacing="0" w:after="0" w:afterAutospacing="0" w:line="340" w:lineRule="exact"/>
              <w:jc w:val="both"/>
              <w:rPr>
                <w:rFonts w:hint="eastAsia" w:ascii="宋体" w:hAnsi="宋体" w:eastAsia="宋体" w:cs="宋体"/>
                <w:color w:val="auto"/>
              </w:rPr>
            </w:pPr>
            <w:r>
              <w:rPr>
                <w:rFonts w:hint="eastAsia" w:ascii="宋体" w:hAnsi="宋体" w:eastAsia="宋体" w:cs="宋体"/>
                <w:color w:val="auto"/>
              </w:rPr>
              <w:t>100以下</w:t>
            </w:r>
          </w:p>
        </w:tc>
        <w:tc>
          <w:tcPr>
            <w:tcW w:w="1831" w:type="dxa"/>
            <w:tcBorders>
              <w:top w:val="single" w:color="auto" w:sz="4" w:space="0"/>
              <w:left w:val="single" w:color="auto" w:sz="4" w:space="0"/>
              <w:bottom w:val="single" w:color="auto" w:sz="4" w:space="0"/>
              <w:right w:val="single" w:color="auto" w:sz="4" w:space="0"/>
            </w:tcBorders>
            <w:vAlign w:val="center"/>
          </w:tcPr>
          <w:p w14:paraId="41BED563">
            <w:pPr>
              <w:pStyle w:val="23"/>
              <w:spacing w:before="0" w:beforeAutospacing="0" w:after="0" w:afterAutospacing="0" w:line="340" w:lineRule="exact"/>
              <w:jc w:val="center"/>
              <w:rPr>
                <w:rFonts w:hint="eastAsia" w:ascii="宋体" w:hAnsi="宋体" w:eastAsia="宋体" w:cs="宋体"/>
                <w:color w:val="auto"/>
              </w:rPr>
            </w:pPr>
            <w:r>
              <w:rPr>
                <w:rFonts w:hint="eastAsia" w:ascii="宋体" w:hAnsi="宋体" w:eastAsia="宋体" w:cs="宋体"/>
                <w:color w:val="auto"/>
              </w:rPr>
              <w:t>1.5%</w:t>
            </w:r>
          </w:p>
        </w:tc>
        <w:tc>
          <w:tcPr>
            <w:tcW w:w="2090" w:type="dxa"/>
            <w:tcBorders>
              <w:top w:val="single" w:color="auto" w:sz="4" w:space="0"/>
              <w:left w:val="single" w:color="auto" w:sz="4" w:space="0"/>
              <w:bottom w:val="single" w:color="auto" w:sz="4" w:space="0"/>
              <w:right w:val="single" w:color="auto" w:sz="4" w:space="0"/>
            </w:tcBorders>
            <w:vAlign w:val="center"/>
          </w:tcPr>
          <w:p w14:paraId="12C09208">
            <w:pPr>
              <w:pStyle w:val="23"/>
              <w:spacing w:before="0" w:beforeAutospacing="0" w:after="0" w:afterAutospacing="0" w:line="340" w:lineRule="exact"/>
              <w:jc w:val="center"/>
              <w:rPr>
                <w:rFonts w:hint="eastAsia" w:ascii="宋体" w:hAnsi="宋体" w:eastAsia="宋体" w:cs="宋体"/>
                <w:color w:val="auto"/>
              </w:rPr>
            </w:pPr>
            <w:r>
              <w:rPr>
                <w:rFonts w:hint="eastAsia" w:ascii="宋体" w:hAnsi="宋体" w:eastAsia="宋体" w:cs="宋体"/>
                <w:color w:val="auto"/>
              </w:rPr>
              <w:t>1.5%</w:t>
            </w:r>
          </w:p>
        </w:tc>
        <w:tc>
          <w:tcPr>
            <w:tcW w:w="2090" w:type="dxa"/>
            <w:tcBorders>
              <w:top w:val="single" w:color="auto" w:sz="4" w:space="0"/>
              <w:left w:val="single" w:color="auto" w:sz="4" w:space="0"/>
              <w:bottom w:val="single" w:color="auto" w:sz="4" w:space="0"/>
              <w:right w:val="single" w:color="auto" w:sz="4" w:space="0"/>
            </w:tcBorders>
            <w:vAlign w:val="center"/>
          </w:tcPr>
          <w:p w14:paraId="4B249596">
            <w:pPr>
              <w:pStyle w:val="23"/>
              <w:spacing w:before="0" w:beforeAutospacing="0" w:after="0" w:afterAutospacing="0" w:line="340" w:lineRule="exact"/>
              <w:jc w:val="center"/>
              <w:rPr>
                <w:rFonts w:hint="eastAsia" w:ascii="宋体" w:hAnsi="宋体" w:eastAsia="宋体" w:cs="宋体"/>
                <w:color w:val="auto"/>
              </w:rPr>
            </w:pPr>
            <w:r>
              <w:rPr>
                <w:rFonts w:hint="eastAsia" w:ascii="宋体" w:hAnsi="宋体" w:eastAsia="宋体" w:cs="宋体"/>
                <w:color w:val="auto"/>
              </w:rPr>
              <w:t>1.0%</w:t>
            </w:r>
          </w:p>
        </w:tc>
      </w:tr>
      <w:tr w14:paraId="6205E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2065D57F">
            <w:pPr>
              <w:spacing w:line="340" w:lineRule="exact"/>
              <w:rPr>
                <w:rFonts w:hint="eastAsia" w:ascii="宋体" w:hAnsi="宋体" w:eastAsia="宋体" w:cs="宋体"/>
                <w:b/>
                <w:color w:val="auto"/>
                <w:sz w:val="24"/>
              </w:rPr>
            </w:pPr>
            <w:r>
              <w:rPr>
                <w:rFonts w:hint="eastAsia" w:ascii="宋体" w:hAnsi="宋体" w:eastAsia="宋体" w:cs="宋体"/>
                <w:color w:val="auto"/>
                <w:sz w:val="24"/>
              </w:rPr>
              <w:t>100-500</w:t>
            </w:r>
          </w:p>
        </w:tc>
        <w:tc>
          <w:tcPr>
            <w:tcW w:w="1831" w:type="dxa"/>
            <w:tcBorders>
              <w:top w:val="single" w:color="auto" w:sz="4" w:space="0"/>
              <w:left w:val="single" w:color="auto" w:sz="4" w:space="0"/>
              <w:bottom w:val="single" w:color="auto" w:sz="4" w:space="0"/>
              <w:right w:val="single" w:color="auto" w:sz="4" w:space="0"/>
            </w:tcBorders>
            <w:vAlign w:val="center"/>
          </w:tcPr>
          <w:p w14:paraId="53024D1F">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1.1%</w:t>
            </w:r>
          </w:p>
        </w:tc>
        <w:tc>
          <w:tcPr>
            <w:tcW w:w="2090" w:type="dxa"/>
            <w:tcBorders>
              <w:top w:val="single" w:color="auto" w:sz="4" w:space="0"/>
              <w:left w:val="single" w:color="auto" w:sz="4" w:space="0"/>
              <w:bottom w:val="single" w:color="auto" w:sz="4" w:space="0"/>
              <w:right w:val="single" w:color="auto" w:sz="4" w:space="0"/>
            </w:tcBorders>
            <w:vAlign w:val="center"/>
          </w:tcPr>
          <w:p w14:paraId="063ED5B5">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5D8B28D1">
            <w:pPr>
              <w:pStyle w:val="23"/>
              <w:spacing w:before="0" w:beforeAutospacing="0" w:after="0" w:afterAutospacing="0" w:line="340" w:lineRule="exact"/>
              <w:jc w:val="center"/>
              <w:rPr>
                <w:rFonts w:hint="eastAsia" w:ascii="宋体" w:hAnsi="宋体" w:eastAsia="宋体" w:cs="宋体"/>
                <w:color w:val="auto"/>
              </w:rPr>
            </w:pPr>
            <w:r>
              <w:rPr>
                <w:rFonts w:hint="eastAsia" w:ascii="宋体" w:hAnsi="宋体" w:eastAsia="宋体" w:cs="宋体"/>
                <w:color w:val="auto"/>
              </w:rPr>
              <w:t>0.7%</w:t>
            </w:r>
          </w:p>
        </w:tc>
      </w:tr>
      <w:tr w14:paraId="4B8B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55C5D123">
            <w:pPr>
              <w:spacing w:line="340" w:lineRule="exact"/>
              <w:rPr>
                <w:rFonts w:hint="eastAsia" w:ascii="宋体" w:hAnsi="宋体" w:eastAsia="宋体" w:cs="宋体"/>
                <w:b/>
                <w:color w:val="auto"/>
                <w:sz w:val="24"/>
              </w:rPr>
            </w:pPr>
            <w:r>
              <w:rPr>
                <w:rFonts w:hint="eastAsia" w:ascii="宋体" w:hAnsi="宋体" w:eastAsia="宋体" w:cs="宋体"/>
                <w:color w:val="auto"/>
                <w:sz w:val="24"/>
              </w:rPr>
              <w:t>500-1000</w:t>
            </w:r>
          </w:p>
        </w:tc>
        <w:tc>
          <w:tcPr>
            <w:tcW w:w="1831" w:type="dxa"/>
            <w:tcBorders>
              <w:top w:val="single" w:color="auto" w:sz="4" w:space="0"/>
              <w:left w:val="single" w:color="auto" w:sz="4" w:space="0"/>
              <w:bottom w:val="single" w:color="auto" w:sz="4" w:space="0"/>
              <w:right w:val="single" w:color="auto" w:sz="4" w:space="0"/>
            </w:tcBorders>
            <w:vAlign w:val="center"/>
          </w:tcPr>
          <w:p w14:paraId="40A169B7">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0.8%</w:t>
            </w:r>
          </w:p>
        </w:tc>
        <w:tc>
          <w:tcPr>
            <w:tcW w:w="2090" w:type="dxa"/>
            <w:tcBorders>
              <w:top w:val="single" w:color="auto" w:sz="4" w:space="0"/>
              <w:left w:val="single" w:color="auto" w:sz="4" w:space="0"/>
              <w:bottom w:val="single" w:color="auto" w:sz="4" w:space="0"/>
              <w:right w:val="single" w:color="auto" w:sz="4" w:space="0"/>
            </w:tcBorders>
            <w:vAlign w:val="center"/>
          </w:tcPr>
          <w:p w14:paraId="3536E6E8">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0.45%</w:t>
            </w:r>
          </w:p>
        </w:tc>
        <w:tc>
          <w:tcPr>
            <w:tcW w:w="2090" w:type="dxa"/>
            <w:tcBorders>
              <w:top w:val="single" w:color="auto" w:sz="4" w:space="0"/>
              <w:left w:val="single" w:color="auto" w:sz="4" w:space="0"/>
              <w:bottom w:val="single" w:color="auto" w:sz="4" w:space="0"/>
              <w:right w:val="single" w:color="auto" w:sz="4" w:space="0"/>
            </w:tcBorders>
            <w:vAlign w:val="center"/>
          </w:tcPr>
          <w:p w14:paraId="016A7E03">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0.55%</w:t>
            </w:r>
          </w:p>
        </w:tc>
      </w:tr>
      <w:tr w14:paraId="499F8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0588B9C4">
            <w:pPr>
              <w:spacing w:line="340" w:lineRule="exact"/>
              <w:rPr>
                <w:rFonts w:hint="eastAsia" w:ascii="宋体" w:hAnsi="宋体" w:eastAsia="宋体" w:cs="宋体"/>
                <w:b/>
                <w:color w:val="auto"/>
                <w:sz w:val="24"/>
              </w:rPr>
            </w:pPr>
            <w:r>
              <w:rPr>
                <w:rFonts w:hint="eastAsia" w:ascii="宋体" w:hAnsi="宋体" w:eastAsia="宋体" w:cs="宋体"/>
                <w:color w:val="auto"/>
                <w:sz w:val="24"/>
              </w:rPr>
              <w:t>1000-5000</w:t>
            </w:r>
          </w:p>
        </w:tc>
        <w:tc>
          <w:tcPr>
            <w:tcW w:w="1831" w:type="dxa"/>
            <w:tcBorders>
              <w:top w:val="single" w:color="auto" w:sz="4" w:space="0"/>
              <w:left w:val="single" w:color="auto" w:sz="4" w:space="0"/>
              <w:bottom w:val="single" w:color="auto" w:sz="4" w:space="0"/>
              <w:right w:val="single" w:color="auto" w:sz="4" w:space="0"/>
            </w:tcBorders>
            <w:vAlign w:val="center"/>
          </w:tcPr>
          <w:p w14:paraId="63DF25AF">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0.5%</w:t>
            </w:r>
          </w:p>
        </w:tc>
        <w:tc>
          <w:tcPr>
            <w:tcW w:w="2090" w:type="dxa"/>
            <w:tcBorders>
              <w:top w:val="single" w:color="auto" w:sz="4" w:space="0"/>
              <w:left w:val="single" w:color="auto" w:sz="4" w:space="0"/>
              <w:bottom w:val="single" w:color="auto" w:sz="4" w:space="0"/>
              <w:right w:val="single" w:color="auto" w:sz="4" w:space="0"/>
            </w:tcBorders>
            <w:vAlign w:val="center"/>
          </w:tcPr>
          <w:p w14:paraId="6EFC31B7">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2F513AC0">
            <w:pPr>
              <w:pStyle w:val="23"/>
              <w:spacing w:before="0" w:beforeAutospacing="0" w:after="0" w:afterAutospacing="0" w:line="340" w:lineRule="exact"/>
              <w:jc w:val="center"/>
              <w:rPr>
                <w:rFonts w:hint="eastAsia" w:ascii="宋体" w:hAnsi="宋体" w:eastAsia="宋体" w:cs="宋体"/>
                <w:color w:val="auto"/>
              </w:rPr>
            </w:pPr>
            <w:r>
              <w:rPr>
                <w:rFonts w:hint="eastAsia" w:ascii="宋体" w:hAnsi="宋体" w:eastAsia="宋体" w:cs="宋体"/>
                <w:color w:val="auto"/>
              </w:rPr>
              <w:t>0.35%</w:t>
            </w:r>
          </w:p>
        </w:tc>
      </w:tr>
      <w:tr w14:paraId="73595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4B7EDAFE">
            <w:pPr>
              <w:spacing w:line="340" w:lineRule="exact"/>
              <w:rPr>
                <w:rFonts w:hint="eastAsia" w:ascii="宋体" w:hAnsi="宋体" w:eastAsia="宋体" w:cs="宋体"/>
                <w:b/>
                <w:color w:val="auto"/>
                <w:sz w:val="24"/>
              </w:rPr>
            </w:pPr>
            <w:r>
              <w:rPr>
                <w:rFonts w:hint="eastAsia" w:ascii="宋体" w:hAnsi="宋体" w:eastAsia="宋体" w:cs="宋体"/>
                <w:color w:val="auto"/>
                <w:sz w:val="24"/>
              </w:rPr>
              <w:t>5000-10000</w:t>
            </w:r>
          </w:p>
        </w:tc>
        <w:tc>
          <w:tcPr>
            <w:tcW w:w="1831" w:type="dxa"/>
            <w:tcBorders>
              <w:top w:val="single" w:color="auto" w:sz="4" w:space="0"/>
              <w:left w:val="single" w:color="auto" w:sz="4" w:space="0"/>
              <w:bottom w:val="single" w:color="auto" w:sz="4" w:space="0"/>
              <w:right w:val="single" w:color="auto" w:sz="4" w:space="0"/>
            </w:tcBorders>
            <w:vAlign w:val="center"/>
          </w:tcPr>
          <w:p w14:paraId="36198A47">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0.25%</w:t>
            </w:r>
          </w:p>
        </w:tc>
        <w:tc>
          <w:tcPr>
            <w:tcW w:w="2090" w:type="dxa"/>
            <w:tcBorders>
              <w:top w:val="single" w:color="auto" w:sz="4" w:space="0"/>
              <w:left w:val="single" w:color="auto" w:sz="4" w:space="0"/>
              <w:bottom w:val="single" w:color="auto" w:sz="4" w:space="0"/>
              <w:right w:val="single" w:color="auto" w:sz="4" w:space="0"/>
            </w:tcBorders>
            <w:vAlign w:val="center"/>
          </w:tcPr>
          <w:p w14:paraId="72B18C6F">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0.1%</w:t>
            </w:r>
          </w:p>
        </w:tc>
        <w:tc>
          <w:tcPr>
            <w:tcW w:w="2090" w:type="dxa"/>
            <w:tcBorders>
              <w:top w:val="single" w:color="auto" w:sz="4" w:space="0"/>
              <w:left w:val="single" w:color="auto" w:sz="4" w:space="0"/>
              <w:bottom w:val="single" w:color="auto" w:sz="4" w:space="0"/>
              <w:right w:val="single" w:color="auto" w:sz="4" w:space="0"/>
            </w:tcBorders>
            <w:vAlign w:val="center"/>
          </w:tcPr>
          <w:p w14:paraId="1544D658">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0.2%</w:t>
            </w:r>
          </w:p>
        </w:tc>
      </w:tr>
      <w:tr w14:paraId="1B9C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0B7BC2DD">
            <w:pPr>
              <w:spacing w:line="340" w:lineRule="exact"/>
              <w:rPr>
                <w:rFonts w:hint="eastAsia" w:ascii="宋体" w:hAnsi="宋体" w:eastAsia="宋体" w:cs="宋体"/>
                <w:b/>
                <w:color w:val="auto"/>
                <w:sz w:val="24"/>
              </w:rPr>
            </w:pPr>
            <w:r>
              <w:rPr>
                <w:rFonts w:hint="eastAsia" w:ascii="宋体" w:hAnsi="宋体" w:eastAsia="宋体" w:cs="宋体"/>
                <w:color w:val="auto"/>
                <w:sz w:val="24"/>
              </w:rPr>
              <w:t>10000-100000</w:t>
            </w:r>
          </w:p>
        </w:tc>
        <w:tc>
          <w:tcPr>
            <w:tcW w:w="1831" w:type="dxa"/>
            <w:tcBorders>
              <w:top w:val="single" w:color="auto" w:sz="4" w:space="0"/>
              <w:left w:val="single" w:color="auto" w:sz="4" w:space="0"/>
              <w:bottom w:val="single" w:color="auto" w:sz="4" w:space="0"/>
              <w:right w:val="single" w:color="auto" w:sz="4" w:space="0"/>
            </w:tcBorders>
            <w:vAlign w:val="center"/>
          </w:tcPr>
          <w:p w14:paraId="6554FB88">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142E0376">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0.05%</w:t>
            </w:r>
          </w:p>
        </w:tc>
        <w:tc>
          <w:tcPr>
            <w:tcW w:w="2090" w:type="dxa"/>
            <w:tcBorders>
              <w:top w:val="single" w:color="auto" w:sz="4" w:space="0"/>
              <w:left w:val="single" w:color="auto" w:sz="4" w:space="0"/>
              <w:bottom w:val="single" w:color="auto" w:sz="4" w:space="0"/>
              <w:right w:val="single" w:color="auto" w:sz="4" w:space="0"/>
            </w:tcBorders>
            <w:vAlign w:val="center"/>
          </w:tcPr>
          <w:p w14:paraId="0C01C026">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0.05%</w:t>
            </w:r>
          </w:p>
        </w:tc>
      </w:tr>
      <w:tr w14:paraId="2330C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tcBorders>
              <w:top w:val="single" w:color="auto" w:sz="4" w:space="0"/>
              <w:left w:val="single" w:color="auto" w:sz="4" w:space="0"/>
              <w:bottom w:val="single" w:color="auto" w:sz="4" w:space="0"/>
              <w:right w:val="single" w:color="auto" w:sz="4" w:space="0"/>
            </w:tcBorders>
            <w:vAlign w:val="center"/>
          </w:tcPr>
          <w:p w14:paraId="0EC92B44">
            <w:pPr>
              <w:spacing w:line="340" w:lineRule="exact"/>
              <w:rPr>
                <w:rFonts w:hint="eastAsia" w:ascii="宋体" w:hAnsi="宋体" w:eastAsia="宋体" w:cs="宋体"/>
                <w:b/>
                <w:color w:val="auto"/>
                <w:sz w:val="24"/>
              </w:rPr>
            </w:pPr>
            <w:r>
              <w:rPr>
                <w:rFonts w:hint="eastAsia" w:ascii="宋体" w:hAnsi="宋体" w:eastAsia="宋体" w:cs="宋体"/>
                <w:color w:val="auto"/>
                <w:sz w:val="24"/>
              </w:rPr>
              <w:t>100000以上</w:t>
            </w:r>
          </w:p>
        </w:tc>
        <w:tc>
          <w:tcPr>
            <w:tcW w:w="1831" w:type="dxa"/>
            <w:tcBorders>
              <w:top w:val="single" w:color="auto" w:sz="4" w:space="0"/>
              <w:left w:val="single" w:color="auto" w:sz="4" w:space="0"/>
              <w:bottom w:val="single" w:color="auto" w:sz="4" w:space="0"/>
              <w:right w:val="single" w:color="auto" w:sz="4" w:space="0"/>
            </w:tcBorders>
            <w:vAlign w:val="center"/>
          </w:tcPr>
          <w:p w14:paraId="527461B8">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215F40D7">
            <w:pPr>
              <w:spacing w:line="340" w:lineRule="exact"/>
              <w:jc w:val="center"/>
              <w:rPr>
                <w:rFonts w:hint="eastAsia" w:ascii="宋体" w:hAnsi="宋体" w:eastAsia="宋体" w:cs="宋体"/>
                <w:b/>
                <w:color w:val="auto"/>
                <w:sz w:val="24"/>
              </w:rPr>
            </w:pPr>
            <w:r>
              <w:rPr>
                <w:rFonts w:hint="eastAsia" w:ascii="宋体" w:hAnsi="宋体" w:eastAsia="宋体" w:cs="宋体"/>
                <w:color w:val="auto"/>
                <w:sz w:val="24"/>
              </w:rPr>
              <w:t>0.01%</w:t>
            </w:r>
          </w:p>
        </w:tc>
        <w:tc>
          <w:tcPr>
            <w:tcW w:w="2090" w:type="dxa"/>
            <w:tcBorders>
              <w:top w:val="single" w:color="auto" w:sz="4" w:space="0"/>
              <w:left w:val="single" w:color="auto" w:sz="4" w:space="0"/>
              <w:bottom w:val="single" w:color="auto" w:sz="4" w:space="0"/>
              <w:right w:val="single" w:color="auto" w:sz="4" w:space="0"/>
            </w:tcBorders>
            <w:vAlign w:val="center"/>
          </w:tcPr>
          <w:p w14:paraId="09DD85BF">
            <w:pPr>
              <w:pStyle w:val="23"/>
              <w:spacing w:before="0" w:beforeAutospacing="0" w:after="0" w:afterAutospacing="0" w:line="340" w:lineRule="exact"/>
              <w:jc w:val="center"/>
              <w:rPr>
                <w:rFonts w:hint="eastAsia" w:ascii="宋体" w:hAnsi="宋体" w:eastAsia="宋体" w:cs="宋体"/>
                <w:color w:val="auto"/>
              </w:rPr>
            </w:pPr>
            <w:r>
              <w:rPr>
                <w:rFonts w:hint="eastAsia" w:ascii="宋体" w:hAnsi="宋体" w:eastAsia="宋体" w:cs="宋体"/>
                <w:color w:val="auto"/>
              </w:rPr>
              <w:t>0.01%</w:t>
            </w:r>
          </w:p>
        </w:tc>
      </w:tr>
    </w:tbl>
    <w:p w14:paraId="725AC33A">
      <w:pPr>
        <w:adjustRightInd/>
        <w:spacing w:line="46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注：招标代理服务收费按差额定率累进法计算。</w:t>
      </w:r>
    </w:p>
    <w:p w14:paraId="7AE854C9">
      <w:pPr>
        <w:adjustRightInd/>
        <w:spacing w:line="46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以货物项目为例：中标金额为</w:t>
      </w:r>
      <w:r>
        <w:rPr>
          <w:rFonts w:hint="eastAsia" w:hAnsi="宋体" w:cs="宋体"/>
          <w:color w:val="auto"/>
          <w:sz w:val="24"/>
          <w:lang w:val="en-US" w:eastAsia="zh-CN"/>
        </w:rPr>
        <w:t>2,601,500.00</w:t>
      </w:r>
      <w:r>
        <w:rPr>
          <w:rFonts w:hint="eastAsia" w:ascii="宋体" w:hAnsi="宋体" w:eastAsia="宋体" w:cs="宋体"/>
          <w:color w:val="auto"/>
          <w:sz w:val="24"/>
        </w:rPr>
        <w:t>元，计算招标代理服务收费额如下：</w:t>
      </w:r>
    </w:p>
    <w:p w14:paraId="7BC867FA">
      <w:pPr>
        <w:adjustRightInd/>
        <w:spacing w:line="460" w:lineRule="exact"/>
        <w:ind w:firstLine="360" w:firstLineChars="150"/>
        <w:textAlignment w:val="auto"/>
        <w:rPr>
          <w:rFonts w:hint="default" w:hAnsi="宋体" w:cs="宋体"/>
          <w:color w:val="auto"/>
          <w:sz w:val="24"/>
          <w:lang w:val="en-US" w:eastAsia="zh-CN"/>
        </w:rPr>
      </w:pPr>
      <w:r>
        <w:rPr>
          <w:rFonts w:hint="eastAsia" w:hAnsi="宋体" w:cs="宋体"/>
          <w:color w:val="auto"/>
          <w:sz w:val="24"/>
          <w:lang w:val="en-US" w:eastAsia="zh-CN"/>
        </w:rPr>
        <w:t>100万*1.5%=15000.00元</w:t>
      </w:r>
    </w:p>
    <w:p w14:paraId="15EACA3F">
      <w:pPr>
        <w:adjustRightInd/>
        <w:spacing w:line="460" w:lineRule="exact"/>
        <w:ind w:firstLine="360" w:firstLineChars="150"/>
        <w:textAlignment w:val="auto"/>
        <w:rPr>
          <w:rFonts w:hint="eastAsia" w:ascii="宋体" w:hAnsi="宋体" w:eastAsia="宋体" w:cs="宋体"/>
          <w:color w:val="auto"/>
          <w:sz w:val="24"/>
        </w:rPr>
      </w:pPr>
      <w:r>
        <w:rPr>
          <w:rFonts w:hint="eastAsia" w:hAnsi="宋体" w:cs="宋体"/>
          <w:color w:val="auto"/>
          <w:sz w:val="24"/>
          <w:lang w:val="en-US" w:eastAsia="zh-CN"/>
        </w:rPr>
        <w:t>（260.15万-100万）*0.8%=12812.00</w:t>
      </w:r>
      <w:r>
        <w:rPr>
          <w:rFonts w:hint="eastAsia" w:ascii="宋体" w:hAnsi="宋体" w:eastAsia="宋体" w:cs="宋体"/>
          <w:color w:val="auto"/>
          <w:sz w:val="24"/>
        </w:rPr>
        <w:t>元</w:t>
      </w:r>
    </w:p>
    <w:p w14:paraId="2C307572">
      <w:pPr>
        <w:adjustRightInd/>
        <w:spacing w:line="460" w:lineRule="exact"/>
        <w:ind w:firstLine="360" w:firstLineChars="150"/>
        <w:textAlignment w:val="auto"/>
        <w:rPr>
          <w:rFonts w:hint="default" w:ascii="宋体" w:hAnsi="宋体" w:eastAsia="宋体" w:cs="宋体"/>
          <w:color w:val="auto"/>
          <w:lang w:val="en-US" w:eastAsia="zh-CN"/>
        </w:rPr>
      </w:pPr>
      <w:r>
        <w:rPr>
          <w:rFonts w:hint="eastAsia" w:ascii="宋体" w:hAnsi="宋体" w:eastAsia="宋体" w:cs="宋体"/>
          <w:color w:val="auto"/>
          <w:sz w:val="24"/>
        </w:rPr>
        <w:t>收费</w:t>
      </w:r>
      <w:r>
        <w:rPr>
          <w:rFonts w:hint="eastAsia" w:ascii="宋体" w:hAnsi="宋体" w:eastAsia="宋体" w:cs="宋体"/>
          <w:color w:val="auto"/>
          <w:spacing w:val="20"/>
          <w:sz w:val="24"/>
        </w:rPr>
        <w:t>=</w:t>
      </w:r>
      <w:r>
        <w:rPr>
          <w:rFonts w:hint="eastAsia" w:hAnsi="宋体" w:cs="宋体"/>
          <w:color w:val="auto"/>
          <w:sz w:val="24"/>
          <w:lang w:val="en-US" w:eastAsia="zh-CN"/>
        </w:rPr>
        <w:t>15000.00+12812.00=27812.00</w:t>
      </w:r>
      <w:r>
        <w:rPr>
          <w:rFonts w:hint="eastAsia" w:ascii="宋体" w:hAnsi="宋体" w:eastAsia="宋体" w:cs="宋体"/>
          <w:color w:val="auto"/>
          <w:sz w:val="24"/>
        </w:rPr>
        <w:t>元</w:t>
      </w:r>
    </w:p>
    <w:p w14:paraId="0B24F5D2">
      <w:pPr>
        <w:spacing w:line="46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31．签订合同</w:t>
      </w:r>
    </w:p>
    <w:p w14:paraId="6A7459FC">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如果中标人没有按照上述第29.2条或第30条规定执行，采购人将有充分理由取消该中标决定。在此情况下，采购人可将合同授予综合得分排序名列下一个的供应商，或重新招标。</w:t>
      </w:r>
    </w:p>
    <w:p w14:paraId="087BC69D">
      <w:pPr>
        <w:spacing w:line="460" w:lineRule="exact"/>
        <w:ind w:firstLine="480" w:firstLineChars="200"/>
        <w:rPr>
          <w:rFonts w:hint="eastAsia" w:ascii="宋体" w:hAnsi="宋体" w:eastAsia="宋体" w:cs="宋体"/>
          <w:b/>
          <w:bCs/>
          <w:color w:val="auto"/>
          <w:sz w:val="24"/>
        </w:rPr>
      </w:pPr>
      <w:r>
        <w:rPr>
          <w:rFonts w:hint="eastAsia" w:ascii="宋体" w:hAnsi="宋体" w:eastAsia="宋体" w:cs="宋体"/>
          <w:b/>
          <w:bCs/>
          <w:color w:val="auto"/>
          <w:sz w:val="24"/>
        </w:rPr>
        <w:t>32．其他</w:t>
      </w:r>
    </w:p>
    <w:p w14:paraId="537808E5">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32.1 拒绝商业贿赂</w:t>
      </w:r>
    </w:p>
    <w:p w14:paraId="6B4F8ABF">
      <w:pPr>
        <w:spacing w:line="460" w:lineRule="exact"/>
        <w:ind w:firstLine="480" w:firstLineChars="200"/>
        <w:rPr>
          <w:rFonts w:hint="eastAsia" w:ascii="宋体" w:hAnsi="宋体" w:eastAsia="宋体" w:cs="宋体"/>
          <w:color w:val="auto"/>
          <w:kern w:val="1"/>
          <w:sz w:val="24"/>
        </w:rPr>
      </w:pPr>
      <w:r>
        <w:rPr>
          <w:rFonts w:hint="eastAsia" w:ascii="宋体" w:hAnsi="宋体" w:eastAsia="宋体" w:cs="宋体"/>
          <w:color w:val="auto"/>
          <w:sz w:val="24"/>
        </w:rPr>
        <w:t>32.1.1供应商须填写一份《拒绝政府采购领域商业贿赂承诺书》（详见第五章投标文件基本格式）编制在投标文件中</w:t>
      </w:r>
      <w:r>
        <w:rPr>
          <w:rFonts w:hint="eastAsia" w:ascii="宋体" w:hAnsi="宋体" w:eastAsia="宋体" w:cs="宋体"/>
          <w:color w:val="auto"/>
          <w:kern w:val="1"/>
          <w:sz w:val="24"/>
        </w:rPr>
        <w:t>。</w:t>
      </w:r>
      <w:bookmarkStart w:id="149" w:name="_Toc208337157"/>
      <w:bookmarkStart w:id="150" w:name="_Toc207897909"/>
      <w:bookmarkStart w:id="151" w:name="_Toc244623584"/>
      <w:bookmarkStart w:id="152" w:name="_Toc245657546"/>
      <w:bookmarkStart w:id="153" w:name="_Toc245658527"/>
      <w:bookmarkStart w:id="154" w:name="_Toc245176658"/>
    </w:p>
    <w:p w14:paraId="67579691">
      <w:pPr>
        <w:spacing w:line="460" w:lineRule="exact"/>
        <w:ind w:firstLine="480" w:firstLineChars="200"/>
        <w:rPr>
          <w:rFonts w:hint="eastAsia" w:ascii="宋体" w:hAnsi="宋体" w:eastAsia="宋体" w:cs="宋体"/>
          <w:color w:val="auto"/>
          <w:kern w:val="1"/>
          <w:sz w:val="24"/>
        </w:rPr>
      </w:pPr>
    </w:p>
    <w:p w14:paraId="66E72EC6">
      <w:pPr>
        <w:spacing w:line="460" w:lineRule="exact"/>
        <w:ind w:firstLine="480" w:firstLineChars="200"/>
        <w:rPr>
          <w:rFonts w:hint="eastAsia" w:ascii="宋体" w:hAnsi="宋体" w:eastAsia="宋体" w:cs="宋体"/>
          <w:color w:val="auto"/>
          <w:kern w:val="1"/>
          <w:sz w:val="24"/>
          <w:lang w:eastAsia="zh-CN"/>
        </w:rPr>
      </w:pPr>
    </w:p>
    <w:p w14:paraId="64F2C307">
      <w:pPr>
        <w:spacing w:beforeLines="50" w:afterLines="50" w:line="240" w:lineRule="auto"/>
        <w:ind w:left="141" w:hanging="150" w:hangingChars="50"/>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第三章   </w:t>
      </w:r>
      <w:bookmarkEnd w:id="149"/>
      <w:bookmarkEnd w:id="150"/>
      <w:bookmarkEnd w:id="151"/>
      <w:bookmarkEnd w:id="152"/>
      <w:bookmarkEnd w:id="153"/>
      <w:bookmarkEnd w:id="154"/>
      <w:r>
        <w:rPr>
          <w:rFonts w:hint="eastAsia" w:ascii="宋体" w:hAnsi="宋体" w:eastAsia="宋体" w:cs="宋体"/>
          <w:b/>
          <w:color w:val="auto"/>
          <w:sz w:val="30"/>
          <w:szCs w:val="30"/>
        </w:rPr>
        <w:t>拟签订合同主要条款</w:t>
      </w:r>
    </w:p>
    <w:bookmarkEnd w:id="21"/>
    <w:bookmarkEnd w:id="22"/>
    <w:p w14:paraId="07400FA4">
      <w:pPr>
        <w:keepNext w:val="0"/>
        <w:keepLines w:val="0"/>
        <w:pageBreakBefore w:val="0"/>
        <w:widowControl w:val="0"/>
        <w:kinsoku/>
        <w:wordWrap/>
        <w:overflowPunct/>
        <w:topLinePunct w:val="0"/>
        <w:autoSpaceDE/>
        <w:autoSpaceDN/>
        <w:bidi w:val="0"/>
        <w:adjustRightInd w:val="0"/>
        <w:snapToGrid/>
        <w:spacing w:line="440" w:lineRule="exact"/>
        <w:ind w:right="-1"/>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一、商务要求</w:t>
      </w:r>
    </w:p>
    <w:p w14:paraId="37483630">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1.制作周期：</w:t>
      </w:r>
    </w:p>
    <w:p w14:paraId="6543FA01">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（1）制作</w:t>
      </w:r>
      <w:r>
        <w:rPr>
          <w:rFonts w:hint="eastAsia" w:hAnsi="宋体" w:cs="宋体"/>
          <w:bCs/>
          <w:sz w:val="24"/>
          <w:szCs w:val="24"/>
          <w:lang w:val="en-US" w:eastAsia="zh-CN"/>
        </w:rPr>
        <w:t>及交付期限</w:t>
      </w:r>
      <w:r>
        <w:rPr>
          <w:rFonts w:hint="eastAsia" w:ascii="宋体" w:hAnsi="宋体" w:eastAsia="宋体" w:cs="宋体"/>
          <w:bCs/>
          <w:sz w:val="24"/>
          <w:szCs w:val="24"/>
        </w:rPr>
        <w:t>：</w:t>
      </w:r>
      <w:r>
        <w:rPr>
          <w:rFonts w:hint="eastAsia" w:ascii="宋体" w:hAnsi="宋体" w:eastAsia="宋体" w:cs="宋体"/>
          <w:b w:val="0"/>
          <w:bCs/>
          <w:sz w:val="24"/>
          <w:szCs w:val="24"/>
        </w:rPr>
        <w:t>合同签订后</w:t>
      </w:r>
      <w:r>
        <w:rPr>
          <w:rFonts w:hint="eastAsia" w:ascii="宋体" w:hAnsi="宋体" w:eastAsia="宋体" w:cs="宋体"/>
          <w:b w:val="0"/>
          <w:bCs/>
          <w:sz w:val="24"/>
          <w:szCs w:val="24"/>
          <w:u w:val="none"/>
        </w:rPr>
        <w:t>100个</w:t>
      </w:r>
      <w:r>
        <w:rPr>
          <w:rFonts w:hint="eastAsia" w:ascii="宋体" w:hAnsi="宋体" w:eastAsia="宋体" w:cs="宋体"/>
          <w:b w:val="0"/>
          <w:bCs/>
          <w:sz w:val="24"/>
          <w:szCs w:val="24"/>
          <w:u w:val="none"/>
          <w:lang w:val="en-US" w:eastAsia="zh-CN"/>
        </w:rPr>
        <w:t>日历</w:t>
      </w:r>
      <w:r>
        <w:rPr>
          <w:rFonts w:hint="eastAsia" w:ascii="宋体" w:hAnsi="宋体" w:eastAsia="宋体" w:cs="宋体"/>
          <w:b w:val="0"/>
          <w:bCs/>
          <w:sz w:val="24"/>
          <w:szCs w:val="24"/>
          <w:u w:val="none"/>
        </w:rPr>
        <w:t>日完</w:t>
      </w:r>
      <w:r>
        <w:rPr>
          <w:rFonts w:hint="eastAsia" w:ascii="宋体" w:hAnsi="宋体" w:eastAsia="宋体" w:cs="宋体"/>
          <w:b w:val="0"/>
          <w:bCs/>
          <w:sz w:val="24"/>
          <w:szCs w:val="24"/>
        </w:rPr>
        <w:t>成。</w:t>
      </w:r>
    </w:p>
    <w:p w14:paraId="47A556DF">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（2）服务地点：</w:t>
      </w:r>
      <w:r>
        <w:rPr>
          <w:rFonts w:hint="eastAsia" w:ascii="宋体" w:hAnsi="宋体" w:eastAsia="宋体" w:cs="宋体"/>
          <w:sz w:val="24"/>
          <w:szCs w:val="24"/>
        </w:rPr>
        <w:t>安康职业技术学院指定地点</w:t>
      </w:r>
      <w:r>
        <w:rPr>
          <w:rFonts w:hint="eastAsia" w:ascii="宋体" w:hAnsi="宋体" w:eastAsia="宋体" w:cs="宋体"/>
          <w:bCs/>
          <w:sz w:val="24"/>
          <w:szCs w:val="24"/>
        </w:rPr>
        <w:t>。</w:t>
      </w:r>
    </w:p>
    <w:p w14:paraId="0741AFC9">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2.合同价款：</w:t>
      </w:r>
    </w:p>
    <w:p w14:paraId="1DA0F3D4">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合同总价一次性包死，不受市场价格变化因素的影响。</w:t>
      </w:r>
    </w:p>
    <w:p w14:paraId="6F46D55C">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3.款项结算：</w:t>
      </w:r>
    </w:p>
    <w:p w14:paraId="3E137477">
      <w:pPr>
        <w:keepNext w:val="0"/>
        <w:keepLines w:val="0"/>
        <w:pageBreakBefore w:val="0"/>
        <w:widowControl w:val="0"/>
        <w:kinsoku/>
        <w:wordWrap/>
        <w:overflowPunct/>
        <w:topLinePunct w:val="0"/>
        <w:autoSpaceDE/>
        <w:autoSpaceDN/>
        <w:bidi w:val="0"/>
        <w:adjustRightInd w:val="0"/>
        <w:snapToGrid/>
        <w:spacing w:line="440" w:lineRule="exact"/>
        <w:ind w:firstLine="480"/>
        <w:jc w:val="left"/>
        <w:textAlignment w:val="baseline"/>
        <w:rPr>
          <w:rFonts w:hint="eastAsia" w:ascii="宋体" w:hAnsi="宋体" w:eastAsia="宋体" w:cs="宋体"/>
          <w:bCs/>
          <w:sz w:val="24"/>
          <w:szCs w:val="24"/>
        </w:rPr>
      </w:pPr>
      <w:r>
        <w:rPr>
          <w:rFonts w:hint="eastAsia" w:ascii="宋体" w:hAnsi="宋体" w:eastAsia="宋体" w:cs="宋体"/>
          <w:bCs/>
          <w:sz w:val="24"/>
          <w:szCs w:val="24"/>
        </w:rPr>
        <w:t>（1）付款方式：自</w:t>
      </w:r>
      <w:r>
        <w:rPr>
          <w:rFonts w:hint="eastAsia" w:ascii="宋体" w:hAnsi="宋体" w:eastAsia="宋体" w:cs="宋体"/>
          <w:kern w:val="0"/>
          <w:sz w:val="24"/>
          <w:szCs w:val="24"/>
        </w:rPr>
        <w:t>合同签订之日起，100个</w:t>
      </w:r>
      <w:r>
        <w:rPr>
          <w:rFonts w:hint="eastAsia" w:ascii="宋体" w:hAnsi="宋体" w:eastAsia="宋体" w:cs="宋体"/>
          <w:kern w:val="0"/>
          <w:sz w:val="24"/>
          <w:szCs w:val="24"/>
          <w:lang w:val="en-US" w:eastAsia="zh-CN"/>
        </w:rPr>
        <w:t>日历日</w:t>
      </w:r>
      <w:r>
        <w:rPr>
          <w:rFonts w:hint="eastAsia" w:ascii="宋体" w:hAnsi="宋体" w:eastAsia="宋体" w:cs="宋体"/>
          <w:kern w:val="0"/>
          <w:sz w:val="24"/>
          <w:szCs w:val="24"/>
        </w:rPr>
        <w:t>内完成所有项目，</w:t>
      </w:r>
      <w:r>
        <w:rPr>
          <w:rFonts w:hint="eastAsia" w:ascii="宋体" w:hAnsi="宋体" w:eastAsia="宋体" w:cs="宋体"/>
          <w:bCs/>
          <w:sz w:val="24"/>
          <w:szCs w:val="24"/>
        </w:rPr>
        <w:t>采购方工作人员可正常使用并达到采购方的验收标准。</w:t>
      </w:r>
      <w:r>
        <w:rPr>
          <w:rFonts w:hint="eastAsia" w:ascii="宋体" w:hAnsi="宋体" w:eastAsia="宋体" w:cs="宋体"/>
          <w:kern w:val="0"/>
          <w:sz w:val="24"/>
          <w:szCs w:val="24"/>
        </w:rPr>
        <w:t>验收完成后招标单位全额付款。</w:t>
      </w:r>
    </w:p>
    <w:p w14:paraId="7B928538">
      <w:pPr>
        <w:keepNext w:val="0"/>
        <w:keepLines w:val="0"/>
        <w:pageBreakBefore w:val="0"/>
        <w:widowControl w:val="0"/>
        <w:kinsoku/>
        <w:wordWrap/>
        <w:overflowPunct/>
        <w:topLinePunct w:val="0"/>
        <w:autoSpaceDE/>
        <w:autoSpaceDN/>
        <w:bidi w:val="0"/>
        <w:adjustRightInd w:val="0"/>
        <w:snapToGrid/>
        <w:spacing w:line="440" w:lineRule="exact"/>
        <w:ind w:right="-1"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（2）支付方式：银行转账</w:t>
      </w:r>
    </w:p>
    <w:p w14:paraId="528406B9">
      <w:pPr>
        <w:keepNext w:val="0"/>
        <w:keepLines w:val="0"/>
        <w:pageBreakBefore w:val="0"/>
        <w:widowControl w:val="0"/>
        <w:kinsoku/>
        <w:wordWrap/>
        <w:overflowPunct/>
        <w:topLinePunct w:val="0"/>
        <w:autoSpaceDE/>
        <w:autoSpaceDN/>
        <w:bidi w:val="0"/>
        <w:adjustRightInd w:val="0"/>
        <w:snapToGrid/>
        <w:spacing w:line="440" w:lineRule="exact"/>
        <w:ind w:right="-1"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（3）结算方式：验收合格后填写采购项目验收单，服务商持成交通知书、合同、发票、项目验收单，与采购人结算。</w:t>
      </w:r>
    </w:p>
    <w:p w14:paraId="31A8C597">
      <w:pPr>
        <w:keepNext w:val="0"/>
        <w:keepLines w:val="0"/>
        <w:pageBreakBefore w:val="0"/>
        <w:widowControl w:val="0"/>
        <w:kinsoku/>
        <w:wordWrap/>
        <w:overflowPunct/>
        <w:topLinePunct w:val="0"/>
        <w:autoSpaceDE/>
        <w:autoSpaceDN/>
        <w:bidi w:val="0"/>
        <w:adjustRightInd w:val="0"/>
        <w:snapToGrid/>
        <w:spacing w:line="440" w:lineRule="exact"/>
        <w:ind w:right="-1"/>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二、服务要求</w:t>
      </w:r>
    </w:p>
    <w:p w14:paraId="00C967F1">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1.在校内有拍摄场地的情况下，成交服务商优先考虑在校内拍摄课程，并负责组织相关专业设备搭建临时拍摄场地，提前与采购人联系使用场地，自带拍摄设备。（以1080P及以上高清摄像机作为基本拍摄配置，根据环境策划辅助灯光组及其他设备。必须使用专业级话筒级音频处理设备，保证录音质量。人物对白或独白收音要求音质纯净清晰，音色还原正常，无噪音、杂音、干扰音、电流音等。）</w:t>
      </w:r>
    </w:p>
    <w:p w14:paraId="43A83C13">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2.校内搭建的临时拍摄场地无法满足相关专业特殊要求时，需要到成交服务商专业拍摄服务基地时，服务商应主动提供交通工具，合理安排交通路线，接送主讲教师及相关人员（如有学生，包括学生在内）到位</w:t>
      </w:r>
      <w:r>
        <w:rPr>
          <w:rFonts w:hint="eastAsia" w:ascii="宋体" w:hAnsi="宋体" w:eastAsia="宋体" w:cs="宋体"/>
          <w:sz w:val="24"/>
          <w:szCs w:val="24"/>
        </w:rPr>
        <w:t>，相关交通费用由服务商承担</w:t>
      </w:r>
      <w:r>
        <w:rPr>
          <w:rFonts w:hint="eastAsia" w:ascii="宋体" w:hAnsi="宋体" w:eastAsia="宋体" w:cs="宋体"/>
          <w:bCs/>
          <w:sz w:val="24"/>
          <w:szCs w:val="24"/>
        </w:rPr>
        <w:t>。</w:t>
      </w:r>
    </w:p>
    <w:p w14:paraId="6E051A05">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3.外景的涉外拍摄时，服务商应该提前准备包括前期勘景、场地协调等，做到场景设计契合课程内容并及时与相关课程负责老师沟通拍摄时间。</w:t>
      </w:r>
    </w:p>
    <w:p w14:paraId="27DF1ECA">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4.如果涉及到虚拟演播室拍摄，则要求抠像完整干净，背景简洁大方。</w:t>
      </w:r>
    </w:p>
    <w:p w14:paraId="5C27C40E">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sz w:val="24"/>
          <w:szCs w:val="24"/>
        </w:rPr>
      </w:pPr>
      <w:r>
        <w:rPr>
          <w:rFonts w:hint="eastAsia" w:ascii="宋体" w:hAnsi="宋体" w:eastAsia="宋体" w:cs="宋体"/>
          <w:bCs/>
          <w:sz w:val="24"/>
          <w:szCs w:val="24"/>
        </w:rPr>
        <w:t>5.根据环境、剧情需要安排道具、教具及主讲教师、群众演员服装，涉及</w:t>
      </w:r>
      <w:r>
        <w:rPr>
          <w:rFonts w:hint="eastAsia" w:ascii="宋体" w:hAnsi="宋体" w:eastAsia="宋体" w:cs="宋体"/>
          <w:sz w:val="24"/>
          <w:szCs w:val="24"/>
        </w:rPr>
        <w:t>到定制的，应及时和教师沟通，确认制作方式、工艺。</w:t>
      </w:r>
    </w:p>
    <w:p w14:paraId="6B4DAF51">
      <w:pPr>
        <w:keepNext w:val="0"/>
        <w:keepLines w:val="0"/>
        <w:pageBreakBefore w:val="0"/>
        <w:widowControl w:val="0"/>
        <w:kinsoku/>
        <w:wordWrap/>
        <w:overflowPunct/>
        <w:topLinePunct w:val="0"/>
        <w:autoSpaceDE/>
        <w:autoSpaceDN/>
        <w:bidi w:val="0"/>
        <w:adjustRightInd w:val="0"/>
        <w:snapToGrid/>
        <w:spacing w:line="440" w:lineRule="exact"/>
        <w:ind w:right="-1"/>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三、知识产权保护原则</w:t>
      </w:r>
    </w:p>
    <w:p w14:paraId="49779937">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jc w:val="left"/>
        <w:textAlignment w:val="baseline"/>
        <w:rPr>
          <w:rFonts w:hint="eastAsia" w:ascii="宋体" w:hAnsi="宋体" w:eastAsia="宋体" w:cs="宋体"/>
          <w:bCs/>
          <w:sz w:val="24"/>
          <w:szCs w:val="24"/>
        </w:rPr>
      </w:pPr>
      <w:r>
        <w:rPr>
          <w:rFonts w:hint="eastAsia" w:ascii="宋体" w:hAnsi="宋体" w:eastAsia="宋体" w:cs="宋体"/>
          <w:bCs/>
          <w:sz w:val="24"/>
          <w:szCs w:val="24"/>
        </w:rPr>
        <w:t>本项目一切知识产权归采购方所有，在完成建设后制作方需向采购方提供全部的课程视频资料，制作团队需有版权意识，包括脚本文档、视频源文件、PPT 教案等文档材料。所有课程素材母带（或素材数据硬盘）、动画素材、课程成品版权归属采购人。</w:t>
      </w:r>
    </w:p>
    <w:p w14:paraId="24311F3E">
      <w:pPr>
        <w:keepNext w:val="0"/>
        <w:keepLines w:val="0"/>
        <w:pageBreakBefore w:val="0"/>
        <w:widowControl w:val="0"/>
        <w:kinsoku/>
        <w:wordWrap/>
        <w:overflowPunct/>
        <w:topLinePunct w:val="0"/>
        <w:autoSpaceDE/>
        <w:autoSpaceDN/>
        <w:bidi w:val="0"/>
        <w:adjustRightInd w:val="0"/>
        <w:snapToGrid/>
        <w:spacing w:line="440" w:lineRule="exact"/>
        <w:ind w:right="-1"/>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四、关于课程运行平台</w:t>
      </w:r>
    </w:p>
    <w:p w14:paraId="0C1ABAB8">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提供的资源库运行平台是：</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平台满足《教育部职业教育专业教学资源库运行平台技术要求》（教职成厅函〔2019〕11号），为本项目资源库永远免费运行并进行免费推广。平台上已有运行的国家级、省级专业资源库，平台具备在全国运行推广的服务能力。课建设方确保该项目在该平台永远免费运行和免费服务。</w:t>
      </w:r>
    </w:p>
    <w:p w14:paraId="3DCBEF0A">
      <w:pPr>
        <w:keepNext w:val="0"/>
        <w:keepLines w:val="0"/>
        <w:pageBreakBefore w:val="0"/>
        <w:widowControl w:val="0"/>
        <w:kinsoku/>
        <w:wordWrap/>
        <w:overflowPunct/>
        <w:topLinePunct w:val="0"/>
        <w:autoSpaceDE/>
        <w:autoSpaceDN/>
        <w:bidi w:val="0"/>
        <w:adjustRightInd w:val="0"/>
        <w:snapToGrid/>
        <w:spacing w:line="440" w:lineRule="exact"/>
        <w:ind w:right="-1"/>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五、验收</w:t>
      </w:r>
    </w:p>
    <w:p w14:paraId="20400E00">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平台采用云端部署，所需硬件资源由建设方提供，学校不提供运行服务器等设备。建设方保证其建设资源满足国家职业教育专业教学资源库运行要求。</w:t>
      </w:r>
    </w:p>
    <w:p w14:paraId="5C0C6455">
      <w:pPr>
        <w:keepNext w:val="0"/>
        <w:keepLines w:val="0"/>
        <w:pageBreakBefore w:val="0"/>
        <w:widowControl w:val="0"/>
        <w:kinsoku/>
        <w:wordWrap/>
        <w:overflowPunct/>
        <w:topLinePunct w:val="0"/>
        <w:autoSpaceDE/>
        <w:autoSpaceDN/>
        <w:bidi w:val="0"/>
        <w:adjustRightInd w:val="0"/>
        <w:snapToGrid/>
        <w:spacing w:line="440" w:lineRule="exact"/>
        <w:ind w:right="-1" w:firstLine="480" w:firstLineChars="200"/>
        <w:jc w:val="left"/>
        <w:textAlignment w:val="baseline"/>
        <w:rPr>
          <w:rFonts w:hint="eastAsia" w:ascii="宋体" w:hAnsi="宋体" w:eastAsia="宋体" w:cs="宋体"/>
          <w:sz w:val="24"/>
          <w:szCs w:val="24"/>
        </w:rPr>
      </w:pPr>
      <w:r>
        <w:rPr>
          <w:rFonts w:hint="eastAsia" w:ascii="宋体" w:hAnsi="宋体" w:eastAsia="宋体" w:cs="宋体"/>
          <w:b/>
          <w:color w:val="000000"/>
          <w:sz w:val="24"/>
          <w:szCs w:val="24"/>
        </w:rPr>
        <w:t>建设完成的最终资源库包含的所有文件全部交付学院，采用2套移动硬盘拷贝交付和1套光盘交付</w:t>
      </w:r>
      <w:r>
        <w:rPr>
          <w:rFonts w:hint="eastAsia" w:ascii="宋体" w:hAnsi="宋体" w:eastAsia="宋体" w:cs="宋体"/>
          <w:color w:val="000000"/>
          <w:sz w:val="24"/>
          <w:szCs w:val="24"/>
        </w:rPr>
        <w:t>。包含的</w:t>
      </w:r>
      <w:r>
        <w:rPr>
          <w:rFonts w:hint="eastAsia" w:ascii="宋体" w:hAnsi="宋体" w:eastAsia="宋体" w:cs="宋体"/>
          <w:b/>
          <w:color w:val="000000"/>
          <w:sz w:val="24"/>
          <w:szCs w:val="24"/>
        </w:rPr>
        <w:t>文本文件、视频文件、动画文件、虚拟仿真文件等均采用无压缩原码视频（动画、仿真）文件交付，</w:t>
      </w:r>
      <w:r>
        <w:rPr>
          <w:rFonts w:hint="eastAsia" w:ascii="宋体" w:hAnsi="宋体" w:eastAsia="宋体" w:cs="宋体"/>
          <w:sz w:val="24"/>
          <w:szCs w:val="24"/>
        </w:rPr>
        <w:t>硬盘及光盘上</w:t>
      </w:r>
      <w:r>
        <w:rPr>
          <w:rFonts w:hint="eastAsia" w:ascii="宋体" w:hAnsi="宋体" w:eastAsia="宋体" w:cs="宋体"/>
          <w:color w:val="000000"/>
          <w:sz w:val="24"/>
          <w:szCs w:val="24"/>
        </w:rPr>
        <w:t>附资源库内容清单（标记资源类别、学校名称、课程名称、讲次及标题、主讲教师、时长等）；交付物为完整可直接投入运行的专业资源库。学校按照</w:t>
      </w:r>
      <w:r>
        <w:rPr>
          <w:rFonts w:hint="eastAsia" w:ascii="宋体" w:hAnsi="宋体" w:eastAsia="宋体" w:cs="宋体"/>
          <w:color w:val="000000"/>
          <w:sz w:val="24"/>
          <w:szCs w:val="24"/>
          <w:lang w:val="en-US" w:eastAsia="zh-CN"/>
        </w:rPr>
        <w:t>高等</w:t>
      </w:r>
      <w:r>
        <w:rPr>
          <w:rFonts w:hint="eastAsia" w:ascii="宋体" w:hAnsi="宋体" w:eastAsia="宋体" w:cs="宋体"/>
          <w:sz w:val="24"/>
          <w:szCs w:val="24"/>
        </w:rPr>
        <w:t>职业教育专业教学资源库</w:t>
      </w:r>
      <w:r>
        <w:rPr>
          <w:rFonts w:hint="eastAsia" w:ascii="宋体" w:hAnsi="宋体" w:eastAsia="宋体" w:cs="宋体"/>
          <w:sz w:val="24"/>
          <w:szCs w:val="24"/>
          <w:lang w:val="en-US" w:eastAsia="zh-CN"/>
        </w:rPr>
        <w:t>建设项目</w:t>
      </w:r>
      <w:r>
        <w:rPr>
          <w:rFonts w:hint="eastAsia" w:ascii="宋体" w:hAnsi="宋体" w:eastAsia="宋体" w:cs="宋体"/>
          <w:sz w:val="24"/>
          <w:szCs w:val="24"/>
        </w:rPr>
        <w:t>验收评议</w:t>
      </w:r>
      <w:r>
        <w:rPr>
          <w:rFonts w:hint="eastAsia" w:ascii="宋体" w:hAnsi="宋体" w:eastAsia="宋体" w:cs="宋体"/>
          <w:sz w:val="24"/>
          <w:szCs w:val="24"/>
          <w:lang w:val="en-US" w:eastAsia="zh-CN"/>
        </w:rPr>
        <w:t>指标</w:t>
      </w:r>
      <w:r>
        <w:rPr>
          <w:rFonts w:hint="eastAsia" w:ascii="宋体" w:hAnsi="宋体" w:eastAsia="宋体" w:cs="宋体"/>
          <w:sz w:val="24"/>
          <w:szCs w:val="24"/>
        </w:rPr>
        <w:t>。</w:t>
      </w:r>
    </w:p>
    <w:p w14:paraId="5B6E00D1">
      <w:pPr>
        <w:keepNext w:val="0"/>
        <w:keepLines w:val="0"/>
        <w:pageBreakBefore w:val="0"/>
        <w:widowControl w:val="0"/>
        <w:kinsoku/>
        <w:wordWrap/>
        <w:overflowPunct/>
        <w:topLinePunct w:val="0"/>
        <w:autoSpaceDE/>
        <w:autoSpaceDN/>
        <w:bidi w:val="0"/>
        <w:adjustRightInd w:val="0"/>
        <w:snapToGrid/>
        <w:spacing w:line="440" w:lineRule="exact"/>
        <w:ind w:right="-1"/>
        <w:jc w:val="left"/>
        <w:textAlignment w:val="baseline"/>
        <w:rPr>
          <w:rFonts w:hint="eastAsia" w:ascii="宋体" w:hAnsi="宋体" w:eastAsia="宋体" w:cs="宋体"/>
          <w:b/>
          <w:bCs/>
          <w:sz w:val="24"/>
          <w:szCs w:val="24"/>
        </w:rPr>
      </w:pPr>
      <w:r>
        <w:rPr>
          <w:rFonts w:hint="eastAsia" w:ascii="宋体" w:hAnsi="宋体" w:eastAsia="宋体" w:cs="宋体"/>
          <w:b/>
          <w:bCs/>
          <w:sz w:val="24"/>
          <w:szCs w:val="24"/>
        </w:rPr>
        <w:t>六、售后服务</w:t>
      </w:r>
    </w:p>
    <w:p w14:paraId="39F53B54">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售后服务提供不少于三年的免费服务，配合学院及时进行内容的修改；针对采购方提出的问</w:t>
      </w:r>
      <w:r>
        <w:rPr>
          <w:rFonts w:hint="eastAsia" w:ascii="宋体" w:hAnsi="宋体" w:eastAsia="宋体" w:cs="宋体"/>
          <w:color w:val="auto"/>
          <w:sz w:val="24"/>
          <w:szCs w:val="24"/>
        </w:rPr>
        <w:t>题</w:t>
      </w:r>
      <w:r>
        <w:rPr>
          <w:rFonts w:hint="eastAsia" w:ascii="宋体" w:hAnsi="宋体" w:eastAsia="宋体" w:cs="宋体"/>
          <w:color w:val="auto"/>
          <w:kern w:val="2"/>
          <w:sz w:val="24"/>
          <w:szCs w:val="24"/>
          <w:lang w:val="en-US" w:eastAsia="zh-CN" w:bidi="ar-SA"/>
        </w:rPr>
        <w:t>立即响应，8 小时内到场，24 小时解决问题</w:t>
      </w:r>
      <w:r>
        <w:rPr>
          <w:rFonts w:hint="eastAsia" w:ascii="宋体" w:hAnsi="宋体" w:eastAsia="宋体" w:cs="宋体"/>
          <w:color w:val="auto"/>
          <w:sz w:val="24"/>
          <w:szCs w:val="24"/>
        </w:rPr>
        <w:t>；服务团队规模及配置能保证课程制作的质量。</w:t>
      </w:r>
    </w:p>
    <w:p w14:paraId="45D2AE23">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中标人应再完成平台部署，并对采购人使用人员进行使用及日常维护等的培训。</w:t>
      </w:r>
    </w:p>
    <w:p w14:paraId="3413C796">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中标人提供3年免费服务期，服务期内平台免费升级。</w:t>
      </w:r>
    </w:p>
    <w:p w14:paraId="7A4176CF">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中标人指派专人负责与采购人联系售后服务事宜，通过QQ、微信或电话，提供7*24小时在线服务；学校提出问题</w:t>
      </w:r>
      <w:r>
        <w:rPr>
          <w:rFonts w:hint="eastAsia" w:ascii="宋体" w:hAnsi="宋体" w:eastAsia="宋体" w:cs="宋体"/>
          <w:color w:val="auto"/>
          <w:kern w:val="2"/>
          <w:sz w:val="24"/>
          <w:szCs w:val="24"/>
          <w:lang w:val="en-US" w:eastAsia="zh-CN" w:bidi="ar-SA"/>
        </w:rPr>
        <w:t>立即响应，8 小时内到场，24 小时解决问题</w:t>
      </w:r>
      <w:r>
        <w:rPr>
          <w:rFonts w:hint="eastAsia" w:ascii="宋体" w:hAnsi="宋体" w:eastAsia="宋体" w:cs="宋体"/>
          <w:color w:val="auto"/>
          <w:sz w:val="24"/>
          <w:szCs w:val="24"/>
        </w:rPr>
        <w:t>。</w:t>
      </w:r>
    </w:p>
    <w:p w14:paraId="0A90EB78">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w:t>
      </w:r>
      <w:r>
        <w:rPr>
          <w:rFonts w:hint="eastAsia" w:ascii="宋体" w:hAnsi="宋体" w:eastAsia="宋体" w:cs="宋体"/>
          <w:sz w:val="24"/>
          <w:szCs w:val="24"/>
        </w:rPr>
        <w:t>平台采用云计算架构，学校不需要准备本地存储设备；服务期内，由中标人承担云存储空间及带宽加速等云端软硬件环境租用费用（包括但不限于云服务器、带宽、CDN加速）。</w:t>
      </w:r>
    </w:p>
    <w:p w14:paraId="1DB9A914">
      <w:pPr>
        <w:pStyle w:val="12"/>
        <w:keepNext w:val="0"/>
        <w:keepLines w:val="0"/>
        <w:pageBreakBefore w:val="0"/>
        <w:widowControl w:val="0"/>
        <w:kinsoku/>
        <w:wordWrap/>
        <w:overflowPunct/>
        <w:topLinePunct w:val="0"/>
        <w:autoSpaceDE/>
        <w:autoSpaceDN/>
        <w:bidi w:val="0"/>
        <w:adjustRightInd/>
        <w:snapToGrid/>
        <w:spacing w:after="0" w:line="240" w:lineRule="exact"/>
        <w:ind w:left="0" w:leftChars="0" w:firstLine="0" w:firstLineChars="0"/>
        <w:textAlignment w:val="auto"/>
        <w:rPr>
          <w:rFonts w:hint="eastAsia" w:ascii="宋体" w:hAnsi="宋体"/>
          <w:b/>
          <w:bCs w:val="0"/>
          <w:color w:val="auto"/>
          <w:sz w:val="24"/>
          <w:szCs w:val="24"/>
          <w:highlight w:val="none"/>
          <w:lang w:eastAsia="zh-CN"/>
        </w:rPr>
      </w:pPr>
    </w:p>
    <w:p w14:paraId="10D64D56">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b/>
          <w:color w:val="auto"/>
          <w:sz w:val="24"/>
          <w:highlight w:val="none"/>
          <w:lang w:eastAsia="zh-CN"/>
        </w:rPr>
      </w:pPr>
      <w:r>
        <w:rPr>
          <w:rFonts w:hint="eastAsia" w:ascii="宋体" w:hAnsi="宋体"/>
          <w:b/>
          <w:bCs w:val="0"/>
          <w:color w:val="auto"/>
          <w:sz w:val="24"/>
          <w:szCs w:val="24"/>
          <w:highlight w:val="none"/>
          <w:lang w:eastAsia="zh-CN"/>
        </w:rPr>
        <w:t>注：以上拟签订合同主要条款仅供参考，</w:t>
      </w:r>
      <w:r>
        <w:rPr>
          <w:rFonts w:hint="eastAsia" w:ascii="宋体" w:hAnsi="宋体"/>
          <w:b/>
          <w:color w:val="auto"/>
          <w:sz w:val="24"/>
          <w:highlight w:val="none"/>
          <w:lang w:eastAsia="zh-CN"/>
        </w:rPr>
        <w:t>终以甲乙双方实际协商签定协议为准。</w:t>
      </w:r>
    </w:p>
    <w:p w14:paraId="517BA41B">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b/>
          <w:color w:val="auto"/>
          <w:sz w:val="24"/>
          <w:highlight w:val="none"/>
          <w:lang w:eastAsia="zh-CN"/>
        </w:rPr>
      </w:pPr>
    </w:p>
    <w:p w14:paraId="4D26C341">
      <w:pPr>
        <w:keepNext w:val="0"/>
        <w:keepLines w:val="0"/>
        <w:pageBreakBefore w:val="0"/>
        <w:widowControl w:val="0"/>
        <w:numPr>
          <w:ilvl w:val="0"/>
          <w:numId w:val="2"/>
        </w:numPr>
        <w:kinsoku/>
        <w:wordWrap/>
        <w:overflowPunct/>
        <w:topLinePunct w:val="0"/>
        <w:autoSpaceDE/>
        <w:autoSpaceDN/>
        <w:bidi w:val="0"/>
        <w:adjustRightInd/>
        <w:snapToGrid/>
        <w:spacing w:before="469" w:beforeLines="150" w:line="240" w:lineRule="auto"/>
        <w:jc w:val="center"/>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采购内容与</w:t>
      </w:r>
      <w:r>
        <w:rPr>
          <w:rFonts w:hint="eastAsia" w:hAnsi="宋体" w:cs="宋体"/>
          <w:b/>
          <w:color w:val="auto"/>
          <w:sz w:val="32"/>
          <w:szCs w:val="32"/>
          <w:lang w:eastAsia="zh-CN"/>
        </w:rPr>
        <w:t>服务要求</w:t>
      </w:r>
    </w:p>
    <w:p w14:paraId="2614C70A">
      <w:pPr>
        <w:keepNext w:val="0"/>
        <w:keepLines w:val="0"/>
        <w:pageBreakBefore w:val="0"/>
        <w:widowControl w:val="0"/>
        <w:kinsoku/>
        <w:wordWrap/>
        <w:overflowPunct/>
        <w:topLinePunct w:val="0"/>
        <w:autoSpaceDE/>
        <w:autoSpaceDN/>
        <w:bidi w:val="0"/>
        <w:snapToGrid/>
        <w:spacing w:line="440" w:lineRule="exact"/>
        <w:ind w:firstLine="480" w:firstLineChars="200"/>
        <w:outlineLvl w:val="0"/>
        <w:rPr>
          <w:rFonts w:hint="eastAsia" w:ascii="宋体" w:hAnsi="宋体" w:eastAsia="宋体" w:cs="宋体"/>
          <w:b/>
          <w:color w:val="auto"/>
          <w:sz w:val="24"/>
          <w:szCs w:val="24"/>
        </w:rPr>
      </w:pPr>
      <w:bookmarkStart w:id="155" w:name="_Toc237598150"/>
      <w:bookmarkStart w:id="156" w:name="_Toc245176660"/>
      <w:bookmarkStart w:id="157" w:name="_Toc245658529"/>
      <w:bookmarkStart w:id="158" w:name="_Toc245657548"/>
      <w:bookmarkStart w:id="159" w:name="_Toc244623586"/>
      <w:r>
        <w:rPr>
          <w:rFonts w:hint="eastAsia" w:ascii="宋体" w:hAnsi="宋体" w:eastAsia="宋体" w:cs="宋体"/>
          <w:b/>
          <w:color w:val="auto"/>
          <w:sz w:val="24"/>
          <w:szCs w:val="24"/>
        </w:rPr>
        <w:t>一、采购内容：</w:t>
      </w:r>
    </w:p>
    <w:p w14:paraId="181AA1DE">
      <w:pPr>
        <w:keepNext w:val="0"/>
        <w:keepLines w:val="0"/>
        <w:pageBreakBefore w:val="0"/>
        <w:widowControl w:val="0"/>
        <w:kinsoku/>
        <w:wordWrap/>
        <w:overflowPunct/>
        <w:topLinePunct w:val="0"/>
        <w:autoSpaceDE/>
        <w:autoSpaceDN/>
        <w:bidi w:val="0"/>
        <w:snapToGrid/>
        <w:spacing w:line="440" w:lineRule="exact"/>
        <w:ind w:right="-1"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1、</w:t>
      </w:r>
      <w:r>
        <w:rPr>
          <w:rFonts w:hint="eastAsia" w:hAnsi="宋体" w:cs="宋体"/>
          <w:bCs/>
          <w:color w:val="auto"/>
          <w:sz w:val="24"/>
          <w:szCs w:val="24"/>
          <w:lang w:val="en-US" w:eastAsia="zh-CN"/>
        </w:rPr>
        <w:t>项目概况</w:t>
      </w:r>
      <w:r>
        <w:rPr>
          <w:rFonts w:hint="eastAsia" w:ascii="宋体" w:hAnsi="宋体" w:eastAsia="宋体" w:cs="宋体"/>
          <w:bCs/>
          <w:color w:val="auto"/>
          <w:sz w:val="24"/>
          <w:szCs w:val="24"/>
        </w:rPr>
        <w:t>：依据学校高水平专业群的规划，持续构建和完善学前教育专业（群）教学资源库。此举遵循2023版《职业教育专业教学资源库建设指南》所倡导的“需求牵引、应用为王、服务至上”的核心原则，并依循“一体化设计、结构化课程、颗粒化资源、多场景应用”的建设理念。顺应“互联网+职业教育”的发展趋势，以线上教学和线上线下混合教学为主要教学模式，满足信息化教学的需求。紧跟托幼一体化的发展趋势，立足于学前教育高水平专业群，致力于服务学前教育、小学教育、婴幼儿托育服务与管理等专业，整合优质教育资源，构建一个开放、共享的教学资源平台，为相关专业的师生提供丰富且实用的教学资源。</w:t>
      </w:r>
    </w:p>
    <w:p w14:paraId="3C0854DE">
      <w:pPr>
        <w:keepNext w:val="0"/>
        <w:keepLines w:val="0"/>
        <w:pageBreakBefore w:val="0"/>
        <w:widowControl w:val="0"/>
        <w:kinsoku/>
        <w:wordWrap/>
        <w:overflowPunct/>
        <w:topLinePunct w:val="0"/>
        <w:autoSpaceDE/>
        <w:autoSpaceDN/>
        <w:bidi w:val="0"/>
        <w:snapToGrid/>
        <w:spacing w:line="440" w:lineRule="exact"/>
        <w:ind w:firstLine="480" w:firstLineChars="200"/>
        <w:outlineLvl w:val="0"/>
        <w:rPr>
          <w:rFonts w:hint="eastAsia" w:hAnsi="宋体" w:cs="宋体"/>
          <w:color w:val="auto"/>
          <w:sz w:val="24"/>
          <w:szCs w:val="24"/>
          <w:lang w:val="en-US" w:eastAsia="zh-CN"/>
        </w:rPr>
      </w:pPr>
      <w:r>
        <w:rPr>
          <w:rFonts w:hint="eastAsia" w:hAnsi="宋体" w:cs="宋体"/>
          <w:color w:val="auto"/>
          <w:sz w:val="24"/>
          <w:szCs w:val="24"/>
          <w:lang w:val="en-US" w:eastAsia="zh-CN"/>
        </w:rPr>
        <w:t>2、建设内容：本项目包含专业（群）教学资源库平台服务、国家或省级职业教育智慧教育平台对接服务、资源库运行平台门户建设以及涵盖文本、PPT演示文稿、图形图像、音频、动画、视频、微课、虚拟仿真等资源的开发服务。</w:t>
      </w:r>
    </w:p>
    <w:p w14:paraId="1E92DE34">
      <w:pPr>
        <w:pStyle w:val="93"/>
        <w:keepNext w:val="0"/>
        <w:keepLines w:val="0"/>
        <w:pageBreakBefore w:val="0"/>
        <w:widowControl/>
        <w:numPr>
          <w:ilvl w:val="0"/>
          <w:numId w:val="3"/>
        </w:numPr>
        <w:kinsoku/>
        <w:wordWrap/>
        <w:overflowPunct/>
        <w:topLinePunct w:val="0"/>
        <w:autoSpaceDE/>
        <w:autoSpaceDN/>
        <w:bidi w:val="0"/>
        <w:adjustRightInd/>
        <w:snapToGrid/>
        <w:spacing w:line="440" w:lineRule="exact"/>
        <w:ind w:left="0" w:leftChars="0" w:firstLine="420" w:firstLineChars="0"/>
        <w:textAlignment w:val="auto"/>
        <w:outlineLvl w:val="2"/>
        <w:rPr>
          <w:rFonts w:hint="eastAsia" w:ascii="宋体" w:hAnsi="宋体" w:eastAsia="宋体" w:cs="宋体"/>
          <w:b/>
          <w:bCs/>
          <w:kern w:val="0"/>
          <w:sz w:val="24"/>
          <w:szCs w:val="24"/>
          <w:lang w:bidi="ar-SA"/>
        </w:rPr>
      </w:pPr>
      <w:r>
        <w:rPr>
          <w:rFonts w:hint="eastAsia" w:ascii="宋体" w:hAnsi="宋体" w:eastAsia="宋体" w:cs="宋体"/>
          <w:b/>
          <w:bCs/>
          <w:kern w:val="0"/>
          <w:sz w:val="24"/>
          <w:szCs w:val="24"/>
          <w:lang w:bidi="ar-SA"/>
        </w:rPr>
        <w:t>专业（群）教学资源库平台服务</w:t>
      </w:r>
    </w:p>
    <w:p w14:paraId="48E385BE">
      <w:pPr>
        <w:pStyle w:val="93"/>
        <w:keepNext w:val="0"/>
        <w:keepLines w:val="0"/>
        <w:pageBreakBefore w:val="0"/>
        <w:widowControl/>
        <w:kinsoku/>
        <w:wordWrap/>
        <w:overflowPunct/>
        <w:topLinePunct w:val="0"/>
        <w:autoSpaceDE/>
        <w:autoSpaceDN/>
        <w:bidi w:val="0"/>
        <w:adjustRightInd/>
        <w:snapToGrid/>
        <w:spacing w:after="157" w:afterLines="50" w:line="440" w:lineRule="exact"/>
        <w:ind w:firstLine="482"/>
        <w:textAlignment w:val="auto"/>
        <w:rPr>
          <w:rFonts w:hint="eastAsia" w:ascii="宋体" w:hAnsi="宋体" w:eastAsia="宋体" w:cs="宋体"/>
          <w:sz w:val="24"/>
          <w:szCs w:val="24"/>
          <w:lang w:eastAsia="zh-CN"/>
        </w:rPr>
      </w:pPr>
      <w:r>
        <w:rPr>
          <w:rFonts w:hint="eastAsia" w:ascii="宋体" w:hAnsi="宋体" w:eastAsia="宋体" w:cs="宋体"/>
          <w:sz w:val="24"/>
          <w:szCs w:val="24"/>
        </w:rPr>
        <w:t>专业（群）教学资源库平台需作为“国家职业教育</w:t>
      </w:r>
      <w:r>
        <w:rPr>
          <w:rFonts w:hint="eastAsia" w:ascii="宋体" w:hAnsi="宋体" w:eastAsia="宋体" w:cs="宋体"/>
          <w:sz w:val="24"/>
          <w:szCs w:val="24"/>
          <w:lang w:eastAsia="zh-CN"/>
        </w:rPr>
        <w:t>专业教学资源库</w:t>
      </w:r>
      <w:r>
        <w:rPr>
          <w:rFonts w:hint="eastAsia" w:ascii="宋体" w:hAnsi="宋体" w:eastAsia="宋体" w:cs="宋体"/>
          <w:sz w:val="24"/>
          <w:szCs w:val="24"/>
        </w:rPr>
        <w:t>”</w:t>
      </w:r>
      <w:r>
        <w:rPr>
          <w:rFonts w:hint="eastAsia" w:ascii="宋体" w:hAnsi="宋体" w:eastAsia="宋体" w:cs="宋体"/>
          <w:sz w:val="24"/>
          <w:szCs w:val="24"/>
          <w:lang w:eastAsia="zh-CN"/>
        </w:rPr>
        <w:t>项目</w:t>
      </w:r>
      <w:r>
        <w:rPr>
          <w:rFonts w:hint="eastAsia" w:ascii="宋体" w:hAnsi="宋体" w:eastAsia="宋体" w:cs="宋体"/>
          <w:sz w:val="24"/>
          <w:szCs w:val="24"/>
        </w:rPr>
        <w:t>支持平台。具备资源库建设、管理、教学、学习、分析、教研等功能，能够接入“国家职业教育智慧教育平台”并纳入运行监测</w:t>
      </w:r>
      <w:r>
        <w:rPr>
          <w:rFonts w:hint="eastAsia" w:ascii="宋体" w:hAnsi="宋体" w:eastAsia="宋体" w:cs="宋体"/>
          <w:sz w:val="24"/>
          <w:szCs w:val="24"/>
          <w:lang w:eastAsia="zh-CN"/>
        </w:rPr>
        <w:t>，</w:t>
      </w:r>
      <w:r>
        <w:rPr>
          <w:rFonts w:hint="eastAsia" w:ascii="宋体" w:hAnsi="宋体" w:eastAsia="宋体" w:cs="宋体"/>
          <w:sz w:val="24"/>
          <w:szCs w:val="24"/>
        </w:rPr>
        <w:t>服务授权</w:t>
      </w:r>
      <w:r>
        <w:rPr>
          <w:rFonts w:hint="eastAsia" w:ascii="宋体" w:hAnsi="宋体" w:eastAsia="宋体" w:cs="宋体"/>
          <w:sz w:val="24"/>
          <w:szCs w:val="24"/>
          <w:lang w:val="en-US" w:eastAsia="zh-CN"/>
        </w:rPr>
        <w:t>不低于</w:t>
      </w:r>
      <w:r>
        <w:rPr>
          <w:rFonts w:hint="eastAsia" w:ascii="宋体" w:hAnsi="宋体" w:eastAsia="宋体" w:cs="宋体"/>
          <w:sz w:val="24"/>
          <w:szCs w:val="24"/>
        </w:rPr>
        <w:t>三年</w:t>
      </w:r>
      <w:r>
        <w:rPr>
          <w:rFonts w:hint="eastAsia" w:ascii="宋体" w:hAnsi="宋体" w:eastAsia="宋体" w:cs="宋体"/>
          <w:sz w:val="24"/>
          <w:szCs w:val="24"/>
          <w:lang w:eastAsia="zh-CN"/>
        </w:rPr>
        <w:t>。</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6"/>
        <w:gridCol w:w="4771"/>
      </w:tblGrid>
      <w:tr w14:paraId="6A03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431" w:type="pct"/>
            <w:noWrap w:val="0"/>
            <w:vAlign w:val="center"/>
          </w:tcPr>
          <w:p w14:paraId="344892B3">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CN" w:bidi="ar-SA"/>
              </w:rPr>
              <w:t>项目模块</w:t>
            </w:r>
            <w:r>
              <w:rPr>
                <w:rFonts w:hint="eastAsia" w:ascii="宋体" w:hAnsi="宋体" w:eastAsia="宋体" w:cs="宋体"/>
                <w:kern w:val="0"/>
                <w:sz w:val="24"/>
                <w:szCs w:val="24"/>
                <w:lang w:val="en-US" w:eastAsia="zh-Hans" w:bidi="ar-SA"/>
              </w:rPr>
              <w:t>名称</w:t>
            </w:r>
          </w:p>
        </w:tc>
        <w:tc>
          <w:tcPr>
            <w:tcW w:w="2568" w:type="pct"/>
            <w:noWrap w:val="0"/>
            <w:vAlign w:val="center"/>
          </w:tcPr>
          <w:p w14:paraId="74AF7D9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数量/单位</w:t>
            </w:r>
          </w:p>
        </w:tc>
      </w:tr>
      <w:tr w14:paraId="04EB8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70F8F23B">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资源库前台</w:t>
            </w:r>
          </w:p>
        </w:tc>
        <w:tc>
          <w:tcPr>
            <w:tcW w:w="2568" w:type="pct"/>
            <w:noWrap w:val="0"/>
            <w:vAlign w:val="center"/>
          </w:tcPr>
          <w:p w14:paraId="0CAC55D0">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2E83D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1E1F80A2">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资源库管理空间</w:t>
            </w:r>
          </w:p>
        </w:tc>
        <w:tc>
          <w:tcPr>
            <w:tcW w:w="2568" w:type="pct"/>
            <w:noWrap w:val="0"/>
            <w:vAlign w:val="center"/>
          </w:tcPr>
          <w:p w14:paraId="59B1C9D7">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2460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02240CDF">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课程建设系统</w:t>
            </w:r>
          </w:p>
        </w:tc>
        <w:tc>
          <w:tcPr>
            <w:tcW w:w="2568" w:type="pct"/>
            <w:noWrap w:val="0"/>
            <w:vAlign w:val="center"/>
          </w:tcPr>
          <w:p w14:paraId="1AF5A2F6">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0462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5972FEBE">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课程审核系统</w:t>
            </w:r>
          </w:p>
        </w:tc>
        <w:tc>
          <w:tcPr>
            <w:tcW w:w="2568" w:type="pct"/>
            <w:noWrap w:val="0"/>
            <w:vAlign w:val="center"/>
          </w:tcPr>
          <w:p w14:paraId="284BE5EE">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7DFD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3069631D">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资源建设系统</w:t>
            </w:r>
          </w:p>
        </w:tc>
        <w:tc>
          <w:tcPr>
            <w:tcW w:w="2568" w:type="pct"/>
            <w:noWrap w:val="0"/>
            <w:vAlign w:val="center"/>
          </w:tcPr>
          <w:p w14:paraId="742FD0A2">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0554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09330DE9">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知识技能图谱管理</w:t>
            </w:r>
          </w:p>
        </w:tc>
        <w:tc>
          <w:tcPr>
            <w:tcW w:w="2568" w:type="pct"/>
            <w:noWrap w:val="0"/>
            <w:vAlign w:val="center"/>
          </w:tcPr>
          <w:p w14:paraId="0FF86E00">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76544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408F1F49">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学习中心</w:t>
            </w:r>
          </w:p>
        </w:tc>
        <w:tc>
          <w:tcPr>
            <w:tcW w:w="2568" w:type="pct"/>
            <w:noWrap w:val="0"/>
            <w:vAlign w:val="center"/>
          </w:tcPr>
          <w:p w14:paraId="7233B48A">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04EF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511B118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数据分析中心</w:t>
            </w:r>
          </w:p>
        </w:tc>
        <w:tc>
          <w:tcPr>
            <w:tcW w:w="2568" w:type="pct"/>
            <w:noWrap w:val="0"/>
            <w:vAlign w:val="center"/>
          </w:tcPr>
          <w:p w14:paraId="1CA38E9C">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r w14:paraId="0718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pct"/>
            <w:noWrap w:val="0"/>
            <w:vAlign w:val="center"/>
          </w:tcPr>
          <w:p w14:paraId="7073921B">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center"/>
              <w:textAlignment w:val="baseline"/>
              <w:rPr>
                <w:rFonts w:hint="eastAsia" w:ascii="宋体" w:hAnsi="宋体" w:eastAsia="宋体" w:cs="宋体"/>
                <w:kern w:val="0"/>
                <w:sz w:val="24"/>
                <w:szCs w:val="24"/>
                <w:lang w:val="en-US" w:eastAsia="zh-Hans" w:bidi="ar-SA"/>
              </w:rPr>
            </w:pPr>
            <w:r>
              <w:rPr>
                <w:rFonts w:hint="eastAsia" w:ascii="宋体" w:hAnsi="宋体" w:eastAsia="宋体" w:cs="宋体"/>
                <w:kern w:val="0"/>
                <w:sz w:val="24"/>
                <w:szCs w:val="24"/>
                <w:lang w:val="en-US" w:eastAsia="zh-Hans" w:bidi="ar-SA"/>
              </w:rPr>
              <w:t>资源库容量</w:t>
            </w:r>
          </w:p>
        </w:tc>
        <w:tc>
          <w:tcPr>
            <w:tcW w:w="2568" w:type="pct"/>
            <w:noWrap w:val="0"/>
            <w:vAlign w:val="center"/>
          </w:tcPr>
          <w:p w14:paraId="7F596829">
            <w:pPr>
              <w:keepNext w:val="0"/>
              <w:keepLines w:val="0"/>
              <w:pageBreakBefore w:val="0"/>
              <w:widowControl w:val="0"/>
              <w:kinsoku/>
              <w:wordWrap/>
              <w:overflowPunct/>
              <w:topLinePunct w:val="0"/>
              <w:autoSpaceDE/>
              <w:autoSpaceDN/>
              <w:bidi w:val="0"/>
              <w:adjustRightInd w:val="0"/>
              <w:snapToGrid/>
              <w:spacing w:line="400" w:lineRule="exact"/>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1项</w:t>
            </w:r>
          </w:p>
        </w:tc>
      </w:tr>
    </w:tbl>
    <w:p w14:paraId="391444F9">
      <w:pPr>
        <w:pStyle w:val="93"/>
        <w:keepNext w:val="0"/>
        <w:keepLines w:val="0"/>
        <w:pageBreakBefore w:val="0"/>
        <w:widowControl/>
        <w:numPr>
          <w:ilvl w:val="0"/>
          <w:numId w:val="3"/>
        </w:numPr>
        <w:kinsoku/>
        <w:wordWrap/>
        <w:overflowPunct/>
        <w:topLinePunct w:val="0"/>
        <w:autoSpaceDE/>
        <w:autoSpaceDN/>
        <w:bidi w:val="0"/>
        <w:adjustRightInd/>
        <w:snapToGrid/>
        <w:spacing w:before="157" w:beforeLines="50" w:line="440" w:lineRule="exact"/>
        <w:ind w:left="0" w:leftChars="0" w:firstLine="420" w:firstLineChars="0"/>
        <w:textAlignment w:val="auto"/>
        <w:outlineLvl w:val="2"/>
        <w:rPr>
          <w:rFonts w:hint="eastAsia" w:ascii="宋体" w:hAnsi="宋体" w:eastAsia="宋体" w:cs="宋体"/>
          <w:b/>
          <w:bCs/>
          <w:kern w:val="0"/>
          <w:sz w:val="24"/>
          <w:szCs w:val="24"/>
          <w:lang w:bidi="ar-SA"/>
        </w:rPr>
      </w:pPr>
      <w:r>
        <w:rPr>
          <w:rFonts w:hint="eastAsia" w:ascii="宋体" w:hAnsi="宋体" w:eastAsia="宋体" w:cs="宋体"/>
          <w:b/>
          <w:bCs/>
          <w:sz w:val="24"/>
          <w:szCs w:val="24"/>
        </w:rPr>
        <w:t>国家职业教育智慧教育平台</w:t>
      </w:r>
      <w:r>
        <w:rPr>
          <w:rFonts w:hint="eastAsia" w:ascii="宋体" w:hAnsi="宋体" w:eastAsia="宋体" w:cs="宋体"/>
          <w:b/>
          <w:bCs/>
          <w:kern w:val="0"/>
          <w:sz w:val="24"/>
          <w:szCs w:val="24"/>
          <w:lang w:bidi="ar-SA"/>
        </w:rPr>
        <w:t>对接</w:t>
      </w:r>
      <w:r>
        <w:rPr>
          <w:rFonts w:hint="eastAsia" w:ascii="宋体" w:hAnsi="宋体" w:eastAsia="宋体" w:cs="宋体"/>
          <w:b/>
          <w:bCs/>
          <w:kern w:val="0"/>
          <w:sz w:val="24"/>
          <w:szCs w:val="24"/>
          <w:lang w:val="en-US" w:eastAsia="zh-CN" w:bidi="ar-SA"/>
        </w:rPr>
        <w:t>服务</w:t>
      </w:r>
    </w:p>
    <w:p w14:paraId="3A69D989">
      <w:pPr>
        <w:pStyle w:val="93"/>
        <w:keepNext w:val="0"/>
        <w:keepLines w:val="0"/>
        <w:pageBreakBefore w:val="0"/>
        <w:numPr>
          <w:ilvl w:val="0"/>
          <w:numId w:val="4"/>
        </w:numPr>
        <w:kinsoku/>
        <w:wordWrap/>
        <w:overflowPunct/>
        <w:topLinePunct w:val="0"/>
        <w:autoSpaceDE/>
        <w:autoSpaceDN/>
        <w:bidi w:val="0"/>
        <w:snapToGrid/>
        <w:spacing w:line="440" w:lineRule="exact"/>
        <w:ind w:firstLine="482"/>
        <w:rPr>
          <w:rFonts w:hint="eastAsia" w:ascii="宋体" w:hAnsi="宋体" w:eastAsia="宋体" w:cs="宋体"/>
          <w:sz w:val="24"/>
          <w:szCs w:val="24"/>
          <w:lang w:eastAsia="zh-CN"/>
        </w:rPr>
      </w:pPr>
      <w:r>
        <w:rPr>
          <w:rFonts w:hint="eastAsia" w:ascii="宋体" w:hAnsi="宋体" w:eastAsia="宋体" w:cs="宋体"/>
          <w:sz w:val="24"/>
          <w:szCs w:val="24"/>
        </w:rPr>
        <w:t>资源库运行平台建设水平必须符合</w:t>
      </w:r>
      <w:r>
        <w:rPr>
          <w:rFonts w:hint="eastAsia" w:ascii="宋体" w:hAnsi="宋体" w:eastAsia="宋体" w:cs="宋体"/>
          <w:sz w:val="24"/>
          <w:szCs w:val="24"/>
          <w:lang w:val="en-US" w:eastAsia="zh-CN"/>
        </w:rPr>
        <w:t>2023版《职业教育专业教学资源库建设指南》对接标准</w:t>
      </w:r>
      <w:r>
        <w:rPr>
          <w:rFonts w:hint="eastAsia" w:ascii="宋体" w:hAnsi="宋体" w:eastAsia="宋体" w:cs="宋体"/>
          <w:sz w:val="24"/>
          <w:szCs w:val="24"/>
        </w:rPr>
        <w:t>，并可以实现与国家</w:t>
      </w:r>
      <w:r>
        <w:rPr>
          <w:rFonts w:hint="eastAsia" w:ascii="宋体" w:hAnsi="宋体" w:eastAsia="宋体" w:cs="宋体"/>
          <w:sz w:val="24"/>
          <w:szCs w:val="24"/>
          <w:lang w:eastAsia="zh-CN"/>
        </w:rPr>
        <w:t>或省级</w:t>
      </w:r>
      <w:r>
        <w:rPr>
          <w:rFonts w:hint="eastAsia" w:ascii="宋体" w:hAnsi="宋体" w:eastAsia="宋体" w:cs="宋体"/>
          <w:sz w:val="24"/>
          <w:szCs w:val="24"/>
        </w:rPr>
        <w:t>职业教育智慧教育平台对接</w:t>
      </w:r>
      <w:r>
        <w:rPr>
          <w:rFonts w:hint="eastAsia" w:ascii="宋体" w:hAnsi="宋体" w:eastAsia="宋体" w:cs="宋体"/>
          <w:sz w:val="24"/>
          <w:szCs w:val="24"/>
          <w:lang w:eastAsia="zh-CN"/>
        </w:rPr>
        <w:t>。</w:t>
      </w:r>
    </w:p>
    <w:p w14:paraId="6D647BE3">
      <w:pPr>
        <w:pStyle w:val="93"/>
        <w:keepNext w:val="0"/>
        <w:keepLines w:val="0"/>
        <w:pageBreakBefore w:val="0"/>
        <w:numPr>
          <w:ilvl w:val="0"/>
          <w:numId w:val="3"/>
        </w:numPr>
        <w:kinsoku/>
        <w:wordWrap/>
        <w:overflowPunct/>
        <w:topLinePunct w:val="0"/>
        <w:autoSpaceDE/>
        <w:autoSpaceDN/>
        <w:bidi w:val="0"/>
        <w:snapToGrid/>
        <w:spacing w:line="440" w:lineRule="exact"/>
        <w:ind w:left="0" w:leftChars="0" w:firstLine="420" w:firstLineChars="0"/>
        <w:outlineLvl w:val="2"/>
        <w:rPr>
          <w:rFonts w:hint="eastAsia" w:ascii="宋体" w:hAnsi="宋体" w:eastAsia="宋体" w:cs="宋体"/>
          <w:b/>
          <w:bCs/>
          <w:sz w:val="24"/>
          <w:szCs w:val="24"/>
        </w:rPr>
      </w:pPr>
      <w:r>
        <w:rPr>
          <w:rFonts w:hint="eastAsia" w:ascii="宋体" w:hAnsi="宋体" w:eastAsia="宋体" w:cs="宋体"/>
          <w:b/>
          <w:bCs/>
          <w:sz w:val="24"/>
          <w:szCs w:val="24"/>
        </w:rPr>
        <w:t>资源库运行平台门户建设</w:t>
      </w:r>
    </w:p>
    <w:tbl>
      <w:tblPr>
        <w:tblStyle w:val="26"/>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88"/>
        <w:gridCol w:w="1996"/>
        <w:gridCol w:w="6293"/>
      </w:tblGrid>
      <w:tr w14:paraId="34894E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434"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8760D37">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序号</w:t>
            </w:r>
          </w:p>
        </w:tc>
        <w:tc>
          <w:tcPr>
            <w:tcW w:w="1099"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5E753F9">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名称</w:t>
            </w:r>
          </w:p>
        </w:tc>
        <w:tc>
          <w:tcPr>
            <w:tcW w:w="3465"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tcPr>
          <w:p w14:paraId="2D8CA9AE">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具体要求</w:t>
            </w:r>
          </w:p>
        </w:tc>
      </w:tr>
      <w:tr w14:paraId="37D61D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D8CB87F">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1</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B084404">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整体风格设计</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0AB177F2">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总体要求：子站整体风格设计，符合</w:t>
            </w:r>
            <w:r>
              <w:rPr>
                <w:rFonts w:hint="eastAsia" w:ascii="宋体" w:hAnsi="宋体" w:eastAsia="宋体" w:cs="宋体"/>
                <w:color w:val="000000"/>
                <w:sz w:val="24"/>
                <w:szCs w:val="24"/>
                <w:lang w:val="en-US" w:eastAsia="zh-CN"/>
              </w:rPr>
              <w:t>学前教育</w:t>
            </w:r>
            <w:r>
              <w:rPr>
                <w:rFonts w:hint="eastAsia" w:ascii="宋体" w:hAnsi="宋体" w:eastAsia="宋体" w:cs="宋体"/>
                <w:color w:val="000000"/>
                <w:sz w:val="24"/>
                <w:szCs w:val="24"/>
              </w:rPr>
              <w:t>专业教学资源库特点</w:t>
            </w:r>
            <w:r>
              <w:rPr>
                <w:rFonts w:hint="eastAsia" w:ascii="宋体" w:hAnsi="宋体" w:eastAsia="宋体" w:cs="宋体"/>
                <w:color w:val="000000"/>
                <w:sz w:val="24"/>
                <w:szCs w:val="24"/>
                <w:lang w:eastAsia="zh-CN"/>
              </w:rPr>
              <w:t>。</w:t>
            </w:r>
          </w:p>
        </w:tc>
      </w:tr>
      <w:tr w14:paraId="0E6B62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7C2EF95">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2</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2E0EFBD9">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首页模块</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58C775AF">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符合</w:t>
            </w:r>
            <w:r>
              <w:rPr>
                <w:rFonts w:hint="eastAsia" w:ascii="宋体" w:hAnsi="宋体" w:eastAsia="宋体" w:cs="宋体"/>
                <w:color w:val="000000"/>
                <w:sz w:val="24"/>
                <w:szCs w:val="24"/>
                <w:lang w:val="en-US" w:eastAsia="zh-CN"/>
              </w:rPr>
              <w:t>学前教育</w:t>
            </w:r>
            <w:r>
              <w:rPr>
                <w:rFonts w:hint="eastAsia" w:ascii="宋体" w:hAnsi="宋体" w:eastAsia="宋体" w:cs="宋体"/>
                <w:color w:val="000000"/>
                <w:sz w:val="24"/>
                <w:szCs w:val="24"/>
                <w:lang w:eastAsia="zh-CN"/>
              </w:rPr>
              <w:t>技术</w:t>
            </w:r>
            <w:r>
              <w:rPr>
                <w:rFonts w:hint="eastAsia" w:ascii="宋体" w:hAnsi="宋体" w:eastAsia="宋体" w:cs="宋体"/>
                <w:color w:val="000000"/>
                <w:sz w:val="24"/>
                <w:szCs w:val="24"/>
              </w:rPr>
              <w:t>专业资源库门户首页包含：资源库</w:t>
            </w:r>
            <w:r>
              <w:rPr>
                <w:rFonts w:hint="eastAsia" w:ascii="宋体" w:hAnsi="宋体" w:eastAsia="宋体" w:cs="宋体"/>
                <w:color w:val="000000"/>
                <w:sz w:val="24"/>
                <w:szCs w:val="24"/>
                <w:lang w:val="en-US" w:eastAsia="zh-CN"/>
              </w:rPr>
              <w:t>简介及介绍视频</w:t>
            </w:r>
            <w:r>
              <w:rPr>
                <w:rFonts w:hint="eastAsia" w:ascii="宋体" w:hAnsi="宋体" w:eastAsia="宋体" w:cs="宋体"/>
                <w:color w:val="000000"/>
                <w:sz w:val="24"/>
                <w:szCs w:val="24"/>
              </w:rPr>
              <w:t>、用户登录（教师用户、学生用户、社会用户、企业用户）、课程中心、微课中心、素材中心、知识图谱、数据统计（包括用户数、课程数、</w:t>
            </w:r>
            <w:r>
              <w:rPr>
                <w:rFonts w:hint="eastAsia" w:ascii="宋体" w:hAnsi="宋体" w:eastAsia="宋体" w:cs="宋体"/>
                <w:color w:val="000000"/>
                <w:sz w:val="24"/>
                <w:szCs w:val="24"/>
                <w:lang w:val="en-US" w:eastAsia="zh-CN"/>
              </w:rPr>
              <w:t>微课数</w:t>
            </w:r>
            <w:r>
              <w:rPr>
                <w:rFonts w:hint="eastAsia" w:ascii="宋体" w:hAnsi="宋体" w:eastAsia="宋体" w:cs="宋体"/>
                <w:color w:val="000000"/>
                <w:sz w:val="24"/>
                <w:szCs w:val="24"/>
              </w:rPr>
              <w:t>、素材数等）、</w:t>
            </w:r>
            <w:r>
              <w:rPr>
                <w:rFonts w:hint="eastAsia" w:ascii="宋体" w:hAnsi="宋体" w:eastAsia="宋体" w:cs="宋体"/>
                <w:color w:val="000000"/>
                <w:sz w:val="24"/>
                <w:szCs w:val="24"/>
                <w:lang w:val="en-US" w:eastAsia="zh-CN"/>
              </w:rPr>
              <w:t>建设团队</w:t>
            </w:r>
            <w:r>
              <w:rPr>
                <w:rFonts w:hint="eastAsia" w:ascii="宋体" w:hAnsi="宋体" w:eastAsia="宋体" w:cs="宋体"/>
                <w:color w:val="000000"/>
                <w:sz w:val="24"/>
                <w:szCs w:val="24"/>
              </w:rPr>
              <w:t>等。</w:t>
            </w:r>
          </w:p>
        </w:tc>
      </w:tr>
      <w:tr w14:paraId="2108BB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020892C">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3</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C9CFF21">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专</w:t>
            </w:r>
            <w:r>
              <w:rPr>
                <w:rFonts w:hint="eastAsia" w:ascii="宋体" w:hAnsi="宋体" w:eastAsia="宋体" w:cs="宋体"/>
                <w:color w:val="000000"/>
                <w:sz w:val="24"/>
                <w:szCs w:val="24"/>
              </w:rPr>
              <w:t>业园</w:t>
            </w:r>
            <w:r>
              <w:rPr>
                <w:rFonts w:hint="eastAsia" w:ascii="宋体" w:hAnsi="宋体" w:eastAsia="宋体" w:cs="宋体"/>
                <w:color w:val="000000"/>
                <w:sz w:val="24"/>
                <w:szCs w:val="24"/>
                <w:lang w:val="en-US" w:eastAsia="zh-CN"/>
              </w:rPr>
              <w:t>地</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117AD8FB">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展示</w:t>
            </w:r>
            <w:r>
              <w:rPr>
                <w:rFonts w:hint="eastAsia" w:ascii="宋体" w:hAnsi="宋体" w:eastAsia="宋体" w:cs="宋体"/>
                <w:color w:val="000000"/>
                <w:sz w:val="24"/>
                <w:szCs w:val="24"/>
                <w:lang w:val="en-US" w:eastAsia="zh-CN"/>
              </w:rPr>
              <w:t>专业标准 专业调研 行业标准 行业信息 技能竞赛 职业认证 名师名家 专业资料</w:t>
            </w:r>
            <w:r>
              <w:rPr>
                <w:rFonts w:hint="eastAsia" w:ascii="宋体" w:hAnsi="宋体" w:eastAsia="宋体" w:cs="宋体"/>
                <w:color w:val="000000"/>
                <w:sz w:val="24"/>
                <w:szCs w:val="24"/>
              </w:rPr>
              <w:t>。</w:t>
            </w:r>
          </w:p>
        </w:tc>
      </w:tr>
      <w:tr w14:paraId="118ACB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0FD0F4A">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D4F9AB9">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知识图谱</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1A302AD6">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展示本项目专业图谱。</w:t>
            </w:r>
          </w:p>
        </w:tc>
      </w:tr>
      <w:tr w14:paraId="3CC7D0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8A08F76">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6E9BD2BA">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虚拟教研室</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53DF5A16">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rPr>
            </w:pPr>
            <w:r>
              <w:rPr>
                <w:rFonts w:hint="eastAsia" w:ascii="宋体" w:hAnsi="宋体" w:eastAsia="宋体" w:cs="宋体"/>
                <w:color w:val="000000"/>
                <w:sz w:val="24"/>
                <w:szCs w:val="24"/>
                <w:lang w:val="en-US" w:eastAsia="zh-CN"/>
              </w:rPr>
              <w:t>搭建教师交流平台，组织开展教学研讨、教学设计、教学改革等活动，提升教师教学能力和专业素养，提高人才培养质量。</w:t>
            </w:r>
          </w:p>
        </w:tc>
      </w:tr>
      <w:tr w14:paraId="46D47E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E7C1A3B">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A1884C4">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课程中心</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2AD314F4">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展示专业</w:t>
            </w:r>
            <w:r>
              <w:rPr>
                <w:rFonts w:hint="eastAsia" w:ascii="宋体" w:hAnsi="宋体" w:eastAsia="宋体" w:cs="宋体"/>
                <w:color w:val="000000"/>
                <w:sz w:val="24"/>
                <w:szCs w:val="24"/>
                <w:lang w:val="en-US" w:eastAsia="zh-CN"/>
              </w:rPr>
              <w:t>核心</w:t>
            </w:r>
            <w:r>
              <w:rPr>
                <w:rFonts w:hint="eastAsia" w:ascii="宋体" w:hAnsi="宋体" w:eastAsia="宋体" w:cs="宋体"/>
                <w:color w:val="000000"/>
                <w:sz w:val="24"/>
                <w:szCs w:val="24"/>
              </w:rPr>
              <w:t>课程、</w:t>
            </w:r>
            <w:r>
              <w:rPr>
                <w:rFonts w:hint="eastAsia" w:ascii="宋体" w:hAnsi="宋体" w:eastAsia="宋体" w:cs="宋体"/>
                <w:color w:val="000000"/>
                <w:sz w:val="24"/>
                <w:szCs w:val="24"/>
                <w:lang w:val="en-US" w:eastAsia="zh-CN"/>
              </w:rPr>
              <w:t>专业基础</w:t>
            </w:r>
            <w:r>
              <w:rPr>
                <w:rFonts w:hint="eastAsia" w:ascii="宋体" w:hAnsi="宋体" w:eastAsia="宋体" w:cs="宋体"/>
                <w:color w:val="000000"/>
                <w:sz w:val="24"/>
                <w:szCs w:val="24"/>
              </w:rPr>
              <w:t>课程、</w:t>
            </w:r>
            <w:r>
              <w:rPr>
                <w:rFonts w:hint="eastAsia" w:ascii="宋体" w:hAnsi="宋体" w:eastAsia="宋体" w:cs="宋体"/>
                <w:color w:val="000000"/>
                <w:sz w:val="24"/>
                <w:szCs w:val="24"/>
                <w:lang w:val="en-US" w:eastAsia="zh-CN"/>
              </w:rPr>
              <w:t>专业拓展</w:t>
            </w:r>
            <w:r>
              <w:rPr>
                <w:rFonts w:hint="eastAsia" w:ascii="宋体" w:hAnsi="宋体" w:eastAsia="宋体" w:cs="宋体"/>
                <w:color w:val="000000"/>
                <w:sz w:val="24"/>
                <w:szCs w:val="24"/>
              </w:rPr>
              <w:t>课程等。</w:t>
            </w:r>
          </w:p>
        </w:tc>
      </w:tr>
      <w:tr w14:paraId="21A2B3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2C5D294">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00F38B4">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素材中心</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466F8458">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展示</w:t>
            </w:r>
            <w:r>
              <w:rPr>
                <w:rFonts w:hint="eastAsia" w:ascii="宋体" w:hAnsi="宋体" w:eastAsia="宋体" w:cs="宋体"/>
                <w:color w:val="000000"/>
                <w:sz w:val="24"/>
                <w:szCs w:val="24"/>
                <w:lang w:val="en-US" w:eastAsia="zh-CN"/>
              </w:rPr>
              <w:t>所有类型知识</w:t>
            </w:r>
            <w:r>
              <w:rPr>
                <w:rFonts w:hint="eastAsia" w:ascii="宋体" w:hAnsi="宋体" w:eastAsia="宋体" w:cs="宋体"/>
                <w:color w:val="000000"/>
                <w:sz w:val="24"/>
                <w:szCs w:val="24"/>
              </w:rPr>
              <w:t>素材。</w:t>
            </w:r>
          </w:p>
        </w:tc>
      </w:tr>
      <w:tr w14:paraId="482036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7589145F">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38DAEB2C">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培训中心</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53A1FD1B">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展示职业技能培训、1+X</w:t>
            </w:r>
            <w:r>
              <w:rPr>
                <w:rFonts w:hint="eastAsia" w:ascii="宋体" w:hAnsi="宋体" w:eastAsia="宋体" w:cs="宋体"/>
                <w:color w:val="000000"/>
                <w:sz w:val="24"/>
                <w:szCs w:val="24"/>
                <w:lang w:val="en-US" w:eastAsia="zh-CN"/>
              </w:rPr>
              <w:t>技能认证</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教师能力大赛</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行业大赛</w:t>
            </w:r>
            <w:r>
              <w:rPr>
                <w:rFonts w:hint="eastAsia" w:ascii="宋体" w:hAnsi="宋体" w:eastAsia="宋体" w:cs="宋体"/>
                <w:color w:val="000000"/>
                <w:sz w:val="24"/>
                <w:szCs w:val="24"/>
              </w:rPr>
              <w:t>等。</w:t>
            </w:r>
          </w:p>
        </w:tc>
      </w:tr>
      <w:tr w14:paraId="0D60AE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037DA44">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40BA1DB">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color w:val="000000"/>
                <w:sz w:val="24"/>
                <w:szCs w:val="24"/>
              </w:rPr>
              <w:t>虚拟仿真中心</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7D27BF8E">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rPr>
            </w:pPr>
            <w:r>
              <w:rPr>
                <w:rFonts w:hint="eastAsia" w:ascii="宋体" w:hAnsi="宋体" w:eastAsia="宋体" w:cs="宋体"/>
                <w:color w:val="000000"/>
                <w:sz w:val="24"/>
                <w:szCs w:val="24"/>
              </w:rPr>
              <w:t>展示虚拟仿真</w:t>
            </w:r>
            <w:r>
              <w:rPr>
                <w:rFonts w:hint="eastAsia" w:ascii="宋体" w:hAnsi="宋体" w:eastAsia="宋体" w:cs="宋体"/>
                <w:color w:val="000000"/>
                <w:sz w:val="24"/>
                <w:szCs w:val="24"/>
                <w:lang w:val="en-US" w:eastAsia="zh-CN"/>
              </w:rPr>
              <w:t>资源</w:t>
            </w:r>
            <w:r>
              <w:rPr>
                <w:rFonts w:hint="eastAsia" w:ascii="宋体" w:hAnsi="宋体" w:eastAsia="宋体" w:cs="宋体"/>
                <w:color w:val="000000"/>
                <w:sz w:val="24"/>
                <w:szCs w:val="24"/>
              </w:rPr>
              <w:t>内容。</w:t>
            </w:r>
          </w:p>
        </w:tc>
      </w:tr>
      <w:tr w14:paraId="1BE0ED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B87701D">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0</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5ED3AA44">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数字化教材中心</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2EF9F953">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rPr>
              <w:t>展示数字化教材资源</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电子教材等</w:t>
            </w:r>
          </w:p>
        </w:tc>
      </w:tr>
      <w:tr w14:paraId="4BAD60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34"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13A95981">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1</w:t>
            </w:r>
          </w:p>
        </w:tc>
        <w:tc>
          <w:tcPr>
            <w:tcW w:w="1099"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center"/>
          </w:tcPr>
          <w:p w14:paraId="491ABD29">
            <w:pPr>
              <w:pStyle w:val="93"/>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课程思政</w:t>
            </w:r>
          </w:p>
        </w:tc>
        <w:tc>
          <w:tcPr>
            <w:tcW w:w="3465" w:type="pct"/>
            <w:tcBorders>
              <w:top w:val="nil"/>
              <w:left w:val="single" w:color="000000" w:sz="4" w:space="0"/>
              <w:bottom w:val="single" w:color="000000" w:sz="4" w:space="0"/>
              <w:right w:val="single" w:color="000000" w:sz="4" w:space="0"/>
            </w:tcBorders>
            <w:tcMar>
              <w:top w:w="0" w:type="dxa"/>
              <w:left w:w="0" w:type="dxa"/>
              <w:bottom w:w="0" w:type="dxa"/>
              <w:right w:w="0" w:type="dxa"/>
            </w:tcMar>
          </w:tcPr>
          <w:p w14:paraId="1F152281">
            <w:pPr>
              <w:pStyle w:val="93"/>
              <w:keepNext w:val="0"/>
              <w:keepLines w:val="0"/>
              <w:pageBreakBefore w:val="0"/>
              <w:widowControl/>
              <w:kinsoku/>
              <w:wordWrap/>
              <w:overflowPunct/>
              <w:topLinePunct w:val="0"/>
              <w:autoSpaceDE/>
              <w:autoSpaceDN/>
              <w:bidi w:val="0"/>
              <w:adjustRightInd/>
              <w:snapToGrid/>
              <w:spacing w:line="400" w:lineRule="exact"/>
              <w:ind w:left="57" w:right="57"/>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展示思政案例、思政素材等</w:t>
            </w:r>
          </w:p>
        </w:tc>
      </w:tr>
    </w:tbl>
    <w:p w14:paraId="3D5192B9">
      <w:pPr>
        <w:pStyle w:val="93"/>
        <w:keepNext w:val="0"/>
        <w:keepLines w:val="0"/>
        <w:pageBreakBefore w:val="0"/>
        <w:numPr>
          <w:ilvl w:val="0"/>
          <w:numId w:val="3"/>
        </w:numPr>
        <w:kinsoku/>
        <w:wordWrap/>
        <w:overflowPunct/>
        <w:topLinePunct w:val="0"/>
        <w:autoSpaceDE/>
        <w:autoSpaceDN/>
        <w:bidi w:val="0"/>
        <w:snapToGrid/>
        <w:spacing w:line="440" w:lineRule="exact"/>
        <w:ind w:left="0" w:leftChars="0" w:firstLine="420" w:firstLineChars="0"/>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课程资源开发服务</w:t>
      </w:r>
    </w:p>
    <w:tbl>
      <w:tblPr>
        <w:tblStyle w:val="26"/>
        <w:tblW w:w="4877" w:type="pct"/>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8"/>
        <w:gridCol w:w="3046"/>
        <w:gridCol w:w="2238"/>
        <w:gridCol w:w="2767"/>
      </w:tblGrid>
      <w:tr w14:paraId="7541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25" w:hRule="atLeast"/>
        </w:trPr>
        <w:tc>
          <w:tcPr>
            <w:tcW w:w="556" w:type="pct"/>
            <w:tcBorders>
              <w:tl2br w:val="nil"/>
              <w:tr2bl w:val="nil"/>
            </w:tcBorders>
            <w:shd w:val="clear" w:color="auto" w:fill="auto"/>
            <w:noWrap/>
            <w:vAlign w:val="center"/>
          </w:tcPr>
          <w:p w14:paraId="6872B793">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序号</w:t>
            </w:r>
          </w:p>
        </w:tc>
        <w:tc>
          <w:tcPr>
            <w:tcW w:w="1681" w:type="pct"/>
            <w:tcBorders>
              <w:tl2br w:val="nil"/>
              <w:tr2bl w:val="nil"/>
            </w:tcBorders>
            <w:shd w:val="clear" w:color="auto" w:fill="auto"/>
            <w:noWrap/>
            <w:vAlign w:val="center"/>
          </w:tcPr>
          <w:p w14:paraId="17F49703">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建设内容</w:t>
            </w:r>
          </w:p>
        </w:tc>
        <w:tc>
          <w:tcPr>
            <w:tcW w:w="1235" w:type="pct"/>
            <w:tcBorders>
              <w:tl2br w:val="nil"/>
              <w:tr2bl w:val="nil"/>
            </w:tcBorders>
            <w:shd w:val="clear" w:color="auto" w:fill="auto"/>
            <w:noWrap/>
            <w:vAlign w:val="center"/>
          </w:tcPr>
          <w:p w14:paraId="21862C2B">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单位</w:t>
            </w:r>
          </w:p>
        </w:tc>
        <w:tc>
          <w:tcPr>
            <w:tcW w:w="1527" w:type="pct"/>
            <w:tcBorders>
              <w:tl2br w:val="nil"/>
              <w:tr2bl w:val="nil"/>
            </w:tcBorders>
            <w:shd w:val="clear" w:color="auto" w:fill="auto"/>
            <w:noWrap/>
            <w:vAlign w:val="center"/>
          </w:tcPr>
          <w:p w14:paraId="28FFAB15">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数量</w:t>
            </w:r>
          </w:p>
        </w:tc>
      </w:tr>
      <w:tr w14:paraId="32DF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56" w:type="pct"/>
            <w:tcBorders>
              <w:tl2br w:val="nil"/>
              <w:tr2bl w:val="nil"/>
            </w:tcBorders>
            <w:shd w:val="clear" w:color="auto" w:fill="auto"/>
            <w:vAlign w:val="center"/>
          </w:tcPr>
          <w:p w14:paraId="7F39B520">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1681" w:type="pct"/>
            <w:tcBorders>
              <w:tl2br w:val="nil"/>
              <w:tr2bl w:val="nil"/>
            </w:tcBorders>
            <w:shd w:val="clear" w:color="auto" w:fill="auto"/>
            <w:vAlign w:val="center"/>
          </w:tcPr>
          <w:p w14:paraId="7DDBEC9F">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文本类资源</w:t>
            </w:r>
          </w:p>
        </w:tc>
        <w:tc>
          <w:tcPr>
            <w:tcW w:w="1235" w:type="pct"/>
            <w:tcBorders>
              <w:tl2br w:val="nil"/>
              <w:tr2bl w:val="nil"/>
            </w:tcBorders>
            <w:shd w:val="clear" w:color="auto" w:fill="auto"/>
            <w:vAlign w:val="center"/>
          </w:tcPr>
          <w:p w14:paraId="7E02614B">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0C813041">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77</w:t>
            </w:r>
          </w:p>
        </w:tc>
      </w:tr>
      <w:tr w14:paraId="41872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56" w:type="pct"/>
            <w:tcBorders>
              <w:tl2br w:val="nil"/>
              <w:tr2bl w:val="nil"/>
            </w:tcBorders>
            <w:shd w:val="clear" w:color="auto" w:fill="auto"/>
            <w:vAlign w:val="center"/>
          </w:tcPr>
          <w:p w14:paraId="3B330E76">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1681" w:type="pct"/>
            <w:tcBorders>
              <w:tl2br w:val="nil"/>
              <w:tr2bl w:val="nil"/>
            </w:tcBorders>
            <w:shd w:val="clear" w:color="auto" w:fill="auto"/>
            <w:vAlign w:val="center"/>
          </w:tcPr>
          <w:p w14:paraId="5B8EF15B">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文稿类资源</w:t>
            </w:r>
          </w:p>
        </w:tc>
        <w:tc>
          <w:tcPr>
            <w:tcW w:w="1235" w:type="pct"/>
            <w:tcBorders>
              <w:tl2br w:val="nil"/>
              <w:tr2bl w:val="nil"/>
            </w:tcBorders>
            <w:shd w:val="clear" w:color="auto" w:fill="auto"/>
            <w:vAlign w:val="center"/>
          </w:tcPr>
          <w:p w14:paraId="180AE179">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66C5134D">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240</w:t>
            </w:r>
          </w:p>
        </w:tc>
      </w:tr>
      <w:tr w14:paraId="1A75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556" w:type="pct"/>
            <w:tcBorders>
              <w:tl2br w:val="nil"/>
              <w:tr2bl w:val="nil"/>
            </w:tcBorders>
            <w:shd w:val="clear" w:color="auto" w:fill="auto"/>
            <w:vAlign w:val="center"/>
          </w:tcPr>
          <w:p w14:paraId="645B49CE">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1681" w:type="pct"/>
            <w:tcBorders>
              <w:tl2br w:val="nil"/>
              <w:tr2bl w:val="nil"/>
            </w:tcBorders>
            <w:shd w:val="clear" w:color="auto" w:fill="auto"/>
            <w:vAlign w:val="center"/>
          </w:tcPr>
          <w:p w14:paraId="5A143E70">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图形图像</w:t>
            </w:r>
          </w:p>
        </w:tc>
        <w:tc>
          <w:tcPr>
            <w:tcW w:w="1235" w:type="pct"/>
            <w:tcBorders>
              <w:tl2br w:val="nil"/>
              <w:tr2bl w:val="nil"/>
            </w:tcBorders>
            <w:shd w:val="clear" w:color="auto" w:fill="auto"/>
            <w:vAlign w:val="center"/>
          </w:tcPr>
          <w:p w14:paraId="3D63E869">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0FA414FB">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120</w:t>
            </w:r>
          </w:p>
        </w:tc>
      </w:tr>
      <w:tr w14:paraId="2A773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2" w:hRule="atLeast"/>
        </w:trPr>
        <w:tc>
          <w:tcPr>
            <w:tcW w:w="556" w:type="pct"/>
            <w:tcBorders>
              <w:tl2br w:val="nil"/>
              <w:tr2bl w:val="nil"/>
            </w:tcBorders>
            <w:shd w:val="clear" w:color="auto" w:fill="auto"/>
            <w:vAlign w:val="center"/>
          </w:tcPr>
          <w:p w14:paraId="16DE25D7">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681" w:type="pct"/>
            <w:tcBorders>
              <w:tl2br w:val="nil"/>
              <w:tr2bl w:val="nil"/>
            </w:tcBorders>
            <w:shd w:val="clear" w:color="auto" w:fill="auto"/>
            <w:vAlign w:val="center"/>
          </w:tcPr>
          <w:p w14:paraId="5B2A3354">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音频类资源</w:t>
            </w:r>
          </w:p>
        </w:tc>
        <w:tc>
          <w:tcPr>
            <w:tcW w:w="1235" w:type="pct"/>
            <w:tcBorders>
              <w:tl2br w:val="nil"/>
              <w:tr2bl w:val="nil"/>
            </w:tcBorders>
            <w:shd w:val="clear" w:color="auto" w:fill="auto"/>
            <w:vAlign w:val="center"/>
          </w:tcPr>
          <w:p w14:paraId="10A2BB5E">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2A1CB999">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96</w:t>
            </w:r>
          </w:p>
        </w:tc>
      </w:tr>
      <w:tr w14:paraId="42C3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556" w:type="pct"/>
            <w:tcBorders>
              <w:tl2br w:val="nil"/>
              <w:tr2bl w:val="nil"/>
            </w:tcBorders>
            <w:shd w:val="clear" w:color="auto" w:fill="auto"/>
            <w:vAlign w:val="center"/>
          </w:tcPr>
          <w:p w14:paraId="74FDC539">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681" w:type="pct"/>
            <w:tcBorders>
              <w:tl2br w:val="nil"/>
              <w:tr2bl w:val="nil"/>
            </w:tcBorders>
            <w:shd w:val="clear" w:color="auto" w:fill="auto"/>
            <w:vAlign w:val="center"/>
          </w:tcPr>
          <w:p w14:paraId="76DF4B29">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动画</w:t>
            </w:r>
          </w:p>
        </w:tc>
        <w:tc>
          <w:tcPr>
            <w:tcW w:w="1235" w:type="pct"/>
            <w:tcBorders>
              <w:tl2br w:val="nil"/>
              <w:tr2bl w:val="nil"/>
            </w:tcBorders>
            <w:shd w:val="clear" w:color="auto" w:fill="auto"/>
            <w:vAlign w:val="center"/>
          </w:tcPr>
          <w:p w14:paraId="7C3686F9">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5C1BDCC5">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202</w:t>
            </w:r>
          </w:p>
        </w:tc>
      </w:tr>
      <w:tr w14:paraId="05D41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556" w:type="pct"/>
            <w:tcBorders>
              <w:tl2br w:val="nil"/>
              <w:tr2bl w:val="nil"/>
            </w:tcBorders>
            <w:shd w:val="clear" w:color="auto" w:fill="auto"/>
            <w:vAlign w:val="center"/>
          </w:tcPr>
          <w:p w14:paraId="252291C7">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681" w:type="pct"/>
            <w:tcBorders>
              <w:tl2br w:val="nil"/>
              <w:tr2bl w:val="nil"/>
            </w:tcBorders>
            <w:shd w:val="clear" w:color="auto" w:fill="auto"/>
            <w:vAlign w:val="center"/>
          </w:tcPr>
          <w:p w14:paraId="1AB8F47E">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视频</w:t>
            </w:r>
          </w:p>
        </w:tc>
        <w:tc>
          <w:tcPr>
            <w:tcW w:w="1235" w:type="pct"/>
            <w:tcBorders>
              <w:tl2br w:val="nil"/>
              <w:tr2bl w:val="nil"/>
            </w:tcBorders>
            <w:shd w:val="clear" w:color="auto" w:fill="auto"/>
            <w:vAlign w:val="center"/>
          </w:tcPr>
          <w:p w14:paraId="00C3E1BA">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4E4838C0">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210</w:t>
            </w:r>
          </w:p>
        </w:tc>
      </w:tr>
      <w:tr w14:paraId="42399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556" w:type="pct"/>
            <w:tcBorders>
              <w:tl2br w:val="nil"/>
              <w:tr2bl w:val="nil"/>
            </w:tcBorders>
            <w:shd w:val="clear" w:color="auto" w:fill="auto"/>
            <w:vAlign w:val="center"/>
          </w:tcPr>
          <w:p w14:paraId="18E82A5A">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1681" w:type="pct"/>
            <w:tcBorders>
              <w:tl2br w:val="nil"/>
              <w:tr2bl w:val="nil"/>
            </w:tcBorders>
            <w:shd w:val="clear" w:color="auto" w:fill="auto"/>
            <w:vAlign w:val="center"/>
          </w:tcPr>
          <w:p w14:paraId="2D525CAB">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微课</w:t>
            </w:r>
          </w:p>
        </w:tc>
        <w:tc>
          <w:tcPr>
            <w:tcW w:w="1235" w:type="pct"/>
            <w:tcBorders>
              <w:tl2br w:val="nil"/>
              <w:tr2bl w:val="nil"/>
            </w:tcBorders>
            <w:shd w:val="clear" w:color="auto" w:fill="auto"/>
            <w:vAlign w:val="center"/>
          </w:tcPr>
          <w:p w14:paraId="631DC563">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33B822E8">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193</w:t>
            </w:r>
          </w:p>
        </w:tc>
      </w:tr>
      <w:tr w14:paraId="55F8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556" w:type="pct"/>
            <w:tcBorders>
              <w:tl2br w:val="nil"/>
              <w:tr2bl w:val="nil"/>
            </w:tcBorders>
            <w:shd w:val="clear" w:color="auto" w:fill="auto"/>
            <w:vAlign w:val="center"/>
          </w:tcPr>
          <w:p w14:paraId="04865108">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1681" w:type="pct"/>
            <w:tcBorders>
              <w:tl2br w:val="nil"/>
              <w:tr2bl w:val="nil"/>
            </w:tcBorders>
            <w:shd w:val="clear" w:color="auto" w:fill="auto"/>
            <w:vAlign w:val="center"/>
          </w:tcPr>
          <w:p w14:paraId="260CC07A">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rPr>
            </w:pPr>
            <w:r>
              <w:rPr>
                <w:rFonts w:hint="eastAsia" w:ascii="宋体" w:hAnsi="宋体" w:eastAsia="宋体" w:cs="宋体"/>
                <w:i w:val="0"/>
                <w:iCs w:val="0"/>
                <w:color w:val="000000"/>
                <w:kern w:val="0"/>
                <w:sz w:val="24"/>
                <w:szCs w:val="24"/>
                <w:u w:val="none"/>
                <w:lang w:val="en-US" w:eastAsia="zh-CN" w:bidi="ar"/>
              </w:rPr>
              <w:t>虚拟仿真</w:t>
            </w:r>
          </w:p>
        </w:tc>
        <w:tc>
          <w:tcPr>
            <w:tcW w:w="1235" w:type="pct"/>
            <w:tcBorders>
              <w:tl2br w:val="nil"/>
              <w:tr2bl w:val="nil"/>
            </w:tcBorders>
            <w:shd w:val="clear" w:color="auto" w:fill="auto"/>
            <w:vAlign w:val="center"/>
          </w:tcPr>
          <w:p w14:paraId="702D3AEB">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1527" w:type="pct"/>
            <w:tcBorders>
              <w:tl2br w:val="nil"/>
              <w:tr2bl w:val="nil"/>
            </w:tcBorders>
            <w:shd w:val="clear" w:color="auto" w:fill="auto"/>
            <w:vAlign w:val="center"/>
          </w:tcPr>
          <w:p w14:paraId="11EE40B5">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12</w:t>
            </w:r>
          </w:p>
        </w:tc>
      </w:tr>
      <w:tr w14:paraId="5A472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 w:hRule="atLeast"/>
        </w:trPr>
        <w:tc>
          <w:tcPr>
            <w:tcW w:w="556" w:type="pct"/>
            <w:tcBorders>
              <w:tl2br w:val="nil"/>
              <w:tr2bl w:val="nil"/>
            </w:tcBorders>
            <w:shd w:val="clear" w:color="auto" w:fill="auto"/>
            <w:vAlign w:val="center"/>
          </w:tcPr>
          <w:p w14:paraId="646B98BA">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w:t>
            </w:r>
          </w:p>
        </w:tc>
        <w:tc>
          <w:tcPr>
            <w:tcW w:w="1681" w:type="pct"/>
            <w:tcBorders>
              <w:tl2br w:val="nil"/>
              <w:tr2bl w:val="nil"/>
            </w:tcBorders>
            <w:shd w:val="clear" w:color="auto" w:fill="auto"/>
            <w:vAlign w:val="center"/>
          </w:tcPr>
          <w:p w14:paraId="07C49394">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数字化教材</w:t>
            </w:r>
          </w:p>
        </w:tc>
        <w:tc>
          <w:tcPr>
            <w:tcW w:w="1235" w:type="pct"/>
            <w:tcBorders>
              <w:tl2br w:val="nil"/>
              <w:tr2bl w:val="nil"/>
            </w:tcBorders>
            <w:shd w:val="clear" w:color="auto" w:fill="auto"/>
            <w:vAlign w:val="center"/>
          </w:tcPr>
          <w:p w14:paraId="43C99120">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部</w:t>
            </w:r>
          </w:p>
        </w:tc>
        <w:tc>
          <w:tcPr>
            <w:tcW w:w="1527" w:type="pct"/>
            <w:tcBorders>
              <w:tl2br w:val="nil"/>
              <w:tr2bl w:val="nil"/>
            </w:tcBorders>
            <w:shd w:val="clear" w:color="auto" w:fill="auto"/>
            <w:vAlign w:val="center"/>
          </w:tcPr>
          <w:p w14:paraId="47B776AF">
            <w:pPr>
              <w:keepNext w:val="0"/>
              <w:keepLines w:val="0"/>
              <w:pageBreakBefore w:val="0"/>
              <w:widowControl/>
              <w:suppressLineNumbers w:val="0"/>
              <w:kinsoku/>
              <w:wordWrap/>
              <w:overflowPunct/>
              <w:topLinePunct w:val="0"/>
              <w:autoSpaceDE/>
              <w:autoSpaceDN/>
              <w:bidi w:val="0"/>
              <w:snapToGrid/>
              <w:spacing w:line="440" w:lineRule="exact"/>
              <w:jc w:val="center"/>
              <w:textAlignment w:val="center"/>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kern w:val="0"/>
                <w:sz w:val="24"/>
                <w:szCs w:val="24"/>
                <w:u w:val="none"/>
                <w:lang w:val="en-US" w:eastAsia="zh-CN" w:bidi="ar"/>
              </w:rPr>
              <w:t>1</w:t>
            </w:r>
          </w:p>
        </w:tc>
      </w:tr>
    </w:tbl>
    <w:p w14:paraId="6214CA5C">
      <w:pPr>
        <w:keepNext w:val="0"/>
        <w:keepLines w:val="0"/>
        <w:pageBreakBefore w:val="0"/>
        <w:widowControl w:val="0"/>
        <w:kinsoku/>
        <w:wordWrap/>
        <w:overflowPunct/>
        <w:topLinePunct w:val="0"/>
        <w:autoSpaceDE/>
        <w:autoSpaceDN/>
        <w:bidi w:val="0"/>
        <w:snapToGrid/>
        <w:spacing w:line="440" w:lineRule="exact"/>
        <w:ind w:firstLine="480" w:firstLineChars="200"/>
        <w:outlineLvl w:val="0"/>
        <w:rPr>
          <w:rFonts w:hint="default" w:hAnsi="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bCs/>
          <w:sz w:val="24"/>
          <w:szCs w:val="24"/>
        </w:rPr>
        <w:t>制作</w:t>
      </w:r>
      <w:r>
        <w:rPr>
          <w:rFonts w:hint="eastAsia" w:hAnsi="宋体" w:cs="宋体"/>
          <w:bCs/>
          <w:sz w:val="24"/>
          <w:szCs w:val="24"/>
          <w:lang w:val="en-US" w:eastAsia="zh-CN"/>
        </w:rPr>
        <w:t>及交付期限</w:t>
      </w:r>
      <w:r>
        <w:rPr>
          <w:rFonts w:hint="eastAsia" w:hAnsi="宋体" w:cs="宋体"/>
          <w:color w:val="auto"/>
          <w:sz w:val="24"/>
          <w:szCs w:val="24"/>
          <w:lang w:val="en-US" w:eastAsia="zh-CN"/>
        </w:rPr>
        <w:t>：合同签订后100个日历日完成。</w:t>
      </w:r>
    </w:p>
    <w:p w14:paraId="0AF8F1EF">
      <w:pPr>
        <w:keepNext w:val="0"/>
        <w:keepLines w:val="0"/>
        <w:pageBreakBefore w:val="0"/>
        <w:widowControl w:val="0"/>
        <w:kinsoku/>
        <w:wordWrap/>
        <w:overflowPunct/>
        <w:topLinePunct w:val="0"/>
        <w:autoSpaceDE/>
        <w:autoSpaceDN/>
        <w:bidi w:val="0"/>
        <w:snapToGrid/>
        <w:spacing w:line="440" w:lineRule="exact"/>
        <w:ind w:firstLine="480" w:firstLineChars="200"/>
        <w:outlineLvl w:val="0"/>
        <w:rPr>
          <w:rFonts w:hint="eastAsia" w:ascii="宋体" w:hAnsi="宋体" w:eastAsia="宋体" w:cs="宋体"/>
          <w:b w:val="0"/>
          <w:bCs w:val="0"/>
          <w:color w:val="auto"/>
        </w:rPr>
      </w:pPr>
      <w:r>
        <w:rPr>
          <w:rFonts w:hint="eastAsia" w:hAnsi="宋体" w:cs="宋体"/>
          <w:b w:val="0"/>
          <w:bCs w:val="0"/>
          <w:color w:val="auto"/>
          <w:sz w:val="24"/>
          <w:szCs w:val="24"/>
          <w:lang w:val="en-US" w:eastAsia="zh-CN"/>
        </w:rPr>
        <w:t>3</w:t>
      </w:r>
      <w:r>
        <w:rPr>
          <w:rFonts w:hint="eastAsia" w:ascii="宋体" w:hAnsi="宋体" w:eastAsia="宋体" w:cs="宋体"/>
          <w:b w:val="0"/>
          <w:bCs w:val="0"/>
          <w:color w:val="auto"/>
          <w:sz w:val="24"/>
          <w:szCs w:val="24"/>
        </w:rPr>
        <w:t>、本项目</w:t>
      </w:r>
      <w:r>
        <w:rPr>
          <w:rFonts w:hint="eastAsia" w:hAnsi="宋体" w:cs="宋体"/>
          <w:b w:val="0"/>
          <w:bCs w:val="0"/>
          <w:color w:val="auto"/>
          <w:sz w:val="24"/>
          <w:szCs w:val="24"/>
          <w:lang w:eastAsia="zh-CN"/>
        </w:rPr>
        <w:t>采购预算</w:t>
      </w:r>
      <w:r>
        <w:rPr>
          <w:rFonts w:hint="eastAsia" w:ascii="宋体" w:hAnsi="宋体" w:eastAsia="宋体" w:cs="宋体"/>
          <w:b w:val="0"/>
          <w:bCs w:val="0"/>
          <w:color w:val="auto"/>
          <w:sz w:val="24"/>
          <w:szCs w:val="24"/>
        </w:rPr>
        <w:t>为：人民币</w:t>
      </w:r>
      <w:r>
        <w:rPr>
          <w:rFonts w:hint="eastAsia" w:hAnsi="宋体" w:cs="宋体"/>
          <w:b w:val="0"/>
          <w:bCs w:val="0"/>
          <w:color w:val="auto"/>
          <w:sz w:val="24"/>
          <w:szCs w:val="24"/>
          <w:lang w:val="en-US" w:eastAsia="zh-CN"/>
        </w:rPr>
        <w:t>贰佰陆拾万零壹仟伍佰元整</w:t>
      </w:r>
      <w:r>
        <w:rPr>
          <w:rFonts w:hint="eastAsia" w:ascii="宋体" w:hAnsi="宋体" w:eastAsia="宋体" w:cs="宋体"/>
          <w:b w:val="0"/>
          <w:bCs w:val="0"/>
          <w:color w:val="auto"/>
          <w:sz w:val="24"/>
          <w:szCs w:val="24"/>
        </w:rPr>
        <w:t>（￥：</w:t>
      </w:r>
      <w:r>
        <w:rPr>
          <w:rFonts w:hint="eastAsia" w:hAnsi="宋体" w:cs="宋体"/>
          <w:b w:val="0"/>
          <w:bCs w:val="0"/>
          <w:color w:val="auto"/>
          <w:sz w:val="24"/>
          <w:szCs w:val="24"/>
          <w:lang w:val="en-US" w:eastAsia="zh-CN"/>
        </w:rPr>
        <w:t>2,601,500.00</w:t>
      </w:r>
      <w:r>
        <w:rPr>
          <w:rFonts w:hint="eastAsia" w:ascii="宋体" w:hAnsi="宋体" w:eastAsia="宋体" w:cs="宋体"/>
          <w:b w:val="0"/>
          <w:bCs w:val="0"/>
          <w:color w:val="auto"/>
          <w:sz w:val="24"/>
          <w:szCs w:val="24"/>
        </w:rPr>
        <w:t>元），投标报价大于</w:t>
      </w:r>
      <w:r>
        <w:rPr>
          <w:rFonts w:hint="eastAsia" w:hAnsi="宋体" w:cs="宋体"/>
          <w:b w:val="0"/>
          <w:bCs w:val="0"/>
          <w:color w:val="auto"/>
          <w:sz w:val="24"/>
          <w:szCs w:val="24"/>
          <w:lang w:eastAsia="zh-CN"/>
        </w:rPr>
        <w:t>采购预算</w:t>
      </w:r>
      <w:r>
        <w:rPr>
          <w:rFonts w:hint="eastAsia" w:ascii="宋体" w:hAnsi="宋体" w:eastAsia="宋体" w:cs="宋体"/>
          <w:b w:val="0"/>
          <w:bCs w:val="0"/>
          <w:color w:val="auto"/>
          <w:sz w:val="24"/>
          <w:szCs w:val="24"/>
        </w:rPr>
        <w:t>，按废标处理。</w:t>
      </w:r>
      <w:bookmarkEnd w:id="155"/>
      <w:bookmarkEnd w:id="156"/>
      <w:bookmarkEnd w:id="157"/>
      <w:bookmarkEnd w:id="158"/>
      <w:bookmarkEnd w:id="159"/>
    </w:p>
    <w:p w14:paraId="16FEDD9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bCs/>
          <w:color w:val="auto"/>
          <w:kern w:val="2"/>
          <w:sz w:val="24"/>
          <w:szCs w:val="24"/>
          <w:lang w:val="en-US" w:eastAsia="en-US" w:bidi="ar-SA"/>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r>
        <w:rPr>
          <w:rFonts w:hint="eastAsia" w:hAnsi="宋体" w:cs="宋体"/>
          <w:b/>
          <w:bCs/>
          <w:color w:val="auto"/>
          <w:sz w:val="24"/>
          <w:szCs w:val="24"/>
          <w:highlight w:val="none"/>
          <w:lang w:val="en-US" w:eastAsia="zh-CN"/>
        </w:rPr>
        <w:t>技术要求</w:t>
      </w:r>
      <w:r>
        <w:rPr>
          <w:rFonts w:hint="eastAsia" w:ascii="宋体" w:hAnsi="宋体" w:eastAsia="宋体" w:cs="宋体"/>
          <w:b/>
          <w:bCs/>
          <w:color w:val="auto"/>
          <w:kern w:val="2"/>
          <w:sz w:val="24"/>
          <w:szCs w:val="24"/>
          <w:lang w:val="en-US" w:eastAsia="en-US" w:bidi="ar-SA"/>
        </w:rPr>
        <w:t>：</w:t>
      </w:r>
    </w:p>
    <w:p w14:paraId="4831C948">
      <w:pPr>
        <w:pStyle w:val="93"/>
        <w:pageBreakBefore w:val="0"/>
        <w:numPr>
          <w:ilvl w:val="0"/>
          <w:numId w:val="5"/>
        </w:numPr>
        <w:kinsoku/>
        <w:wordWrap/>
        <w:overflowPunct/>
        <w:topLinePunct w:val="0"/>
        <w:autoSpaceDE/>
        <w:autoSpaceDN/>
        <w:bidi w:val="0"/>
        <w:snapToGrid/>
        <w:spacing w:line="440" w:lineRule="exact"/>
        <w:ind w:left="0" w:leftChars="0" w:firstLine="480" w:firstLineChars="200"/>
        <w:outlineLvl w:val="2"/>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职业教育专业教学资源库运行平台</w:t>
      </w:r>
    </w:p>
    <w:p w14:paraId="396E2A12">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平台整体要求</w:t>
      </w:r>
    </w:p>
    <w:p w14:paraId="1C28BD1A">
      <w:pPr>
        <w:pageBreakBefore w:val="0"/>
        <w:numPr>
          <w:ilvl w:val="0"/>
          <w:numId w:val="0"/>
        </w:numPr>
        <w:kinsoku/>
        <w:wordWrap/>
        <w:overflowPunct/>
        <w:topLinePunct w:val="0"/>
        <w:autoSpaceDE/>
        <w:autoSpaceDN/>
        <w:bidi w:val="0"/>
        <w:snapToGrid/>
        <w:spacing w:line="440" w:lineRule="exact"/>
        <w:ind w:left="0"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（1）供应商提供职业教育专业教学资源库运行平台，平台采用云端部署，若平台部署所需硬件设备，由供应商提供，学校不提供硬件设备（需提供运行平台的著作权、不低于三级的等保证书、软件测试报告）。</w:t>
      </w:r>
    </w:p>
    <w:p w14:paraId="60B1691B">
      <w:pPr>
        <w:pageBreakBefore w:val="0"/>
        <w:numPr>
          <w:ilvl w:val="0"/>
          <w:numId w:val="0"/>
        </w:numPr>
        <w:kinsoku/>
        <w:wordWrap/>
        <w:overflowPunct/>
        <w:topLinePunct w:val="0"/>
        <w:autoSpaceDE/>
        <w:autoSpaceDN/>
        <w:bidi w:val="0"/>
        <w:snapToGrid/>
        <w:spacing w:line="440" w:lineRule="exact"/>
        <w:ind w:left="0"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（2）供应商提供的资源库</w:t>
      </w:r>
      <w:r>
        <w:rPr>
          <w:rFonts w:hint="eastAsia" w:ascii="宋体" w:hAnsi="宋体" w:eastAsia="宋体" w:cs="宋体"/>
          <w:sz w:val="24"/>
          <w:szCs w:val="24"/>
        </w:rPr>
        <w:t>平台可作为“国家职业教育专业教学资源库”支持平台</w:t>
      </w:r>
      <w:r>
        <w:rPr>
          <w:rFonts w:hint="eastAsia" w:ascii="宋体" w:hAnsi="宋体" w:eastAsia="宋体" w:cs="宋体"/>
          <w:sz w:val="24"/>
          <w:szCs w:val="24"/>
          <w:lang w:val="en-US" w:eastAsia="zh-CN"/>
        </w:rPr>
        <w:t>并且平台上已有国家级教学资源库运行（需</w:t>
      </w:r>
      <w:r>
        <w:rPr>
          <w:rFonts w:hint="eastAsia" w:ascii="宋体" w:hAnsi="宋体" w:eastAsia="宋体" w:cs="宋体"/>
          <w:sz w:val="24"/>
          <w:szCs w:val="24"/>
        </w:rPr>
        <w:t>提供有效证明材料</w:t>
      </w:r>
      <w:r>
        <w:rPr>
          <w:rFonts w:hint="eastAsia" w:ascii="宋体" w:hAnsi="宋体" w:eastAsia="宋体" w:cs="宋体"/>
          <w:sz w:val="24"/>
          <w:szCs w:val="24"/>
          <w:lang w:eastAsia="zh-CN"/>
        </w:rPr>
        <w:t>）。</w:t>
      </w:r>
    </w:p>
    <w:p w14:paraId="41F4A2BC">
      <w:pPr>
        <w:pageBreakBefore w:val="0"/>
        <w:numPr>
          <w:ilvl w:val="0"/>
          <w:numId w:val="0"/>
        </w:numPr>
        <w:kinsoku/>
        <w:wordWrap/>
        <w:overflowPunct/>
        <w:topLinePunct w:val="0"/>
        <w:autoSpaceDE/>
        <w:autoSpaceDN/>
        <w:bidi w:val="0"/>
        <w:snapToGrid/>
        <w:spacing w:line="440" w:lineRule="exact"/>
        <w:ind w:left="0"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（3）供应商提供的职业教育专业资源库平台能对接“国家或省级职业教育智慧教育平台”（需提供有效证明材料）。</w:t>
      </w:r>
    </w:p>
    <w:p w14:paraId="607044FB">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资源库前台</w:t>
      </w:r>
    </w:p>
    <w:p w14:paraId="79714286">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资源库门户支持对学校BANNER、LOGO后台自定义编辑。</w:t>
      </w:r>
    </w:p>
    <w:p w14:paraId="49C091AF">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资源库首页宣传轮播图展示。</w:t>
      </w:r>
    </w:p>
    <w:p w14:paraId="64548C40">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支持资源库基本信息展示，包括专业介绍，联建单位信息。</w:t>
      </w:r>
    </w:p>
    <w:p w14:paraId="6FF1B49A">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支持资源库基本统计信息，包括用户数，课程数，开课数，素材数等。</w:t>
      </w:r>
    </w:p>
    <w:p w14:paraId="3D7542D9">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支持所有发布课程和上传素材的展示。</w:t>
      </w:r>
    </w:p>
    <w:p w14:paraId="7C452CFA">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支持资源库项目知识技能图谱展示。</w:t>
      </w:r>
    </w:p>
    <w:p w14:paraId="4D683F56">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支持与独立定制的本资源库门户子站进行对接。</w:t>
      </w:r>
    </w:p>
    <w:p w14:paraId="10658EB1">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资源库管理空间</w:t>
      </w:r>
    </w:p>
    <w:p w14:paraId="634A44EE">
      <w:pPr>
        <w:pageBreakBefore w:val="0"/>
        <w:numPr>
          <w:ilvl w:val="0"/>
          <w:numId w:val="7"/>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设定资源库的建设目标，学校可自主按照核心专业及多个服务专业的组织形式开展资源库建设。</w:t>
      </w:r>
    </w:p>
    <w:p w14:paraId="2D8ACEC5">
      <w:pPr>
        <w:pageBreakBefore w:val="0"/>
        <w:numPr>
          <w:ilvl w:val="0"/>
          <w:numId w:val="7"/>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支持本资源库负责人设置专业基础信息，包括资源库LOGO以及门户网站模板（选择门户建设方式，包括自行独立定制或选择示范模板）等。</w:t>
      </w:r>
    </w:p>
    <w:p w14:paraId="6AAFE01F">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b w:val="0"/>
          <w:bCs/>
          <w:color w:val="auto"/>
          <w:kern w:val="2"/>
          <w:sz w:val="24"/>
          <w:szCs w:val="24"/>
          <w:u w:val="none"/>
          <w:lang w:val="en-US" w:eastAsia="zh-CN" w:bidi="ar-SA"/>
        </w:rPr>
        <w:t>▲</w:t>
      </w:r>
      <w:r>
        <w:rPr>
          <w:rFonts w:hint="eastAsia" w:ascii="宋体" w:hAnsi="宋体" w:eastAsia="宋体" w:cs="宋体"/>
          <w:sz w:val="24"/>
          <w:szCs w:val="24"/>
        </w:rPr>
        <w:t>支持本资源库项目负责人对平台成员进行管理，设置专业负责人、课程负责人和课程审核人，支持设置人员权限，并有权限管理本资源库所有成员的账号。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提供功能截图</w:t>
      </w:r>
      <w:r>
        <w:rPr>
          <w:rFonts w:hint="eastAsia" w:ascii="宋体" w:hAnsi="宋体" w:eastAsia="宋体" w:cs="宋体"/>
          <w:sz w:val="24"/>
          <w:szCs w:val="24"/>
          <w:lang w:eastAsia="zh-CN"/>
        </w:rPr>
        <w:t>）</w:t>
      </w:r>
    </w:p>
    <w:p w14:paraId="06B4EB3A">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b w:val="0"/>
          <w:bCs/>
          <w:color w:val="auto"/>
          <w:kern w:val="2"/>
          <w:sz w:val="24"/>
          <w:szCs w:val="24"/>
          <w:u w:val="none"/>
          <w:lang w:val="en-US" w:eastAsia="zh-CN" w:bidi="ar-SA"/>
        </w:rPr>
        <w:t>▲</w:t>
      </w:r>
      <w:r>
        <w:rPr>
          <w:rFonts w:hint="eastAsia" w:ascii="宋体" w:hAnsi="宋体" w:eastAsia="宋体" w:cs="宋体"/>
          <w:sz w:val="24"/>
          <w:szCs w:val="24"/>
        </w:rPr>
        <w:t>支持设置资源库的人才培养方案和专业建设标准，发挥资源库内协同育人的建设目标。</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提供功能截图</w:t>
      </w:r>
      <w:r>
        <w:rPr>
          <w:rFonts w:hint="eastAsia" w:ascii="宋体" w:hAnsi="宋体" w:eastAsia="宋体" w:cs="宋体"/>
          <w:sz w:val="24"/>
          <w:szCs w:val="24"/>
          <w:lang w:eastAsia="zh-CN"/>
        </w:rPr>
        <w:t>）</w:t>
      </w:r>
    </w:p>
    <w:p w14:paraId="6F92C105">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支持规划和建设课程体系，支持从课程类型、课程层次、课程对应岗位及相关职业证书等多个维度进行课程分类；支持通过项目知识技能图谱的方式，构建课程与课程之间的联系，体现“结构化课程”的建设理念。</w:t>
      </w:r>
    </w:p>
    <w:p w14:paraId="2DFE5810">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b w:val="0"/>
          <w:bCs/>
          <w:color w:val="auto"/>
          <w:kern w:val="2"/>
          <w:sz w:val="24"/>
          <w:szCs w:val="24"/>
          <w:u w:val="none"/>
          <w:lang w:val="en-US" w:eastAsia="zh-CN" w:bidi="ar-SA"/>
        </w:rPr>
        <w:t>▲</w:t>
      </w:r>
      <w:r>
        <w:rPr>
          <w:rFonts w:hint="eastAsia" w:ascii="宋体" w:hAnsi="宋体" w:eastAsia="宋体" w:cs="宋体"/>
          <w:sz w:val="24"/>
          <w:szCs w:val="24"/>
        </w:rPr>
        <w:t>支持按类型将课程划分为学历课程和培训课程，在实现资源共建共享的基础上丰富资源库课程内容。学历课程支持按公共基础课、专业基础课、专业核心课、专业拓展课、实验实训课构建资源库的课程层次；培训课程支持按教师培训、职业培训、竞赛培训构建资源库的课程类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提供功能截图</w:t>
      </w:r>
      <w:r>
        <w:rPr>
          <w:rFonts w:hint="eastAsia" w:ascii="宋体" w:hAnsi="宋体" w:eastAsia="宋体" w:cs="宋体"/>
          <w:sz w:val="24"/>
          <w:szCs w:val="24"/>
          <w:lang w:eastAsia="zh-CN"/>
        </w:rPr>
        <w:t>）</w:t>
      </w:r>
    </w:p>
    <w:p w14:paraId="5F5B4482">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支持资源库所建课程对应多专业，并与各专业职业面向就业岗位相关联，实现课程与国家职业标准体系对接，提高学生所学技能与岗位需求的匹配度。</w:t>
      </w:r>
    </w:p>
    <w:p w14:paraId="16857983">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b w:val="0"/>
          <w:bCs/>
          <w:color w:val="auto"/>
          <w:kern w:val="2"/>
          <w:sz w:val="24"/>
          <w:szCs w:val="24"/>
          <w:u w:val="none"/>
          <w:lang w:val="en-US" w:eastAsia="zh-CN" w:bidi="ar-SA"/>
        </w:rPr>
        <w:t>▲</w:t>
      </w:r>
      <w:r>
        <w:rPr>
          <w:rFonts w:hint="eastAsia" w:ascii="宋体" w:hAnsi="宋体" w:eastAsia="宋体" w:cs="宋体"/>
          <w:sz w:val="24"/>
          <w:szCs w:val="24"/>
        </w:rPr>
        <w:t>支持资源库课程团队建设，并分别指定每门课程的课程建设人员和审核人员，保证课程内容质量，实现审核流程可记录、可追溯。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提供功能截图</w:t>
      </w:r>
      <w:r>
        <w:rPr>
          <w:rFonts w:hint="eastAsia" w:ascii="宋体" w:hAnsi="宋体" w:eastAsia="宋体" w:cs="宋体"/>
          <w:sz w:val="24"/>
          <w:szCs w:val="24"/>
          <w:lang w:eastAsia="zh-CN"/>
        </w:rPr>
        <w:t>）</w:t>
      </w:r>
    </w:p>
    <w:p w14:paraId="7E740CBE">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支持展示资源库下所有的知识技能图谱、素材、题目和课程体系，汇聚成资源库资源空间，便于管理员整体把握资源库内容结构和建设进度、成果。</w:t>
      </w:r>
    </w:p>
    <w:p w14:paraId="281BCF41">
      <w:pPr>
        <w:pStyle w:val="6"/>
        <w:pageBreakBefore w:val="0"/>
        <w:widowControl w:val="0"/>
        <w:numPr>
          <w:ilvl w:val="0"/>
          <w:numId w:val="6"/>
        </w:numPr>
        <w:kinsoku/>
        <w:wordWrap/>
        <w:overflowPunct/>
        <w:topLinePunct w:val="0"/>
        <w:autoSpaceDE/>
        <w:autoSpaceDN/>
        <w:bidi w:val="0"/>
        <w:adjustRightInd w:val="0"/>
        <w:snapToGrid/>
        <w:spacing w:line="440" w:lineRule="exact"/>
        <w:ind w:left="0" w:leftChars="0" w:firstLine="480" w:firstLineChars="200"/>
        <w:textAlignment w:val="baseline"/>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课程建设系统</w:t>
      </w:r>
    </w:p>
    <w:p w14:paraId="172E8F48">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平台通过知识技能图谱的形式构建课程，支持课程负责人新建知识技能点，并在章节结构下自主上传课程资源与内容。</w:t>
      </w:r>
    </w:p>
    <w:p w14:paraId="71855131">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40"/>
          <w:szCs w:val="40"/>
        </w:rPr>
        <w:t>✦</w:t>
      </w:r>
      <w:r>
        <w:rPr>
          <w:rFonts w:hint="eastAsia" w:ascii="宋体" w:hAnsi="宋体" w:eastAsia="宋体" w:cs="宋体"/>
          <w:color w:val="auto"/>
          <w:sz w:val="24"/>
          <w:szCs w:val="24"/>
        </w:rPr>
        <w:t>如课程负责人已经参与了其他相关国家级/省级/校级资源库的建设，在原有资源库负责人赋权的前提下，该课程负责人可从原有资源库中导入其个人所建的资源、试题和课程，避免资源重复建设。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现场功能演示</w:t>
      </w:r>
      <w:r>
        <w:rPr>
          <w:rFonts w:hint="eastAsia" w:ascii="宋体" w:hAnsi="宋体" w:eastAsia="宋体" w:cs="宋体"/>
          <w:color w:val="auto"/>
          <w:sz w:val="24"/>
          <w:szCs w:val="24"/>
          <w:lang w:eastAsia="zh-CN"/>
        </w:rPr>
        <w:t>）</w:t>
      </w:r>
    </w:p>
    <w:p w14:paraId="60ECFBFA">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40"/>
          <w:szCs w:val="40"/>
        </w:rPr>
        <w:t>✦</w:t>
      </w:r>
      <w:r>
        <w:rPr>
          <w:rFonts w:hint="eastAsia" w:ascii="宋体" w:hAnsi="宋体" w:eastAsia="宋体" w:cs="宋体"/>
          <w:color w:val="auto"/>
          <w:sz w:val="24"/>
          <w:szCs w:val="24"/>
        </w:rPr>
        <w:t>课程负责人可将其在与本资源库平台关联的SPOC平台或MOOC平台中原创的课程资源，导入本资源库中，完成课程设计。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现场功能演示</w:t>
      </w:r>
      <w:r>
        <w:rPr>
          <w:rFonts w:hint="eastAsia" w:ascii="宋体" w:hAnsi="宋体" w:eastAsia="宋体" w:cs="宋体"/>
          <w:color w:val="auto"/>
          <w:sz w:val="24"/>
          <w:szCs w:val="24"/>
          <w:lang w:eastAsia="zh-CN"/>
        </w:rPr>
        <w:t>）</w:t>
      </w:r>
    </w:p>
    <w:p w14:paraId="0320D805">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(4)</w:t>
      </w:r>
      <w:r>
        <w:rPr>
          <w:rFonts w:hint="eastAsia" w:ascii="宋体" w:hAnsi="宋体" w:eastAsia="宋体" w:cs="宋体"/>
          <w:sz w:val="24"/>
          <w:szCs w:val="24"/>
        </w:rPr>
        <w:t>支持同一门课程开设多个使用周期，并支持对不同周期的课程进行内容优化提升，实现课程资源建设的全过程留存；同时，支持不同课程周期内的资源复制，实现资源共建共享。</w:t>
      </w:r>
    </w:p>
    <w:p w14:paraId="7D32B706">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(5)</w:t>
      </w:r>
      <w:r>
        <w:rPr>
          <w:rFonts w:hint="eastAsia" w:ascii="宋体" w:hAnsi="宋体" w:eastAsia="宋体" w:cs="宋体"/>
          <w:sz w:val="24"/>
          <w:szCs w:val="24"/>
        </w:rPr>
        <w:t>支持将题库、素材与知识技能图谱对接。</w:t>
      </w:r>
    </w:p>
    <w:p w14:paraId="17C0D355">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(6)</w:t>
      </w:r>
      <w:r>
        <w:rPr>
          <w:rFonts w:hint="eastAsia" w:ascii="宋体" w:hAnsi="宋体" w:eastAsia="宋体" w:cs="宋体"/>
          <w:sz w:val="24"/>
          <w:szCs w:val="24"/>
        </w:rPr>
        <w:t>支持课程负责人创建课程团队，进行教学内容建设与管理。</w:t>
      </w:r>
    </w:p>
    <w:p w14:paraId="1EA260C3">
      <w:pPr>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(7)</w:t>
      </w:r>
      <w:r>
        <w:rPr>
          <w:rFonts w:hint="eastAsia" w:ascii="宋体" w:hAnsi="宋体" w:eastAsia="宋体" w:cs="宋体"/>
          <w:sz w:val="24"/>
          <w:szCs w:val="24"/>
        </w:rPr>
        <w:t>支持教师对不同开课周期设置不同的作业与考试，且支持对不同考试设置不同出卷规则，实现同一课程针对不同对象的差异化教学。</w:t>
      </w:r>
    </w:p>
    <w:p w14:paraId="2D2C89D6">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(8)</w:t>
      </w:r>
      <w:r>
        <w:rPr>
          <w:rFonts w:hint="eastAsia" w:ascii="宋体" w:hAnsi="宋体" w:eastAsia="宋体" w:cs="宋体"/>
          <w:sz w:val="24"/>
          <w:szCs w:val="24"/>
        </w:rPr>
        <w:t>支持课程负责人创建课程公告，设置课程基本信息、考核标准、参考教材，上传课程封面、课程简介视频等，支持教师根据课程教学需求自定义设置讨论区，完善课程介绍。</w:t>
      </w:r>
    </w:p>
    <w:p w14:paraId="562553EC">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(9)</w:t>
      </w:r>
      <w:r>
        <w:rPr>
          <w:rFonts w:hint="eastAsia" w:ascii="宋体" w:hAnsi="宋体" w:eastAsia="宋体" w:cs="宋体"/>
          <w:sz w:val="24"/>
          <w:szCs w:val="24"/>
        </w:rPr>
        <w:t>支持教师在开课周期内设置考试开始时间、结束时间、考试时长、答案公布时间等。</w:t>
      </w:r>
    </w:p>
    <w:p w14:paraId="0F574D16">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(10)</w:t>
      </w:r>
      <w:r>
        <w:rPr>
          <w:rFonts w:hint="eastAsia" w:ascii="宋体" w:hAnsi="宋体" w:eastAsia="宋体" w:cs="宋体"/>
          <w:sz w:val="24"/>
          <w:szCs w:val="24"/>
        </w:rPr>
        <w:t>支持教师在开课周期内设置不同的作业类型，并可个性化设计作业结束时间，支持作业添加到课程内容指定的位置。</w:t>
      </w:r>
    </w:p>
    <w:p w14:paraId="6751E87F">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z w:val="24"/>
          <w:szCs w:val="24"/>
        </w:rPr>
      </w:pPr>
      <w:r>
        <w:rPr>
          <w:rFonts w:hint="eastAsia" w:ascii="宋体" w:hAnsi="宋体" w:eastAsia="宋体" w:cs="宋体"/>
          <w:kern w:val="2"/>
          <w:sz w:val="24"/>
          <w:szCs w:val="24"/>
          <w:lang w:val="en-US" w:eastAsia="zh-CN" w:bidi="ar-SA"/>
        </w:rPr>
        <w:t>(11)</w:t>
      </w:r>
      <w:r>
        <w:rPr>
          <w:rFonts w:hint="eastAsia" w:ascii="宋体" w:hAnsi="宋体" w:eastAsia="宋体" w:cs="宋体"/>
          <w:sz w:val="24"/>
          <w:szCs w:val="24"/>
        </w:rPr>
        <w:t>支持课程负责人统计学生学习情况，包括作业统计，考试统计，随堂测验统计，视频资源统计，其他资源统计，讨论统计。</w:t>
      </w:r>
    </w:p>
    <w:p w14:paraId="72AF2B1F">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strike/>
          <w:dstrike w:val="0"/>
          <w:sz w:val="24"/>
          <w:szCs w:val="24"/>
          <w:lang w:eastAsia="zh-CN"/>
        </w:rPr>
      </w:pPr>
      <w:r>
        <w:rPr>
          <w:rFonts w:hint="eastAsia" w:ascii="宋体" w:hAnsi="宋体" w:eastAsia="宋体" w:cs="宋体"/>
          <w:kern w:val="2"/>
          <w:sz w:val="24"/>
          <w:szCs w:val="24"/>
          <w:lang w:val="en-US" w:eastAsia="zh-CN" w:bidi="ar-SA"/>
        </w:rPr>
        <w:t>(12)</w:t>
      </w:r>
      <w:r>
        <w:rPr>
          <w:rFonts w:hint="eastAsia" w:ascii="宋体" w:hAnsi="宋体" w:eastAsia="宋体" w:cs="宋体"/>
          <w:sz w:val="24"/>
          <w:szCs w:val="24"/>
        </w:rPr>
        <w:t>支持一键开启SPOC教学，在资源库的建课中心，可以开启本课程的SPOC教学。即用同步或者新开的开课方式，把当前开课的课程设计、题库等内容同步到SPOC空间里。</w:t>
      </w:r>
    </w:p>
    <w:p w14:paraId="77547885">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课程审核系统</w:t>
      </w:r>
    </w:p>
    <w:p w14:paraId="3FA339E7">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支持课程建设完成后进行课程预览，并提交课程审核人进行内容审核。</w:t>
      </w:r>
    </w:p>
    <w:p w14:paraId="051B5900">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b w:val="0"/>
          <w:bCs/>
          <w:color w:val="auto"/>
          <w:kern w:val="2"/>
          <w:sz w:val="24"/>
          <w:szCs w:val="24"/>
          <w:u w:val="none"/>
          <w:lang w:val="en-US" w:eastAsia="zh-CN" w:bidi="ar-SA"/>
        </w:rPr>
        <w:t>▲</w:t>
      </w:r>
      <w:r>
        <w:rPr>
          <w:rFonts w:hint="eastAsia" w:ascii="宋体" w:hAnsi="宋体" w:eastAsia="宋体" w:cs="宋体"/>
          <w:sz w:val="24"/>
          <w:szCs w:val="24"/>
        </w:rPr>
        <w:t>支持课程审核人对素材、题目等资源进行审核，支持批量审核与下架；素材审核包括素材名称、上传者、上传时间、媒体类型、应用类型、所属平台来源等属性；题库审核包括题干、题型、难易程度、上传者、上传时间等属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提供功能截图</w:t>
      </w:r>
      <w:r>
        <w:rPr>
          <w:rFonts w:hint="eastAsia" w:ascii="宋体" w:hAnsi="宋体" w:eastAsia="宋体" w:cs="宋体"/>
          <w:sz w:val="24"/>
          <w:szCs w:val="24"/>
          <w:lang w:eastAsia="zh-CN"/>
        </w:rPr>
        <w:t>）</w:t>
      </w:r>
    </w:p>
    <w:p w14:paraId="03DB0779">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支持课程审核人对课程属性进行审核，包括课程名称、类型、所属专业、创建时间、课程层次，课程开课周期等属性。</w:t>
      </w:r>
    </w:p>
    <w:p w14:paraId="2A81AE80">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(4)</w:t>
      </w:r>
      <w:r>
        <w:rPr>
          <w:rFonts w:hint="eastAsia" w:ascii="宋体" w:hAnsi="宋体" w:eastAsia="宋体" w:cs="宋体"/>
          <w:sz w:val="24"/>
          <w:szCs w:val="24"/>
        </w:rPr>
        <w:t>支持课程审核人对课程建设内容进行审核，填写审核意见，体现资源库的“一体化设计”要求，提高资源库建设质量。</w:t>
      </w:r>
    </w:p>
    <w:p w14:paraId="01D9804A">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资源建设系统</w:t>
      </w:r>
    </w:p>
    <w:p w14:paraId="3F54259B">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支持按课程构建资源库的课程知识树和课程技能图谱。</w:t>
      </w:r>
    </w:p>
    <w:p w14:paraId="083D6127">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支持资源库项目团队成员加入项目对应智慧教研室，实现线上虚拟教研。</w:t>
      </w:r>
    </w:p>
    <w:p w14:paraId="00AD901F">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支持汇聚资源库的素材、题库及课程建设内容，并支持智能搜索和推荐。</w:t>
      </w:r>
    </w:p>
    <w:p w14:paraId="2B65C6F6">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(4)</w:t>
      </w:r>
      <w:r>
        <w:rPr>
          <w:rFonts w:hint="eastAsia" w:ascii="宋体" w:hAnsi="宋体" w:eastAsia="宋体" w:cs="宋体"/>
          <w:b w:val="0"/>
          <w:bCs/>
          <w:color w:val="auto"/>
          <w:kern w:val="2"/>
          <w:sz w:val="24"/>
          <w:szCs w:val="24"/>
          <w:u w:val="none"/>
          <w:lang w:val="en-US" w:eastAsia="zh-CN" w:bidi="ar-SA"/>
        </w:rPr>
        <w:t>▲</w:t>
      </w:r>
      <w:r>
        <w:rPr>
          <w:rFonts w:hint="eastAsia" w:ascii="宋体" w:hAnsi="宋体" w:eastAsia="宋体" w:cs="宋体"/>
          <w:sz w:val="24"/>
          <w:szCs w:val="24"/>
        </w:rPr>
        <w:t>支持素材进行标签管理，支持将素材设置媒体类型、适用对象、素材语言、素材来源等，增强资源检索的便捷性。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提供功能截图</w:t>
      </w:r>
      <w:r>
        <w:rPr>
          <w:rFonts w:hint="eastAsia" w:ascii="宋体" w:hAnsi="宋体" w:eastAsia="宋体" w:cs="宋体"/>
          <w:sz w:val="24"/>
          <w:szCs w:val="24"/>
          <w:lang w:eastAsia="zh-CN"/>
        </w:rPr>
        <w:t>）</w:t>
      </w:r>
    </w:p>
    <w:p w14:paraId="78D2A402">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(5)</w:t>
      </w:r>
      <w:r>
        <w:rPr>
          <w:rFonts w:hint="eastAsia" w:ascii="宋体" w:hAnsi="宋体" w:eastAsia="宋体" w:cs="宋体"/>
          <w:sz w:val="24"/>
          <w:szCs w:val="24"/>
        </w:rPr>
        <w:t>支持用户收藏资源库内的课程、素材等内容，提高资源使用效率。</w:t>
      </w:r>
    </w:p>
    <w:p w14:paraId="6CEE9D57">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(6)</w:t>
      </w:r>
      <w:r>
        <w:rPr>
          <w:rFonts w:hint="eastAsia" w:ascii="宋体" w:hAnsi="宋体" w:eastAsia="宋体" w:cs="宋体"/>
          <w:sz w:val="24"/>
          <w:szCs w:val="24"/>
        </w:rPr>
        <w:t>文档格式，支持doc、docx、xls、xlsx、pdf、txt、ppt、pptx等主流格式，上传后自动转码，无需另行安装插件可直接在线阅读。</w:t>
      </w:r>
    </w:p>
    <w:p w14:paraId="2C5F6C62">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(7)</w:t>
      </w:r>
      <w:r>
        <w:rPr>
          <w:rFonts w:hint="eastAsia" w:ascii="宋体" w:hAnsi="宋体" w:eastAsia="宋体" w:cs="宋体"/>
          <w:sz w:val="24"/>
          <w:szCs w:val="24"/>
        </w:rPr>
        <w:t>图片支持jpg、jpeg、png、bmp、gif等格式。</w:t>
      </w:r>
    </w:p>
    <w:p w14:paraId="140DC013">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(8)</w:t>
      </w:r>
      <w:r>
        <w:rPr>
          <w:rFonts w:hint="eastAsia" w:ascii="宋体" w:hAnsi="宋体" w:eastAsia="宋体" w:cs="宋体"/>
          <w:sz w:val="24"/>
          <w:szCs w:val="24"/>
        </w:rPr>
        <w:t>压缩包支持上传7z、rar、tar、zip等格式。</w:t>
      </w:r>
    </w:p>
    <w:p w14:paraId="32201007">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(9)</w:t>
      </w:r>
      <w:r>
        <w:rPr>
          <w:rFonts w:hint="eastAsia" w:ascii="宋体" w:hAnsi="宋体" w:eastAsia="宋体" w:cs="宋体"/>
          <w:sz w:val="24"/>
          <w:szCs w:val="24"/>
        </w:rPr>
        <w:t>支持包括各种文档、音频、视频、动画、图片的在线预览和播放。</w:t>
      </w:r>
    </w:p>
    <w:p w14:paraId="6797C3E5">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专业知识图谱</w:t>
      </w:r>
    </w:p>
    <w:p w14:paraId="540F0A03">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门户支持项目图谱和课程图谱的展示</w:t>
      </w:r>
    </w:p>
    <w:p w14:paraId="3A1AC4B9">
      <w:pPr>
        <w:pageBreakBefore w:val="0"/>
        <w:numPr>
          <w:ilvl w:val="0"/>
          <w:numId w:val="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在资源库门户显示资源库项目的专业技能图谱，课程页面显示该课程的图谱，并支持查看图谱关系结构；</w:t>
      </w:r>
    </w:p>
    <w:p w14:paraId="36818818">
      <w:pPr>
        <w:pageBreakBefore w:val="0"/>
        <w:numPr>
          <w:ilvl w:val="0"/>
          <w:numId w:val="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支持点击项目图谱内课程节点，并打开相应课程图谱；</w:t>
      </w:r>
    </w:p>
    <w:p w14:paraId="644E8AE4">
      <w:pPr>
        <w:pageBreakBefore w:val="0"/>
        <w:numPr>
          <w:ilvl w:val="0"/>
          <w:numId w:val="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支持在项目图谱、课程图谱内点击查看资源；</w:t>
      </w:r>
    </w:p>
    <w:p w14:paraId="589B5794">
      <w:pPr>
        <w:pageBreakBefore w:val="0"/>
        <w:numPr>
          <w:ilvl w:val="0"/>
          <w:numId w:val="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支持项目图谱和课程图谱搜索节点名称，搜索查找该节点的图谱路径详情；</w:t>
      </w:r>
    </w:p>
    <w:p w14:paraId="50B2B7D1">
      <w:pPr>
        <w:pageBreakBefore w:val="0"/>
        <w:numPr>
          <w:ilvl w:val="0"/>
          <w:numId w:val="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课程图谱支持按开课周期筛选，每期开课显示每期开课不同课程图谱。</w:t>
      </w:r>
    </w:p>
    <w:p w14:paraId="73FA5CF7">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资源库项目图谱管理</w:t>
      </w:r>
    </w:p>
    <w:p w14:paraId="2068ED2D">
      <w:pPr>
        <w:pageBreakBefore w:val="0"/>
        <w:numPr>
          <w:ilvl w:val="0"/>
          <w:numId w:val="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支持由资源库的项目知识技能树自动生成项目知识技能图谱，同步节点之间的包含关系。项目管理员管理项目图谱内各个课程之间的关系，支持查看、编辑图谱节点关系；</w:t>
      </w:r>
    </w:p>
    <w:p w14:paraId="0E25F35C">
      <w:pPr>
        <w:pageBreakBefore w:val="0"/>
        <w:numPr>
          <w:ilvl w:val="0"/>
          <w:numId w:val="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支持对已创建的项目图谱进行查看、缩放、导出等操作，并支持快速展开图谱层级节点，搜索查找该节点的图谱路径详情；</w:t>
      </w:r>
    </w:p>
    <w:p w14:paraId="60495559">
      <w:pPr>
        <w:pageBreakBefore w:val="0"/>
        <w:numPr>
          <w:ilvl w:val="0"/>
          <w:numId w:val="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可添加图谱内节点之间的先后、并列两种关系，添加关系快速搜索；</w:t>
      </w:r>
    </w:p>
    <w:p w14:paraId="0E32D7A1">
      <w:pPr>
        <w:pageBreakBefore w:val="0"/>
        <w:numPr>
          <w:ilvl w:val="0"/>
          <w:numId w:val="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支持查看当前节点下的全部素材、题库内容、类型、上传人等信息；</w:t>
      </w:r>
    </w:p>
    <w:p w14:paraId="100B9997">
      <w:pPr>
        <w:pageBreakBefore w:val="0"/>
        <w:numPr>
          <w:ilvl w:val="0"/>
          <w:numId w:val="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支持知识点答题情况查询，包括知识点下全部知识点学习情况，答题正确率，答题次数，和具体答题学生；</w:t>
      </w:r>
    </w:p>
    <w:p w14:paraId="344D0217">
      <w:pPr>
        <w:pageBreakBefore w:val="0"/>
        <w:numPr>
          <w:ilvl w:val="0"/>
          <w:numId w:val="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支持按学生搜索，查看某学生知识点学习情况。</w:t>
      </w:r>
    </w:p>
    <w:p w14:paraId="784149A9">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(3)</w:t>
      </w:r>
      <w:r>
        <w:rPr>
          <w:rFonts w:hint="eastAsia" w:ascii="宋体" w:hAnsi="宋体" w:eastAsia="宋体" w:cs="宋体"/>
          <w:sz w:val="24"/>
          <w:szCs w:val="24"/>
        </w:rPr>
        <w:t>课程图谱管理</w:t>
      </w:r>
    </w:p>
    <w:p w14:paraId="169F691F">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课程负责人负责创建和管理课程知识技能图谱，可对课程图谱结构进行查看、编辑、导出等操作；</w:t>
      </w:r>
    </w:p>
    <w:p w14:paraId="10048187">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支持对已创建的项目图谱进行查看、缩放、线条、连接点、刷新的操作，并支持快速展开图谱层级节点，搜索查找该节点的图谱路径详情；</w:t>
      </w:r>
    </w:p>
    <w:p w14:paraId="4FEA256F">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支持新增、删除、编辑课程图谱节点，包括节点上传相应资源，填写属性，知识点目标描述，编辑技能点；</w:t>
      </w:r>
    </w:p>
    <w:p w14:paraId="30635D52">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可添加图谱内节点之间的先后、并列两种关系；</w:t>
      </w:r>
    </w:p>
    <w:p w14:paraId="791D4C6B">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支持查看资源、查看题目，可以查看当前节点下的全部素材、题库内容、类型、上传人等信息；</w:t>
      </w:r>
    </w:p>
    <w:p w14:paraId="2A20A063">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支持知识点答题情况查询，包括知识点下全部知识点学习情况，答题正确率，答题次数，和具体答题学生；</w:t>
      </w:r>
    </w:p>
    <w:p w14:paraId="758C1029">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支持按学生搜索，查看当前某学生全部知识点学习情况；</w:t>
      </w:r>
    </w:p>
    <w:p w14:paraId="64E01BF0">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支持添加概述、引言、案例、知识点等节点标签。</w:t>
      </w:r>
    </w:p>
    <w:p w14:paraId="4914FE36">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highlight w:val="none"/>
        </w:rPr>
      </w:pPr>
      <w:r>
        <w:rPr>
          <w:rFonts w:hint="eastAsia" w:ascii="宋体" w:hAnsi="宋体" w:eastAsia="宋体" w:cs="宋体"/>
          <w:b w:val="0"/>
          <w:bCs/>
          <w:color w:val="auto"/>
          <w:kern w:val="2"/>
          <w:sz w:val="24"/>
          <w:szCs w:val="24"/>
          <w:highlight w:val="none"/>
          <w:u w:val="none"/>
          <w:lang w:val="en-US" w:eastAsia="zh-CN" w:bidi="ar-SA"/>
        </w:rPr>
        <w:t>支持依据该资源库下的课程信息自动生成课程知识图谱，同时支持以知识技能树、知识图谱、知识目录三种形式展示课程结构。</w:t>
      </w:r>
    </w:p>
    <w:p w14:paraId="55076ACA">
      <w:pPr>
        <w:pageBreakBefore w:val="0"/>
        <w:numPr>
          <w:ilvl w:val="0"/>
          <w:numId w:val="1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b w:val="0"/>
          <w:bCs/>
          <w:color w:val="auto"/>
          <w:kern w:val="2"/>
          <w:sz w:val="24"/>
          <w:szCs w:val="24"/>
          <w:highlight w:val="none"/>
          <w:u w:val="none"/>
          <w:lang w:val="en-US" w:eastAsia="zh-CN" w:bidi="ar-SA"/>
        </w:rPr>
        <w:t>支持对课程图谱结构进行编辑，包括添加节点、添加关系、添加节点描述、添加岗赛证信息、关联标签、搜索节点。</w:t>
      </w:r>
    </w:p>
    <w:p w14:paraId="67B7F48D">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kern w:val="2"/>
          <w:sz w:val="24"/>
          <w:szCs w:val="24"/>
          <w:lang w:val="en-US" w:eastAsia="zh-CN" w:bidi="ar-SA"/>
        </w:rPr>
        <w:t>(4)</w:t>
      </w:r>
      <w:r>
        <w:rPr>
          <w:rFonts w:hint="eastAsia" w:ascii="宋体" w:hAnsi="宋体" w:eastAsia="宋体" w:cs="宋体"/>
          <w:sz w:val="24"/>
          <w:szCs w:val="24"/>
        </w:rPr>
        <w:t>知识技能图谱学习</w:t>
      </w:r>
    </w:p>
    <w:p w14:paraId="5FF75E7B">
      <w:pPr>
        <w:pageBreakBefore w:val="0"/>
        <w:numPr>
          <w:ilvl w:val="0"/>
          <w:numId w:val="1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支持按开课周期选择需要学习的课程图谱；</w:t>
      </w:r>
    </w:p>
    <w:p w14:paraId="528E6F67">
      <w:pPr>
        <w:pageBreakBefore w:val="0"/>
        <w:numPr>
          <w:ilvl w:val="0"/>
          <w:numId w:val="1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支持根据图谱节点点击查看资源、学习节点下的课件资源；</w:t>
      </w:r>
    </w:p>
    <w:p w14:paraId="5ECBB73F">
      <w:pPr>
        <w:pageBreakBefore w:val="0"/>
        <w:numPr>
          <w:ilvl w:val="0"/>
          <w:numId w:val="1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可查看学习图谱内作业、考试、测验内容，显示当前操作人的作业考试已完成、未完成、已结止、重做等状态；</w:t>
      </w:r>
    </w:p>
    <w:p w14:paraId="4E1FF2EA">
      <w:pPr>
        <w:pageBreakBefore w:val="0"/>
        <w:numPr>
          <w:ilvl w:val="0"/>
          <w:numId w:val="1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搜索节点名称，可显示图谱路径详情，快速查找。</w:t>
      </w:r>
    </w:p>
    <w:p w14:paraId="69C4005D">
      <w:pPr>
        <w:pStyle w:val="6"/>
        <w:pageBreakBefore w:val="0"/>
        <w:widowControl w:val="0"/>
        <w:numPr>
          <w:ilvl w:val="0"/>
          <w:numId w:val="6"/>
        </w:numPr>
        <w:kinsoku/>
        <w:wordWrap/>
        <w:overflowPunct/>
        <w:topLinePunct w:val="0"/>
        <w:autoSpaceDE/>
        <w:autoSpaceDN/>
        <w:bidi w:val="0"/>
        <w:adjustRightInd w:val="0"/>
        <w:snapToGrid/>
        <w:spacing w:line="440" w:lineRule="exact"/>
        <w:ind w:left="0" w:leftChars="0" w:right="0" w:firstLine="480" w:firstLineChars="200"/>
        <w:jc w:val="both"/>
        <w:textAlignment w:val="baseline"/>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学习中心</w:t>
      </w:r>
    </w:p>
    <w:p w14:paraId="19B357B9">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2" w:firstLineChars="200"/>
        <w:jc w:val="both"/>
        <w:textAlignment w:val="baseline"/>
        <w:rPr>
          <w:rFonts w:ascii="黑体" w:hAnsi="黑体" w:eastAsia="黑体" w:cs="黑体"/>
          <w:color w:val="auto"/>
          <w:sz w:val="24"/>
          <w:szCs w:val="24"/>
        </w:rPr>
      </w:pPr>
      <w:r>
        <w:rPr>
          <w:color w:val="auto"/>
          <w:spacing w:val="-2"/>
          <w:sz w:val="24"/>
          <w:szCs w:val="24"/>
        </w:rPr>
        <w:t>(1)</w:t>
      </w:r>
      <w:r>
        <w:rPr>
          <w:rFonts w:hint="eastAsia"/>
          <w:color w:val="auto"/>
          <w:spacing w:val="-2"/>
          <w:sz w:val="24"/>
          <w:szCs w:val="24"/>
          <w:lang w:val="en-US" w:eastAsia="zh-CN"/>
        </w:rPr>
        <w:t>在</w:t>
      </w:r>
      <w:r>
        <w:rPr>
          <w:color w:val="auto"/>
          <w:spacing w:val="-2"/>
          <w:sz w:val="24"/>
          <w:szCs w:val="24"/>
        </w:rPr>
        <w:t>我的课程</w:t>
      </w:r>
      <w:r>
        <w:rPr>
          <w:rFonts w:hint="eastAsia"/>
          <w:color w:val="auto"/>
          <w:spacing w:val="-2"/>
          <w:sz w:val="24"/>
          <w:szCs w:val="24"/>
          <w:lang w:val="en-US" w:eastAsia="zh-CN"/>
        </w:rPr>
        <w:t>中</w:t>
      </w:r>
      <w:r>
        <w:rPr>
          <w:color w:val="auto"/>
          <w:spacing w:val="-2"/>
          <w:sz w:val="24"/>
          <w:szCs w:val="24"/>
        </w:rPr>
        <w:t>，</w:t>
      </w:r>
      <w:r>
        <w:rPr>
          <w:rFonts w:hint="eastAsia"/>
          <w:color w:val="auto"/>
          <w:spacing w:val="-2"/>
          <w:sz w:val="24"/>
          <w:szCs w:val="24"/>
          <w:lang w:val="en-US" w:eastAsia="zh-CN"/>
        </w:rPr>
        <w:t>支持</w:t>
      </w:r>
      <w:r>
        <w:rPr>
          <w:color w:val="auto"/>
          <w:spacing w:val="-2"/>
          <w:sz w:val="24"/>
          <w:szCs w:val="24"/>
        </w:rPr>
        <w:t>已经添加的课程展示，可以对在修课程和已修课程进行管理、学</w:t>
      </w:r>
      <w:r>
        <w:rPr>
          <w:rFonts w:ascii="黑体" w:hAnsi="黑体" w:eastAsia="黑体" w:cs="黑体"/>
          <w:color w:val="auto"/>
          <w:spacing w:val="-18"/>
          <w:sz w:val="24"/>
          <w:szCs w:val="24"/>
        </w:rPr>
        <w:t>习。</w:t>
      </w:r>
    </w:p>
    <w:p w14:paraId="194E8705">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56" w:firstLineChars="200"/>
        <w:jc w:val="both"/>
        <w:textAlignment w:val="baseline"/>
        <w:rPr>
          <w:color w:val="auto"/>
          <w:sz w:val="25"/>
          <w:szCs w:val="25"/>
        </w:rPr>
      </w:pPr>
      <w:r>
        <w:rPr>
          <w:color w:val="auto"/>
          <w:spacing w:val="-11"/>
          <w:sz w:val="25"/>
          <w:szCs w:val="25"/>
        </w:rPr>
        <w:t>(2)</w:t>
      </w:r>
      <w:r>
        <w:rPr>
          <w:rFonts w:hint="eastAsia"/>
          <w:color w:val="auto"/>
          <w:spacing w:val="14"/>
          <w:sz w:val="25"/>
          <w:szCs w:val="25"/>
          <w:lang w:val="en-US" w:eastAsia="zh-CN"/>
        </w:rPr>
        <w:t>在</w:t>
      </w:r>
      <w:r>
        <w:rPr>
          <w:color w:val="auto"/>
          <w:spacing w:val="-11"/>
          <w:sz w:val="25"/>
          <w:szCs w:val="25"/>
        </w:rPr>
        <w:t>待答作业</w:t>
      </w:r>
      <w:r>
        <w:rPr>
          <w:rFonts w:hint="eastAsia"/>
          <w:color w:val="auto"/>
          <w:spacing w:val="-11"/>
          <w:sz w:val="25"/>
          <w:szCs w:val="25"/>
          <w:lang w:val="en-US" w:eastAsia="zh-CN"/>
        </w:rPr>
        <w:t>中</w:t>
      </w:r>
      <w:r>
        <w:rPr>
          <w:color w:val="auto"/>
          <w:spacing w:val="-11"/>
          <w:sz w:val="25"/>
          <w:szCs w:val="25"/>
        </w:rPr>
        <w:t>，</w:t>
      </w:r>
      <w:r>
        <w:rPr>
          <w:rFonts w:hint="eastAsia"/>
          <w:color w:val="auto"/>
          <w:spacing w:val="-11"/>
          <w:sz w:val="25"/>
          <w:szCs w:val="25"/>
          <w:lang w:val="en-US" w:eastAsia="zh-CN"/>
        </w:rPr>
        <w:t>支持</w:t>
      </w:r>
      <w:r>
        <w:rPr>
          <w:color w:val="auto"/>
          <w:spacing w:val="-11"/>
          <w:sz w:val="25"/>
          <w:szCs w:val="25"/>
        </w:rPr>
        <w:t>学生可以对自己的作业进行作答</w:t>
      </w:r>
      <w:r>
        <w:rPr>
          <w:color w:val="auto"/>
          <w:spacing w:val="-12"/>
          <w:sz w:val="25"/>
          <w:szCs w:val="25"/>
        </w:rPr>
        <w:t>、查看。</w:t>
      </w:r>
    </w:p>
    <w:p w14:paraId="086BB6B7">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64" w:firstLineChars="200"/>
        <w:jc w:val="both"/>
        <w:textAlignment w:val="baseline"/>
        <w:rPr>
          <w:color w:val="auto"/>
          <w:sz w:val="25"/>
          <w:szCs w:val="25"/>
        </w:rPr>
      </w:pPr>
      <w:r>
        <w:rPr>
          <w:color w:val="auto"/>
          <w:spacing w:val="-9"/>
          <w:sz w:val="25"/>
          <w:szCs w:val="25"/>
        </w:rPr>
        <w:t>(3)</w:t>
      </w:r>
      <w:r>
        <w:rPr>
          <w:rFonts w:hint="eastAsia"/>
          <w:color w:val="auto"/>
          <w:spacing w:val="-9"/>
          <w:sz w:val="25"/>
          <w:szCs w:val="25"/>
          <w:lang w:val="en-US" w:eastAsia="zh-CN"/>
        </w:rPr>
        <w:t>在</w:t>
      </w:r>
      <w:r>
        <w:rPr>
          <w:color w:val="auto"/>
          <w:spacing w:val="-9"/>
          <w:sz w:val="25"/>
          <w:szCs w:val="25"/>
        </w:rPr>
        <w:t>待答考试</w:t>
      </w:r>
      <w:r>
        <w:rPr>
          <w:rFonts w:hint="eastAsia"/>
          <w:color w:val="auto"/>
          <w:spacing w:val="-9"/>
          <w:sz w:val="25"/>
          <w:szCs w:val="25"/>
          <w:lang w:val="en-US" w:eastAsia="zh-CN"/>
        </w:rPr>
        <w:t>中</w:t>
      </w:r>
      <w:r>
        <w:rPr>
          <w:color w:val="auto"/>
          <w:spacing w:val="-9"/>
          <w:sz w:val="25"/>
          <w:szCs w:val="25"/>
        </w:rPr>
        <w:t>，</w:t>
      </w:r>
      <w:r>
        <w:rPr>
          <w:rFonts w:hint="eastAsia"/>
          <w:color w:val="auto"/>
          <w:spacing w:val="-9"/>
          <w:sz w:val="25"/>
          <w:szCs w:val="25"/>
          <w:lang w:val="en-US" w:eastAsia="zh-CN"/>
        </w:rPr>
        <w:t>支持</w:t>
      </w:r>
      <w:r>
        <w:rPr>
          <w:color w:val="auto"/>
          <w:spacing w:val="-9"/>
          <w:sz w:val="25"/>
          <w:szCs w:val="25"/>
        </w:rPr>
        <w:t>学生可以对自己的考试进行作答、查看。</w:t>
      </w:r>
    </w:p>
    <w:p w14:paraId="15DA1FC3">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68" w:firstLineChars="200"/>
        <w:jc w:val="both"/>
        <w:textAlignment w:val="baseline"/>
        <w:rPr>
          <w:rFonts w:hint="eastAsia"/>
          <w:color w:val="auto"/>
          <w:spacing w:val="-3"/>
          <w:sz w:val="24"/>
          <w:szCs w:val="24"/>
          <w:lang w:eastAsia="zh-CN"/>
        </w:rPr>
      </w:pPr>
      <w:r>
        <w:rPr>
          <w:color w:val="auto"/>
          <w:spacing w:val="-3"/>
          <w:sz w:val="24"/>
          <w:szCs w:val="24"/>
        </w:rPr>
        <w:t>(4)</w:t>
      </w:r>
      <w:r>
        <w:rPr>
          <w:rFonts w:hint="eastAsia"/>
          <w:color w:val="auto"/>
          <w:spacing w:val="25"/>
          <w:sz w:val="24"/>
          <w:szCs w:val="24"/>
          <w:lang w:val="en-US" w:eastAsia="zh-CN"/>
        </w:rPr>
        <w:t>在</w:t>
      </w:r>
      <w:r>
        <w:rPr>
          <w:color w:val="auto"/>
          <w:spacing w:val="-3"/>
          <w:sz w:val="24"/>
          <w:szCs w:val="24"/>
        </w:rPr>
        <w:t>消息通知</w:t>
      </w:r>
      <w:r>
        <w:rPr>
          <w:rFonts w:hint="eastAsia"/>
          <w:color w:val="auto"/>
          <w:spacing w:val="-3"/>
          <w:sz w:val="24"/>
          <w:szCs w:val="24"/>
          <w:lang w:val="en-US" w:eastAsia="zh-CN"/>
        </w:rPr>
        <w:t>中</w:t>
      </w:r>
      <w:r>
        <w:rPr>
          <w:color w:val="auto"/>
          <w:spacing w:val="-3"/>
          <w:sz w:val="24"/>
          <w:szCs w:val="24"/>
        </w:rPr>
        <w:t>，</w:t>
      </w:r>
      <w:r>
        <w:rPr>
          <w:rFonts w:hint="eastAsia"/>
          <w:color w:val="auto"/>
          <w:spacing w:val="-3"/>
          <w:sz w:val="24"/>
          <w:szCs w:val="24"/>
          <w:lang w:val="en-US" w:eastAsia="zh-CN"/>
        </w:rPr>
        <w:t>支持</w:t>
      </w:r>
      <w:r>
        <w:rPr>
          <w:color w:val="auto"/>
          <w:spacing w:val="-3"/>
          <w:sz w:val="24"/>
          <w:szCs w:val="24"/>
        </w:rPr>
        <w:t>查询消息通知详情、标记为全部已读</w:t>
      </w:r>
      <w:r>
        <w:rPr>
          <w:rFonts w:hint="eastAsia"/>
          <w:color w:val="auto"/>
          <w:spacing w:val="-3"/>
          <w:sz w:val="24"/>
          <w:szCs w:val="24"/>
          <w:lang w:eastAsia="zh-CN"/>
        </w:rPr>
        <w:t>。</w:t>
      </w:r>
    </w:p>
    <w:p w14:paraId="7C19C83B">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68" w:firstLineChars="200"/>
        <w:jc w:val="both"/>
        <w:textAlignment w:val="baseline"/>
        <w:rPr>
          <w:rFonts w:hint="eastAsia" w:ascii="宋体" w:hAnsi="宋体" w:eastAsia="宋体" w:cs="宋体"/>
          <w:color w:val="auto"/>
          <w:sz w:val="24"/>
          <w:szCs w:val="24"/>
        </w:rPr>
      </w:pPr>
      <w:r>
        <w:rPr>
          <w:color w:val="auto"/>
          <w:spacing w:val="-3"/>
          <w:sz w:val="24"/>
          <w:szCs w:val="24"/>
        </w:rPr>
        <w:t>(5</w:t>
      </w:r>
      <w:r>
        <w:rPr>
          <w:rFonts w:hint="eastAsia"/>
          <w:color w:val="auto"/>
          <w:spacing w:val="-3"/>
          <w:sz w:val="24"/>
          <w:szCs w:val="24"/>
          <w:lang w:eastAsia="zh-CN"/>
        </w:rPr>
        <w:t>）</w:t>
      </w:r>
      <w:r>
        <w:rPr>
          <w:rFonts w:hint="eastAsia"/>
          <w:color w:val="auto"/>
          <w:spacing w:val="-3"/>
          <w:sz w:val="24"/>
          <w:szCs w:val="24"/>
          <w:lang w:val="en-US" w:eastAsia="zh-CN"/>
        </w:rPr>
        <w:t>在</w:t>
      </w:r>
      <w:r>
        <w:rPr>
          <w:color w:val="auto"/>
          <w:spacing w:val="-3"/>
          <w:sz w:val="24"/>
          <w:szCs w:val="24"/>
        </w:rPr>
        <w:t>我的收藏</w:t>
      </w:r>
      <w:r>
        <w:rPr>
          <w:rFonts w:hint="eastAsia"/>
          <w:color w:val="auto"/>
          <w:spacing w:val="-3"/>
          <w:sz w:val="24"/>
          <w:szCs w:val="24"/>
          <w:lang w:val="en-US" w:eastAsia="zh-CN"/>
        </w:rPr>
        <w:t>中</w:t>
      </w:r>
      <w:r>
        <w:rPr>
          <w:color w:val="auto"/>
          <w:spacing w:val="-3"/>
          <w:sz w:val="24"/>
          <w:szCs w:val="24"/>
        </w:rPr>
        <w:t>，</w:t>
      </w:r>
      <w:r>
        <w:rPr>
          <w:rFonts w:hint="eastAsia"/>
          <w:color w:val="auto"/>
          <w:spacing w:val="-3"/>
          <w:sz w:val="24"/>
          <w:szCs w:val="24"/>
          <w:lang w:val="en-US" w:eastAsia="zh-CN"/>
        </w:rPr>
        <w:t>支持</w:t>
      </w:r>
      <w:r>
        <w:rPr>
          <w:color w:val="auto"/>
          <w:spacing w:val="-3"/>
          <w:sz w:val="24"/>
          <w:szCs w:val="24"/>
        </w:rPr>
        <w:t>对收藏的课程和素材资源进行查看、删除的管理。</w:t>
      </w:r>
    </w:p>
    <w:p w14:paraId="62A105C9">
      <w:pPr>
        <w:pStyle w:val="6"/>
        <w:keepNext w:val="0"/>
        <w:keepLines w:val="0"/>
        <w:pageBreakBefore w:val="0"/>
        <w:widowControl w:val="0"/>
        <w:numPr>
          <w:ilvl w:val="0"/>
          <w:numId w:val="6"/>
        </w:numPr>
        <w:kinsoku/>
        <w:wordWrap/>
        <w:overflowPunct/>
        <w:topLinePunct w:val="0"/>
        <w:autoSpaceDE/>
        <w:autoSpaceDN/>
        <w:bidi w:val="0"/>
        <w:adjustRightInd w:val="0"/>
        <w:snapToGrid/>
        <w:spacing w:line="440" w:lineRule="exact"/>
        <w:ind w:left="0" w:leftChars="0" w:right="0" w:firstLine="480" w:firstLineChars="200"/>
        <w:jc w:val="both"/>
        <w:textAlignment w:val="baseline"/>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虚拟智慧教研室</w:t>
      </w:r>
    </w:p>
    <w:p w14:paraId="3E636DAE">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68" w:firstLineChars="200"/>
        <w:jc w:val="both"/>
        <w:textAlignment w:val="baseline"/>
        <w:rPr>
          <w:color w:val="auto"/>
          <w:sz w:val="24"/>
          <w:szCs w:val="24"/>
        </w:rPr>
      </w:pPr>
      <w:r>
        <w:rPr>
          <w:color w:val="auto"/>
          <w:spacing w:val="-3"/>
          <w:sz w:val="24"/>
          <w:szCs w:val="24"/>
        </w:rPr>
        <w:t>(1)资源库教研室管理员后台管理</w:t>
      </w:r>
    </w:p>
    <w:p w14:paraId="4A530656">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16" w:firstLineChars="200"/>
        <w:jc w:val="both"/>
        <w:textAlignment w:val="baseline"/>
        <w:rPr>
          <w:color w:val="auto"/>
          <w:sz w:val="24"/>
          <w:szCs w:val="24"/>
        </w:rPr>
      </w:pPr>
      <w:r>
        <w:rPr>
          <w:color w:val="auto"/>
          <w:spacing w:val="9"/>
          <w:sz w:val="24"/>
          <w:szCs w:val="24"/>
        </w:rPr>
        <w:t>①</w:t>
      </w:r>
      <w:r>
        <w:rPr>
          <w:rFonts w:hint="eastAsia"/>
          <w:color w:val="auto"/>
          <w:spacing w:val="9"/>
          <w:sz w:val="24"/>
          <w:szCs w:val="24"/>
          <w:lang w:val="en-US" w:eastAsia="zh-CN"/>
        </w:rPr>
        <w:t>支持</w:t>
      </w:r>
      <w:r>
        <w:rPr>
          <w:color w:val="auto"/>
          <w:spacing w:val="9"/>
          <w:sz w:val="24"/>
          <w:szCs w:val="24"/>
        </w:rPr>
        <w:t>完善教研室信息，编辑修改教研室信息；</w:t>
      </w:r>
    </w:p>
    <w:p w14:paraId="7CA84D71">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08" w:firstLineChars="200"/>
        <w:jc w:val="both"/>
        <w:textAlignment w:val="baseline"/>
        <w:rPr>
          <w:color w:val="auto"/>
          <w:sz w:val="24"/>
          <w:szCs w:val="24"/>
        </w:rPr>
      </w:pPr>
      <w:r>
        <w:rPr>
          <w:color w:val="auto"/>
          <w:spacing w:val="7"/>
          <w:sz w:val="24"/>
          <w:szCs w:val="24"/>
        </w:rPr>
        <w:t>②</w:t>
      </w:r>
      <w:r>
        <w:rPr>
          <w:rFonts w:hint="eastAsia"/>
          <w:color w:val="auto"/>
          <w:spacing w:val="7"/>
          <w:sz w:val="24"/>
          <w:szCs w:val="24"/>
          <w:lang w:val="en-US" w:eastAsia="zh-CN"/>
        </w:rPr>
        <w:t>在</w:t>
      </w:r>
      <w:r>
        <w:rPr>
          <w:color w:val="auto"/>
          <w:spacing w:val="7"/>
          <w:sz w:val="24"/>
          <w:szCs w:val="24"/>
        </w:rPr>
        <w:t>加入管理</w:t>
      </w:r>
      <w:r>
        <w:rPr>
          <w:rFonts w:hint="eastAsia"/>
          <w:color w:val="auto"/>
          <w:spacing w:val="7"/>
          <w:sz w:val="24"/>
          <w:szCs w:val="24"/>
          <w:lang w:val="en-US" w:eastAsia="zh-CN"/>
        </w:rPr>
        <w:t>中</w:t>
      </w:r>
      <w:r>
        <w:rPr>
          <w:color w:val="auto"/>
          <w:spacing w:val="7"/>
          <w:sz w:val="24"/>
          <w:szCs w:val="24"/>
        </w:rPr>
        <w:t>，</w:t>
      </w:r>
      <w:r>
        <w:rPr>
          <w:rFonts w:hint="eastAsia"/>
          <w:color w:val="auto"/>
          <w:spacing w:val="7"/>
          <w:sz w:val="24"/>
          <w:szCs w:val="24"/>
          <w:lang w:val="en-US" w:eastAsia="zh-CN"/>
        </w:rPr>
        <w:t>支持</w:t>
      </w:r>
      <w:r>
        <w:rPr>
          <w:color w:val="auto"/>
          <w:spacing w:val="7"/>
          <w:sz w:val="24"/>
          <w:szCs w:val="24"/>
        </w:rPr>
        <w:t>设置加入方式、分享二维码生成、申请加入审核；</w:t>
      </w:r>
    </w:p>
    <w:p w14:paraId="32F595B6">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08" w:firstLineChars="200"/>
        <w:jc w:val="both"/>
        <w:textAlignment w:val="baseline"/>
        <w:rPr>
          <w:color w:val="auto"/>
          <w:sz w:val="24"/>
          <w:szCs w:val="24"/>
        </w:rPr>
      </w:pPr>
      <w:r>
        <w:rPr>
          <w:color w:val="auto"/>
          <w:spacing w:val="7"/>
          <w:sz w:val="24"/>
          <w:szCs w:val="24"/>
        </w:rPr>
        <w:t>③</w:t>
      </w:r>
      <w:r>
        <w:rPr>
          <w:rFonts w:hint="eastAsia"/>
          <w:color w:val="auto"/>
          <w:spacing w:val="7"/>
          <w:sz w:val="24"/>
          <w:szCs w:val="24"/>
          <w:lang w:val="en-US" w:eastAsia="zh-CN"/>
        </w:rPr>
        <w:t>在</w:t>
      </w:r>
      <w:r>
        <w:rPr>
          <w:color w:val="auto"/>
          <w:spacing w:val="7"/>
          <w:sz w:val="24"/>
          <w:szCs w:val="24"/>
        </w:rPr>
        <w:t>成员管理</w:t>
      </w:r>
      <w:r>
        <w:rPr>
          <w:rFonts w:hint="eastAsia"/>
          <w:color w:val="auto"/>
          <w:spacing w:val="7"/>
          <w:sz w:val="24"/>
          <w:szCs w:val="24"/>
          <w:lang w:val="en-US" w:eastAsia="zh-CN"/>
        </w:rPr>
        <w:t>中</w:t>
      </w:r>
      <w:r>
        <w:rPr>
          <w:color w:val="auto"/>
          <w:spacing w:val="7"/>
          <w:sz w:val="24"/>
          <w:szCs w:val="24"/>
        </w:rPr>
        <w:t>，</w:t>
      </w:r>
      <w:r>
        <w:rPr>
          <w:rFonts w:hint="eastAsia"/>
          <w:color w:val="auto"/>
          <w:spacing w:val="7"/>
          <w:sz w:val="24"/>
          <w:szCs w:val="24"/>
          <w:lang w:val="en-US" w:eastAsia="zh-CN"/>
        </w:rPr>
        <w:t>支持</w:t>
      </w:r>
      <w:r>
        <w:rPr>
          <w:color w:val="auto"/>
          <w:spacing w:val="7"/>
          <w:sz w:val="24"/>
          <w:szCs w:val="24"/>
        </w:rPr>
        <w:t>批量用户权设置、成员设置管理权限、移除用户；</w:t>
      </w:r>
    </w:p>
    <w:p w14:paraId="3714C3BF">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08" w:firstLineChars="200"/>
        <w:jc w:val="both"/>
        <w:textAlignment w:val="baseline"/>
        <w:rPr>
          <w:color w:val="auto"/>
          <w:sz w:val="24"/>
          <w:szCs w:val="24"/>
        </w:rPr>
      </w:pPr>
      <w:r>
        <w:rPr>
          <w:color w:val="auto"/>
          <w:spacing w:val="7"/>
          <w:sz w:val="24"/>
          <w:szCs w:val="24"/>
        </w:rPr>
        <w:t>④</w:t>
      </w:r>
      <w:r>
        <w:rPr>
          <w:rFonts w:hint="eastAsia"/>
          <w:color w:val="auto"/>
          <w:spacing w:val="7"/>
          <w:sz w:val="24"/>
          <w:szCs w:val="24"/>
          <w:lang w:val="en-US" w:eastAsia="zh-CN"/>
        </w:rPr>
        <w:t>在</w:t>
      </w:r>
      <w:r>
        <w:rPr>
          <w:color w:val="auto"/>
          <w:spacing w:val="7"/>
          <w:sz w:val="24"/>
          <w:szCs w:val="24"/>
        </w:rPr>
        <w:t>通知公告</w:t>
      </w:r>
      <w:r>
        <w:rPr>
          <w:rFonts w:hint="eastAsia"/>
          <w:color w:val="auto"/>
          <w:spacing w:val="7"/>
          <w:sz w:val="24"/>
          <w:szCs w:val="24"/>
          <w:lang w:val="en-US" w:eastAsia="zh-CN"/>
        </w:rPr>
        <w:t>中</w:t>
      </w:r>
      <w:r>
        <w:rPr>
          <w:color w:val="auto"/>
          <w:spacing w:val="7"/>
          <w:sz w:val="24"/>
          <w:szCs w:val="24"/>
        </w:rPr>
        <w:t>，</w:t>
      </w:r>
      <w:r>
        <w:rPr>
          <w:rFonts w:hint="eastAsia"/>
          <w:color w:val="auto"/>
          <w:spacing w:val="7"/>
          <w:sz w:val="24"/>
          <w:szCs w:val="24"/>
          <w:lang w:val="en-US" w:eastAsia="zh-CN"/>
        </w:rPr>
        <w:t>支持</w:t>
      </w:r>
      <w:r>
        <w:rPr>
          <w:color w:val="auto"/>
          <w:spacing w:val="7"/>
          <w:sz w:val="24"/>
          <w:szCs w:val="24"/>
        </w:rPr>
        <w:t>发布教研室通知公告，增、删、改、查、发布功能；</w:t>
      </w:r>
    </w:p>
    <w:p w14:paraId="0BBE42FA">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2" w:firstLineChars="200"/>
        <w:jc w:val="both"/>
        <w:textAlignment w:val="baseline"/>
        <w:rPr>
          <w:color w:val="auto"/>
          <w:sz w:val="24"/>
          <w:szCs w:val="24"/>
        </w:rPr>
      </w:pPr>
      <w:r>
        <w:rPr>
          <w:color w:val="auto"/>
          <w:spacing w:val="-2"/>
          <w:sz w:val="24"/>
          <w:szCs w:val="24"/>
        </w:rPr>
        <w:t>⑤</w:t>
      </w:r>
      <w:r>
        <w:rPr>
          <w:rFonts w:hint="eastAsia"/>
          <w:color w:val="auto"/>
          <w:spacing w:val="-2"/>
          <w:sz w:val="24"/>
          <w:szCs w:val="24"/>
          <w:lang w:val="en-US" w:eastAsia="zh-CN"/>
        </w:rPr>
        <w:t>在</w:t>
      </w:r>
      <w:r>
        <w:rPr>
          <w:color w:val="auto"/>
          <w:spacing w:val="-2"/>
          <w:sz w:val="24"/>
          <w:szCs w:val="24"/>
        </w:rPr>
        <w:t>群发通知</w:t>
      </w:r>
      <w:r>
        <w:rPr>
          <w:rFonts w:hint="eastAsia"/>
          <w:color w:val="auto"/>
          <w:spacing w:val="-2"/>
          <w:sz w:val="24"/>
          <w:szCs w:val="24"/>
          <w:lang w:val="en-US" w:eastAsia="zh-CN"/>
        </w:rPr>
        <w:t>中</w:t>
      </w:r>
      <w:r>
        <w:rPr>
          <w:color w:val="auto"/>
          <w:spacing w:val="-2"/>
          <w:sz w:val="24"/>
          <w:szCs w:val="24"/>
        </w:rPr>
        <w:t>，</w:t>
      </w:r>
      <w:r>
        <w:rPr>
          <w:rFonts w:hint="eastAsia"/>
          <w:color w:val="auto"/>
          <w:spacing w:val="-2"/>
          <w:sz w:val="24"/>
          <w:szCs w:val="24"/>
          <w:lang w:val="en-US" w:eastAsia="zh-CN"/>
        </w:rPr>
        <w:t>支持</w:t>
      </w:r>
      <w:r>
        <w:rPr>
          <w:color w:val="auto"/>
          <w:spacing w:val="-2"/>
          <w:sz w:val="24"/>
          <w:szCs w:val="24"/>
        </w:rPr>
        <w:t>新增、群发、预览、编辑、删除功能；</w:t>
      </w:r>
    </w:p>
    <w:p w14:paraId="48BF9208">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12" w:firstLineChars="200"/>
        <w:jc w:val="both"/>
        <w:textAlignment w:val="baseline"/>
        <w:rPr>
          <w:color w:val="auto"/>
          <w:sz w:val="24"/>
          <w:szCs w:val="24"/>
        </w:rPr>
      </w:pPr>
      <w:r>
        <w:rPr>
          <w:color w:val="auto"/>
          <w:spacing w:val="8"/>
          <w:sz w:val="24"/>
          <w:szCs w:val="24"/>
        </w:rPr>
        <w:t>⑥</w:t>
      </w:r>
      <w:r>
        <w:rPr>
          <w:rFonts w:hint="eastAsia"/>
          <w:color w:val="auto"/>
          <w:spacing w:val="8"/>
          <w:sz w:val="24"/>
          <w:szCs w:val="24"/>
          <w:lang w:val="en-US" w:eastAsia="zh-CN"/>
        </w:rPr>
        <w:t>在</w:t>
      </w:r>
      <w:r>
        <w:rPr>
          <w:color w:val="auto"/>
          <w:spacing w:val="8"/>
          <w:sz w:val="24"/>
          <w:szCs w:val="24"/>
        </w:rPr>
        <w:t>资源管理</w:t>
      </w:r>
      <w:r>
        <w:rPr>
          <w:rFonts w:hint="eastAsia"/>
          <w:color w:val="auto"/>
          <w:spacing w:val="8"/>
          <w:sz w:val="24"/>
          <w:szCs w:val="24"/>
          <w:lang w:val="en-US" w:eastAsia="zh-CN"/>
        </w:rPr>
        <w:t>中</w:t>
      </w:r>
      <w:r>
        <w:rPr>
          <w:color w:val="auto"/>
          <w:spacing w:val="8"/>
          <w:sz w:val="24"/>
          <w:szCs w:val="24"/>
        </w:rPr>
        <w:t>，</w:t>
      </w:r>
      <w:r>
        <w:rPr>
          <w:rFonts w:hint="eastAsia"/>
          <w:color w:val="auto"/>
          <w:spacing w:val="8"/>
          <w:sz w:val="24"/>
          <w:szCs w:val="24"/>
          <w:lang w:val="en-US" w:eastAsia="zh-CN"/>
        </w:rPr>
        <w:t>支持</w:t>
      </w:r>
      <w:r>
        <w:rPr>
          <w:color w:val="auto"/>
          <w:spacing w:val="8"/>
          <w:sz w:val="24"/>
          <w:szCs w:val="24"/>
        </w:rPr>
        <w:t>资源审核、下载、预览、删除、查询功</w:t>
      </w:r>
      <w:r>
        <w:rPr>
          <w:color w:val="auto"/>
          <w:spacing w:val="7"/>
          <w:sz w:val="24"/>
          <w:szCs w:val="24"/>
        </w:rPr>
        <w:t>能；</w:t>
      </w:r>
    </w:p>
    <w:p w14:paraId="3A9D9D52">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6" w:firstLineChars="200"/>
        <w:jc w:val="both"/>
        <w:textAlignment w:val="baseline"/>
        <w:rPr>
          <w:color w:val="auto"/>
          <w:sz w:val="24"/>
          <w:szCs w:val="24"/>
        </w:rPr>
      </w:pPr>
      <w:r>
        <w:rPr>
          <w:color w:val="auto"/>
          <w:spacing w:val="-1"/>
          <w:sz w:val="24"/>
          <w:szCs w:val="24"/>
        </w:rPr>
        <w:t>⑦</w:t>
      </w:r>
      <w:r>
        <w:rPr>
          <w:rFonts w:hint="eastAsia"/>
          <w:color w:val="auto"/>
          <w:spacing w:val="-1"/>
          <w:sz w:val="24"/>
          <w:szCs w:val="24"/>
          <w:lang w:val="en-US" w:eastAsia="zh-CN"/>
        </w:rPr>
        <w:t>支持</w:t>
      </w:r>
      <w:r>
        <w:rPr>
          <w:color w:val="auto"/>
          <w:spacing w:val="-1"/>
          <w:sz w:val="24"/>
          <w:szCs w:val="24"/>
        </w:rPr>
        <w:t>课程负责人每天可以创建并发布听评课管理活动、设置打分区间，</w:t>
      </w:r>
      <w:r>
        <w:rPr>
          <w:color w:val="auto"/>
          <w:spacing w:val="-2"/>
          <w:sz w:val="24"/>
          <w:szCs w:val="24"/>
        </w:rPr>
        <w:t>指定听评课</w:t>
      </w:r>
      <w:r>
        <w:rPr>
          <w:color w:val="auto"/>
          <w:sz w:val="24"/>
          <w:szCs w:val="24"/>
        </w:rPr>
        <w:t xml:space="preserve"> </w:t>
      </w:r>
      <w:r>
        <w:rPr>
          <w:color w:val="auto"/>
          <w:spacing w:val="1"/>
          <w:sz w:val="24"/>
          <w:szCs w:val="24"/>
        </w:rPr>
        <w:t>专家≥5人，查看评课人完成情况；</w:t>
      </w:r>
    </w:p>
    <w:p w14:paraId="66DCFD6F">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88" w:firstLineChars="200"/>
        <w:jc w:val="both"/>
        <w:textAlignment w:val="baseline"/>
        <w:rPr>
          <w:color w:val="auto"/>
          <w:sz w:val="24"/>
          <w:szCs w:val="24"/>
        </w:rPr>
      </w:pPr>
      <w:r>
        <w:rPr>
          <w:color w:val="auto"/>
          <w:spacing w:val="2"/>
          <w:sz w:val="24"/>
          <w:szCs w:val="24"/>
        </w:rPr>
        <w:t>⑧</w:t>
      </w:r>
      <w:r>
        <w:rPr>
          <w:rFonts w:hint="eastAsia"/>
          <w:color w:val="auto"/>
          <w:spacing w:val="2"/>
          <w:sz w:val="24"/>
          <w:szCs w:val="24"/>
          <w:lang w:val="en-US" w:eastAsia="zh-CN"/>
        </w:rPr>
        <w:t>在</w:t>
      </w:r>
      <w:r>
        <w:rPr>
          <w:color w:val="auto"/>
          <w:spacing w:val="2"/>
          <w:sz w:val="24"/>
          <w:szCs w:val="24"/>
        </w:rPr>
        <w:t>教研任务</w:t>
      </w:r>
      <w:r>
        <w:rPr>
          <w:rFonts w:hint="eastAsia"/>
          <w:color w:val="auto"/>
          <w:spacing w:val="2"/>
          <w:sz w:val="24"/>
          <w:szCs w:val="24"/>
          <w:lang w:val="en-US" w:eastAsia="zh-CN"/>
        </w:rPr>
        <w:t>中</w:t>
      </w:r>
      <w:r>
        <w:rPr>
          <w:color w:val="auto"/>
          <w:spacing w:val="2"/>
          <w:sz w:val="24"/>
          <w:szCs w:val="24"/>
        </w:rPr>
        <w:t>，支持周任务排期表、月任务排期表；同时进行≥3个任务的创建并</w:t>
      </w:r>
      <w:r>
        <w:rPr>
          <w:color w:val="auto"/>
          <w:spacing w:val="5"/>
          <w:sz w:val="24"/>
          <w:szCs w:val="24"/>
        </w:rPr>
        <w:t xml:space="preserve"> </w:t>
      </w:r>
      <w:r>
        <w:rPr>
          <w:color w:val="auto"/>
          <w:spacing w:val="-3"/>
          <w:sz w:val="24"/>
          <w:szCs w:val="24"/>
        </w:rPr>
        <w:t>发布通知、附件、资源等类型任务；任务查看详情管理；</w:t>
      </w:r>
    </w:p>
    <w:p w14:paraId="0F334A28">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6" w:firstLineChars="200"/>
        <w:jc w:val="both"/>
        <w:textAlignment w:val="baseline"/>
        <w:rPr>
          <w:color w:val="auto"/>
          <w:sz w:val="24"/>
          <w:szCs w:val="24"/>
        </w:rPr>
      </w:pPr>
      <w:r>
        <w:rPr>
          <w:color w:val="auto"/>
          <w:spacing w:val="-1"/>
          <w:sz w:val="24"/>
          <w:szCs w:val="24"/>
        </w:rPr>
        <w:t>⑨</w:t>
      </w:r>
      <w:r>
        <w:rPr>
          <w:rFonts w:hint="eastAsia"/>
          <w:color w:val="auto"/>
          <w:spacing w:val="-1"/>
          <w:sz w:val="24"/>
          <w:szCs w:val="24"/>
          <w:lang w:val="en-US" w:eastAsia="zh-CN"/>
        </w:rPr>
        <w:t>在</w:t>
      </w:r>
      <w:r>
        <w:rPr>
          <w:color w:val="auto"/>
          <w:spacing w:val="-1"/>
          <w:sz w:val="24"/>
          <w:szCs w:val="24"/>
        </w:rPr>
        <w:t>教研室动态管理</w:t>
      </w:r>
      <w:r>
        <w:rPr>
          <w:rFonts w:hint="eastAsia"/>
          <w:color w:val="auto"/>
          <w:spacing w:val="-1"/>
          <w:sz w:val="24"/>
          <w:szCs w:val="24"/>
          <w:lang w:val="en-US" w:eastAsia="zh-CN"/>
        </w:rPr>
        <w:t>中</w:t>
      </w:r>
      <w:r>
        <w:rPr>
          <w:color w:val="auto"/>
          <w:spacing w:val="-1"/>
          <w:sz w:val="24"/>
          <w:szCs w:val="24"/>
        </w:rPr>
        <w:t>，</w:t>
      </w:r>
      <w:r>
        <w:rPr>
          <w:rFonts w:hint="eastAsia"/>
          <w:color w:val="auto"/>
          <w:spacing w:val="-1"/>
          <w:sz w:val="24"/>
          <w:szCs w:val="24"/>
          <w:lang w:val="en-US" w:eastAsia="zh-CN"/>
        </w:rPr>
        <w:t>支持</w:t>
      </w:r>
      <w:r>
        <w:rPr>
          <w:color w:val="auto"/>
          <w:spacing w:val="-1"/>
          <w:sz w:val="24"/>
          <w:szCs w:val="24"/>
        </w:rPr>
        <w:t>对教研室发帖审核设置，审核、删除、搜索等操作；</w:t>
      </w:r>
    </w:p>
    <w:p w14:paraId="4B7F7234">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04" w:firstLineChars="200"/>
        <w:jc w:val="both"/>
        <w:textAlignment w:val="baseline"/>
        <w:rPr>
          <w:color w:val="auto"/>
          <w:sz w:val="24"/>
          <w:szCs w:val="24"/>
        </w:rPr>
      </w:pPr>
      <w:r>
        <w:rPr>
          <w:color w:val="auto"/>
          <w:spacing w:val="6"/>
          <w:sz w:val="24"/>
          <w:szCs w:val="24"/>
        </w:rPr>
        <w:t>⑩</w:t>
      </w:r>
      <w:r>
        <w:rPr>
          <w:rFonts w:hint="eastAsia"/>
          <w:color w:val="auto"/>
          <w:spacing w:val="6"/>
          <w:sz w:val="24"/>
          <w:szCs w:val="24"/>
          <w:lang w:val="en-US" w:eastAsia="zh-CN"/>
        </w:rPr>
        <w:t>在</w:t>
      </w:r>
      <w:r>
        <w:rPr>
          <w:color w:val="auto"/>
          <w:spacing w:val="6"/>
          <w:sz w:val="24"/>
          <w:szCs w:val="24"/>
        </w:rPr>
        <w:t>评论管理</w:t>
      </w:r>
      <w:r>
        <w:rPr>
          <w:rFonts w:hint="eastAsia"/>
          <w:color w:val="auto"/>
          <w:spacing w:val="6"/>
          <w:sz w:val="24"/>
          <w:szCs w:val="24"/>
          <w:lang w:val="en-US" w:eastAsia="zh-CN"/>
        </w:rPr>
        <w:t>中</w:t>
      </w:r>
      <w:r>
        <w:rPr>
          <w:color w:val="auto"/>
          <w:spacing w:val="6"/>
          <w:sz w:val="24"/>
          <w:szCs w:val="24"/>
        </w:rPr>
        <w:t>，</w:t>
      </w:r>
      <w:r>
        <w:rPr>
          <w:rFonts w:hint="eastAsia"/>
          <w:color w:val="auto"/>
          <w:spacing w:val="6"/>
          <w:sz w:val="24"/>
          <w:szCs w:val="24"/>
          <w:lang w:val="en-US" w:eastAsia="zh-CN"/>
        </w:rPr>
        <w:t>支持</w:t>
      </w:r>
      <w:r>
        <w:rPr>
          <w:color w:val="auto"/>
          <w:spacing w:val="6"/>
          <w:sz w:val="24"/>
          <w:szCs w:val="24"/>
        </w:rPr>
        <w:t>对教研室所有的已发布、未发布的评论回复数</w:t>
      </w:r>
      <w:r>
        <w:rPr>
          <w:color w:val="auto"/>
          <w:spacing w:val="5"/>
          <w:sz w:val="24"/>
          <w:szCs w:val="24"/>
        </w:rPr>
        <w:t>据进行审核删除等操</w:t>
      </w:r>
      <w:r>
        <w:rPr>
          <w:color w:val="auto"/>
          <w:sz w:val="24"/>
          <w:szCs w:val="24"/>
        </w:rPr>
        <w:t xml:space="preserve"> </w:t>
      </w:r>
      <w:r>
        <w:rPr>
          <w:color w:val="auto"/>
          <w:spacing w:val="-6"/>
          <w:sz w:val="24"/>
          <w:szCs w:val="24"/>
        </w:rPr>
        <w:t>作。</w:t>
      </w:r>
    </w:p>
    <w:p w14:paraId="69E6F83D">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68" w:firstLineChars="200"/>
        <w:jc w:val="both"/>
        <w:textAlignment w:val="baseline"/>
        <w:rPr>
          <w:color w:val="auto"/>
          <w:sz w:val="24"/>
          <w:szCs w:val="24"/>
        </w:rPr>
      </w:pPr>
      <w:r>
        <w:rPr>
          <w:color w:val="auto"/>
          <w:spacing w:val="-3"/>
          <w:sz w:val="24"/>
          <w:szCs w:val="24"/>
        </w:rPr>
        <w:t>(2)教研室普通成员</w:t>
      </w:r>
    </w:p>
    <w:p w14:paraId="0199A075">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12" w:firstLineChars="200"/>
        <w:jc w:val="both"/>
        <w:textAlignment w:val="baseline"/>
        <w:rPr>
          <w:color w:val="auto"/>
          <w:sz w:val="24"/>
          <w:szCs w:val="24"/>
        </w:rPr>
      </w:pPr>
      <w:r>
        <w:rPr>
          <w:color w:val="auto"/>
          <w:spacing w:val="8"/>
          <w:sz w:val="24"/>
          <w:szCs w:val="24"/>
        </w:rPr>
        <w:t>①</w:t>
      </w:r>
      <w:r>
        <w:rPr>
          <w:rFonts w:hint="eastAsia"/>
          <w:color w:val="auto"/>
          <w:spacing w:val="8"/>
          <w:sz w:val="24"/>
          <w:szCs w:val="24"/>
          <w:lang w:val="en-US" w:eastAsia="zh-CN"/>
        </w:rPr>
        <w:t>在</w:t>
      </w:r>
      <w:r>
        <w:rPr>
          <w:color w:val="auto"/>
          <w:spacing w:val="8"/>
          <w:sz w:val="24"/>
          <w:szCs w:val="24"/>
        </w:rPr>
        <w:t>我的教研室</w:t>
      </w:r>
      <w:r>
        <w:rPr>
          <w:rFonts w:hint="eastAsia"/>
          <w:color w:val="auto"/>
          <w:spacing w:val="8"/>
          <w:sz w:val="24"/>
          <w:szCs w:val="24"/>
          <w:lang w:val="en-US" w:eastAsia="zh-CN"/>
        </w:rPr>
        <w:t>中</w:t>
      </w:r>
      <w:r>
        <w:rPr>
          <w:color w:val="auto"/>
          <w:spacing w:val="8"/>
          <w:sz w:val="24"/>
          <w:szCs w:val="24"/>
        </w:rPr>
        <w:t>，</w:t>
      </w:r>
      <w:r>
        <w:rPr>
          <w:rFonts w:hint="eastAsia"/>
          <w:color w:val="auto"/>
          <w:spacing w:val="8"/>
          <w:sz w:val="24"/>
          <w:szCs w:val="24"/>
          <w:lang w:val="en-US" w:eastAsia="zh-CN"/>
        </w:rPr>
        <w:t>支持</w:t>
      </w:r>
      <w:r>
        <w:rPr>
          <w:color w:val="auto"/>
          <w:spacing w:val="8"/>
          <w:sz w:val="24"/>
          <w:szCs w:val="24"/>
        </w:rPr>
        <w:t>申请退出、查看详情、查询功能；</w:t>
      </w:r>
    </w:p>
    <w:p w14:paraId="02B9D8B7">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6" w:firstLineChars="200"/>
        <w:jc w:val="both"/>
        <w:textAlignment w:val="baseline"/>
        <w:rPr>
          <w:color w:val="auto"/>
          <w:sz w:val="24"/>
          <w:szCs w:val="24"/>
        </w:rPr>
      </w:pPr>
      <w:r>
        <w:rPr>
          <w:color w:val="auto"/>
          <w:spacing w:val="-1"/>
          <w:sz w:val="24"/>
          <w:szCs w:val="24"/>
        </w:rPr>
        <w:t>②</w:t>
      </w:r>
      <w:r>
        <w:rPr>
          <w:rFonts w:hint="eastAsia"/>
          <w:color w:val="auto"/>
          <w:spacing w:val="-1"/>
          <w:sz w:val="24"/>
          <w:szCs w:val="24"/>
          <w:lang w:val="en-US" w:eastAsia="zh-CN"/>
        </w:rPr>
        <w:t>支持</w:t>
      </w:r>
      <w:r>
        <w:rPr>
          <w:color w:val="auto"/>
          <w:spacing w:val="-1"/>
          <w:sz w:val="24"/>
          <w:szCs w:val="24"/>
        </w:rPr>
        <w:t>资源上传，新增资源，提交审核、编辑、删除、查询资源；</w:t>
      </w:r>
    </w:p>
    <w:p w14:paraId="32052D5B">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6" w:firstLineChars="200"/>
        <w:jc w:val="both"/>
        <w:textAlignment w:val="baseline"/>
        <w:rPr>
          <w:color w:val="auto"/>
          <w:sz w:val="24"/>
          <w:szCs w:val="24"/>
        </w:rPr>
      </w:pPr>
      <w:r>
        <w:rPr>
          <w:color w:val="auto"/>
          <w:spacing w:val="-1"/>
          <w:sz w:val="24"/>
          <w:szCs w:val="24"/>
        </w:rPr>
        <w:t>③</w:t>
      </w:r>
      <w:r>
        <w:rPr>
          <w:rFonts w:hint="eastAsia"/>
          <w:color w:val="auto"/>
          <w:spacing w:val="-1"/>
          <w:sz w:val="24"/>
          <w:szCs w:val="24"/>
          <w:lang w:val="en-US" w:eastAsia="zh-CN"/>
        </w:rPr>
        <w:t>在</w:t>
      </w:r>
      <w:r>
        <w:rPr>
          <w:color w:val="auto"/>
          <w:spacing w:val="-1"/>
          <w:sz w:val="24"/>
          <w:szCs w:val="24"/>
        </w:rPr>
        <w:t>听评课管理</w:t>
      </w:r>
      <w:r>
        <w:rPr>
          <w:rFonts w:hint="eastAsia"/>
          <w:color w:val="auto"/>
          <w:spacing w:val="-1"/>
          <w:sz w:val="24"/>
          <w:szCs w:val="24"/>
          <w:lang w:val="en-US" w:eastAsia="zh-CN"/>
        </w:rPr>
        <w:t>中</w:t>
      </w:r>
      <w:r>
        <w:rPr>
          <w:color w:val="auto"/>
          <w:spacing w:val="-1"/>
          <w:sz w:val="24"/>
          <w:szCs w:val="24"/>
        </w:rPr>
        <w:t>，</w:t>
      </w:r>
      <w:r>
        <w:rPr>
          <w:rFonts w:hint="eastAsia"/>
          <w:color w:val="auto"/>
          <w:spacing w:val="-1"/>
          <w:sz w:val="24"/>
          <w:szCs w:val="24"/>
          <w:lang w:val="en-US" w:eastAsia="zh-CN"/>
        </w:rPr>
        <w:t>支持</w:t>
      </w:r>
      <w:r>
        <w:rPr>
          <w:color w:val="auto"/>
          <w:spacing w:val="-1"/>
          <w:sz w:val="24"/>
          <w:szCs w:val="24"/>
        </w:rPr>
        <w:t>授课老师根据需求上传评课物料资源；听评课专家根据活动设定</w:t>
      </w:r>
      <w:r>
        <w:rPr>
          <w:color w:val="auto"/>
          <w:spacing w:val="13"/>
          <w:sz w:val="24"/>
          <w:szCs w:val="24"/>
        </w:rPr>
        <w:t xml:space="preserve"> </w:t>
      </w:r>
      <w:r>
        <w:rPr>
          <w:color w:val="auto"/>
          <w:spacing w:val="-1"/>
          <w:sz w:val="24"/>
          <w:szCs w:val="24"/>
        </w:rPr>
        <w:t>的评分规则，查阅授课老师上传资源并对资源进行打分，填写报告，提交报告；支持听</w:t>
      </w:r>
      <w:r>
        <w:rPr>
          <w:color w:val="auto"/>
          <w:spacing w:val="7"/>
          <w:sz w:val="24"/>
          <w:szCs w:val="24"/>
        </w:rPr>
        <w:t xml:space="preserve"> </w:t>
      </w:r>
      <w:r>
        <w:rPr>
          <w:color w:val="auto"/>
          <w:spacing w:val="-4"/>
          <w:sz w:val="24"/>
          <w:szCs w:val="24"/>
        </w:rPr>
        <w:t>评课专家查看授课老师上传课程资源进度；</w:t>
      </w:r>
    </w:p>
    <w:p w14:paraId="1EA792AA">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04" w:firstLineChars="200"/>
        <w:jc w:val="both"/>
        <w:textAlignment w:val="baseline"/>
        <w:rPr>
          <w:color w:val="auto"/>
          <w:sz w:val="24"/>
          <w:szCs w:val="24"/>
        </w:rPr>
      </w:pPr>
      <w:r>
        <w:rPr>
          <w:color w:val="auto"/>
          <w:spacing w:val="6"/>
          <w:sz w:val="24"/>
          <w:szCs w:val="24"/>
        </w:rPr>
        <w:t>④</w:t>
      </w:r>
      <w:r>
        <w:rPr>
          <w:rFonts w:hint="eastAsia"/>
          <w:color w:val="auto"/>
          <w:spacing w:val="6"/>
          <w:sz w:val="24"/>
          <w:szCs w:val="24"/>
          <w:lang w:val="en-US" w:eastAsia="zh-CN"/>
        </w:rPr>
        <w:t>在</w:t>
      </w:r>
      <w:r>
        <w:rPr>
          <w:color w:val="auto"/>
          <w:spacing w:val="6"/>
          <w:sz w:val="24"/>
          <w:szCs w:val="24"/>
        </w:rPr>
        <w:t>任务管理</w:t>
      </w:r>
      <w:r>
        <w:rPr>
          <w:rFonts w:hint="eastAsia"/>
          <w:color w:val="auto"/>
          <w:spacing w:val="6"/>
          <w:sz w:val="24"/>
          <w:szCs w:val="24"/>
          <w:lang w:val="en-US" w:eastAsia="zh-CN"/>
        </w:rPr>
        <w:t>中</w:t>
      </w:r>
      <w:r>
        <w:rPr>
          <w:color w:val="auto"/>
          <w:spacing w:val="6"/>
          <w:sz w:val="24"/>
          <w:szCs w:val="24"/>
        </w:rPr>
        <w:t>，</w:t>
      </w:r>
      <w:r>
        <w:rPr>
          <w:rFonts w:hint="eastAsia"/>
          <w:color w:val="auto"/>
          <w:spacing w:val="6"/>
          <w:sz w:val="24"/>
          <w:szCs w:val="24"/>
          <w:lang w:val="en-US" w:eastAsia="zh-CN"/>
        </w:rPr>
        <w:t>支持</w:t>
      </w:r>
      <w:r>
        <w:rPr>
          <w:color w:val="auto"/>
          <w:spacing w:val="6"/>
          <w:sz w:val="24"/>
          <w:szCs w:val="24"/>
        </w:rPr>
        <w:t>教研室成员可根据周历任务排期表、月历任务</w:t>
      </w:r>
      <w:r>
        <w:rPr>
          <w:color w:val="auto"/>
          <w:spacing w:val="5"/>
          <w:sz w:val="24"/>
          <w:szCs w:val="24"/>
        </w:rPr>
        <w:t>排期表查看需要自己</w:t>
      </w:r>
      <w:r>
        <w:rPr>
          <w:color w:val="auto"/>
          <w:sz w:val="24"/>
          <w:szCs w:val="24"/>
        </w:rPr>
        <w:t xml:space="preserve"> </w:t>
      </w:r>
      <w:r>
        <w:rPr>
          <w:color w:val="auto"/>
          <w:spacing w:val="-4"/>
          <w:sz w:val="24"/>
          <w:szCs w:val="24"/>
        </w:rPr>
        <w:t>完成的任务，可根据任务详情完成任务提交；</w:t>
      </w:r>
    </w:p>
    <w:p w14:paraId="6F93DC64">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28" w:firstLineChars="200"/>
        <w:jc w:val="both"/>
        <w:textAlignment w:val="baseline"/>
        <w:rPr>
          <w:color w:val="auto"/>
          <w:sz w:val="23"/>
          <w:szCs w:val="23"/>
        </w:rPr>
      </w:pPr>
      <w:r>
        <w:rPr>
          <w:color w:val="auto"/>
          <w:spacing w:val="12"/>
          <w:sz w:val="24"/>
          <w:szCs w:val="24"/>
        </w:rPr>
        <w:t>⑤</w:t>
      </w:r>
      <w:r>
        <w:rPr>
          <w:rFonts w:hint="eastAsia"/>
          <w:color w:val="auto"/>
          <w:spacing w:val="12"/>
          <w:sz w:val="24"/>
          <w:szCs w:val="24"/>
          <w:lang w:val="en-US" w:eastAsia="zh-CN"/>
        </w:rPr>
        <w:t>在</w:t>
      </w:r>
      <w:r>
        <w:rPr>
          <w:color w:val="auto"/>
          <w:spacing w:val="12"/>
          <w:sz w:val="24"/>
          <w:szCs w:val="24"/>
        </w:rPr>
        <w:t>我的动态管理</w:t>
      </w:r>
      <w:r>
        <w:rPr>
          <w:rFonts w:hint="eastAsia"/>
          <w:color w:val="auto"/>
          <w:spacing w:val="12"/>
          <w:sz w:val="24"/>
          <w:szCs w:val="24"/>
          <w:lang w:val="en-US" w:eastAsia="zh-CN"/>
        </w:rPr>
        <w:t>中</w:t>
      </w:r>
      <w:r>
        <w:rPr>
          <w:color w:val="auto"/>
          <w:spacing w:val="12"/>
          <w:sz w:val="24"/>
          <w:szCs w:val="24"/>
        </w:rPr>
        <w:t>，</w:t>
      </w:r>
      <w:r>
        <w:rPr>
          <w:rFonts w:hint="eastAsia"/>
          <w:color w:val="auto"/>
          <w:spacing w:val="12"/>
          <w:sz w:val="24"/>
          <w:szCs w:val="24"/>
          <w:lang w:val="en-US" w:eastAsia="zh-CN"/>
        </w:rPr>
        <w:t>支持</w:t>
      </w:r>
      <w:r>
        <w:rPr>
          <w:color w:val="auto"/>
          <w:spacing w:val="12"/>
          <w:sz w:val="24"/>
          <w:szCs w:val="24"/>
        </w:rPr>
        <w:t>展示该教研室成员发布的全部动态信息，可按发布状态筛选、</w:t>
      </w:r>
      <w:r>
        <w:rPr>
          <w:color w:val="auto"/>
          <w:sz w:val="24"/>
          <w:szCs w:val="24"/>
        </w:rPr>
        <w:t xml:space="preserve"> </w:t>
      </w:r>
      <w:r>
        <w:rPr>
          <w:color w:val="auto"/>
          <w:spacing w:val="5"/>
          <w:sz w:val="23"/>
          <w:szCs w:val="23"/>
        </w:rPr>
        <w:t>支持模糊搜索、删除等操作；</w:t>
      </w:r>
    </w:p>
    <w:p w14:paraId="4320EACD">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6" w:firstLineChars="200"/>
        <w:jc w:val="both"/>
        <w:textAlignment w:val="baseline"/>
        <w:rPr>
          <w:color w:val="auto"/>
          <w:sz w:val="24"/>
          <w:szCs w:val="24"/>
        </w:rPr>
      </w:pPr>
      <w:r>
        <w:rPr>
          <w:color w:val="auto"/>
          <w:spacing w:val="-1"/>
          <w:sz w:val="24"/>
          <w:szCs w:val="24"/>
        </w:rPr>
        <w:t>⑥</w:t>
      </w:r>
      <w:r>
        <w:rPr>
          <w:rFonts w:hint="eastAsia"/>
          <w:color w:val="auto"/>
          <w:spacing w:val="-1"/>
          <w:sz w:val="24"/>
          <w:szCs w:val="24"/>
          <w:lang w:val="en-US" w:eastAsia="zh-CN"/>
        </w:rPr>
        <w:t>在</w:t>
      </w:r>
      <w:r>
        <w:rPr>
          <w:color w:val="auto"/>
          <w:spacing w:val="-1"/>
          <w:sz w:val="24"/>
          <w:szCs w:val="24"/>
        </w:rPr>
        <w:t>评论回复管理</w:t>
      </w:r>
      <w:r>
        <w:rPr>
          <w:rFonts w:hint="eastAsia"/>
          <w:color w:val="auto"/>
          <w:spacing w:val="-1"/>
          <w:sz w:val="24"/>
          <w:szCs w:val="24"/>
          <w:lang w:val="en-US" w:eastAsia="zh-CN"/>
        </w:rPr>
        <w:t>中</w:t>
      </w:r>
      <w:r>
        <w:rPr>
          <w:color w:val="auto"/>
          <w:spacing w:val="-1"/>
          <w:sz w:val="24"/>
          <w:szCs w:val="24"/>
        </w:rPr>
        <w:t>，</w:t>
      </w:r>
      <w:r>
        <w:rPr>
          <w:rFonts w:hint="eastAsia"/>
          <w:color w:val="auto"/>
          <w:spacing w:val="-1"/>
          <w:sz w:val="24"/>
          <w:szCs w:val="24"/>
          <w:lang w:val="en-US" w:eastAsia="zh-CN"/>
        </w:rPr>
        <w:t>支持</w:t>
      </w:r>
      <w:r>
        <w:rPr>
          <w:color w:val="auto"/>
          <w:spacing w:val="-1"/>
          <w:sz w:val="24"/>
          <w:szCs w:val="24"/>
        </w:rPr>
        <w:t>展示该教研室成员参与的全部评论可按状态筛选、</w:t>
      </w:r>
      <w:r>
        <w:rPr>
          <w:color w:val="auto"/>
          <w:spacing w:val="-2"/>
          <w:sz w:val="24"/>
          <w:szCs w:val="24"/>
        </w:rPr>
        <w:t>支持模糊搜</w:t>
      </w:r>
      <w:r>
        <w:rPr>
          <w:color w:val="auto"/>
          <w:sz w:val="24"/>
          <w:szCs w:val="24"/>
        </w:rPr>
        <w:t xml:space="preserve"> </w:t>
      </w:r>
      <w:r>
        <w:rPr>
          <w:color w:val="auto"/>
          <w:spacing w:val="-8"/>
          <w:sz w:val="24"/>
          <w:szCs w:val="24"/>
        </w:rPr>
        <w:t>索、删除等操作；</w:t>
      </w:r>
    </w:p>
    <w:p w14:paraId="55F79409">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476" w:firstLineChars="200"/>
        <w:jc w:val="both"/>
        <w:textAlignment w:val="baseline"/>
        <w:rPr>
          <w:color w:val="auto"/>
          <w:sz w:val="24"/>
          <w:szCs w:val="24"/>
        </w:rPr>
      </w:pPr>
      <w:r>
        <w:rPr>
          <w:color w:val="auto"/>
          <w:spacing w:val="-1"/>
          <w:sz w:val="24"/>
          <w:szCs w:val="24"/>
        </w:rPr>
        <w:t>⑦</w:t>
      </w:r>
      <w:r>
        <w:rPr>
          <w:rFonts w:hint="eastAsia"/>
          <w:color w:val="auto"/>
          <w:spacing w:val="-1"/>
          <w:sz w:val="24"/>
          <w:szCs w:val="24"/>
          <w:lang w:val="en-US" w:eastAsia="zh-CN"/>
        </w:rPr>
        <w:t>在</w:t>
      </w:r>
      <w:r>
        <w:rPr>
          <w:color w:val="auto"/>
          <w:spacing w:val="-1"/>
          <w:sz w:val="24"/>
          <w:szCs w:val="24"/>
        </w:rPr>
        <w:t>系统消息</w:t>
      </w:r>
      <w:r>
        <w:rPr>
          <w:rFonts w:hint="eastAsia"/>
          <w:color w:val="auto"/>
          <w:spacing w:val="-1"/>
          <w:sz w:val="24"/>
          <w:szCs w:val="24"/>
          <w:lang w:val="en-US" w:eastAsia="zh-CN"/>
        </w:rPr>
        <w:t>中</w:t>
      </w:r>
      <w:r>
        <w:rPr>
          <w:color w:val="auto"/>
          <w:spacing w:val="-1"/>
          <w:sz w:val="24"/>
          <w:szCs w:val="24"/>
        </w:rPr>
        <w:t>，</w:t>
      </w:r>
      <w:r>
        <w:rPr>
          <w:rFonts w:hint="eastAsia"/>
          <w:color w:val="auto"/>
          <w:spacing w:val="-1"/>
          <w:sz w:val="24"/>
          <w:szCs w:val="24"/>
          <w:lang w:val="en-US" w:eastAsia="zh-CN"/>
        </w:rPr>
        <w:t>支持</w:t>
      </w:r>
      <w:r>
        <w:rPr>
          <w:color w:val="auto"/>
          <w:spacing w:val="-1"/>
          <w:sz w:val="24"/>
          <w:szCs w:val="24"/>
        </w:rPr>
        <w:t>查看消息详情、全部标为已读、删除、查询功能；</w:t>
      </w:r>
    </w:p>
    <w:p w14:paraId="7783A849">
      <w:pPr>
        <w:pStyle w:val="10"/>
        <w:keepNext w:val="0"/>
        <w:keepLines w:val="0"/>
        <w:pageBreakBefore w:val="0"/>
        <w:widowControl w:val="0"/>
        <w:kinsoku/>
        <w:wordWrap/>
        <w:overflowPunct/>
        <w:topLinePunct w:val="0"/>
        <w:autoSpaceDE/>
        <w:autoSpaceDN/>
        <w:bidi w:val="0"/>
        <w:adjustRightInd w:val="0"/>
        <w:snapToGrid/>
        <w:spacing w:after="0" w:line="440" w:lineRule="exact"/>
        <w:ind w:left="0" w:right="0" w:firstLine="504" w:firstLineChars="200"/>
        <w:jc w:val="both"/>
        <w:textAlignment w:val="baseline"/>
        <w:rPr>
          <w:color w:val="auto"/>
          <w:sz w:val="24"/>
          <w:szCs w:val="24"/>
        </w:rPr>
      </w:pPr>
      <w:r>
        <w:rPr>
          <w:color w:val="auto"/>
          <w:spacing w:val="6"/>
          <w:sz w:val="24"/>
          <w:szCs w:val="24"/>
        </w:rPr>
        <w:t>⑧</w:t>
      </w:r>
      <w:r>
        <w:rPr>
          <w:rFonts w:hint="eastAsia"/>
          <w:color w:val="auto"/>
          <w:spacing w:val="6"/>
          <w:sz w:val="24"/>
          <w:szCs w:val="24"/>
          <w:lang w:val="en-US" w:eastAsia="zh-CN"/>
        </w:rPr>
        <w:t>在</w:t>
      </w:r>
      <w:r>
        <w:rPr>
          <w:color w:val="auto"/>
          <w:spacing w:val="6"/>
          <w:sz w:val="24"/>
          <w:szCs w:val="24"/>
        </w:rPr>
        <w:t>个人信息</w:t>
      </w:r>
      <w:r>
        <w:rPr>
          <w:rFonts w:hint="eastAsia"/>
          <w:color w:val="auto"/>
          <w:spacing w:val="6"/>
          <w:sz w:val="24"/>
          <w:szCs w:val="24"/>
          <w:lang w:val="en-US" w:eastAsia="zh-CN"/>
        </w:rPr>
        <w:t>中</w:t>
      </w:r>
      <w:r>
        <w:rPr>
          <w:color w:val="auto"/>
          <w:spacing w:val="6"/>
          <w:sz w:val="24"/>
          <w:szCs w:val="24"/>
        </w:rPr>
        <w:t>，</w:t>
      </w:r>
      <w:r>
        <w:rPr>
          <w:rFonts w:hint="eastAsia"/>
          <w:color w:val="auto"/>
          <w:spacing w:val="6"/>
          <w:sz w:val="24"/>
          <w:szCs w:val="24"/>
          <w:lang w:val="en-US" w:eastAsia="zh-CN"/>
        </w:rPr>
        <w:t>支持</w:t>
      </w:r>
      <w:r>
        <w:rPr>
          <w:color w:val="auto"/>
          <w:spacing w:val="6"/>
          <w:sz w:val="24"/>
          <w:szCs w:val="24"/>
        </w:rPr>
        <w:t>完善个人信息，可与国家职业教育智慧</w:t>
      </w:r>
      <w:r>
        <w:rPr>
          <w:color w:val="auto"/>
          <w:spacing w:val="5"/>
          <w:sz w:val="24"/>
          <w:szCs w:val="24"/>
        </w:rPr>
        <w:t>教育平台智慧教研室频道进</w:t>
      </w:r>
      <w:r>
        <w:rPr>
          <w:color w:val="auto"/>
          <w:spacing w:val="-7"/>
          <w:sz w:val="24"/>
          <w:szCs w:val="24"/>
        </w:rPr>
        <w:t>行账号对接。</w:t>
      </w:r>
    </w:p>
    <w:p w14:paraId="2448BECA">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数据分析中心</w:t>
      </w:r>
    </w:p>
    <w:p w14:paraId="4B9694B4">
      <w:pPr>
        <w:pageBreakBefore w:val="0"/>
        <w:numPr>
          <w:ilvl w:val="0"/>
          <w:numId w:val="1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资源库数据分析</w:t>
      </w:r>
    </w:p>
    <w:p w14:paraId="775CB459">
      <w:pPr>
        <w:pageBreakBefore w:val="0"/>
        <w:numPr>
          <w:ilvl w:val="0"/>
          <w:numId w:val="13"/>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支持统计分析资源库的总用户数、素材数、题库数、知识图谱总节点数、课程总数、资源库课程总期数、标准化课程总数等；</w:t>
      </w:r>
    </w:p>
    <w:p w14:paraId="1668995A">
      <w:pPr>
        <w:pageBreakBefore w:val="0"/>
        <w:numPr>
          <w:ilvl w:val="0"/>
          <w:numId w:val="13"/>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支持按素材来源、适应对象、媒体类型、应用类型、被课程引用的资源占比、被课程引用的资源类型占比，以及按课程分布、按建设单位统计等维度，统计分析资源库的资源建设数据；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提供功能截图</w:t>
      </w:r>
      <w:r>
        <w:rPr>
          <w:rFonts w:hint="eastAsia" w:ascii="宋体" w:hAnsi="宋体" w:eastAsia="宋体" w:cs="宋体"/>
          <w:color w:val="000000" w:themeColor="text1"/>
          <w:sz w:val="24"/>
          <w:szCs w:val="24"/>
          <w:lang w:eastAsia="zh-CN"/>
          <w14:textFill>
            <w14:solidFill>
              <w14:schemeClr w14:val="tx1"/>
            </w14:solidFill>
          </w14:textFill>
        </w:rPr>
        <w:t>）</w:t>
      </w:r>
    </w:p>
    <w:p w14:paraId="792F8C9E">
      <w:pPr>
        <w:pageBreakBefore w:val="0"/>
        <w:numPr>
          <w:ilvl w:val="0"/>
          <w:numId w:val="13"/>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支持按题型、难易度、主客观分类、课程分布等维度，统计分析题库建设数据。</w:t>
      </w:r>
    </w:p>
    <w:p w14:paraId="662A9340">
      <w:pPr>
        <w:pageBreakBefore w:val="0"/>
        <w:numPr>
          <w:ilvl w:val="0"/>
          <w:numId w:val="1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课程数据分析</w:t>
      </w:r>
    </w:p>
    <w:p w14:paraId="607D377F">
      <w:pPr>
        <w:pageBreakBefore w:val="0"/>
        <w:numPr>
          <w:ilvl w:val="0"/>
          <w:numId w:val="14"/>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▲支持统计分析资源库标准化课程数、SPOC课程总数、MOOC上线期数、学历课程数、证书课程数和培训课程数，以及各参建单位课程建设数量情况；</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提供功能截图</w:t>
      </w:r>
      <w:r>
        <w:rPr>
          <w:rFonts w:hint="eastAsia" w:ascii="宋体" w:hAnsi="宋体" w:eastAsia="宋体" w:cs="宋体"/>
          <w:color w:val="000000" w:themeColor="text1"/>
          <w:sz w:val="24"/>
          <w:szCs w:val="24"/>
          <w:lang w:eastAsia="zh-CN"/>
          <w14:textFill>
            <w14:solidFill>
              <w14:schemeClr w14:val="tx1"/>
            </w14:solidFill>
          </w14:textFill>
        </w:rPr>
        <w:t>）</w:t>
      </w:r>
    </w:p>
    <w:p w14:paraId="334862D8">
      <w:pPr>
        <w:pageBreakBefore w:val="0"/>
        <w:numPr>
          <w:ilvl w:val="0"/>
          <w:numId w:val="14"/>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▲支持统计分析资源库中每门课程的建设数据；包括授课视频、课程公告、非视频资源、测验和作业、互动交流情况、考试等数据，以及课程衍生的SPOC、MOOC数据情况。</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提供功能截图</w:t>
      </w:r>
      <w:r>
        <w:rPr>
          <w:rFonts w:hint="eastAsia" w:ascii="宋体" w:hAnsi="宋体" w:eastAsia="宋体" w:cs="宋体"/>
          <w:color w:val="000000" w:themeColor="text1"/>
          <w:sz w:val="24"/>
          <w:szCs w:val="24"/>
          <w:lang w:eastAsia="zh-CN"/>
          <w14:textFill>
            <w14:solidFill>
              <w14:schemeClr w14:val="tx1"/>
            </w14:solidFill>
          </w14:textFill>
        </w:rPr>
        <w:t>）</w:t>
      </w:r>
    </w:p>
    <w:p w14:paraId="2CB1F918">
      <w:pPr>
        <w:pageBreakBefore w:val="0"/>
        <w:numPr>
          <w:ilvl w:val="0"/>
          <w:numId w:val="1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日志统计，统计分析展示当前资源库的日志分布、日志类型分布、学生类型日志分布、用户行为日志按时间段分布、按项目成员统计、按用户所在单位等数据。</w:t>
      </w:r>
    </w:p>
    <w:p w14:paraId="1D910385">
      <w:pPr>
        <w:pageBreakBefore w:val="0"/>
        <w:numPr>
          <w:ilvl w:val="0"/>
          <w:numId w:val="1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参建单位统计，统计分析展示当前资源库的参建单位用户数量、参建单位课程建设情况、参建单位上传资源情况(点击柱形图可查看学校详情)、日志类型分布、参建单位日志日期分布等数据。</w:t>
      </w:r>
    </w:p>
    <w:p w14:paraId="67429325">
      <w:pPr>
        <w:pageBreakBefore w:val="0"/>
        <w:numPr>
          <w:ilvl w:val="0"/>
          <w:numId w:val="1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▲监测数据分析，支持根据教育部资源库申报文件，及后续资源库监测平台所列的数据监测指标要求，提供本资源库相关监测数据。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提供功能截图</w:t>
      </w:r>
      <w:r>
        <w:rPr>
          <w:rFonts w:hint="eastAsia" w:ascii="宋体" w:hAnsi="宋体" w:eastAsia="宋体" w:cs="宋体"/>
          <w:color w:val="000000" w:themeColor="text1"/>
          <w:sz w:val="24"/>
          <w:szCs w:val="24"/>
          <w:lang w:eastAsia="zh-CN"/>
          <w14:textFill>
            <w14:solidFill>
              <w14:schemeClr w14:val="tx1"/>
            </w14:solidFill>
          </w14:textFill>
        </w:rPr>
        <w:t>）</w:t>
      </w:r>
    </w:p>
    <w:p w14:paraId="629A4783">
      <w:pPr>
        <w:pStyle w:val="6"/>
        <w:pageBreakBefore w:val="0"/>
        <w:numPr>
          <w:ilvl w:val="0"/>
          <w:numId w:val="6"/>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val="0"/>
          <w:color w:val="auto"/>
          <w:sz w:val="24"/>
          <w:szCs w:val="24"/>
          <w:u w:val="none"/>
          <w:lang w:val="en-US" w:eastAsia="zh-CN"/>
        </w:rPr>
      </w:pPr>
      <w:r>
        <w:rPr>
          <w:rFonts w:hint="eastAsia" w:ascii="宋体" w:hAnsi="宋体" w:eastAsia="宋体" w:cs="宋体"/>
          <w:b/>
          <w:bCs w:val="0"/>
          <w:color w:val="auto"/>
          <w:sz w:val="24"/>
          <w:szCs w:val="24"/>
          <w:u w:val="none"/>
          <w:lang w:val="en-US" w:eastAsia="zh-CN"/>
        </w:rPr>
        <w:t>AI教育大模型</w:t>
      </w:r>
    </w:p>
    <w:p w14:paraId="174BAD6A">
      <w:pPr>
        <w:pageBreakBefore w:val="0"/>
        <w:numPr>
          <w:ilvl w:val="0"/>
          <w:numId w:val="15"/>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基于通义千问、盘古、Deepseek等通用大模型底层核心能力，提供具备职教特色的智能问答助手；问答支持在线编辑公式。</w:t>
      </w:r>
    </w:p>
    <w:p w14:paraId="0B9533ED">
      <w:pPr>
        <w:keepNext w:val="0"/>
        <w:keepLines w:val="0"/>
        <w:pageBreakBefore w:val="0"/>
        <w:widowControl w:val="0"/>
        <w:numPr>
          <w:ilvl w:val="0"/>
          <w:numId w:val="15"/>
        </w:numPr>
        <w:kinsoku/>
        <w:wordWrap/>
        <w:overflowPunct/>
        <w:topLinePunct w:val="0"/>
        <w:autoSpaceDE/>
        <w:autoSpaceDN/>
        <w:bidi w:val="0"/>
        <w:adjustRightInd w:val="0"/>
        <w:snapToGrid/>
        <w:spacing w:line="440" w:lineRule="exact"/>
        <w:ind w:left="0" w:leftChars="0" w:firstLine="400" w:firstLineChars="100"/>
        <w:textAlignment w:val="baseline"/>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color w:val="auto"/>
          <w:sz w:val="40"/>
          <w:szCs w:val="40"/>
        </w:rPr>
        <w:t>✦</w:t>
      </w:r>
      <w:r>
        <w:rPr>
          <w:rFonts w:hint="eastAsia" w:ascii="宋体" w:hAnsi="宋体" w:eastAsia="宋体" w:cs="宋体"/>
          <w:color w:val="auto"/>
          <w:sz w:val="24"/>
          <w:szCs w:val="24"/>
        </w:rPr>
        <w:t>可提供</w:t>
      </w:r>
      <w:r>
        <w:rPr>
          <w:rFonts w:hint="eastAsia" w:ascii="宋体" w:hAnsi="宋体" w:eastAsia="宋体" w:cs="宋体"/>
          <w:color w:val="auto"/>
          <w:sz w:val="24"/>
          <w:szCs w:val="24"/>
          <w:lang w:val="en-US" w:eastAsia="zh-CN"/>
        </w:rPr>
        <w:t>不低于</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个职业教育专业大类的</w:t>
      </w:r>
      <w:r>
        <w:rPr>
          <w:rFonts w:hint="eastAsia" w:ascii="宋体" w:hAnsi="宋体" w:eastAsia="宋体" w:cs="宋体"/>
          <w:color w:val="auto"/>
          <w:sz w:val="24"/>
          <w:szCs w:val="24"/>
          <w:lang w:val="en-US" w:eastAsia="zh-CN"/>
        </w:rPr>
        <w:t>教育</w:t>
      </w:r>
      <w:r>
        <w:rPr>
          <w:rFonts w:hint="eastAsia" w:ascii="宋体" w:hAnsi="宋体" w:eastAsia="宋体" w:cs="宋体"/>
          <w:color w:val="auto"/>
          <w:sz w:val="24"/>
          <w:szCs w:val="24"/>
        </w:rPr>
        <w:t>智能体，</w:t>
      </w:r>
      <w:r>
        <w:rPr>
          <w:rFonts w:hint="eastAsia" w:ascii="宋体" w:hAnsi="宋体" w:eastAsia="宋体" w:cs="宋体"/>
          <w:b w:val="0"/>
          <w:bCs/>
          <w:color w:val="auto"/>
          <w:kern w:val="2"/>
          <w:sz w:val="24"/>
          <w:szCs w:val="24"/>
          <w:u w:val="none"/>
          <w:lang w:val="en-US" w:eastAsia="zh-CN" w:bidi="ar-SA"/>
        </w:rPr>
        <w:t>以及若干相关专业智能体和课程智能体；</w:t>
      </w:r>
      <w:r>
        <w:rPr>
          <w:rFonts w:hint="eastAsia" w:ascii="宋体" w:hAnsi="宋体" w:eastAsia="宋体" w:cs="宋体"/>
          <w:color w:val="auto"/>
          <w:sz w:val="24"/>
          <w:szCs w:val="24"/>
          <w:lang w:val="en-US" w:eastAsia="zh-CN"/>
        </w:rPr>
        <w:t>基于大模型核心能力，训练解析基于本专业教学资源库的智能体；具备</w:t>
      </w:r>
      <w:r>
        <w:rPr>
          <w:rFonts w:hint="eastAsia" w:ascii="宋体" w:hAnsi="宋体" w:eastAsia="宋体" w:cs="宋体"/>
          <w:b w:val="0"/>
          <w:bCs/>
          <w:color w:val="auto"/>
          <w:kern w:val="2"/>
          <w:sz w:val="24"/>
          <w:szCs w:val="24"/>
          <w:u w:val="none"/>
          <w:lang w:val="en-US" w:eastAsia="zh-CN" w:bidi="ar-SA"/>
        </w:rPr>
        <w:t>AI出题、AI识别录入、AI批阅、AI视频理解、AI错题解析等功能。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现场演示</w:t>
      </w:r>
      <w:r>
        <w:rPr>
          <w:rFonts w:hint="eastAsia" w:ascii="宋体" w:hAnsi="宋体" w:eastAsia="宋体" w:cs="宋体"/>
          <w:color w:val="auto"/>
          <w:sz w:val="24"/>
          <w:szCs w:val="24"/>
          <w:lang w:eastAsia="zh-CN"/>
        </w:rPr>
        <w:t>）</w:t>
      </w:r>
    </w:p>
    <w:p w14:paraId="62342276">
      <w:pPr>
        <w:keepNext w:val="0"/>
        <w:keepLines w:val="0"/>
        <w:pageBreakBefore w:val="0"/>
        <w:widowControl w:val="0"/>
        <w:numPr>
          <w:ilvl w:val="0"/>
          <w:numId w:val="6"/>
        </w:numPr>
        <w:kinsoku/>
        <w:wordWrap/>
        <w:overflowPunct/>
        <w:topLinePunct w:val="0"/>
        <w:autoSpaceDE/>
        <w:autoSpaceDN/>
        <w:bidi w:val="0"/>
        <w:adjustRightInd w:val="0"/>
        <w:snapToGrid/>
        <w:spacing w:line="440" w:lineRule="exact"/>
        <w:ind w:left="0" w:leftChars="0" w:firstLine="480" w:firstLineChars="200"/>
        <w:textAlignment w:val="baseline"/>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AI助学智能体</w:t>
      </w:r>
    </w:p>
    <w:p w14:paraId="480ADDFD">
      <w:pPr>
        <w:keepNext w:val="0"/>
        <w:keepLines w:val="0"/>
        <w:pageBreakBefore w:val="0"/>
        <w:widowControl w:val="0"/>
        <w:numPr>
          <w:ilvl w:val="0"/>
          <w:numId w:val="16"/>
        </w:numPr>
        <w:kinsoku/>
        <w:wordWrap/>
        <w:overflowPunct/>
        <w:topLinePunct w:val="0"/>
        <w:autoSpaceDE/>
        <w:autoSpaceDN/>
        <w:bidi w:val="0"/>
        <w:adjustRightInd w:val="0"/>
        <w:snapToGrid/>
        <w:spacing w:line="440" w:lineRule="exact"/>
        <w:ind w:left="0" w:leftChars="0" w:firstLine="400" w:firstLineChars="1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40"/>
          <w:szCs w:val="40"/>
        </w:rPr>
        <w:t>✦</w:t>
      </w:r>
      <w:r>
        <w:rPr>
          <w:rFonts w:hint="eastAsia" w:ascii="宋体" w:hAnsi="宋体" w:eastAsia="宋体" w:cs="宋体"/>
          <w:color w:val="auto"/>
          <w:sz w:val="24"/>
          <w:szCs w:val="24"/>
          <w:highlight w:val="none"/>
          <w:lang w:val="en-US" w:eastAsia="zh-CN"/>
        </w:rPr>
        <w:t>覆盖学生学、练、测、评，自主学习全流程，学习助手需为学生提供精准专业的回答，并且能够针对问题进行关联知识点资源推送，可推送资源中心内的资源，并能够定位到视频课程对应的知识点位置。（提供现场演示）</w:t>
      </w:r>
    </w:p>
    <w:p w14:paraId="3152DEE2">
      <w:pPr>
        <w:pageBreakBefore w:val="0"/>
        <w:numPr>
          <w:ilvl w:val="0"/>
          <w:numId w:val="16"/>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具备学习数据分析功能，根据学生日常学习数据，如试题答题情况、课程学习时长、生成个性化的学习分析报告。（提供满足参数证明截图）</w:t>
      </w:r>
    </w:p>
    <w:p w14:paraId="072341FC">
      <w:pPr>
        <w:pageBreakBefore w:val="0"/>
        <w:numPr>
          <w:ilvl w:val="0"/>
          <w:numId w:val="16"/>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拥有智能推荐学习资源模块，依据学生的学习历史、兴趣偏好以及当前学习进度，精准推荐适合的资料、课程视频、相关学术文章等。</w:t>
      </w:r>
    </w:p>
    <w:p w14:paraId="61F5282C">
      <w:pPr>
        <w:pageBreakBefore w:val="0"/>
        <w:numPr>
          <w:ilvl w:val="0"/>
          <w:numId w:val="16"/>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▲自动生成学情分析，包含知识掌握情况、学习情况、课程进度、历史得分情况、兴趣推荐，支持生成月度学习报告。（提供满足参数证明截图）</w:t>
      </w:r>
    </w:p>
    <w:p w14:paraId="23474D5F">
      <w:pPr>
        <w:pStyle w:val="93"/>
        <w:pageBreakBefore w:val="0"/>
        <w:numPr>
          <w:ilvl w:val="0"/>
          <w:numId w:val="5"/>
        </w:numPr>
        <w:kinsoku/>
        <w:wordWrap/>
        <w:overflowPunct/>
        <w:topLinePunct w:val="0"/>
        <w:autoSpaceDE/>
        <w:autoSpaceDN/>
        <w:bidi w:val="0"/>
        <w:snapToGrid/>
        <w:spacing w:line="440" w:lineRule="exact"/>
        <w:ind w:left="0" w:leftChars="0" w:firstLine="480" w:firstLineChars="200"/>
        <w:outlineLvl w:val="2"/>
        <w:rPr>
          <w:rFonts w:hint="eastAsia" w:ascii="宋体" w:hAnsi="宋体" w:eastAsia="宋体" w:cs="宋体"/>
          <w:b/>
          <w:bCs/>
          <w:kern w:val="0"/>
          <w:sz w:val="24"/>
          <w:szCs w:val="24"/>
          <w:lang w:val="en-US" w:eastAsia="zh-CN" w:bidi="ar-SA"/>
        </w:rPr>
      </w:pPr>
      <w:r>
        <w:rPr>
          <w:rFonts w:hint="eastAsia" w:ascii="宋体" w:hAnsi="宋体" w:eastAsia="宋体" w:cs="宋体"/>
          <w:b/>
          <w:bCs/>
          <w:kern w:val="0"/>
          <w:sz w:val="24"/>
          <w:szCs w:val="24"/>
          <w:lang w:val="en-US" w:eastAsia="zh-CN" w:bidi="ar-SA"/>
        </w:rPr>
        <w:t>资源制作要求</w:t>
      </w:r>
    </w:p>
    <w:p w14:paraId="2B033580">
      <w:pPr>
        <w:pageBreakBefore w:val="0"/>
        <w:kinsoku/>
        <w:wordWrap/>
        <w:overflowPunct/>
        <w:topLinePunct w:val="0"/>
        <w:autoSpaceDE/>
        <w:autoSpaceDN/>
        <w:bidi w:val="0"/>
        <w:snapToGrid/>
        <w:spacing w:line="440" w:lineRule="exact"/>
        <w:ind w:left="0" w:firstLine="480" w:firstLineChars="200"/>
        <w:rPr>
          <w:rFonts w:hint="eastAsia" w:ascii="宋体" w:hAnsi="宋体" w:eastAsia="宋体" w:cs="宋体"/>
          <w:sz w:val="24"/>
          <w:szCs w:val="24"/>
        </w:rPr>
      </w:pPr>
      <w:r>
        <w:rPr>
          <w:rFonts w:hint="eastAsia" w:ascii="宋体" w:hAnsi="宋体" w:eastAsia="宋体" w:cs="宋体"/>
          <w:sz w:val="24"/>
          <w:szCs w:val="24"/>
        </w:rPr>
        <w:t>参照《职业教育专业教学资源库相关技术规范汇编》（最新版）执行，并与其技术要求保持一致。</w:t>
      </w:r>
    </w:p>
    <w:p w14:paraId="779D13B0">
      <w:pPr>
        <w:pageBreakBefore w:val="0"/>
        <w:numPr>
          <w:ilvl w:val="0"/>
          <w:numId w:val="17"/>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音频类资源</w:t>
      </w:r>
    </w:p>
    <w:p w14:paraId="4484DACC">
      <w:pPr>
        <w:pageBreakBefore w:val="0"/>
        <w:kinsoku/>
        <w:wordWrap/>
        <w:overflowPunct/>
        <w:topLinePunct w:val="0"/>
        <w:autoSpaceDE/>
        <w:autoSpaceDN/>
        <w:bidi w:val="0"/>
        <w:snapToGrid/>
        <w:spacing w:line="440" w:lineRule="exact"/>
        <w:ind w:lef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使用专业级话筒及音频处理设备，保证录音质量。无交流声或其他杂音等缺陷。声音清晰，无杂音，无干扰，无破音和电流音。伴音清晰、饱满、圆润，无失真、无噪声杂音干扰、无音量忽大忽小现象。采样频率不低于44.1kHz，语音类音频的采样频率不低于21.2.05kHz</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常</w:t>
      </w:r>
      <w:r>
        <w:rPr>
          <w:rFonts w:hint="eastAsia" w:ascii="宋体" w:hAnsi="宋体" w:eastAsia="宋体" w:cs="宋体"/>
          <w:sz w:val="24"/>
          <w:szCs w:val="24"/>
        </w:rPr>
        <w:t>见音频存储格式，优先采用mp3 格式</w:t>
      </w:r>
      <w:r>
        <w:rPr>
          <w:rFonts w:hint="eastAsia" w:ascii="宋体" w:hAnsi="宋体" w:eastAsia="宋体" w:cs="宋体"/>
          <w:sz w:val="24"/>
          <w:szCs w:val="24"/>
          <w:lang w:eastAsia="zh-CN"/>
        </w:rPr>
        <w:t>，</w:t>
      </w:r>
      <w:r>
        <w:rPr>
          <w:rFonts w:hint="eastAsia" w:ascii="宋体" w:hAnsi="宋体" w:eastAsia="宋体" w:cs="宋体"/>
          <w:sz w:val="24"/>
          <w:szCs w:val="24"/>
        </w:rPr>
        <w:t>声道数为双声道</w:t>
      </w:r>
      <w:r>
        <w:rPr>
          <w:rFonts w:hint="eastAsia" w:ascii="宋体" w:hAnsi="宋体" w:eastAsia="宋体" w:cs="宋体"/>
          <w:sz w:val="24"/>
          <w:szCs w:val="24"/>
          <w:lang w:eastAsia="zh-CN"/>
        </w:rPr>
        <w:t>。</w:t>
      </w:r>
      <w:r>
        <w:rPr>
          <w:rFonts w:hint="eastAsia" w:ascii="宋体" w:hAnsi="宋体" w:eastAsia="宋体" w:cs="宋体"/>
          <w:sz w:val="24"/>
          <w:szCs w:val="24"/>
        </w:rPr>
        <w:t>解说声与现场声无明显比例失调，解说声与背景音乐无明显比例失调。</w:t>
      </w:r>
    </w:p>
    <w:p w14:paraId="1292315C">
      <w:pPr>
        <w:pageBreakBefore w:val="0"/>
        <w:numPr>
          <w:ilvl w:val="0"/>
          <w:numId w:val="17"/>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微课、视频</w:t>
      </w:r>
    </w:p>
    <w:p w14:paraId="2E03E67E">
      <w:pPr>
        <w:pStyle w:val="14"/>
        <w:pageBreakBefore w:val="0"/>
        <w:numPr>
          <w:ilvl w:val="0"/>
          <w:numId w:val="1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包装规范</w:t>
      </w:r>
    </w:p>
    <w:p w14:paraId="3400DB5F">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①</w:t>
      </w:r>
      <w:r>
        <w:rPr>
          <w:rFonts w:hint="eastAsia" w:ascii="宋体" w:hAnsi="宋体" w:eastAsia="宋体" w:cs="宋体"/>
          <w:color w:val="000000"/>
          <w:sz w:val="24"/>
          <w:szCs w:val="24"/>
          <w:highlight w:val="none"/>
          <w:lang w:val="en-US" w:eastAsia="zh-CN"/>
        </w:rPr>
        <w:t>单个微课、视频时长（每个5-8分钟）</w:t>
      </w:r>
    </w:p>
    <w:p w14:paraId="68AC8B87">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②</w:t>
      </w:r>
      <w:r>
        <w:rPr>
          <w:rFonts w:hint="eastAsia" w:ascii="宋体" w:hAnsi="宋体" w:eastAsia="宋体" w:cs="宋体"/>
          <w:color w:val="000000"/>
          <w:sz w:val="24"/>
          <w:szCs w:val="24"/>
          <w:highlight w:val="none"/>
          <w:lang w:val="en-US" w:eastAsia="zh-CN"/>
        </w:rPr>
        <w:t>片头与片尾</w:t>
      </w:r>
    </w:p>
    <w:p w14:paraId="6789C938">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片头（3~5秒）：学校统一模板，显示课程名称、教师姓名、单位、微课标题等，字体为黑体或楷体。</w:t>
      </w:r>
    </w:p>
    <w:p w14:paraId="21507136">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片尾：可定格于最后画面，用一句话总结内容，不出现联系方式、版权声明等无关内容。</w:t>
      </w:r>
    </w:p>
    <w:p w14:paraId="45D58C61">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③</w:t>
      </w:r>
      <w:r>
        <w:rPr>
          <w:rFonts w:hint="eastAsia" w:ascii="宋体" w:hAnsi="宋体" w:eastAsia="宋体" w:cs="宋体"/>
          <w:color w:val="000000"/>
          <w:sz w:val="24"/>
          <w:szCs w:val="24"/>
          <w:highlight w:val="none"/>
          <w:lang w:val="en-US" w:eastAsia="zh-CN"/>
        </w:rPr>
        <w:t>字幕与提示：</w:t>
      </w:r>
    </w:p>
    <w:p w14:paraId="175D315D">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全程配字幕，字体、大小、颜色、位置与画面协调，建议宋体或黑体。</w:t>
      </w:r>
    </w:p>
    <w:p w14:paraId="5D741C0E">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重点内容可用动画、标注、颜色等突出。</w:t>
      </w:r>
    </w:p>
    <w:p w14:paraId="2079A18D">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④</w:t>
      </w:r>
      <w:r>
        <w:rPr>
          <w:rFonts w:hint="eastAsia" w:ascii="宋体" w:hAnsi="宋体" w:eastAsia="宋体" w:cs="宋体"/>
          <w:color w:val="000000"/>
          <w:sz w:val="24"/>
          <w:szCs w:val="24"/>
          <w:highlight w:val="none"/>
          <w:lang w:val="en-US" w:eastAsia="zh-CN"/>
        </w:rPr>
        <w:t>技术与格式</w:t>
      </w:r>
    </w:p>
    <w:p w14:paraId="6D7EAC05">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格式：MP4，分辨率1920×1080（高清）或1280×720（标清），画幅16:9。</w:t>
      </w:r>
    </w:p>
    <w:p w14:paraId="2E77E147">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帧率：≥25fps，码率≥1024Kbps。</w:t>
      </w:r>
    </w:p>
    <w:p w14:paraId="0F1EF6DD">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音频：AAC格式，采样率48kHz，双声道，无杂音、音量适中，声画同步。</w:t>
      </w:r>
    </w:p>
    <w:p w14:paraId="4F358AA6">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大小：单个视频一般不超过100MB（微课），慕课可稍大。</w:t>
      </w:r>
    </w:p>
    <w:p w14:paraId="2C52BF9C">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⑤</w:t>
      </w:r>
      <w:r>
        <w:rPr>
          <w:rFonts w:hint="eastAsia" w:ascii="宋体" w:hAnsi="宋体" w:eastAsia="宋体" w:cs="宋体"/>
          <w:color w:val="000000"/>
          <w:sz w:val="24"/>
          <w:szCs w:val="24"/>
          <w:highlight w:val="none"/>
          <w:lang w:val="en-US" w:eastAsia="zh-CN"/>
        </w:rPr>
        <w:t>视觉与美化</w:t>
      </w:r>
    </w:p>
    <w:p w14:paraId="603E8EF4">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配色简洁，不超过四种主色，背景纯白或单色。</w:t>
      </w:r>
    </w:p>
    <w:p w14:paraId="3AE68B22">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动画、图片、视频等须与教学内容紧密相关，不使用无关修饰。</w:t>
      </w:r>
    </w:p>
    <w:p w14:paraId="174E296E">
      <w:pPr>
        <w:pStyle w:val="93"/>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可适度使用图表、动画、实拍素材，提升表现力。</w:t>
      </w:r>
    </w:p>
    <w:p w14:paraId="42507FA3">
      <w:pPr>
        <w:pStyle w:val="14"/>
        <w:pageBreakBefore w:val="0"/>
        <w:numPr>
          <w:ilvl w:val="0"/>
          <w:numId w:val="1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内容结构</w:t>
      </w:r>
    </w:p>
    <w:p w14:paraId="4EBAACD8">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①</w:t>
      </w:r>
      <w:r>
        <w:rPr>
          <w:rFonts w:hint="eastAsia" w:ascii="宋体" w:hAnsi="宋体" w:eastAsia="宋体" w:cs="宋体"/>
          <w:color w:val="000000"/>
          <w:sz w:val="24"/>
          <w:szCs w:val="24"/>
          <w:highlight w:val="none"/>
          <w:lang w:val="en-US" w:eastAsia="zh-CN"/>
        </w:rPr>
        <w:t>微课程要求以视频为主要载体，为围绕某个知识点/技能点内容展开、基于教学设计的学习资源；</w:t>
      </w:r>
    </w:p>
    <w:p w14:paraId="4E2559BE">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②</w:t>
      </w:r>
      <w:r>
        <w:rPr>
          <w:rFonts w:hint="eastAsia" w:ascii="宋体" w:hAnsi="宋体" w:eastAsia="宋体" w:cs="宋体"/>
          <w:color w:val="000000"/>
          <w:sz w:val="24"/>
          <w:szCs w:val="24"/>
          <w:highlight w:val="none"/>
          <w:lang w:val="en-US" w:eastAsia="zh-CN"/>
        </w:rPr>
        <w:t>由教师根据课程大纲明确微课名称，保证与课程大纲相一致撰写微课程脚本并提供相关内容素材；</w:t>
      </w:r>
    </w:p>
    <w:p w14:paraId="52121116">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③</w:t>
      </w:r>
      <w:r>
        <w:rPr>
          <w:rFonts w:hint="eastAsia" w:ascii="宋体" w:hAnsi="宋体" w:eastAsia="宋体" w:cs="宋体"/>
          <w:color w:val="000000"/>
          <w:sz w:val="24"/>
          <w:szCs w:val="24"/>
          <w:highlight w:val="none"/>
          <w:lang w:val="en-US" w:eastAsia="zh-CN"/>
        </w:rPr>
        <w:t>引言（导入）：简明切入主题，可通过故事、问题、案例、名言等激发学习兴趣，快速明确学习目标（约30秒）。</w:t>
      </w:r>
    </w:p>
    <w:p w14:paraId="2EA89E9C">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④</w:t>
      </w:r>
      <w:r>
        <w:rPr>
          <w:rFonts w:hint="eastAsia" w:ascii="宋体" w:hAnsi="宋体" w:eastAsia="宋体" w:cs="宋体"/>
          <w:color w:val="000000"/>
          <w:sz w:val="24"/>
          <w:szCs w:val="24"/>
          <w:highlight w:val="none"/>
          <w:lang w:val="en-US" w:eastAsia="zh-CN"/>
        </w:rPr>
        <w:t>主体（讲解）：根据教师对课程的需求进行知识点解析、案例分析、技能演示等。突出重点、难点、考点。</w:t>
      </w:r>
    </w:p>
    <w:p w14:paraId="5798F93A">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⑤</w:t>
      </w:r>
      <w:r>
        <w:rPr>
          <w:rFonts w:hint="eastAsia" w:ascii="宋体" w:hAnsi="宋体" w:eastAsia="宋体" w:cs="宋体"/>
          <w:kern w:val="2"/>
          <w:sz w:val="24"/>
          <w:szCs w:val="24"/>
          <w:highlight w:val="none"/>
          <w:lang w:val="en-US" w:eastAsia="zh-CN" w:bidi="ar-SA"/>
        </w:rPr>
        <w:t>小结（结尾）：概括本节重点、呼应引言，可加入思考题或拓展任务等。</w:t>
      </w:r>
    </w:p>
    <w:p w14:paraId="30EF8121">
      <w:pPr>
        <w:pStyle w:val="14"/>
        <w:pageBreakBefore w:val="0"/>
        <w:numPr>
          <w:ilvl w:val="0"/>
          <w:numId w:val="18"/>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出镜要求</w:t>
      </w:r>
    </w:p>
    <w:p w14:paraId="678DA0DF">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①</w:t>
      </w:r>
      <w:r>
        <w:rPr>
          <w:rFonts w:hint="eastAsia" w:ascii="宋体" w:hAnsi="宋体" w:eastAsia="宋体" w:cs="宋体"/>
          <w:color w:val="000000"/>
          <w:sz w:val="24"/>
          <w:szCs w:val="24"/>
          <w:highlight w:val="none"/>
          <w:lang w:val="en-US" w:eastAsia="zh-CN"/>
        </w:rPr>
        <w:t>衣着：正式、整洁、大方</w:t>
      </w:r>
    </w:p>
    <w:p w14:paraId="7B11EA42">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②</w:t>
      </w:r>
      <w:r>
        <w:rPr>
          <w:rFonts w:hint="eastAsia" w:ascii="宋体" w:hAnsi="宋体" w:eastAsia="宋体" w:cs="宋体"/>
          <w:color w:val="000000"/>
          <w:sz w:val="24"/>
          <w:szCs w:val="24"/>
          <w:highlight w:val="none"/>
          <w:lang w:val="en-US" w:eastAsia="zh-CN"/>
        </w:rPr>
        <w:t>中景或近景为主，面部表情自然、富有亲和力</w:t>
      </w:r>
    </w:p>
    <w:p w14:paraId="63B716C1">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③</w:t>
      </w:r>
      <w:r>
        <w:rPr>
          <w:rFonts w:hint="eastAsia" w:ascii="宋体" w:hAnsi="宋体" w:eastAsia="宋体" w:cs="宋体"/>
          <w:color w:val="000000"/>
          <w:sz w:val="24"/>
          <w:szCs w:val="24"/>
          <w:highlight w:val="none"/>
          <w:lang w:val="en-US" w:eastAsia="zh-CN"/>
        </w:rPr>
        <w:t>普通话标准、吐字清晰、语速适中，富有感染力，</w:t>
      </w:r>
    </w:p>
    <w:p w14:paraId="3344E552">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④</w:t>
      </w:r>
      <w:r>
        <w:rPr>
          <w:rFonts w:hint="eastAsia" w:ascii="宋体" w:hAnsi="宋体" w:eastAsia="宋体" w:cs="宋体"/>
          <w:color w:val="000000"/>
          <w:sz w:val="24"/>
          <w:szCs w:val="24"/>
          <w:highlight w:val="none"/>
          <w:lang w:val="en-US" w:eastAsia="zh-CN"/>
        </w:rPr>
        <w:t>光线充足、环境安静整洁，无无关物品或干扰信息</w:t>
      </w:r>
    </w:p>
    <w:p w14:paraId="0DB02AB4">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trike/>
          <w:dstrike w:val="0"/>
          <w:kern w:val="2"/>
          <w:sz w:val="24"/>
          <w:szCs w:val="24"/>
          <w:highlight w:val="none"/>
          <w:lang w:val="en-US" w:eastAsia="zh-CN" w:bidi="ar-SA"/>
        </w:rPr>
      </w:pPr>
      <w:r>
        <w:rPr>
          <w:rFonts w:hint="eastAsia" w:ascii="宋体" w:hAnsi="宋体" w:eastAsia="宋体" w:cs="宋体"/>
          <w:color w:val="000000"/>
          <w:sz w:val="24"/>
          <w:szCs w:val="24"/>
          <w:lang w:val="en-US" w:eastAsia="zh-CN" w:bidi="ar-SA"/>
        </w:rPr>
        <w:t>⑤</w:t>
      </w:r>
      <w:r>
        <w:rPr>
          <w:rFonts w:hint="eastAsia" w:ascii="宋体" w:hAnsi="宋体" w:eastAsia="宋体" w:cs="宋体"/>
          <w:color w:val="000000"/>
          <w:sz w:val="24"/>
          <w:szCs w:val="24"/>
          <w:highlight w:val="none"/>
          <w:lang w:val="en-US" w:eastAsia="zh-CN"/>
        </w:rPr>
        <w:t>避免出现广告、无关标识、版权侵权内容，不存在意识形态问题</w:t>
      </w:r>
    </w:p>
    <w:p w14:paraId="557763AF">
      <w:pPr>
        <w:pageBreakBefore w:val="0"/>
        <w:numPr>
          <w:ilvl w:val="0"/>
          <w:numId w:val="17"/>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2D/3D动画</w:t>
      </w:r>
    </w:p>
    <w:p w14:paraId="7348144C">
      <w:pPr>
        <w:pStyle w:val="14"/>
        <w:pageBreakBefore w:val="0"/>
        <w:numPr>
          <w:ilvl w:val="0"/>
          <w:numId w:val="1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既可以作为微课程视频的穿插素材，又可以独立作为知识点的组课资源。</w:t>
      </w:r>
    </w:p>
    <w:p w14:paraId="6119B746">
      <w:pPr>
        <w:pStyle w:val="14"/>
        <w:pageBreakBefore w:val="0"/>
        <w:numPr>
          <w:ilvl w:val="0"/>
          <w:numId w:val="1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动画中如果有文字，文字要醒目，文字的字体、字号与内容协调，字体颜色避免与背景色相近；如果有解说，配音应标准，无噪音，声音悦耳，音量适当，快慢适度，流畅自然。</w:t>
      </w:r>
    </w:p>
    <w:p w14:paraId="3C197402">
      <w:pPr>
        <w:pStyle w:val="14"/>
        <w:pageBreakBefore w:val="0"/>
        <w:numPr>
          <w:ilvl w:val="0"/>
          <w:numId w:val="1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动画色彩造型应和谐，画面简洁、清晰、界面友好。如果为交互动画，交互设计合理，操作简单；动画连续，节奏合理，帧和帧之间的关联性要强；动画演播过程要流畅，静止画面时间不超过5秒钟。</w:t>
      </w:r>
    </w:p>
    <w:p w14:paraId="4DD7CD6E">
      <w:pPr>
        <w:pStyle w:val="14"/>
        <w:pageBreakBefore w:val="0"/>
        <w:numPr>
          <w:ilvl w:val="0"/>
          <w:numId w:val="1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每个动画应不低于15秒且不超60秒，mp4存储格式。资源库统一的片头片尾。</w:t>
      </w:r>
    </w:p>
    <w:p w14:paraId="6FDAD32E">
      <w:pPr>
        <w:pStyle w:val="14"/>
        <w:pageBreakBefore w:val="0"/>
        <w:numPr>
          <w:ilvl w:val="0"/>
          <w:numId w:val="19"/>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如动画形式为交互类动画，交互点数量不低于6个不超过10个。</w:t>
      </w:r>
    </w:p>
    <w:p w14:paraId="71ECBE01">
      <w:pPr>
        <w:pStyle w:val="14"/>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trike/>
          <w:dstrike w:val="0"/>
          <w:kern w:val="2"/>
          <w:sz w:val="24"/>
          <w:szCs w:val="24"/>
          <w:lang w:val="en-US" w:eastAsia="zh-CN" w:bidi="ar-SA"/>
        </w:rPr>
      </w:pPr>
      <w:r>
        <w:rPr>
          <w:rFonts w:hint="eastAsia" w:ascii="宋体" w:hAnsi="宋体" w:eastAsia="宋体" w:cs="宋体"/>
          <w:kern w:val="2"/>
          <w:sz w:val="24"/>
          <w:szCs w:val="24"/>
          <w:highlight w:val="none"/>
          <w:lang w:val="en-US" w:eastAsia="zh-CN" w:bidi="ar-SA"/>
        </w:rPr>
        <w:t>(6</w:t>
      </w:r>
      <w:r>
        <w:rPr>
          <w:rFonts w:hint="eastAsia" w:hAnsi="宋体" w:cs="宋体"/>
          <w:kern w:val="2"/>
          <w:sz w:val="24"/>
          <w:szCs w:val="24"/>
          <w:highlight w:val="none"/>
          <w:lang w:val="en-US" w:eastAsia="zh-CN" w:bidi="ar-SA"/>
        </w:rPr>
        <w:t>）</w:t>
      </w:r>
      <w:r>
        <w:rPr>
          <w:rFonts w:hint="eastAsia" w:ascii="宋体" w:hAnsi="宋体" w:eastAsia="宋体" w:cs="宋体"/>
          <w:kern w:val="2"/>
          <w:sz w:val="24"/>
          <w:szCs w:val="24"/>
          <w:highlight w:val="none"/>
          <w:lang w:val="en-US" w:eastAsia="zh-CN" w:bidi="ar-SA"/>
        </w:rPr>
        <w:t>动画分辨率为高清：1280×720像素（16:9）或1920×1080像素（16:9）</w:t>
      </w:r>
    </w:p>
    <w:p w14:paraId="1C66A287">
      <w:pPr>
        <w:pageBreakBefore w:val="0"/>
        <w:numPr>
          <w:ilvl w:val="0"/>
          <w:numId w:val="17"/>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演示文稿</w:t>
      </w:r>
    </w:p>
    <w:p w14:paraId="298B524D">
      <w:pPr>
        <w:pStyle w:val="93"/>
        <w:pageBreakBefore w:val="0"/>
        <w:numPr>
          <w:ilvl w:val="0"/>
          <w:numId w:val="2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color w:val="000000"/>
          <w:sz w:val="24"/>
          <w:szCs w:val="24"/>
        </w:rPr>
        <w:t>由教师根据课程大纲明确课件名称，保证与课程大纲相一致，提供教学课件初稿及配套素材；</w:t>
      </w:r>
    </w:p>
    <w:p w14:paraId="56BC1F2E">
      <w:pPr>
        <w:pStyle w:val="93"/>
        <w:pageBreakBefore w:val="0"/>
        <w:numPr>
          <w:ilvl w:val="0"/>
          <w:numId w:val="2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color w:val="000000"/>
          <w:sz w:val="24"/>
          <w:szCs w:val="24"/>
        </w:rPr>
        <w:t>由编辑人员对素材进行审读，保证所使用的素材无版权纠纷、无敏感词汇，不涉及国家领导人肖像、国旗国徽变形、地图无审图号等问题；</w:t>
      </w:r>
    </w:p>
    <w:p w14:paraId="2CB26E93">
      <w:pPr>
        <w:pStyle w:val="93"/>
        <w:pageBreakBefore w:val="0"/>
        <w:numPr>
          <w:ilvl w:val="0"/>
          <w:numId w:val="2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color w:val="000000"/>
          <w:sz w:val="24"/>
          <w:szCs w:val="24"/>
        </w:rPr>
        <w:t>每讲15屏左右，每页ppt要有学校和资源库的logo图标；</w:t>
      </w:r>
    </w:p>
    <w:p w14:paraId="64DB44CC">
      <w:pPr>
        <w:pStyle w:val="93"/>
        <w:pageBreakBefore w:val="0"/>
        <w:numPr>
          <w:ilvl w:val="0"/>
          <w:numId w:val="2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color w:val="000000"/>
          <w:sz w:val="24"/>
          <w:szCs w:val="24"/>
        </w:rPr>
        <w:t>对课件进行逐页美化，适量动画包装，用通用字库，图像、图形应清晰，色彩搭配合理，布局简洁、工整，文中所用计量符号应符合国家相关标准；</w:t>
      </w:r>
    </w:p>
    <w:p w14:paraId="3ACFEBFC">
      <w:pPr>
        <w:pStyle w:val="93"/>
        <w:pageBreakBefore w:val="0"/>
        <w:numPr>
          <w:ilvl w:val="0"/>
          <w:numId w:val="2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rPr>
      </w:pPr>
      <w:r>
        <w:rPr>
          <w:rFonts w:hint="eastAsia" w:ascii="宋体" w:hAnsi="宋体" w:eastAsia="宋体" w:cs="宋体"/>
          <w:color w:val="000000"/>
          <w:sz w:val="24"/>
          <w:szCs w:val="24"/>
        </w:rPr>
        <w:t>使用系统默认字体，不使用仿宋、细圆等过细字体；文字要醒目，避免使用与背景色相近的字体颜色；如有特殊字体，应转化为图形文件；</w:t>
      </w:r>
    </w:p>
    <w:p w14:paraId="4DACAA67">
      <w:pPr>
        <w:pageBreakBefore w:val="0"/>
        <w:numPr>
          <w:ilvl w:val="0"/>
          <w:numId w:val="20"/>
        </w:numPr>
        <w:kinsoku/>
        <w:wordWrap/>
        <w:overflowPunct/>
        <w:topLinePunct w:val="0"/>
        <w:autoSpaceDE/>
        <w:autoSpaceDN/>
        <w:bidi w:val="0"/>
        <w:snapToGrid/>
        <w:spacing w:line="440" w:lineRule="exact"/>
        <w:ind w:left="0" w:leftChars="0" w:firstLine="480" w:firstLineChars="200"/>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恰当使用组合：某些插图中位置相对固定的文本框、数学公式以及图片等应采用组合方式，避免产生相对位移；</w:t>
      </w:r>
    </w:p>
    <w:p w14:paraId="5245C8C8">
      <w:pPr>
        <w:pageBreakBefore w:val="0"/>
        <w:numPr>
          <w:ilvl w:val="0"/>
          <w:numId w:val="17"/>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color w:val="000000"/>
          <w:sz w:val="24"/>
          <w:szCs w:val="24"/>
          <w:lang w:eastAsia="zh-CN"/>
        </w:rPr>
      </w:pPr>
      <w:r>
        <w:rPr>
          <w:rFonts w:hint="eastAsia" w:ascii="宋体" w:hAnsi="宋体" w:eastAsia="宋体" w:cs="宋体"/>
          <w:b/>
          <w:bCs/>
          <w:sz w:val="24"/>
          <w:szCs w:val="24"/>
          <w:lang w:val="en-US" w:eastAsia="zh-CN"/>
        </w:rPr>
        <w:t>虚拟仿真</w:t>
      </w:r>
    </w:p>
    <w:p w14:paraId="511EB73D">
      <w:pPr>
        <w:pageBreakBefore w:val="0"/>
        <w:numPr>
          <w:ilvl w:val="0"/>
          <w:numId w:val="0"/>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(1)</w:t>
      </w:r>
      <w:r>
        <w:rPr>
          <w:rFonts w:hint="eastAsia" w:ascii="宋体" w:hAnsi="宋体" w:eastAsia="宋体" w:cs="宋体"/>
          <w:color w:val="000000"/>
          <w:sz w:val="24"/>
          <w:szCs w:val="24"/>
          <w:lang w:val="en-US" w:eastAsia="zh-CN"/>
        </w:rPr>
        <w:t>根据学校需求定制化开发虚拟仿真资源，</w:t>
      </w:r>
      <w:r>
        <w:rPr>
          <w:rFonts w:hint="eastAsia" w:ascii="宋体" w:hAnsi="宋体" w:eastAsia="宋体" w:cs="宋体"/>
          <w:color w:val="000000"/>
          <w:sz w:val="24"/>
          <w:szCs w:val="24"/>
        </w:rPr>
        <w:t>具有漫游（职业场景、设施设备）、演示（操作规程、安全禁忌）、互动（设备拆装、仪器操作）、考核（过程操作、故障排除）中的一种或多种功能</w:t>
      </w:r>
      <w:r>
        <w:rPr>
          <w:rFonts w:hint="eastAsia" w:ascii="宋体" w:hAnsi="宋体" w:eastAsia="宋体" w:cs="宋体"/>
          <w:color w:val="000000"/>
          <w:sz w:val="24"/>
          <w:szCs w:val="24"/>
          <w:lang w:eastAsia="zh-CN"/>
        </w:rPr>
        <w:t>。</w:t>
      </w:r>
    </w:p>
    <w:p w14:paraId="69CFD346">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(2)</w:t>
      </w:r>
      <w:r>
        <w:rPr>
          <w:rFonts w:hint="eastAsia" w:ascii="宋体" w:hAnsi="宋体" w:eastAsia="宋体" w:cs="宋体"/>
          <w:color w:val="000000"/>
          <w:sz w:val="24"/>
          <w:szCs w:val="24"/>
        </w:rPr>
        <w:t>内容符合职业标准、技术规范、业务规程和行业属性，无科学性错误</w:t>
      </w:r>
    </w:p>
    <w:p w14:paraId="1F808F96">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(3)</w:t>
      </w:r>
      <w:r>
        <w:rPr>
          <w:rFonts w:hint="eastAsia" w:ascii="宋体" w:hAnsi="宋体" w:eastAsia="宋体" w:cs="宋体"/>
          <w:color w:val="000000"/>
          <w:sz w:val="24"/>
          <w:szCs w:val="24"/>
        </w:rPr>
        <w:t>内容符合我国法律法规，尊重各民族风俗习惯，版权不存在争议</w:t>
      </w:r>
    </w:p>
    <w:p w14:paraId="16822461">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(4)</w:t>
      </w:r>
      <w:r>
        <w:rPr>
          <w:rFonts w:hint="eastAsia" w:ascii="宋体" w:hAnsi="宋体" w:eastAsia="宋体" w:cs="宋体"/>
          <w:color w:val="000000"/>
          <w:sz w:val="24"/>
          <w:szCs w:val="24"/>
        </w:rPr>
        <w:t>有明确的版权标识信息</w:t>
      </w:r>
    </w:p>
    <w:p w14:paraId="4B1FBA24">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(5)</w:t>
      </w:r>
      <w:r>
        <w:rPr>
          <w:rFonts w:hint="eastAsia" w:ascii="宋体" w:hAnsi="宋体" w:eastAsia="宋体" w:cs="宋体"/>
          <w:color w:val="000000"/>
          <w:sz w:val="24"/>
          <w:szCs w:val="24"/>
        </w:rPr>
        <w:t>画面逼真，色彩、形状、声音、位置等高度符合实物的特征</w:t>
      </w:r>
    </w:p>
    <w:p w14:paraId="52439C37">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(6)</w:t>
      </w:r>
      <w:r>
        <w:rPr>
          <w:rFonts w:hint="eastAsia" w:ascii="宋体" w:hAnsi="宋体" w:eastAsia="宋体" w:cs="宋体"/>
          <w:color w:val="000000"/>
          <w:sz w:val="24"/>
          <w:szCs w:val="24"/>
        </w:rPr>
        <w:t>界面友好，交互设计合理，操作简单</w:t>
      </w:r>
    </w:p>
    <w:p w14:paraId="71E8F180">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(7)</w:t>
      </w:r>
      <w:r>
        <w:rPr>
          <w:rFonts w:hint="eastAsia" w:ascii="宋体" w:hAnsi="宋体" w:eastAsia="宋体" w:cs="宋体"/>
          <w:color w:val="000000"/>
          <w:sz w:val="24"/>
          <w:szCs w:val="24"/>
        </w:rPr>
        <w:t>如果有背景音乐，背景音乐音量不宜过大，音乐与内容相符，并提供控制开关</w:t>
      </w:r>
    </w:p>
    <w:p w14:paraId="78F4AA14">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Hans" w:bidi="ar-SA"/>
        </w:rPr>
        <w:t>(8)</w:t>
      </w:r>
      <w:r>
        <w:rPr>
          <w:rFonts w:hint="eastAsia" w:ascii="宋体" w:hAnsi="宋体" w:eastAsia="宋体" w:cs="宋体"/>
          <w:color w:val="000000"/>
          <w:sz w:val="24"/>
          <w:szCs w:val="24"/>
        </w:rPr>
        <w:t>如果有解说，配音应标准，无噪音，声音悦耳，音量适当，快慢适度并提供控制解说的开关</w:t>
      </w:r>
    </w:p>
    <w:p w14:paraId="1E36F3CF">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(9)</w:t>
      </w:r>
      <w:r>
        <w:rPr>
          <w:rFonts w:hint="eastAsia" w:ascii="宋体" w:hAnsi="宋体" w:eastAsia="宋体" w:cs="宋体"/>
          <w:color w:val="000000"/>
          <w:sz w:val="24"/>
          <w:szCs w:val="24"/>
        </w:rPr>
        <w:t>除提交源文件外，还需提交能以单个文件呈现的预览文件</w:t>
      </w:r>
      <w:r>
        <w:rPr>
          <w:rFonts w:hint="eastAsia" w:ascii="宋体" w:hAnsi="宋体" w:eastAsia="宋体" w:cs="宋体"/>
          <w:color w:val="000000"/>
          <w:sz w:val="24"/>
          <w:szCs w:val="24"/>
          <w:lang w:eastAsia="zh-CN"/>
        </w:rPr>
        <w:t>。</w:t>
      </w:r>
    </w:p>
    <w:p w14:paraId="393C82FA">
      <w:pPr>
        <w:pageBreakBefore w:val="0"/>
        <w:numPr>
          <w:ilvl w:val="0"/>
          <w:numId w:val="17"/>
        </w:numPr>
        <w:kinsoku/>
        <w:wordWrap/>
        <w:overflowPunct/>
        <w:topLinePunct w:val="0"/>
        <w:autoSpaceDE/>
        <w:autoSpaceDN/>
        <w:bidi w:val="0"/>
        <w:snapToGrid/>
        <w:spacing w:line="440" w:lineRule="exact"/>
        <w:ind w:left="0" w:leftChars="0" w:firstLine="480" w:firstLineChars="200"/>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文本类资源</w:t>
      </w:r>
    </w:p>
    <w:p w14:paraId="327D8235">
      <w:pPr>
        <w:pStyle w:val="93"/>
        <w:pageBreakBefore w:val="0"/>
        <w:numPr>
          <w:ilvl w:val="0"/>
          <w:numId w:val="2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格式模板要求</w:t>
      </w:r>
    </w:p>
    <w:p w14:paraId="39FD69D4">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①</w:t>
      </w:r>
      <w:r>
        <w:rPr>
          <w:rFonts w:hint="eastAsia" w:ascii="宋体" w:hAnsi="宋体" w:eastAsia="宋体" w:cs="宋体"/>
          <w:color w:val="000000"/>
          <w:sz w:val="24"/>
          <w:szCs w:val="24"/>
          <w:highlight w:val="none"/>
        </w:rPr>
        <w:t>文件制作版本不低于当前主流版本，要求上下兼容。</w:t>
      </w:r>
    </w:p>
    <w:p w14:paraId="290733B6">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②</w:t>
      </w:r>
      <w:r>
        <w:rPr>
          <w:rFonts w:hint="eastAsia" w:ascii="宋体" w:hAnsi="宋体" w:eastAsia="宋体" w:cs="宋体"/>
          <w:color w:val="000000"/>
          <w:sz w:val="24"/>
          <w:szCs w:val="24"/>
          <w:highlight w:val="none"/>
        </w:rPr>
        <w:t>文本正文应设定文章标题，文章标题放在正文内第一行居中的位置。</w:t>
      </w:r>
    </w:p>
    <w:p w14:paraId="43ED4E81">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③</w:t>
      </w:r>
      <w:r>
        <w:rPr>
          <w:rFonts w:hint="eastAsia" w:ascii="宋体" w:hAnsi="宋体" w:eastAsia="宋体" w:cs="宋体"/>
          <w:color w:val="000000"/>
          <w:sz w:val="24"/>
          <w:szCs w:val="24"/>
          <w:highlight w:val="none"/>
        </w:rPr>
        <w:t>各级标题应设置正确，同一级标题使用同样的样式，文本结构清晰</w:t>
      </w:r>
    </w:p>
    <w:p w14:paraId="16960166">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④正文字体、字号、颜色、行间距等要美观、统一。</w:t>
      </w:r>
    </w:p>
    <w:p w14:paraId="48FAC20D">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⑤表格不应超出页面，且要求使用软件的插入表格或绘制表格等功能生成表格，并使用相应功能加工处理，不要用在文本上描绘直线等绘图方式制作表格。</w:t>
      </w:r>
    </w:p>
    <w:p w14:paraId="6522E07E">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⑥文本超过 10 页应插入页码；超过 15 页应插入目录。</w:t>
      </w:r>
    </w:p>
    <w:p w14:paraId="7DF7A2F6">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⑦正文中的图像、图形应清晰，图形要符合国家相关绘制标准。</w:t>
      </w:r>
    </w:p>
    <w:p w14:paraId="3E7A9A9D">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⑧文本内容应忠实于原文献，完整有序，符合我国法律法规，尊重各民族风俗习惯，版权不存在争议。</w:t>
      </w:r>
    </w:p>
    <w:p w14:paraId="2F4D64F1">
      <w:pPr>
        <w:pStyle w:val="93"/>
        <w:pageBreakBefore w:val="0"/>
        <w:numPr>
          <w:ilvl w:val="0"/>
          <w:numId w:val="2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字数范围要求</w:t>
      </w:r>
    </w:p>
    <w:p w14:paraId="38CA0F9C">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①</w:t>
      </w:r>
      <w:r>
        <w:rPr>
          <w:rFonts w:hint="eastAsia" w:ascii="宋体" w:hAnsi="宋体" w:eastAsia="宋体" w:cs="宋体"/>
          <w:color w:val="000000"/>
          <w:sz w:val="24"/>
          <w:szCs w:val="24"/>
          <w:highlight w:val="none"/>
          <w:lang w:val="en-US" w:eastAsia="zh-CN"/>
        </w:rPr>
        <w:t>课程简介/课程说明：200～800字，突出课程特点、教学目标、授课对象等核心信息教学课例.</w:t>
      </w:r>
    </w:p>
    <w:p w14:paraId="3DE7188D">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②</w:t>
      </w:r>
      <w:r>
        <w:rPr>
          <w:rFonts w:hint="eastAsia" w:ascii="宋体" w:hAnsi="宋体" w:eastAsia="宋体" w:cs="宋体"/>
          <w:color w:val="000000"/>
          <w:sz w:val="24"/>
          <w:szCs w:val="24"/>
          <w:highlight w:val="none"/>
          <w:lang w:val="en-US" w:eastAsia="zh-CN"/>
        </w:rPr>
        <w:t>课程标准、人培方案等：字数要求通常较为灵活，一般要求1500字以上，不超过5000字。</w:t>
      </w:r>
    </w:p>
    <w:p w14:paraId="51A6142B">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③</w:t>
      </w:r>
      <w:r>
        <w:rPr>
          <w:rFonts w:hint="eastAsia" w:ascii="宋体" w:hAnsi="宋体" w:eastAsia="宋体" w:cs="宋体"/>
          <w:color w:val="000000"/>
          <w:sz w:val="24"/>
          <w:szCs w:val="24"/>
          <w:highlight w:val="none"/>
          <w:lang w:val="en-US" w:eastAsia="zh-CN"/>
        </w:rPr>
        <w:t>习题库/试题库：单题无字数要求，但整套试卷建议1000～3000字，配套答案与解析</w:t>
      </w:r>
    </w:p>
    <w:p w14:paraId="2759A8CF">
      <w:pPr>
        <w:pStyle w:val="93"/>
        <w:pageBreakBefore w:val="0"/>
        <w:numPr>
          <w:ilvl w:val="0"/>
          <w:numId w:val="21"/>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主题内容结构要求</w:t>
      </w:r>
    </w:p>
    <w:p w14:paraId="10F86A2E">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①</w:t>
      </w:r>
      <w:r>
        <w:rPr>
          <w:rFonts w:hint="eastAsia" w:ascii="宋体" w:hAnsi="宋体" w:eastAsia="宋体" w:cs="宋体"/>
          <w:color w:val="000000"/>
          <w:sz w:val="24"/>
          <w:szCs w:val="24"/>
          <w:highlight w:val="none"/>
          <w:lang w:val="en-US" w:eastAsia="zh-CN"/>
        </w:rPr>
        <w:t>课程简介：课程特点、教学目标、方法及组织形式、授课对象等。</w:t>
      </w:r>
    </w:p>
    <w:p w14:paraId="6A74DE8F">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②</w:t>
      </w:r>
      <w:r>
        <w:rPr>
          <w:rFonts w:hint="eastAsia" w:ascii="宋体" w:hAnsi="宋体" w:eastAsia="宋体" w:cs="宋体"/>
          <w:color w:val="000000"/>
          <w:sz w:val="24"/>
          <w:szCs w:val="24"/>
          <w:highlight w:val="none"/>
          <w:lang w:val="en-US" w:eastAsia="zh-CN"/>
        </w:rPr>
        <w:t>课程标准、人培方案：课程定位、教学内容、教学实施条件、考核方式等。</w:t>
      </w:r>
    </w:p>
    <w:p w14:paraId="1E65E754">
      <w:pPr>
        <w:pStyle w:val="93"/>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bidi="ar-SA"/>
        </w:rPr>
        <w:t>③</w:t>
      </w:r>
      <w:r>
        <w:rPr>
          <w:rFonts w:hint="eastAsia" w:ascii="宋体" w:hAnsi="宋体" w:eastAsia="宋体" w:cs="宋体"/>
          <w:color w:val="000000"/>
          <w:sz w:val="24"/>
          <w:szCs w:val="24"/>
          <w:highlight w:val="none"/>
          <w:lang w:val="en-US" w:eastAsia="zh-CN"/>
        </w:rPr>
        <w:t>习题库/试题库：题型多样、难度梯度，涵盖知识点与能力点。</w:t>
      </w:r>
    </w:p>
    <w:p w14:paraId="09651A40">
      <w:pPr>
        <w:pStyle w:val="93"/>
        <w:pageBreakBefore w:val="0"/>
        <w:numPr>
          <w:ilvl w:val="0"/>
          <w:numId w:val="5"/>
        </w:numPr>
        <w:kinsoku/>
        <w:wordWrap/>
        <w:overflowPunct/>
        <w:topLinePunct w:val="0"/>
        <w:autoSpaceDE/>
        <w:autoSpaceDN/>
        <w:bidi w:val="0"/>
        <w:snapToGrid/>
        <w:spacing w:line="440" w:lineRule="exact"/>
        <w:ind w:left="0" w:leftChars="0" w:firstLine="480" w:firstLineChars="200"/>
        <w:outlineLvl w:val="2"/>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技术保障要求</w:t>
      </w:r>
    </w:p>
    <w:p w14:paraId="75C2BF04">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1、投标方承担过同类型或类似的课程建设服务，具有课程资源建设的服务经历及资源库建设经历，熟悉课程开发服务流程，拥有成型的技术队伍，能够确保课程建设工作顺利完成。</w:t>
      </w:r>
    </w:p>
    <w:p w14:paraId="692DC668">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2、服务团队熟悉课程录制模式、多种多类型表达形式，能够根据教师讲授课程及其章节的内容特点，结合已有的技术及设备条件，协助建课教师确定课程内容的制作类型、拍摄计划。</w:t>
      </w:r>
    </w:p>
    <w:p w14:paraId="72E0D160">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3、投标方应确保项目配有专门的技术服务人员，至少包含项目经理至少1人、课程顾问（编导）至少2人、视频工程师（三年课程视频或宣传片拍摄经验）至少 2 人，动画设计师至少1人、网页设计师至少1人；且专业教学资源库的建设经验。</w:t>
      </w:r>
    </w:p>
    <w:p w14:paraId="19380A65">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4、课程经理负责学校、教师、制作团队之间的沟通与协调。</w:t>
      </w:r>
    </w:p>
    <w:p w14:paraId="2866EBB2">
      <w:pPr>
        <w:pageBreakBefore w:val="0"/>
        <w:numPr>
          <w:ilvl w:val="0"/>
          <w:numId w:val="0"/>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5、拍摄设备：专业高清摄像机（至少 2 机位），辅助记忆设备（提词器）1 套；专业无线麦模式的音频设备、专业影视摄像灯具等。</w:t>
      </w:r>
    </w:p>
    <w:p w14:paraId="4B587D05">
      <w:pPr>
        <w:pageBreakBefore w:val="0"/>
        <w:numPr>
          <w:ilvl w:val="0"/>
          <w:numId w:val="0"/>
        </w:numPr>
        <w:kinsoku/>
        <w:wordWrap/>
        <w:overflowPunct/>
        <w:topLinePunct w:val="0"/>
        <w:autoSpaceDE/>
        <w:autoSpaceDN/>
        <w:bidi w:val="0"/>
        <w:snapToGrid/>
        <w:spacing w:line="440" w:lineRule="exact"/>
        <w:ind w:firstLine="480" w:firstLineChars="20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三、交付要求</w:t>
      </w:r>
    </w:p>
    <w:p w14:paraId="4EED5E6F">
      <w:pPr>
        <w:pageBreakBefore w:val="0"/>
        <w:numPr>
          <w:ilvl w:val="0"/>
          <w:numId w:val="2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bCs/>
          <w:sz w:val="24"/>
          <w:szCs w:val="24"/>
        </w:rPr>
        <w:t>制作</w:t>
      </w:r>
      <w:r>
        <w:rPr>
          <w:rFonts w:hint="eastAsia" w:hAnsi="宋体" w:cs="宋体"/>
          <w:bCs/>
          <w:sz w:val="24"/>
          <w:szCs w:val="24"/>
          <w:lang w:val="en-US" w:eastAsia="zh-CN"/>
        </w:rPr>
        <w:t>及交付期限</w:t>
      </w:r>
      <w:r>
        <w:rPr>
          <w:rFonts w:hint="eastAsia" w:ascii="宋体" w:hAnsi="宋体" w:eastAsia="宋体" w:cs="宋体"/>
          <w:kern w:val="2"/>
          <w:sz w:val="24"/>
          <w:szCs w:val="24"/>
          <w:lang w:val="en-US" w:eastAsia="zh-CN" w:bidi="ar-SA"/>
        </w:rPr>
        <w:t>：</w:t>
      </w:r>
      <w:r>
        <w:rPr>
          <w:rFonts w:hint="eastAsia" w:hAnsi="宋体" w:cs="宋体"/>
          <w:color w:val="auto"/>
          <w:sz w:val="24"/>
          <w:szCs w:val="24"/>
          <w:lang w:val="en-US" w:eastAsia="zh-CN"/>
        </w:rPr>
        <w:t>合同签订后100个日历日完成。</w:t>
      </w:r>
    </w:p>
    <w:p w14:paraId="1573028C">
      <w:pPr>
        <w:pageBreakBefore w:val="0"/>
        <w:numPr>
          <w:ilvl w:val="0"/>
          <w:numId w:val="22"/>
        </w:numPr>
        <w:kinsoku/>
        <w:wordWrap/>
        <w:overflowPunct/>
        <w:topLinePunct w:val="0"/>
        <w:autoSpaceDE/>
        <w:autoSpaceDN/>
        <w:bidi w:val="0"/>
        <w:snapToGrid/>
        <w:spacing w:line="440" w:lineRule="exact"/>
        <w:ind w:left="0" w:leftChars="0" w:firstLine="480" w:firstLineChars="200"/>
        <w:rPr>
          <w:rFonts w:hint="eastAsia" w:ascii="宋体" w:hAnsi="宋体"/>
          <w:sz w:val="24"/>
          <w:szCs w:val="24"/>
        </w:rPr>
      </w:pPr>
      <w:r>
        <w:rPr>
          <w:rFonts w:hint="eastAsia" w:ascii="宋体" w:hAnsi="宋体" w:eastAsia="宋体" w:cs="宋体"/>
          <w:kern w:val="2"/>
          <w:sz w:val="24"/>
          <w:szCs w:val="24"/>
          <w:lang w:val="en-US" w:eastAsia="zh-CN" w:bidi="ar-SA"/>
        </w:rPr>
        <w:t>所有剪辑完成最终课程视频文件及无压缩原码课程视频文件均</w:t>
      </w:r>
      <w:r>
        <w:rPr>
          <w:rFonts w:hint="eastAsia" w:ascii="宋体" w:hAnsi="宋体"/>
          <w:b/>
          <w:color w:val="000000"/>
          <w:sz w:val="24"/>
          <w:szCs w:val="24"/>
        </w:rPr>
        <w:t>采用2套移动硬盘拷贝交付和1套光盘</w:t>
      </w:r>
      <w:r>
        <w:rPr>
          <w:rFonts w:hint="eastAsia" w:ascii="宋体" w:hAnsi="宋体" w:eastAsia="宋体" w:cs="宋体"/>
          <w:kern w:val="2"/>
          <w:sz w:val="24"/>
          <w:szCs w:val="24"/>
          <w:lang w:val="en-US" w:eastAsia="zh-CN" w:bidi="ar-SA"/>
        </w:rPr>
        <w:t>交付，硬盘上附课程内容清单（标记学院名称、课程名称、讲次及标题、主讲教师、时长等）；同时提供资源库平台交付，交付物为完整可直接投入运行的课程。</w:t>
      </w:r>
    </w:p>
    <w:p w14:paraId="11CBBC35">
      <w:pPr>
        <w:pageBreakBefore w:val="0"/>
        <w:numPr>
          <w:ilvl w:val="0"/>
          <w:numId w:val="2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本项目一切知识产权归采购方所有，在完成建设后制作方 需向采购方提供全部的课程视频资料。所有课程素材母带（或素材数据硬盘）、动画素材、课程成品版权归属采购人，确保不存在版权纠纷。</w:t>
      </w:r>
    </w:p>
    <w:p w14:paraId="24ACE53F">
      <w:pPr>
        <w:pageBreakBefore w:val="0"/>
        <w:numPr>
          <w:ilvl w:val="0"/>
          <w:numId w:val="22"/>
        </w:numPr>
        <w:kinsoku/>
        <w:wordWrap/>
        <w:overflowPunct/>
        <w:topLinePunct w:val="0"/>
        <w:autoSpaceDE/>
        <w:autoSpaceDN/>
        <w:bidi w:val="0"/>
        <w:snapToGrid/>
        <w:spacing w:line="440" w:lineRule="exact"/>
        <w:ind w:left="0" w:leftChars="0"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本项目交付物涵盖以上所有建设内容，包含专业(群)教学资源库平台服务、资源库运行平台门户和所有资源库课程资源开发内容。</w:t>
      </w:r>
    </w:p>
    <w:p w14:paraId="46DC4CEA">
      <w:pPr>
        <w:pageBreakBefore w:val="0"/>
        <w:numPr>
          <w:ilvl w:val="0"/>
          <w:numId w:val="0"/>
        </w:numPr>
        <w:kinsoku/>
        <w:wordWrap/>
        <w:overflowPunct/>
        <w:topLinePunct w:val="0"/>
        <w:autoSpaceDE/>
        <w:autoSpaceDN/>
        <w:bidi w:val="0"/>
        <w:snapToGrid/>
        <w:spacing w:line="440" w:lineRule="exact"/>
        <w:ind w:firstLine="480" w:firstLineChars="20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四、售后服务</w:t>
      </w:r>
    </w:p>
    <w:p w14:paraId="1A4DE089">
      <w:pPr>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1、售后服务提供不少于三年的免费服务，配合学院及时进行内容的修改；针对采购方提出的问题</w:t>
      </w:r>
      <w:r>
        <w:rPr>
          <w:rFonts w:hint="eastAsia" w:ascii="宋体" w:hAnsi="宋体" w:eastAsia="宋体" w:cs="宋体"/>
          <w:color w:val="1D41D5"/>
          <w:kern w:val="2"/>
          <w:sz w:val="24"/>
          <w:szCs w:val="24"/>
          <w:lang w:val="en-US" w:eastAsia="zh-CN" w:bidi="ar-SA"/>
        </w:rPr>
        <w:t>立</w:t>
      </w:r>
      <w:r>
        <w:rPr>
          <w:rFonts w:hint="eastAsia" w:ascii="宋体" w:hAnsi="宋体" w:eastAsia="宋体" w:cs="宋体"/>
          <w:color w:val="auto"/>
          <w:kern w:val="2"/>
          <w:sz w:val="24"/>
          <w:szCs w:val="24"/>
          <w:lang w:val="en-US" w:eastAsia="zh-CN" w:bidi="ar-SA"/>
        </w:rPr>
        <w:t>即响应，8 小时内到场，24 小时解决问题；</w:t>
      </w:r>
      <w:r>
        <w:rPr>
          <w:rFonts w:hint="eastAsia" w:ascii="宋体" w:hAnsi="宋体" w:eastAsia="宋体" w:cs="宋体"/>
          <w:kern w:val="2"/>
          <w:sz w:val="24"/>
          <w:szCs w:val="24"/>
          <w:lang w:val="en-US" w:eastAsia="zh-CN" w:bidi="ar-SA"/>
        </w:rPr>
        <w:t>服务团队规模及配置能保证课程制作的质量。</w:t>
      </w:r>
    </w:p>
    <w:p w14:paraId="22CE577F">
      <w:pPr>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2、中标人应在完成平台部署后，对采购人使用人员进行使用及日常维护等的培训。</w:t>
      </w:r>
    </w:p>
    <w:p w14:paraId="6EF5EBA1">
      <w:pPr>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3、服务期内平台免费升级。</w:t>
      </w:r>
    </w:p>
    <w:p w14:paraId="3A9B06B6">
      <w:pPr>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strike/>
          <w:dstrike w:val="0"/>
          <w:kern w:val="2"/>
          <w:sz w:val="24"/>
          <w:szCs w:val="24"/>
          <w:lang w:val="en-US" w:eastAsia="zh-CN" w:bidi="ar-SA"/>
        </w:rPr>
      </w:pPr>
      <w:r>
        <w:rPr>
          <w:rFonts w:hint="eastAsia" w:ascii="宋体" w:hAnsi="宋体" w:eastAsia="宋体" w:cs="宋体"/>
          <w:kern w:val="2"/>
          <w:sz w:val="24"/>
          <w:szCs w:val="24"/>
          <w:lang w:val="en-US" w:eastAsia="zh-CN" w:bidi="ar-SA"/>
        </w:rPr>
        <w:t>4、中标人指派专人负责与采购人联系售后服务事宜，通过QQ、微信或电话，提供7*24小时在线服务。</w:t>
      </w:r>
    </w:p>
    <w:p w14:paraId="12B6523E">
      <w:pPr>
        <w:pageBreakBefore w:val="0"/>
        <w:numPr>
          <w:ilvl w:val="0"/>
          <w:numId w:val="0"/>
        </w:numPr>
        <w:kinsoku/>
        <w:wordWrap/>
        <w:overflowPunct/>
        <w:topLinePunct w:val="0"/>
        <w:autoSpaceDE/>
        <w:autoSpaceDN/>
        <w:bidi w:val="0"/>
        <w:snapToGrid/>
        <w:spacing w:line="440" w:lineRule="exact"/>
        <w:ind w:left="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5、平台采用云计算架构，学校不需要准备本地存储设备；服务期内，由中标人承担云存储空间及带宽加速等云端软硬件环境全部费用。</w:t>
      </w:r>
    </w:p>
    <w:p w14:paraId="089385AD">
      <w:pPr>
        <w:pageBreakBefore w:val="0"/>
        <w:numPr>
          <w:ilvl w:val="0"/>
          <w:numId w:val="0"/>
        </w:numPr>
        <w:kinsoku/>
        <w:wordWrap/>
        <w:overflowPunct/>
        <w:topLinePunct w:val="0"/>
        <w:autoSpaceDE/>
        <w:autoSpaceDN/>
        <w:bidi w:val="0"/>
        <w:snapToGrid/>
        <w:spacing w:line="440" w:lineRule="exact"/>
        <w:ind w:left="0" w:firstLine="480" w:firstLineChars="200"/>
        <w:rPr>
          <w:rFonts w:hint="eastAsia" w:hAnsi="宋体" w:cs="宋体"/>
          <w:b/>
          <w:bCs/>
          <w:kern w:val="2"/>
          <w:sz w:val="24"/>
          <w:szCs w:val="24"/>
          <w:lang w:val="en-US" w:eastAsia="zh-CN" w:bidi="ar-SA"/>
        </w:rPr>
      </w:pPr>
    </w:p>
    <w:p w14:paraId="2F0376AC">
      <w:pPr>
        <w:pageBreakBefore w:val="0"/>
        <w:numPr>
          <w:ilvl w:val="0"/>
          <w:numId w:val="0"/>
        </w:numPr>
        <w:kinsoku/>
        <w:wordWrap/>
        <w:overflowPunct/>
        <w:topLinePunct w:val="0"/>
        <w:autoSpaceDE/>
        <w:autoSpaceDN/>
        <w:bidi w:val="0"/>
        <w:snapToGrid/>
        <w:spacing w:line="440" w:lineRule="exact"/>
        <w:ind w:left="0" w:firstLine="480" w:firstLineChars="200"/>
        <w:rPr>
          <w:rFonts w:hint="default" w:ascii="宋体" w:hAnsi="宋体" w:eastAsia="宋体" w:cs="宋体"/>
          <w:kern w:val="2"/>
          <w:sz w:val="24"/>
          <w:szCs w:val="24"/>
          <w:lang w:val="en-US" w:eastAsia="zh-CN" w:bidi="ar-SA"/>
        </w:rPr>
      </w:pPr>
      <w:r>
        <w:rPr>
          <w:rFonts w:hint="eastAsia" w:hAnsi="宋体" w:cs="宋体"/>
          <w:b/>
          <w:bCs/>
          <w:kern w:val="2"/>
          <w:sz w:val="24"/>
          <w:szCs w:val="24"/>
          <w:lang w:val="en-US" w:eastAsia="zh-CN" w:bidi="ar-SA"/>
        </w:rPr>
        <w:t>注：</w:t>
      </w:r>
      <w:r>
        <w:rPr>
          <w:rFonts w:hint="eastAsia" w:hAnsi="宋体" w:cs="宋体"/>
          <w:kern w:val="2"/>
          <w:sz w:val="24"/>
          <w:szCs w:val="24"/>
          <w:lang w:val="en-US" w:eastAsia="zh-CN" w:bidi="ar-SA"/>
        </w:rPr>
        <w:t>技术要求中“</w:t>
      </w:r>
      <w:r>
        <w:rPr>
          <w:rFonts w:hint="eastAsia" w:hAnsi="宋体" w:cs="宋体"/>
          <w:kern w:val="2"/>
          <w:sz w:val="32"/>
          <w:szCs w:val="32"/>
          <w:lang w:val="en-US" w:eastAsia="zh-CN" w:bidi="ar-SA"/>
        </w:rPr>
        <w:t>✦</w:t>
      </w:r>
      <w:r>
        <w:rPr>
          <w:rFonts w:hint="eastAsia" w:hAnsi="宋体" w:cs="宋体"/>
          <w:kern w:val="2"/>
          <w:sz w:val="24"/>
          <w:szCs w:val="24"/>
          <w:lang w:val="en-US" w:eastAsia="zh-CN" w:bidi="ar-SA"/>
        </w:rPr>
        <w:t>”项功能演示部分需逐项完成演示内容，演示方式：通过腾讯会议进行远程演示，开标现场代理机构使用不见面开标系统通知各投标单位腾讯会议号，各投标单位通过腾讯会议依次进入并进行远程演示。投标单位务必提前下载好腾讯会议APP并确保正常使用，同时保持手机畅通且不见面开标系统保持在线状态，如因投标单位自身原因导致无法正常演示，责任自负。</w:t>
      </w:r>
    </w:p>
    <w:p w14:paraId="04F3EE6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kern w:val="2"/>
          <w:sz w:val="24"/>
          <w:szCs w:val="24"/>
          <w:lang w:val="en-US" w:eastAsia="zh-CN" w:bidi="ar-SA"/>
        </w:rPr>
      </w:pPr>
    </w:p>
    <w:p w14:paraId="6576B6D7">
      <w:pPr>
        <w:rPr>
          <w:rFonts w:hint="eastAsia"/>
          <w:color w:val="auto"/>
        </w:rPr>
      </w:pPr>
    </w:p>
    <w:p w14:paraId="730BA888">
      <w:pPr>
        <w:rPr>
          <w:rFonts w:hint="eastAsia"/>
          <w:color w:val="auto"/>
        </w:rPr>
      </w:pPr>
    </w:p>
    <w:p w14:paraId="62F82CDC">
      <w:pPr>
        <w:rPr>
          <w:rFonts w:hint="eastAsia"/>
          <w:color w:val="auto"/>
        </w:rPr>
      </w:pPr>
    </w:p>
    <w:p w14:paraId="135CE2F0">
      <w:pPr>
        <w:rPr>
          <w:rFonts w:hint="eastAsia"/>
          <w:color w:val="auto"/>
        </w:rPr>
      </w:pPr>
    </w:p>
    <w:p w14:paraId="0A0187F3">
      <w:pPr>
        <w:rPr>
          <w:rFonts w:hint="eastAsia"/>
          <w:color w:val="auto"/>
        </w:rPr>
      </w:pPr>
    </w:p>
    <w:p w14:paraId="65572CE9">
      <w:pPr>
        <w:rPr>
          <w:rFonts w:hint="eastAsia"/>
          <w:color w:val="auto"/>
        </w:rPr>
      </w:pPr>
    </w:p>
    <w:p w14:paraId="5A48D6C3">
      <w:pPr>
        <w:rPr>
          <w:rFonts w:hint="eastAsia"/>
          <w:color w:val="auto"/>
        </w:rPr>
      </w:pPr>
    </w:p>
    <w:p w14:paraId="19E3921B">
      <w:pPr>
        <w:autoSpaceDE w:val="0"/>
        <w:autoSpaceDN w:val="0"/>
        <w:snapToGrid w:val="0"/>
        <w:spacing w:line="360" w:lineRule="auto"/>
        <w:rPr>
          <w:rFonts w:hint="eastAsia" w:ascii="宋体" w:hAnsi="宋体" w:eastAsia="宋体" w:cs="宋体"/>
          <w:b/>
          <w:bCs/>
          <w:color w:val="auto"/>
          <w:sz w:val="32"/>
          <w:szCs w:val="32"/>
        </w:rPr>
      </w:pPr>
    </w:p>
    <w:p w14:paraId="72793E60">
      <w:pPr>
        <w:autoSpaceDE w:val="0"/>
        <w:autoSpaceDN w:val="0"/>
        <w:snapToGrid w:val="0"/>
        <w:spacing w:line="360" w:lineRule="auto"/>
        <w:rPr>
          <w:rFonts w:hint="eastAsia" w:ascii="宋体" w:hAnsi="宋体" w:eastAsia="宋体" w:cs="宋体"/>
          <w:b/>
          <w:bCs/>
          <w:color w:val="auto"/>
          <w:sz w:val="32"/>
          <w:szCs w:val="32"/>
        </w:rPr>
      </w:pPr>
    </w:p>
    <w:p w14:paraId="18FCE54F">
      <w:pPr>
        <w:autoSpaceDE w:val="0"/>
        <w:autoSpaceDN w:val="0"/>
        <w:snapToGrid w:val="0"/>
        <w:spacing w:line="360" w:lineRule="auto"/>
        <w:jc w:val="center"/>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rPr>
        <w:t xml:space="preserve">第五章  </w:t>
      </w:r>
      <w:r>
        <w:rPr>
          <w:rFonts w:hint="eastAsia" w:ascii="宋体" w:hAnsi="宋体" w:eastAsia="宋体" w:cs="宋体"/>
          <w:b/>
          <w:bCs/>
          <w:color w:val="auto"/>
          <w:sz w:val="36"/>
          <w:szCs w:val="36"/>
          <w:lang w:val="zh-CN"/>
        </w:rPr>
        <w:t>投标文件基本格式</w:t>
      </w:r>
    </w:p>
    <w:p w14:paraId="352D57D2">
      <w:pPr>
        <w:snapToGrid w:val="0"/>
        <w:spacing w:line="240" w:lineRule="auto"/>
        <w:ind w:right="-302" w:rightChars="-89"/>
        <w:rPr>
          <w:rFonts w:hint="eastAsia" w:ascii="宋体" w:hAnsi="宋体" w:eastAsia="宋体" w:cs="宋体"/>
          <w:b/>
          <w:color w:val="auto"/>
          <w:sz w:val="28"/>
          <w:szCs w:val="28"/>
        </w:rPr>
      </w:pPr>
    </w:p>
    <w:p w14:paraId="09BCA391">
      <w:pPr>
        <w:snapToGrid w:val="0"/>
        <w:spacing w:line="240" w:lineRule="auto"/>
        <w:ind w:right="-302" w:rightChars="-89"/>
        <w:rPr>
          <w:rFonts w:hint="eastAsia" w:ascii="宋体" w:hAnsi="宋体" w:eastAsia="宋体" w:cs="宋体"/>
          <w:b/>
          <w:color w:val="auto"/>
          <w:sz w:val="28"/>
          <w:szCs w:val="28"/>
        </w:rPr>
      </w:pPr>
    </w:p>
    <w:p w14:paraId="628153F7">
      <w:pPr>
        <w:snapToGrid w:val="0"/>
        <w:spacing w:line="240" w:lineRule="auto"/>
        <w:ind w:right="-302" w:rightChars="-89"/>
        <w:rPr>
          <w:rFonts w:hint="eastAsia" w:ascii="宋体" w:hAnsi="宋体" w:eastAsia="宋体" w:cs="宋体"/>
          <w:b/>
          <w:color w:val="auto"/>
          <w:sz w:val="28"/>
          <w:szCs w:val="28"/>
        </w:rPr>
      </w:pPr>
    </w:p>
    <w:p w14:paraId="6F7098B3">
      <w:pPr>
        <w:snapToGrid w:val="0"/>
        <w:spacing w:line="240" w:lineRule="auto"/>
        <w:ind w:right="-302" w:rightChars="-89"/>
        <w:rPr>
          <w:rFonts w:hint="eastAsia" w:ascii="宋体" w:hAnsi="宋体" w:eastAsia="宋体" w:cs="宋体"/>
          <w:b/>
          <w:color w:val="auto"/>
          <w:sz w:val="28"/>
          <w:szCs w:val="28"/>
        </w:rPr>
      </w:pPr>
    </w:p>
    <w:p w14:paraId="6EB3D0C1">
      <w:pPr>
        <w:snapToGrid w:val="0"/>
        <w:spacing w:line="240" w:lineRule="auto"/>
        <w:ind w:right="-302" w:rightChars="-89"/>
        <w:rPr>
          <w:rFonts w:hint="eastAsia" w:ascii="宋体" w:hAnsi="宋体" w:eastAsia="宋体" w:cs="宋体"/>
          <w:b/>
          <w:color w:val="auto"/>
          <w:sz w:val="28"/>
          <w:szCs w:val="28"/>
        </w:rPr>
      </w:pPr>
    </w:p>
    <w:p w14:paraId="0084353D">
      <w:pPr>
        <w:snapToGrid w:val="0"/>
        <w:spacing w:line="240" w:lineRule="auto"/>
        <w:ind w:right="-302" w:rightChars="-89"/>
        <w:rPr>
          <w:rFonts w:hint="eastAsia" w:ascii="宋体" w:hAnsi="宋体" w:eastAsia="宋体" w:cs="宋体"/>
          <w:b/>
          <w:color w:val="auto"/>
          <w:sz w:val="28"/>
          <w:szCs w:val="28"/>
        </w:rPr>
      </w:pPr>
    </w:p>
    <w:p w14:paraId="17A49796">
      <w:pPr>
        <w:snapToGrid w:val="0"/>
        <w:spacing w:line="240" w:lineRule="auto"/>
        <w:ind w:right="-302" w:rightChars="-89"/>
        <w:rPr>
          <w:rFonts w:hint="eastAsia" w:ascii="宋体" w:hAnsi="宋体" w:eastAsia="宋体" w:cs="宋体"/>
          <w:b/>
          <w:color w:val="auto"/>
          <w:sz w:val="28"/>
          <w:szCs w:val="28"/>
        </w:rPr>
      </w:pPr>
    </w:p>
    <w:p w14:paraId="505AD684">
      <w:pPr>
        <w:snapToGrid w:val="0"/>
        <w:spacing w:line="240" w:lineRule="auto"/>
        <w:ind w:right="-302" w:rightChars="-89"/>
        <w:rPr>
          <w:rFonts w:hint="eastAsia" w:ascii="宋体" w:hAnsi="宋体" w:eastAsia="宋体" w:cs="宋体"/>
          <w:b/>
          <w:color w:val="auto"/>
          <w:sz w:val="28"/>
          <w:szCs w:val="28"/>
        </w:rPr>
      </w:pPr>
    </w:p>
    <w:p w14:paraId="67160FF3">
      <w:pPr>
        <w:snapToGrid w:val="0"/>
        <w:spacing w:line="240" w:lineRule="auto"/>
        <w:ind w:right="-302" w:rightChars="-89"/>
        <w:rPr>
          <w:rFonts w:hint="eastAsia" w:ascii="宋体" w:hAnsi="宋体" w:eastAsia="宋体" w:cs="宋体"/>
          <w:b/>
          <w:color w:val="auto"/>
          <w:sz w:val="28"/>
          <w:szCs w:val="28"/>
        </w:rPr>
      </w:pPr>
    </w:p>
    <w:p w14:paraId="5BFEEA4B">
      <w:pPr>
        <w:snapToGrid w:val="0"/>
        <w:spacing w:line="240" w:lineRule="auto"/>
        <w:ind w:right="-302" w:rightChars="-89"/>
        <w:rPr>
          <w:rFonts w:hint="eastAsia" w:ascii="宋体" w:hAnsi="宋体" w:eastAsia="宋体" w:cs="宋体"/>
          <w:b/>
          <w:color w:val="auto"/>
          <w:sz w:val="28"/>
          <w:szCs w:val="28"/>
        </w:rPr>
      </w:pPr>
    </w:p>
    <w:p w14:paraId="07237A42">
      <w:pPr>
        <w:snapToGrid w:val="0"/>
        <w:spacing w:line="240" w:lineRule="auto"/>
        <w:ind w:right="-302" w:rightChars="-89"/>
        <w:rPr>
          <w:rFonts w:hint="eastAsia" w:ascii="宋体" w:hAnsi="宋体" w:eastAsia="宋体" w:cs="宋体"/>
          <w:b/>
          <w:color w:val="auto"/>
          <w:sz w:val="28"/>
          <w:szCs w:val="28"/>
        </w:rPr>
      </w:pPr>
    </w:p>
    <w:p w14:paraId="49FACA8E">
      <w:pPr>
        <w:snapToGrid w:val="0"/>
        <w:spacing w:line="240" w:lineRule="auto"/>
        <w:ind w:right="-302" w:rightChars="-89"/>
        <w:rPr>
          <w:rFonts w:hint="eastAsia" w:ascii="宋体" w:hAnsi="宋体" w:eastAsia="宋体" w:cs="宋体"/>
          <w:b/>
          <w:color w:val="auto"/>
          <w:sz w:val="28"/>
          <w:szCs w:val="28"/>
        </w:rPr>
      </w:pPr>
    </w:p>
    <w:p w14:paraId="19966309">
      <w:pPr>
        <w:snapToGrid w:val="0"/>
        <w:spacing w:line="240" w:lineRule="auto"/>
        <w:ind w:right="-302" w:rightChars="-89"/>
        <w:rPr>
          <w:rFonts w:hint="eastAsia" w:ascii="宋体" w:hAnsi="宋体" w:eastAsia="宋体" w:cs="宋体"/>
          <w:b/>
          <w:color w:val="auto"/>
          <w:sz w:val="28"/>
          <w:szCs w:val="28"/>
        </w:rPr>
      </w:pPr>
    </w:p>
    <w:p w14:paraId="4DB49A7D">
      <w:pPr>
        <w:snapToGrid w:val="0"/>
        <w:spacing w:line="240" w:lineRule="auto"/>
        <w:ind w:right="-302" w:rightChars="-89"/>
        <w:rPr>
          <w:rFonts w:hint="eastAsia" w:ascii="宋体" w:hAnsi="宋体" w:eastAsia="宋体" w:cs="宋体"/>
          <w:b/>
          <w:color w:val="auto"/>
          <w:sz w:val="28"/>
          <w:szCs w:val="28"/>
        </w:rPr>
      </w:pPr>
    </w:p>
    <w:p w14:paraId="38F12A50">
      <w:pPr>
        <w:snapToGrid w:val="0"/>
        <w:spacing w:line="240" w:lineRule="auto"/>
        <w:ind w:right="-302" w:rightChars="-89"/>
        <w:rPr>
          <w:rFonts w:hint="eastAsia" w:ascii="宋体" w:hAnsi="宋体" w:eastAsia="宋体" w:cs="宋体"/>
          <w:b/>
          <w:color w:val="auto"/>
          <w:sz w:val="28"/>
          <w:szCs w:val="28"/>
        </w:rPr>
      </w:pPr>
    </w:p>
    <w:p w14:paraId="4A4CA5C8">
      <w:pPr>
        <w:snapToGrid w:val="0"/>
        <w:spacing w:line="240" w:lineRule="auto"/>
        <w:ind w:right="-302" w:rightChars="-89"/>
        <w:rPr>
          <w:rFonts w:hint="eastAsia" w:ascii="宋体" w:hAnsi="宋体" w:eastAsia="宋体" w:cs="宋体"/>
          <w:b/>
          <w:color w:val="auto"/>
          <w:sz w:val="28"/>
          <w:szCs w:val="28"/>
        </w:rPr>
      </w:pPr>
    </w:p>
    <w:p w14:paraId="11C00515">
      <w:pPr>
        <w:snapToGrid w:val="0"/>
        <w:spacing w:line="240" w:lineRule="auto"/>
        <w:ind w:right="-302" w:rightChars="-89"/>
        <w:rPr>
          <w:rFonts w:hint="eastAsia" w:ascii="宋体" w:hAnsi="宋体" w:eastAsia="宋体" w:cs="宋体"/>
          <w:b/>
          <w:color w:val="auto"/>
          <w:sz w:val="28"/>
          <w:szCs w:val="28"/>
        </w:rPr>
      </w:pPr>
    </w:p>
    <w:p w14:paraId="63EB55F8">
      <w:pPr>
        <w:snapToGrid w:val="0"/>
        <w:spacing w:line="240" w:lineRule="auto"/>
        <w:ind w:right="-302" w:rightChars="-89"/>
        <w:rPr>
          <w:rFonts w:hint="eastAsia" w:ascii="宋体" w:hAnsi="宋体" w:eastAsia="宋体" w:cs="宋体"/>
          <w:b/>
          <w:color w:val="auto"/>
          <w:sz w:val="28"/>
          <w:szCs w:val="28"/>
        </w:rPr>
      </w:pPr>
    </w:p>
    <w:p w14:paraId="6361B82A">
      <w:pPr>
        <w:snapToGrid w:val="0"/>
        <w:spacing w:line="240" w:lineRule="auto"/>
        <w:ind w:right="-302" w:rightChars="-89"/>
        <w:rPr>
          <w:rFonts w:hint="eastAsia" w:ascii="宋体" w:hAnsi="宋体" w:eastAsia="宋体" w:cs="宋体"/>
          <w:b/>
          <w:color w:val="auto"/>
          <w:sz w:val="28"/>
          <w:szCs w:val="28"/>
        </w:rPr>
      </w:pPr>
    </w:p>
    <w:p w14:paraId="4B528F34">
      <w:pPr>
        <w:snapToGrid w:val="0"/>
        <w:spacing w:line="240" w:lineRule="auto"/>
        <w:ind w:right="-302" w:rightChars="-89"/>
        <w:rPr>
          <w:rFonts w:hint="eastAsia" w:ascii="宋体" w:hAnsi="宋体" w:eastAsia="宋体" w:cs="宋体"/>
          <w:b/>
          <w:color w:val="auto"/>
          <w:sz w:val="28"/>
          <w:szCs w:val="28"/>
        </w:rPr>
      </w:pPr>
    </w:p>
    <w:p w14:paraId="68647BF8">
      <w:pPr>
        <w:snapToGrid w:val="0"/>
        <w:spacing w:line="240" w:lineRule="auto"/>
        <w:ind w:right="-302" w:rightChars="-89"/>
        <w:rPr>
          <w:rFonts w:hint="eastAsia" w:ascii="宋体" w:hAnsi="宋体" w:eastAsia="宋体" w:cs="宋体"/>
          <w:b/>
          <w:color w:val="auto"/>
          <w:sz w:val="28"/>
          <w:szCs w:val="28"/>
        </w:rPr>
      </w:pPr>
    </w:p>
    <w:p w14:paraId="75627A2A">
      <w:pPr>
        <w:snapToGrid w:val="0"/>
        <w:spacing w:line="240" w:lineRule="auto"/>
        <w:ind w:right="-302" w:rightChars="-89"/>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项目编号：</w:t>
      </w:r>
      <w:r>
        <w:rPr>
          <w:rFonts w:hint="eastAsia" w:hAnsi="宋体" w:cs="宋体"/>
          <w:b/>
          <w:color w:val="auto"/>
          <w:sz w:val="28"/>
          <w:szCs w:val="28"/>
          <w:lang w:eastAsia="zh-CN"/>
        </w:rPr>
        <w:t>YJGHCG-2026-006</w:t>
      </w:r>
    </w:p>
    <w:p w14:paraId="57FE1E47">
      <w:pPr>
        <w:snapToGrid w:val="0"/>
        <w:spacing w:line="360" w:lineRule="auto"/>
        <w:ind w:right="-302" w:rightChars="-89"/>
        <w:rPr>
          <w:rFonts w:hint="eastAsia" w:ascii="宋体" w:hAnsi="宋体" w:eastAsia="宋体" w:cs="宋体"/>
          <w:b/>
          <w:color w:val="auto"/>
          <w:sz w:val="28"/>
          <w:szCs w:val="28"/>
        </w:rPr>
      </w:pPr>
    </w:p>
    <w:p w14:paraId="4D4B953C">
      <w:pPr>
        <w:spacing w:line="360" w:lineRule="auto"/>
        <w:ind w:firstLine="5320" w:firstLineChars="1900"/>
        <w:jc w:val="lef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                           </w:t>
      </w:r>
    </w:p>
    <w:p w14:paraId="4303D914">
      <w:pPr>
        <w:spacing w:line="360" w:lineRule="auto"/>
        <w:jc w:val="left"/>
        <w:rPr>
          <w:rFonts w:hint="eastAsia" w:ascii="宋体" w:hAnsi="宋体" w:eastAsia="宋体" w:cs="宋体"/>
          <w:color w:val="auto"/>
        </w:rPr>
      </w:pPr>
      <w:r>
        <w:rPr>
          <w:rFonts w:hint="eastAsia" w:ascii="宋体" w:hAnsi="宋体" w:eastAsia="宋体" w:cs="宋体"/>
          <w:b/>
          <w:color w:val="auto"/>
          <w:sz w:val="28"/>
          <w:szCs w:val="28"/>
        </w:rPr>
        <w:t xml:space="preserve"> </w:t>
      </w:r>
    </w:p>
    <w:p w14:paraId="694FA83E">
      <w:pPr>
        <w:spacing w:line="20" w:lineRule="atLeast"/>
        <w:jc w:val="center"/>
        <w:rPr>
          <w:rFonts w:hint="eastAsia" w:hAnsi="宋体" w:cs="宋体"/>
          <w:b/>
          <w:bCs w:val="0"/>
          <w:color w:val="auto"/>
          <w:spacing w:val="0"/>
          <w:sz w:val="72"/>
          <w:szCs w:val="72"/>
          <w:lang w:eastAsia="zh-CN"/>
        </w:rPr>
      </w:pPr>
    </w:p>
    <w:p w14:paraId="032626C8">
      <w:pPr>
        <w:spacing w:line="20" w:lineRule="atLeast"/>
        <w:jc w:val="center"/>
        <w:rPr>
          <w:rFonts w:hint="eastAsia" w:hAnsi="宋体" w:cs="宋体"/>
          <w:b/>
          <w:bCs w:val="0"/>
          <w:color w:val="auto"/>
          <w:spacing w:val="0"/>
          <w:sz w:val="60"/>
          <w:szCs w:val="60"/>
          <w:lang w:eastAsia="zh-CN"/>
        </w:rPr>
      </w:pPr>
      <w:r>
        <w:rPr>
          <w:rFonts w:hint="eastAsia" w:hAnsi="宋体" w:cs="宋体"/>
          <w:b/>
          <w:bCs w:val="0"/>
          <w:color w:val="auto"/>
          <w:spacing w:val="0"/>
          <w:sz w:val="60"/>
          <w:szCs w:val="60"/>
          <w:lang w:eastAsia="zh-CN"/>
        </w:rPr>
        <w:t>学前教育专业（群）教学资源库</w:t>
      </w:r>
    </w:p>
    <w:p w14:paraId="6BCFBBC9">
      <w:pPr>
        <w:spacing w:line="20" w:lineRule="atLeast"/>
        <w:jc w:val="center"/>
        <w:rPr>
          <w:rFonts w:hint="eastAsia" w:ascii="宋体" w:hAnsi="宋体" w:eastAsia="宋体" w:cs="宋体"/>
          <w:b/>
          <w:bCs w:val="0"/>
          <w:color w:val="auto"/>
          <w:spacing w:val="0"/>
          <w:sz w:val="200"/>
          <w:szCs w:val="200"/>
        </w:rPr>
      </w:pPr>
      <w:r>
        <w:rPr>
          <w:rFonts w:hint="eastAsia" w:hAnsi="宋体" w:cs="宋体"/>
          <w:b/>
          <w:bCs w:val="0"/>
          <w:color w:val="auto"/>
          <w:spacing w:val="0"/>
          <w:sz w:val="60"/>
          <w:szCs w:val="60"/>
          <w:lang w:eastAsia="zh-CN"/>
        </w:rPr>
        <w:t>建设项目</w:t>
      </w:r>
    </w:p>
    <w:p w14:paraId="62FA01D4">
      <w:pPr>
        <w:pStyle w:val="12"/>
        <w:ind w:left="680"/>
        <w:rPr>
          <w:rFonts w:hint="eastAsia" w:ascii="宋体" w:hAnsi="宋体" w:eastAsia="宋体" w:cs="宋体"/>
          <w:color w:val="auto"/>
        </w:rPr>
      </w:pPr>
    </w:p>
    <w:p w14:paraId="464EFAA6">
      <w:pPr>
        <w:rPr>
          <w:rFonts w:hint="eastAsia"/>
          <w:color w:val="auto"/>
        </w:rPr>
      </w:pPr>
    </w:p>
    <w:p w14:paraId="6EF50A33">
      <w:pPr>
        <w:pStyle w:val="12"/>
        <w:ind w:left="680"/>
        <w:rPr>
          <w:rFonts w:hint="eastAsia" w:ascii="宋体" w:hAnsi="宋体" w:eastAsia="宋体" w:cs="宋体"/>
          <w:color w:val="auto"/>
        </w:rPr>
      </w:pPr>
    </w:p>
    <w:p w14:paraId="1C1E3625">
      <w:pPr>
        <w:spacing w:line="20" w:lineRule="atLeast"/>
        <w:jc w:val="center"/>
        <w:rPr>
          <w:rFonts w:hint="eastAsia" w:ascii="宋体" w:hAnsi="宋体" w:eastAsia="宋体" w:cs="宋体"/>
          <w:bCs/>
          <w:color w:val="auto"/>
          <w:sz w:val="84"/>
          <w:szCs w:val="84"/>
        </w:rPr>
      </w:pPr>
      <w:r>
        <w:rPr>
          <w:rFonts w:hint="eastAsia" w:ascii="宋体" w:hAnsi="宋体" w:eastAsia="宋体" w:cs="宋体"/>
          <w:color w:val="auto"/>
          <w:sz w:val="84"/>
          <w:szCs w:val="84"/>
        </w:rPr>
        <w:t>投标文件</w:t>
      </w:r>
    </w:p>
    <w:p w14:paraId="4848310B">
      <w:pPr>
        <w:spacing w:line="20" w:lineRule="atLeast"/>
        <w:jc w:val="center"/>
        <w:rPr>
          <w:rFonts w:hint="eastAsia" w:ascii="宋体" w:hAnsi="宋体" w:eastAsia="宋体" w:cs="宋体"/>
          <w:b/>
          <w:color w:val="auto"/>
          <w:sz w:val="36"/>
        </w:rPr>
      </w:pPr>
    </w:p>
    <w:p w14:paraId="35CB5B6A">
      <w:pPr>
        <w:pStyle w:val="80"/>
        <w:rPr>
          <w:rFonts w:hint="eastAsia" w:ascii="宋体" w:hAnsi="宋体" w:eastAsia="宋体" w:cs="宋体"/>
          <w:color w:val="auto"/>
        </w:rPr>
      </w:pPr>
    </w:p>
    <w:p w14:paraId="3AF9933C">
      <w:pPr>
        <w:pStyle w:val="80"/>
        <w:rPr>
          <w:rFonts w:hint="eastAsia" w:ascii="宋体" w:hAnsi="宋体" w:eastAsia="宋体" w:cs="宋体"/>
          <w:color w:val="auto"/>
        </w:rPr>
      </w:pPr>
    </w:p>
    <w:p w14:paraId="17880B5E">
      <w:pPr>
        <w:pStyle w:val="80"/>
        <w:rPr>
          <w:rFonts w:hint="eastAsia" w:ascii="宋体" w:hAnsi="宋体" w:eastAsia="宋体" w:cs="宋体"/>
          <w:color w:val="auto"/>
        </w:rPr>
      </w:pPr>
    </w:p>
    <w:p w14:paraId="3A119AC1">
      <w:pPr>
        <w:snapToGrid w:val="0"/>
        <w:spacing w:line="800" w:lineRule="exact"/>
        <w:ind w:firstLine="1576"/>
        <w:rPr>
          <w:rFonts w:hint="eastAsia" w:ascii="宋体" w:hAnsi="宋体" w:eastAsia="宋体" w:cs="宋体"/>
          <w:b/>
          <w:color w:val="auto"/>
          <w:sz w:val="32"/>
          <w:szCs w:val="32"/>
          <w:u w:val="single"/>
        </w:rPr>
      </w:pPr>
      <w:r>
        <w:rPr>
          <w:rFonts w:hint="eastAsia" w:ascii="宋体" w:hAnsi="宋体" w:eastAsia="宋体" w:cs="宋体"/>
          <w:b/>
          <w:color w:val="auto"/>
          <w:sz w:val="32"/>
          <w:szCs w:val="32"/>
        </w:rPr>
        <w:t>供应商：</w:t>
      </w:r>
      <w:r>
        <w:rPr>
          <w:rFonts w:hint="eastAsia" w:ascii="宋体" w:hAnsi="宋体" w:eastAsia="宋体" w:cs="宋体"/>
          <w:b/>
          <w:color w:val="auto"/>
          <w:sz w:val="32"/>
          <w:szCs w:val="32"/>
          <w:u w:val="single"/>
        </w:rPr>
        <w:t xml:space="preserve">                                </w:t>
      </w:r>
    </w:p>
    <w:p w14:paraId="03F81131">
      <w:pPr>
        <w:snapToGrid w:val="0"/>
        <w:spacing w:line="800" w:lineRule="exact"/>
        <w:ind w:firstLine="1576"/>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法定代表人或委托人（签字或盖章）：</w:t>
      </w:r>
      <w:r>
        <w:rPr>
          <w:rFonts w:hint="eastAsia" w:ascii="宋体" w:hAnsi="宋体" w:eastAsia="宋体" w:cs="宋体"/>
          <w:b/>
          <w:bCs/>
          <w:color w:val="auto"/>
          <w:sz w:val="32"/>
          <w:szCs w:val="32"/>
          <w:u w:val="single"/>
        </w:rPr>
        <w:t xml:space="preserve">      </w:t>
      </w:r>
    </w:p>
    <w:p w14:paraId="2BB3B8ED">
      <w:pPr>
        <w:snapToGrid w:val="0"/>
        <w:spacing w:line="800" w:lineRule="exact"/>
        <w:ind w:firstLine="1576"/>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rPr>
        <w:t>地址：</w:t>
      </w:r>
      <w:r>
        <w:rPr>
          <w:rFonts w:hint="eastAsia" w:ascii="宋体" w:hAnsi="宋体" w:eastAsia="宋体" w:cs="宋体"/>
          <w:b/>
          <w:bCs/>
          <w:color w:val="auto"/>
          <w:sz w:val="32"/>
          <w:szCs w:val="32"/>
          <w:u w:val="single"/>
        </w:rPr>
        <w:t xml:space="preserve">                                  </w:t>
      </w:r>
    </w:p>
    <w:p w14:paraId="38BEEE67">
      <w:pPr>
        <w:snapToGrid w:val="0"/>
        <w:spacing w:line="800" w:lineRule="exact"/>
        <w:ind w:firstLine="1576"/>
        <w:rPr>
          <w:rFonts w:hint="eastAsia" w:ascii="宋体" w:hAnsi="宋体" w:eastAsia="宋体" w:cs="宋体"/>
          <w:color w:val="auto"/>
          <w:sz w:val="32"/>
          <w:szCs w:val="32"/>
          <w:u w:val="single"/>
        </w:rPr>
      </w:pPr>
      <w:r>
        <w:rPr>
          <w:rFonts w:hint="eastAsia" w:ascii="宋体" w:hAnsi="宋体" w:eastAsia="宋体" w:cs="宋体"/>
          <w:b/>
          <w:color w:val="auto"/>
          <w:sz w:val="32"/>
          <w:szCs w:val="32"/>
        </w:rPr>
        <w:t>时间</w:t>
      </w:r>
      <w:r>
        <w:rPr>
          <w:rFonts w:hint="eastAsia" w:ascii="宋体" w:hAnsi="宋体" w:eastAsia="宋体" w:cs="宋体"/>
          <w:color w:val="auto"/>
          <w:sz w:val="32"/>
          <w:szCs w:val="32"/>
        </w:rPr>
        <w:t>：</w:t>
      </w:r>
      <w:r>
        <w:rPr>
          <w:rFonts w:hint="eastAsia" w:ascii="宋体" w:hAnsi="宋体" w:eastAsia="宋体" w:cs="宋体"/>
          <w:color w:val="auto"/>
          <w:sz w:val="32"/>
          <w:szCs w:val="32"/>
          <w:u w:val="single"/>
        </w:rPr>
        <w:t xml:space="preserve">                                  </w:t>
      </w:r>
    </w:p>
    <w:p w14:paraId="4C8B3FF7">
      <w:pPr>
        <w:spacing w:line="20" w:lineRule="atLeast"/>
        <w:jc w:val="center"/>
        <w:rPr>
          <w:rFonts w:hint="eastAsia" w:ascii="宋体" w:hAnsi="宋体" w:eastAsia="宋体" w:cs="宋体"/>
          <w:b/>
          <w:color w:val="auto"/>
          <w:spacing w:val="-20"/>
          <w:sz w:val="32"/>
          <w:szCs w:val="32"/>
        </w:rPr>
      </w:pPr>
      <w:r>
        <w:rPr>
          <w:rFonts w:hint="eastAsia" w:ascii="宋体" w:hAnsi="宋体" w:eastAsia="宋体" w:cs="宋体"/>
          <w:b/>
          <w:color w:val="auto"/>
          <w:spacing w:val="-20"/>
          <w:sz w:val="32"/>
          <w:szCs w:val="32"/>
        </w:rPr>
        <w:br w:type="page"/>
      </w:r>
    </w:p>
    <w:p w14:paraId="17D9B025">
      <w:pPr>
        <w:pStyle w:val="10"/>
        <w:rPr>
          <w:rFonts w:hint="eastAsia" w:ascii="宋体" w:hAnsi="宋体" w:eastAsia="宋体" w:cs="宋体"/>
          <w:color w:val="auto"/>
        </w:rPr>
      </w:pPr>
    </w:p>
    <w:p w14:paraId="1497BC88">
      <w:pPr>
        <w:pStyle w:val="10"/>
        <w:rPr>
          <w:rFonts w:hint="eastAsia" w:ascii="宋体" w:hAnsi="宋体" w:eastAsia="宋体" w:cs="宋体"/>
          <w:color w:val="auto"/>
        </w:rPr>
      </w:pPr>
    </w:p>
    <w:p w14:paraId="32B275E8">
      <w:pPr>
        <w:rPr>
          <w:rFonts w:hint="eastAsia" w:ascii="宋体" w:hAnsi="宋体" w:eastAsia="宋体" w:cs="宋体"/>
          <w:color w:val="auto"/>
        </w:rPr>
      </w:pPr>
    </w:p>
    <w:p w14:paraId="7695D2D6">
      <w:pPr>
        <w:pStyle w:val="11"/>
        <w:rPr>
          <w:rFonts w:hint="eastAsia"/>
        </w:rPr>
      </w:pPr>
    </w:p>
    <w:p w14:paraId="1F381691">
      <w:pPr>
        <w:spacing w:line="360" w:lineRule="atLeast"/>
        <w:jc w:val="center"/>
        <w:rPr>
          <w:rFonts w:hint="eastAsia" w:ascii="宋体" w:hAnsi="宋体" w:eastAsia="宋体" w:cs="宋体"/>
          <w:b/>
          <w:color w:val="auto"/>
          <w:sz w:val="40"/>
          <w:szCs w:val="40"/>
        </w:rPr>
      </w:pPr>
      <w:r>
        <w:rPr>
          <w:rFonts w:hint="eastAsia" w:ascii="宋体" w:hAnsi="宋体" w:eastAsia="宋体" w:cs="宋体"/>
          <w:b/>
          <w:color w:val="auto"/>
          <w:sz w:val="40"/>
          <w:szCs w:val="40"/>
        </w:rPr>
        <w:t>目    录</w:t>
      </w:r>
    </w:p>
    <w:p w14:paraId="62C23952">
      <w:pPr>
        <w:spacing w:line="360" w:lineRule="atLeast"/>
        <w:rPr>
          <w:rFonts w:hint="eastAsia" w:ascii="宋体" w:hAnsi="宋体" w:eastAsia="宋体" w:cs="宋体"/>
          <w:color w:val="auto"/>
        </w:rPr>
      </w:pPr>
    </w:p>
    <w:p w14:paraId="64095B66">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一   投标响应函</w:t>
      </w:r>
    </w:p>
    <w:p w14:paraId="1F5C3B1A">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二   报价</w:t>
      </w:r>
      <w:r>
        <w:rPr>
          <w:rFonts w:hint="eastAsia" w:hAnsi="宋体" w:cs="宋体"/>
          <w:b/>
          <w:bCs/>
          <w:color w:val="auto"/>
          <w:sz w:val="30"/>
          <w:szCs w:val="30"/>
          <w:lang w:val="en-US" w:eastAsia="zh-CN"/>
        </w:rPr>
        <w:t>一览</w:t>
      </w:r>
      <w:r>
        <w:rPr>
          <w:rFonts w:hint="eastAsia" w:ascii="宋体" w:hAnsi="宋体" w:eastAsia="宋体" w:cs="宋体"/>
          <w:b/>
          <w:bCs/>
          <w:color w:val="auto"/>
          <w:sz w:val="30"/>
          <w:szCs w:val="30"/>
        </w:rPr>
        <w:t>表</w:t>
      </w:r>
    </w:p>
    <w:p w14:paraId="1FD1D3DD">
      <w:pPr>
        <w:pStyle w:val="15"/>
        <w:spacing w:line="360" w:lineRule="auto"/>
        <w:ind w:firstLine="2700" w:firstLineChars="900"/>
        <w:rPr>
          <w:rFonts w:hint="eastAsia" w:ascii="宋体" w:hAnsi="宋体" w:eastAsia="宋体" w:cs="宋体"/>
          <w:b/>
          <w:bCs/>
          <w:color w:val="auto"/>
          <w:sz w:val="30"/>
          <w:szCs w:val="30"/>
        </w:rPr>
      </w:pPr>
      <w:r>
        <w:rPr>
          <w:rFonts w:hint="eastAsia" w:ascii="宋体" w:hAnsi="宋体" w:eastAsia="宋体" w:cs="宋体"/>
          <w:b/>
          <w:bCs/>
          <w:color w:val="auto"/>
          <w:sz w:val="30"/>
          <w:szCs w:val="30"/>
        </w:rPr>
        <w:t>分项报价表</w:t>
      </w:r>
    </w:p>
    <w:p w14:paraId="2020E109">
      <w:pPr>
        <w:pStyle w:val="15"/>
        <w:spacing w:line="360" w:lineRule="auto"/>
        <w:ind w:firstLine="2700" w:firstLineChars="900"/>
        <w:rPr>
          <w:rFonts w:hint="eastAsia" w:ascii="宋体" w:hAnsi="宋体" w:eastAsia="宋体" w:cs="宋体"/>
          <w:b/>
          <w:bCs/>
          <w:color w:val="auto"/>
          <w:sz w:val="30"/>
          <w:szCs w:val="30"/>
        </w:rPr>
      </w:pPr>
      <w:r>
        <w:rPr>
          <w:rFonts w:hint="eastAsia" w:ascii="宋体" w:hAnsi="宋体" w:eastAsia="宋体" w:cs="宋体"/>
          <w:b/>
          <w:bCs/>
          <w:color w:val="auto"/>
          <w:sz w:val="30"/>
          <w:szCs w:val="30"/>
        </w:rPr>
        <w:t>商务条款响应说明</w:t>
      </w:r>
    </w:p>
    <w:p w14:paraId="3F6F2813">
      <w:pPr>
        <w:pStyle w:val="15"/>
        <w:spacing w:line="360" w:lineRule="auto"/>
        <w:ind w:firstLine="2700" w:firstLineChars="900"/>
        <w:rPr>
          <w:rFonts w:hint="default" w:ascii="宋体" w:hAnsi="宋体" w:eastAsia="宋体" w:cs="宋体"/>
          <w:b/>
          <w:bCs/>
          <w:color w:val="auto"/>
          <w:sz w:val="30"/>
          <w:szCs w:val="30"/>
          <w:lang w:val="en-US" w:eastAsia="zh-CN"/>
        </w:rPr>
      </w:pPr>
      <w:r>
        <w:rPr>
          <w:rFonts w:hint="eastAsia" w:hAnsi="宋体" w:cs="宋体"/>
          <w:b/>
          <w:bCs/>
          <w:color w:val="auto"/>
          <w:sz w:val="30"/>
          <w:szCs w:val="30"/>
          <w:lang w:val="en-US" w:eastAsia="zh-CN"/>
        </w:rPr>
        <w:t>技术条款响应说明</w:t>
      </w:r>
    </w:p>
    <w:p w14:paraId="535F1529">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三   法定代表人授权委托书</w:t>
      </w:r>
    </w:p>
    <w:p w14:paraId="5089D6C5">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     法定代表人证明书</w:t>
      </w:r>
    </w:p>
    <w:p w14:paraId="3F3E6974">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四   </w:t>
      </w:r>
      <w:r>
        <w:rPr>
          <w:rFonts w:hint="eastAsia" w:hAnsi="宋体" w:cs="宋体"/>
          <w:b/>
          <w:bCs/>
          <w:color w:val="auto"/>
          <w:sz w:val="30"/>
          <w:szCs w:val="30"/>
          <w:lang w:val="en-US" w:eastAsia="zh-CN"/>
        </w:rPr>
        <w:t>投标人</w:t>
      </w:r>
      <w:r>
        <w:rPr>
          <w:rFonts w:hint="eastAsia" w:ascii="宋体" w:hAnsi="宋体" w:eastAsia="宋体" w:cs="宋体"/>
          <w:b/>
          <w:bCs/>
          <w:color w:val="auto"/>
          <w:sz w:val="30"/>
          <w:szCs w:val="30"/>
        </w:rPr>
        <w:t>资格证明文件</w:t>
      </w:r>
    </w:p>
    <w:p w14:paraId="6FBABF6D">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五   投标方案说明及服务承诺</w:t>
      </w:r>
    </w:p>
    <w:p w14:paraId="48621F92">
      <w:pPr>
        <w:pStyle w:val="15"/>
        <w:spacing w:line="360" w:lineRule="auto"/>
        <w:ind w:firstLine="1950"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六   供应商拒绝政府采购领域商业贿赂承诺 </w:t>
      </w:r>
    </w:p>
    <w:p w14:paraId="524C7BF5">
      <w:pPr>
        <w:pStyle w:val="15"/>
        <w:spacing w:line="400" w:lineRule="exact"/>
        <w:rPr>
          <w:rFonts w:hint="eastAsia" w:ascii="宋体" w:hAnsi="宋体" w:eastAsia="宋体" w:cs="宋体"/>
          <w:b/>
          <w:bCs/>
          <w:color w:val="auto"/>
          <w:sz w:val="30"/>
          <w:szCs w:val="30"/>
        </w:rPr>
      </w:pPr>
    </w:p>
    <w:p w14:paraId="63BA3EF6">
      <w:pPr>
        <w:spacing w:line="400" w:lineRule="exact"/>
        <w:ind w:right="456" w:firstLine="1950" w:firstLineChars="650"/>
        <w:rPr>
          <w:rFonts w:hint="eastAsia" w:ascii="宋体" w:hAnsi="宋体" w:eastAsia="宋体" w:cs="宋体"/>
          <w:b/>
          <w:bCs/>
          <w:color w:val="auto"/>
          <w:sz w:val="30"/>
          <w:szCs w:val="30"/>
        </w:rPr>
      </w:pPr>
    </w:p>
    <w:p w14:paraId="35F6BEC8">
      <w:pPr>
        <w:pStyle w:val="10"/>
        <w:rPr>
          <w:rFonts w:hint="eastAsia" w:ascii="宋体" w:hAnsi="宋体" w:eastAsia="宋体" w:cs="宋体"/>
          <w:b/>
          <w:bCs/>
          <w:color w:val="auto"/>
          <w:sz w:val="30"/>
          <w:szCs w:val="30"/>
        </w:rPr>
      </w:pPr>
    </w:p>
    <w:p w14:paraId="2274459C">
      <w:pPr>
        <w:pStyle w:val="20"/>
        <w:rPr>
          <w:rFonts w:hint="eastAsia" w:ascii="宋体" w:hAnsi="宋体" w:eastAsia="宋体" w:cs="宋体"/>
          <w:color w:val="auto"/>
          <w:sz w:val="30"/>
          <w:szCs w:val="30"/>
        </w:rPr>
      </w:pPr>
    </w:p>
    <w:p w14:paraId="0940FE0B">
      <w:pPr>
        <w:rPr>
          <w:rFonts w:hint="eastAsia" w:ascii="宋体" w:hAnsi="宋体" w:eastAsia="宋体" w:cs="宋体"/>
          <w:color w:val="auto"/>
        </w:rPr>
      </w:pPr>
    </w:p>
    <w:p w14:paraId="1C7B1568">
      <w:pPr>
        <w:pStyle w:val="11"/>
        <w:rPr>
          <w:rFonts w:hint="eastAsia"/>
        </w:rPr>
      </w:pPr>
    </w:p>
    <w:p w14:paraId="7A0BE457">
      <w:pPr>
        <w:rPr>
          <w:rFonts w:hint="eastAsia"/>
          <w:color w:val="auto"/>
        </w:rPr>
      </w:pPr>
    </w:p>
    <w:p w14:paraId="658EF349">
      <w:pPr>
        <w:spacing w:line="600" w:lineRule="exact"/>
        <w:ind w:firstLine="3644" w:firstLineChars="1139"/>
        <w:rPr>
          <w:rFonts w:hint="eastAsia" w:ascii="宋体" w:hAnsi="宋体" w:eastAsia="宋体" w:cs="宋体"/>
          <w:b/>
          <w:color w:val="auto"/>
          <w:sz w:val="32"/>
          <w:szCs w:val="32"/>
        </w:rPr>
      </w:pPr>
      <w:r>
        <w:rPr>
          <w:rFonts w:hint="eastAsia" w:ascii="宋体" w:hAnsi="宋体" w:eastAsia="宋体" w:cs="宋体"/>
          <w:b/>
          <w:color w:val="auto"/>
          <w:sz w:val="32"/>
          <w:szCs w:val="32"/>
        </w:rPr>
        <w:t>一、投标响应函</w:t>
      </w:r>
    </w:p>
    <w:p w14:paraId="680C666C">
      <w:pPr>
        <w:spacing w:line="440" w:lineRule="exact"/>
        <w:rPr>
          <w:rFonts w:hint="eastAsia" w:ascii="宋体" w:hAnsi="宋体" w:eastAsia="宋体" w:cs="宋体"/>
          <w:color w:val="auto"/>
          <w:sz w:val="24"/>
        </w:rPr>
      </w:pPr>
      <w:r>
        <w:rPr>
          <w:rFonts w:hint="eastAsia" w:ascii="宋体" w:hAnsi="宋体" w:eastAsia="宋体" w:cs="宋体"/>
          <w:color w:val="auto"/>
          <w:sz w:val="24"/>
        </w:rPr>
        <w:t>陕西悦嘉冠宏项目管理有限公司：</w:t>
      </w:r>
    </w:p>
    <w:p w14:paraId="1FF1661A">
      <w:pPr>
        <w:spacing w:line="440" w:lineRule="exact"/>
        <w:ind w:firstLine="437"/>
        <w:rPr>
          <w:rFonts w:hint="eastAsia" w:ascii="宋体" w:hAnsi="宋体" w:eastAsia="宋体" w:cs="宋体"/>
          <w:color w:val="auto"/>
          <w:sz w:val="24"/>
        </w:rPr>
      </w:pPr>
      <w:r>
        <w:rPr>
          <w:rFonts w:hint="eastAsia" w:ascii="宋体" w:hAnsi="宋体" w:eastAsia="宋体" w:cs="宋体"/>
          <w:color w:val="auto"/>
          <w:sz w:val="24"/>
        </w:rPr>
        <w:t>根据贵方为</w:t>
      </w:r>
      <w:r>
        <w:rPr>
          <w:rFonts w:hint="eastAsia" w:ascii="宋体" w:hAnsi="宋体" w:eastAsia="宋体" w:cs="宋体"/>
          <w:color w:val="auto"/>
          <w:sz w:val="24"/>
          <w:u w:val="single"/>
        </w:rPr>
        <w:t>（采购项目名称）</w:t>
      </w:r>
      <w:r>
        <w:rPr>
          <w:rFonts w:hint="eastAsia" w:ascii="宋体" w:hAnsi="宋体" w:eastAsia="宋体" w:cs="宋体"/>
          <w:color w:val="auto"/>
          <w:sz w:val="24"/>
        </w:rPr>
        <w:t>招标采购服务的招标公告</w:t>
      </w:r>
      <w:r>
        <w:rPr>
          <w:rFonts w:hint="eastAsia" w:ascii="宋体" w:hAnsi="宋体" w:eastAsia="宋体" w:cs="宋体"/>
          <w:color w:val="auto"/>
          <w:sz w:val="24"/>
          <w:u w:val="single"/>
        </w:rPr>
        <w:t>（项目编号）</w:t>
      </w:r>
      <w:r>
        <w:rPr>
          <w:rFonts w:hint="eastAsia" w:ascii="宋体" w:hAnsi="宋体" w:eastAsia="宋体" w:cs="宋体"/>
          <w:color w:val="auto"/>
          <w:sz w:val="24"/>
        </w:rPr>
        <w:t>，签字代表</w:t>
      </w:r>
      <w:r>
        <w:rPr>
          <w:rFonts w:hint="eastAsia" w:ascii="宋体" w:hAnsi="宋体" w:eastAsia="宋体" w:cs="宋体"/>
          <w:color w:val="auto"/>
          <w:sz w:val="24"/>
          <w:u w:val="single"/>
        </w:rPr>
        <w:t>（姓名、职务）</w:t>
      </w:r>
      <w:r>
        <w:rPr>
          <w:rFonts w:hint="eastAsia" w:ascii="宋体" w:hAnsi="宋体" w:eastAsia="宋体" w:cs="宋体"/>
          <w:color w:val="auto"/>
          <w:sz w:val="24"/>
        </w:rPr>
        <w:t>经正式授权并代表供应商</w:t>
      </w:r>
      <w:r>
        <w:rPr>
          <w:rFonts w:hint="eastAsia" w:ascii="宋体" w:hAnsi="宋体" w:eastAsia="宋体" w:cs="宋体"/>
          <w:color w:val="auto"/>
          <w:sz w:val="24"/>
          <w:u w:val="single"/>
        </w:rPr>
        <w:t>（供应商名称、地址）</w:t>
      </w:r>
      <w:r>
        <w:rPr>
          <w:rFonts w:hint="eastAsia" w:ascii="宋体" w:hAnsi="宋体" w:eastAsia="宋体" w:cs="宋体"/>
          <w:color w:val="auto"/>
          <w:sz w:val="24"/>
        </w:rPr>
        <w:t>。</w:t>
      </w:r>
    </w:p>
    <w:p w14:paraId="69D58B6A">
      <w:pPr>
        <w:spacing w:line="440" w:lineRule="exact"/>
        <w:ind w:firstLine="480" w:firstLineChars="200"/>
        <w:rPr>
          <w:rFonts w:hint="eastAsia" w:ascii="宋体" w:hAnsi="宋体" w:eastAsia="宋体" w:cs="宋体"/>
          <w:b/>
          <w:color w:val="auto"/>
          <w:sz w:val="24"/>
        </w:rPr>
      </w:pPr>
      <w:r>
        <w:rPr>
          <w:rFonts w:hint="eastAsia" w:ascii="宋体" w:hAnsi="宋体" w:eastAsia="宋体" w:cs="宋体"/>
          <w:b/>
          <w:color w:val="auto"/>
          <w:sz w:val="24"/>
        </w:rPr>
        <w:t>在此，签字代表宣布同意如下：</w:t>
      </w:r>
    </w:p>
    <w:p w14:paraId="51815338">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1．所附投标报价表中规定的应提交和交付的</w:t>
      </w:r>
      <w:r>
        <w:rPr>
          <w:rFonts w:hint="eastAsia" w:hAnsi="宋体" w:cs="宋体"/>
          <w:color w:val="auto"/>
          <w:sz w:val="24"/>
          <w:lang w:val="en-US" w:eastAsia="zh-CN"/>
        </w:rPr>
        <w:t>服务</w:t>
      </w:r>
      <w:r>
        <w:rPr>
          <w:rFonts w:hint="eastAsia" w:ascii="宋体" w:hAnsi="宋体" w:eastAsia="宋体" w:cs="宋体"/>
          <w:color w:val="auto"/>
          <w:sz w:val="24"/>
        </w:rPr>
        <w:t>投标总价为</w:t>
      </w:r>
      <w:r>
        <w:rPr>
          <w:rFonts w:hint="eastAsia" w:ascii="宋体" w:hAnsi="宋体" w:eastAsia="宋体" w:cs="宋体"/>
          <w:color w:val="auto"/>
          <w:sz w:val="24"/>
          <w:u w:val="single"/>
        </w:rPr>
        <w:t>人民币金额数（同时用汉字大写和数字表示的投标总价）</w:t>
      </w:r>
      <w:r>
        <w:rPr>
          <w:rFonts w:hint="eastAsia" w:ascii="宋体" w:hAnsi="宋体" w:eastAsia="宋体" w:cs="宋体"/>
          <w:color w:val="auto"/>
          <w:sz w:val="24"/>
        </w:rPr>
        <w:t>。</w:t>
      </w:r>
    </w:p>
    <w:p w14:paraId="7C45A868">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2．供应商将按招标文件的规定履行合同责任和义务。</w:t>
      </w:r>
    </w:p>
    <w:p w14:paraId="50178394">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3．供应商已详细审查全部招标文件。我们完全理解并同意放弃对这方面有不明及误解的权力。</w:t>
      </w:r>
    </w:p>
    <w:p w14:paraId="0E9B9D0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4．本投标有效期为自开标日起</w:t>
      </w:r>
      <w:r>
        <w:rPr>
          <w:rFonts w:hint="eastAsia" w:ascii="宋体" w:hAnsi="宋体" w:eastAsia="宋体" w:cs="宋体"/>
          <w:color w:val="auto"/>
          <w:sz w:val="24"/>
          <w:u w:val="single"/>
        </w:rPr>
        <w:t xml:space="preserve">   </w:t>
      </w:r>
      <w:r>
        <w:rPr>
          <w:rFonts w:hint="eastAsia" w:ascii="宋体" w:hAnsi="宋体" w:eastAsia="宋体" w:cs="宋体"/>
          <w:color w:val="auto"/>
          <w:sz w:val="24"/>
        </w:rPr>
        <w:t>个日历日（中标人的投标文件有效期延长为与合同有效期一致）。</w:t>
      </w:r>
    </w:p>
    <w:p w14:paraId="3214EC06">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5．供应商完全理解并同意贵方在招标文件中拒绝投标的条款。</w:t>
      </w:r>
    </w:p>
    <w:p w14:paraId="065A16D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6．供应商同意提供按照贵方可能要求的与其投标有关的一切数据或资料，完全理解贵方不一定接受最低投标报价的投标或收到的任何投标。</w:t>
      </w:r>
    </w:p>
    <w:p w14:paraId="5ED4C990">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7．若我方获得中标，我方保证按招标文件及相关规定向贵方支付中标服务费及相关的全部费用。</w:t>
      </w:r>
    </w:p>
    <w:p w14:paraId="7946FECD">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8．我公司完全响应招标文件中不接受联合体投标要求。</w:t>
      </w:r>
    </w:p>
    <w:p w14:paraId="448DED1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 与本投标有关的一切正式往来信函请寄：</w:t>
      </w:r>
    </w:p>
    <w:p w14:paraId="7BF7EA14">
      <w:pPr>
        <w:spacing w:line="44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供应商名称（公章）：</w:t>
      </w:r>
    </w:p>
    <w:p w14:paraId="59159067">
      <w:pPr>
        <w:spacing w:line="40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详细地址：</w:t>
      </w:r>
      <w:r>
        <w:rPr>
          <w:rFonts w:hint="eastAsia" w:ascii="宋体" w:hAnsi="宋体" w:eastAsia="宋体" w:cs="宋体"/>
          <w:color w:val="auto"/>
          <w:sz w:val="24"/>
          <w:u w:val="single"/>
        </w:rPr>
        <w:t xml:space="preserve">                                  </w:t>
      </w:r>
    </w:p>
    <w:p w14:paraId="150B72AA">
      <w:pPr>
        <w:tabs>
          <w:tab w:val="left" w:pos="360"/>
        </w:tabs>
        <w:spacing w:line="40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邮政编码：</w:t>
      </w:r>
      <w:r>
        <w:rPr>
          <w:rFonts w:hint="eastAsia" w:ascii="宋体" w:hAnsi="宋体" w:eastAsia="宋体" w:cs="宋体"/>
          <w:color w:val="auto"/>
          <w:sz w:val="24"/>
          <w:u w:val="single"/>
        </w:rPr>
        <w:t xml:space="preserve">                                  </w:t>
      </w:r>
    </w:p>
    <w:p w14:paraId="6ADF07B6">
      <w:pPr>
        <w:autoSpaceDE w:val="0"/>
        <w:autoSpaceDN w:val="0"/>
        <w:spacing w:line="400" w:lineRule="exact"/>
        <w:ind w:firstLine="480" w:firstLineChars="200"/>
        <w:rPr>
          <w:rFonts w:hint="eastAsia" w:ascii="宋体" w:hAnsi="宋体" w:eastAsia="宋体" w:cs="宋体"/>
          <w:color w:val="auto"/>
          <w:sz w:val="24"/>
          <w:u w:val="single"/>
          <w:lang w:val="zh-CN"/>
        </w:rPr>
      </w:pPr>
      <w:r>
        <w:rPr>
          <w:rFonts w:hint="eastAsia" w:ascii="宋体" w:hAnsi="宋体" w:eastAsia="宋体" w:cs="宋体"/>
          <w:color w:val="auto"/>
          <w:sz w:val="24"/>
          <w:lang w:val="zh-CN"/>
        </w:rPr>
        <w:t>电话：</w:t>
      </w:r>
      <w:r>
        <w:rPr>
          <w:rFonts w:hint="eastAsia" w:ascii="宋体" w:hAnsi="宋体" w:eastAsia="宋体" w:cs="宋体"/>
          <w:color w:val="auto"/>
          <w:sz w:val="24"/>
          <w:u w:val="single"/>
        </w:rPr>
        <w:t xml:space="preserve">                                      </w:t>
      </w:r>
    </w:p>
    <w:p w14:paraId="77307E4C">
      <w:pPr>
        <w:autoSpaceDE w:val="0"/>
        <w:autoSpaceDN w:val="0"/>
        <w:spacing w:line="400" w:lineRule="exact"/>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传真：</w:t>
      </w:r>
      <w:r>
        <w:rPr>
          <w:rFonts w:hint="eastAsia" w:ascii="宋体" w:hAnsi="宋体" w:eastAsia="宋体" w:cs="宋体"/>
          <w:color w:val="auto"/>
          <w:sz w:val="24"/>
          <w:u w:val="single"/>
        </w:rPr>
        <w:t xml:space="preserve">                                      </w:t>
      </w:r>
    </w:p>
    <w:p w14:paraId="66824E10">
      <w:pPr>
        <w:tabs>
          <w:tab w:val="left" w:pos="360"/>
        </w:tabs>
        <w:spacing w:line="4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电子邮件地址：</w:t>
      </w:r>
      <w:r>
        <w:rPr>
          <w:rFonts w:hint="eastAsia" w:ascii="宋体" w:hAnsi="宋体" w:eastAsia="宋体" w:cs="宋体"/>
          <w:color w:val="auto"/>
          <w:sz w:val="24"/>
          <w:u w:val="single"/>
        </w:rPr>
        <w:t xml:space="preserve">                              </w:t>
      </w:r>
    </w:p>
    <w:p w14:paraId="56210012">
      <w:pPr>
        <w:autoSpaceDE w:val="0"/>
        <w:autoSpaceDN w:val="0"/>
        <w:spacing w:line="400" w:lineRule="exact"/>
        <w:ind w:firstLine="480" w:firstLineChars="200"/>
        <w:rPr>
          <w:rFonts w:hint="eastAsia" w:ascii="宋体" w:hAnsi="宋体" w:eastAsia="宋体" w:cs="宋体"/>
          <w:color w:val="auto"/>
          <w:sz w:val="24"/>
          <w:u w:val="single"/>
          <w:lang w:val="zh-CN"/>
        </w:rPr>
      </w:pPr>
      <w:r>
        <w:rPr>
          <w:rFonts w:hint="eastAsia" w:ascii="宋体" w:hAnsi="宋体" w:eastAsia="宋体" w:cs="宋体"/>
          <w:color w:val="auto"/>
          <w:sz w:val="24"/>
          <w:lang w:val="zh-CN"/>
        </w:rPr>
        <w:t>开户银行：</w:t>
      </w:r>
      <w:r>
        <w:rPr>
          <w:rFonts w:hint="eastAsia" w:ascii="宋体" w:hAnsi="宋体" w:eastAsia="宋体" w:cs="宋体"/>
          <w:color w:val="auto"/>
          <w:sz w:val="24"/>
          <w:u w:val="single"/>
        </w:rPr>
        <w:t xml:space="preserve">                                  </w:t>
      </w:r>
    </w:p>
    <w:p w14:paraId="18A7F917">
      <w:pPr>
        <w:autoSpaceDE w:val="0"/>
        <w:autoSpaceDN w:val="0"/>
        <w:spacing w:line="400" w:lineRule="exact"/>
        <w:ind w:firstLine="480" w:firstLineChars="200"/>
        <w:rPr>
          <w:rFonts w:hint="eastAsia" w:ascii="宋体" w:hAnsi="宋体" w:eastAsia="宋体" w:cs="宋体"/>
          <w:color w:val="auto"/>
          <w:sz w:val="24"/>
          <w:lang w:val="zh-CN"/>
        </w:rPr>
      </w:pPr>
      <w:r>
        <w:rPr>
          <w:rFonts w:hint="eastAsia" w:hAnsi="宋体" w:cs="宋体"/>
          <w:color w:val="auto"/>
          <w:sz w:val="24"/>
          <w:lang w:val="en-US" w:eastAsia="zh-CN"/>
        </w:rPr>
        <w:t>账</w:t>
      </w:r>
      <w:r>
        <w:rPr>
          <w:rFonts w:hint="eastAsia" w:ascii="宋体" w:hAnsi="宋体" w:eastAsia="宋体" w:cs="宋体"/>
          <w:color w:val="auto"/>
          <w:sz w:val="24"/>
          <w:lang w:val="zh-CN"/>
        </w:rPr>
        <w:t>号：</w:t>
      </w:r>
      <w:r>
        <w:rPr>
          <w:rFonts w:hint="eastAsia" w:ascii="宋体" w:hAnsi="宋体" w:eastAsia="宋体" w:cs="宋体"/>
          <w:color w:val="auto"/>
          <w:sz w:val="24"/>
          <w:u w:val="single"/>
        </w:rPr>
        <w:t xml:space="preserve">                                      </w:t>
      </w:r>
    </w:p>
    <w:p w14:paraId="66B0BAC5">
      <w:pPr>
        <w:autoSpaceDE w:val="0"/>
        <w:autoSpaceDN w:val="0"/>
        <w:spacing w:line="400" w:lineRule="exact"/>
        <w:ind w:right="480"/>
        <w:rPr>
          <w:rFonts w:hint="eastAsia" w:ascii="宋体" w:hAnsi="宋体" w:eastAsia="宋体" w:cs="宋体"/>
          <w:color w:val="auto"/>
          <w:sz w:val="24"/>
          <w:lang w:val="zh-CN"/>
        </w:rPr>
      </w:pPr>
    </w:p>
    <w:p w14:paraId="34B23242">
      <w:pPr>
        <w:wordWrap w:val="0"/>
        <w:autoSpaceDE w:val="0"/>
        <w:autoSpaceDN w:val="0"/>
        <w:spacing w:line="400" w:lineRule="exact"/>
        <w:ind w:right="480" w:firstLine="480" w:firstLineChars="200"/>
        <w:jc w:val="right"/>
        <w:rPr>
          <w:rFonts w:hint="eastAsia" w:ascii="宋体" w:hAnsi="宋体" w:eastAsia="宋体" w:cs="宋体"/>
          <w:color w:val="auto"/>
          <w:sz w:val="24"/>
          <w:u w:val="single"/>
          <w:lang w:val="zh-CN"/>
        </w:rPr>
      </w:pPr>
      <w:r>
        <w:rPr>
          <w:rFonts w:hint="eastAsia" w:ascii="宋体" w:hAnsi="宋体" w:eastAsia="宋体" w:cs="宋体"/>
          <w:color w:val="auto"/>
          <w:sz w:val="24"/>
        </w:rPr>
        <w:t>年     月     日</w:t>
      </w:r>
    </w:p>
    <w:p w14:paraId="58466A59">
      <w:pPr>
        <w:autoSpaceDE w:val="0"/>
        <w:autoSpaceDN w:val="0"/>
        <w:snapToGrid w:val="0"/>
        <w:spacing w:line="360" w:lineRule="auto"/>
        <w:jc w:val="center"/>
        <w:rPr>
          <w:rFonts w:hint="eastAsia" w:ascii="宋体" w:hAnsi="宋体" w:eastAsia="宋体" w:cs="宋体"/>
          <w:b/>
          <w:color w:val="auto"/>
          <w:sz w:val="32"/>
          <w:szCs w:val="32"/>
        </w:rPr>
      </w:pPr>
    </w:p>
    <w:p w14:paraId="154BE965">
      <w:pPr>
        <w:autoSpaceDE w:val="0"/>
        <w:autoSpaceDN w:val="0"/>
        <w:snapToGrid w:val="0"/>
        <w:spacing w:line="360" w:lineRule="auto"/>
        <w:jc w:val="center"/>
        <w:rPr>
          <w:rFonts w:hint="eastAsia" w:ascii="宋体" w:hAnsi="宋体" w:eastAsia="宋体" w:cs="宋体"/>
          <w:b/>
          <w:color w:val="auto"/>
          <w:sz w:val="32"/>
          <w:szCs w:val="32"/>
        </w:rPr>
      </w:pPr>
    </w:p>
    <w:p w14:paraId="0D6C9D2C">
      <w:pPr>
        <w:autoSpaceDE w:val="0"/>
        <w:autoSpaceDN w:val="0"/>
        <w:snapToGrid w:val="0"/>
        <w:spacing w:line="360" w:lineRule="auto"/>
        <w:jc w:val="center"/>
        <w:rPr>
          <w:rFonts w:hint="eastAsia" w:ascii="宋体" w:hAnsi="宋体" w:eastAsia="宋体" w:cs="宋体"/>
          <w:b/>
          <w:color w:val="auto"/>
          <w:sz w:val="32"/>
          <w:szCs w:val="32"/>
        </w:rPr>
      </w:pPr>
    </w:p>
    <w:p w14:paraId="732814C5">
      <w:pPr>
        <w:autoSpaceDE w:val="0"/>
        <w:autoSpaceDN w:val="0"/>
        <w:snapToGrid w:val="0"/>
        <w:spacing w:line="360" w:lineRule="auto"/>
        <w:jc w:val="center"/>
        <w:rPr>
          <w:rFonts w:hint="eastAsia" w:ascii="宋体" w:hAnsi="宋体" w:eastAsia="宋体" w:cs="宋体"/>
          <w:bCs/>
          <w:color w:val="auto"/>
          <w:sz w:val="24"/>
        </w:rPr>
      </w:pPr>
      <w:r>
        <w:rPr>
          <w:rFonts w:hint="eastAsia" w:ascii="宋体" w:hAnsi="宋体" w:eastAsia="宋体" w:cs="宋体"/>
          <w:b/>
          <w:color w:val="auto"/>
          <w:sz w:val="32"/>
          <w:szCs w:val="32"/>
        </w:rPr>
        <w:t>二、报价</w:t>
      </w:r>
      <w:r>
        <w:rPr>
          <w:rFonts w:hint="eastAsia" w:hAnsi="宋体" w:cs="宋体"/>
          <w:b/>
          <w:color w:val="auto"/>
          <w:sz w:val="32"/>
          <w:szCs w:val="32"/>
          <w:lang w:val="en-US" w:eastAsia="zh-CN"/>
        </w:rPr>
        <w:t>一览</w:t>
      </w:r>
      <w:r>
        <w:rPr>
          <w:rFonts w:hint="eastAsia" w:ascii="宋体" w:hAnsi="宋体" w:eastAsia="宋体" w:cs="宋体"/>
          <w:b/>
          <w:color w:val="auto"/>
          <w:sz w:val="32"/>
          <w:szCs w:val="32"/>
        </w:rPr>
        <w:t>表</w:t>
      </w:r>
    </w:p>
    <w:p w14:paraId="348B646C">
      <w:pPr>
        <w:spacing w:line="560" w:lineRule="exact"/>
        <w:jc w:val="center"/>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                                    项目编号：</w:t>
      </w:r>
      <w:r>
        <w:rPr>
          <w:rFonts w:hint="eastAsia" w:hAnsi="宋体" w:cs="宋体"/>
          <w:bCs/>
          <w:color w:val="auto"/>
          <w:sz w:val="28"/>
          <w:szCs w:val="28"/>
          <w:lang w:eastAsia="zh-CN"/>
        </w:rPr>
        <w:t>YJGHCG-2026-006</w:t>
      </w:r>
    </w:p>
    <w:tbl>
      <w:tblPr>
        <w:tblStyle w:val="2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21"/>
        <w:gridCol w:w="2085"/>
        <w:gridCol w:w="2486"/>
        <w:gridCol w:w="1288"/>
      </w:tblGrid>
      <w:tr w14:paraId="74E6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63" w:hRule="atLeast"/>
          <w:jc w:val="center"/>
        </w:trPr>
        <w:tc>
          <w:tcPr>
            <w:tcW w:w="1843" w:type="pct"/>
            <w:vAlign w:val="center"/>
          </w:tcPr>
          <w:p w14:paraId="3167FD10">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项目名称</w:t>
            </w:r>
          </w:p>
        </w:tc>
        <w:tc>
          <w:tcPr>
            <w:tcW w:w="1123" w:type="pct"/>
            <w:vAlign w:val="center"/>
          </w:tcPr>
          <w:p w14:paraId="5F01B048">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投标总报价</w:t>
            </w:r>
          </w:p>
          <w:p w14:paraId="6CFB149F">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（元）</w:t>
            </w:r>
          </w:p>
        </w:tc>
        <w:tc>
          <w:tcPr>
            <w:tcW w:w="1339" w:type="pct"/>
            <w:vAlign w:val="center"/>
          </w:tcPr>
          <w:p w14:paraId="76024EF2">
            <w:pPr>
              <w:spacing w:line="560" w:lineRule="exact"/>
              <w:jc w:val="center"/>
              <w:rPr>
                <w:rFonts w:hint="default" w:ascii="宋体" w:hAnsi="宋体" w:eastAsia="宋体" w:cs="宋体"/>
                <w:bCs/>
                <w:color w:val="auto"/>
                <w:sz w:val="28"/>
                <w:szCs w:val="28"/>
                <w:lang w:val="en-US" w:eastAsia="zh-CN"/>
              </w:rPr>
            </w:pPr>
            <w:r>
              <w:rPr>
                <w:rFonts w:hint="default" w:ascii="宋体" w:hAnsi="宋体" w:eastAsia="宋体" w:cs="宋体"/>
                <w:bCs/>
                <w:color w:val="auto"/>
                <w:sz w:val="28"/>
                <w:szCs w:val="28"/>
                <w:lang w:val="en-US" w:eastAsia="zh-CN"/>
              </w:rPr>
              <w:t>制作及交付期限</w:t>
            </w:r>
          </w:p>
        </w:tc>
        <w:tc>
          <w:tcPr>
            <w:tcW w:w="693" w:type="pct"/>
            <w:vAlign w:val="center"/>
          </w:tcPr>
          <w:p w14:paraId="66EA3187">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备  注</w:t>
            </w:r>
          </w:p>
        </w:tc>
      </w:tr>
      <w:tr w14:paraId="4624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4" w:hRule="atLeast"/>
          <w:jc w:val="center"/>
        </w:trPr>
        <w:tc>
          <w:tcPr>
            <w:tcW w:w="1843" w:type="pct"/>
            <w:vAlign w:val="center"/>
          </w:tcPr>
          <w:p w14:paraId="77C0D944">
            <w:pPr>
              <w:spacing w:line="560" w:lineRule="exact"/>
              <w:jc w:val="center"/>
              <w:rPr>
                <w:rFonts w:hint="eastAsia" w:ascii="宋体" w:hAnsi="宋体" w:eastAsia="宋体" w:cs="宋体"/>
                <w:color w:val="auto"/>
                <w:sz w:val="28"/>
                <w:szCs w:val="28"/>
              </w:rPr>
            </w:pPr>
            <w:r>
              <w:rPr>
                <w:rFonts w:hint="eastAsia" w:hAnsi="宋体" w:cs="宋体"/>
                <w:color w:val="auto"/>
                <w:sz w:val="28"/>
                <w:szCs w:val="28"/>
                <w:lang w:eastAsia="zh-CN"/>
              </w:rPr>
              <w:t>学前教育专业（群）教学资源库建设项目</w:t>
            </w:r>
          </w:p>
        </w:tc>
        <w:tc>
          <w:tcPr>
            <w:tcW w:w="1123" w:type="pct"/>
            <w:vAlign w:val="center"/>
          </w:tcPr>
          <w:p w14:paraId="2F996222">
            <w:pPr>
              <w:spacing w:line="560" w:lineRule="exact"/>
              <w:jc w:val="center"/>
              <w:rPr>
                <w:rFonts w:hint="eastAsia" w:ascii="宋体" w:hAnsi="宋体" w:eastAsia="宋体" w:cs="宋体"/>
                <w:bCs/>
                <w:color w:val="auto"/>
                <w:sz w:val="28"/>
                <w:szCs w:val="28"/>
              </w:rPr>
            </w:pPr>
          </w:p>
        </w:tc>
        <w:tc>
          <w:tcPr>
            <w:tcW w:w="1339" w:type="pct"/>
            <w:vAlign w:val="center"/>
          </w:tcPr>
          <w:p w14:paraId="2C8133F6">
            <w:pPr>
              <w:spacing w:line="560" w:lineRule="exact"/>
              <w:jc w:val="center"/>
              <w:rPr>
                <w:rFonts w:hint="eastAsia" w:ascii="宋体" w:hAnsi="宋体" w:eastAsia="宋体" w:cs="宋体"/>
                <w:bCs/>
                <w:color w:val="auto"/>
                <w:sz w:val="28"/>
                <w:szCs w:val="28"/>
              </w:rPr>
            </w:pPr>
          </w:p>
        </w:tc>
        <w:tc>
          <w:tcPr>
            <w:tcW w:w="693" w:type="pct"/>
            <w:vAlign w:val="center"/>
          </w:tcPr>
          <w:p w14:paraId="61EE47A8">
            <w:pPr>
              <w:spacing w:line="560" w:lineRule="exact"/>
              <w:jc w:val="center"/>
              <w:rPr>
                <w:rFonts w:hint="eastAsia" w:ascii="宋体" w:hAnsi="宋体" w:eastAsia="宋体" w:cs="宋体"/>
                <w:bCs/>
                <w:color w:val="auto"/>
                <w:sz w:val="28"/>
                <w:szCs w:val="28"/>
              </w:rPr>
            </w:pPr>
          </w:p>
        </w:tc>
      </w:tr>
      <w:tr w14:paraId="67BC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75" w:hRule="atLeast"/>
          <w:jc w:val="center"/>
        </w:trPr>
        <w:tc>
          <w:tcPr>
            <w:tcW w:w="1843" w:type="pct"/>
            <w:vAlign w:val="center"/>
          </w:tcPr>
          <w:p w14:paraId="51768704">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投标总报价</w:t>
            </w:r>
          </w:p>
          <w:p w14:paraId="06DC4087">
            <w:pP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（大写）</w:t>
            </w:r>
          </w:p>
        </w:tc>
        <w:tc>
          <w:tcPr>
            <w:tcW w:w="3156" w:type="pct"/>
            <w:gridSpan w:val="3"/>
            <w:vAlign w:val="center"/>
          </w:tcPr>
          <w:p w14:paraId="769633CC">
            <w:pPr>
              <w:spacing w:line="560" w:lineRule="exact"/>
              <w:rPr>
                <w:rFonts w:hint="eastAsia" w:ascii="宋体" w:hAnsi="宋体" w:eastAsia="宋体" w:cs="宋体"/>
                <w:bCs/>
                <w:color w:val="auto"/>
                <w:sz w:val="28"/>
                <w:szCs w:val="28"/>
              </w:rPr>
            </w:pPr>
          </w:p>
        </w:tc>
      </w:tr>
    </w:tbl>
    <w:p w14:paraId="6C2FC561">
      <w:pPr>
        <w:spacing w:line="440" w:lineRule="exact"/>
        <w:ind w:firstLine="560" w:firstLineChars="2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注：</w:t>
      </w:r>
    </w:p>
    <w:p w14:paraId="12911AE5">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1.供应商应按采购文件的要求，根据实际情况进行报价；</w:t>
      </w:r>
    </w:p>
    <w:p w14:paraId="0D226C45">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2.投标报价包含设备费、材料费、人工费、相关伴随费用、税金及其他不可预见费用；</w:t>
      </w:r>
    </w:p>
    <w:p w14:paraId="1C66AC17">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3.本报价为固定不变价；</w:t>
      </w:r>
    </w:p>
    <w:p w14:paraId="21E485ED">
      <w:pPr>
        <w:spacing w:line="400" w:lineRule="exact"/>
        <w:ind w:firstLine="480" w:firstLineChars="200"/>
        <w:jc w:val="left"/>
        <w:rPr>
          <w:rFonts w:hint="eastAsia" w:ascii="宋体" w:hAnsi="宋体" w:eastAsia="宋体" w:cs="宋体"/>
          <w:color w:val="auto"/>
          <w:sz w:val="28"/>
          <w:szCs w:val="28"/>
        </w:rPr>
      </w:pPr>
      <w:r>
        <w:rPr>
          <w:rFonts w:hint="eastAsia" w:ascii="宋体" w:hAnsi="宋体" w:eastAsia="宋体" w:cs="宋体"/>
          <w:color w:val="auto"/>
          <w:sz w:val="24"/>
          <w:szCs w:val="24"/>
        </w:rPr>
        <w:t>4.报价以人民币元为单位，保留小数点后两位。</w:t>
      </w:r>
    </w:p>
    <w:p w14:paraId="69C80AC8">
      <w:pPr>
        <w:spacing w:line="252" w:lineRule="atLeast"/>
        <w:ind w:firstLine="280" w:firstLineChars="100"/>
        <w:rPr>
          <w:rFonts w:hint="eastAsia" w:ascii="宋体" w:hAnsi="宋体" w:eastAsia="宋体" w:cs="宋体"/>
          <w:color w:val="auto"/>
          <w:sz w:val="28"/>
          <w:szCs w:val="28"/>
        </w:rPr>
      </w:pPr>
    </w:p>
    <w:p w14:paraId="051D31CA">
      <w:pPr>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C88CCE4">
      <w:pPr>
        <w:rPr>
          <w:rFonts w:hint="eastAsia" w:ascii="宋体" w:hAnsi="宋体" w:eastAsia="宋体" w:cs="宋体"/>
          <w:color w:val="auto"/>
          <w:sz w:val="24"/>
        </w:rPr>
      </w:pPr>
    </w:p>
    <w:p w14:paraId="2DC7EEA6">
      <w:pPr>
        <w:wordWrap w:val="0"/>
        <w:spacing w:line="272" w:lineRule="atLeast"/>
        <w:jc w:val="both"/>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DB22C48">
      <w:pPr>
        <w:wordWrap w:val="0"/>
        <w:spacing w:line="272" w:lineRule="atLeast"/>
        <w:ind w:firstLine="4480"/>
        <w:jc w:val="right"/>
        <w:rPr>
          <w:rFonts w:hint="eastAsia" w:ascii="宋体" w:hAnsi="宋体" w:eastAsia="宋体" w:cs="宋体"/>
          <w:color w:val="auto"/>
          <w:sz w:val="28"/>
          <w:szCs w:val="28"/>
        </w:rPr>
      </w:pPr>
    </w:p>
    <w:p w14:paraId="3E6CDD99">
      <w:pPr>
        <w:wordWrap w:val="0"/>
        <w:spacing w:line="272" w:lineRule="atLeast"/>
        <w:ind w:firstLine="4480"/>
        <w:jc w:val="right"/>
        <w:rPr>
          <w:rFonts w:hint="eastAsia" w:ascii="宋体" w:hAnsi="宋体" w:eastAsia="宋体" w:cs="宋体"/>
          <w:color w:val="auto"/>
          <w:sz w:val="22"/>
          <w:szCs w:val="22"/>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9E041E2">
      <w:pPr>
        <w:pStyle w:val="15"/>
        <w:rPr>
          <w:rFonts w:hint="eastAsia" w:ascii="宋体" w:hAnsi="宋体" w:eastAsia="宋体" w:cs="宋体"/>
          <w:color w:val="auto"/>
          <w:sz w:val="24"/>
          <w:szCs w:val="24"/>
        </w:rPr>
      </w:pPr>
    </w:p>
    <w:p w14:paraId="715356F1">
      <w:pPr>
        <w:pStyle w:val="15"/>
        <w:rPr>
          <w:rFonts w:hint="eastAsia" w:ascii="宋体" w:hAnsi="宋体" w:eastAsia="宋体" w:cs="宋体"/>
          <w:color w:val="auto"/>
          <w:sz w:val="24"/>
          <w:szCs w:val="24"/>
        </w:rPr>
      </w:pPr>
    </w:p>
    <w:p w14:paraId="416A516B">
      <w:pPr>
        <w:pStyle w:val="15"/>
        <w:rPr>
          <w:rFonts w:hint="eastAsia" w:ascii="宋体" w:hAnsi="宋体" w:eastAsia="宋体" w:cs="宋体"/>
          <w:color w:val="auto"/>
          <w:sz w:val="24"/>
          <w:szCs w:val="24"/>
        </w:rPr>
      </w:pPr>
    </w:p>
    <w:p w14:paraId="22F45122">
      <w:pPr>
        <w:pStyle w:val="15"/>
        <w:rPr>
          <w:rFonts w:hint="eastAsia" w:ascii="宋体" w:hAnsi="宋体" w:eastAsia="宋体" w:cs="宋体"/>
          <w:color w:val="auto"/>
        </w:rPr>
      </w:pPr>
      <w:r>
        <w:rPr>
          <w:rFonts w:hint="eastAsia" w:ascii="宋体" w:hAnsi="宋体" w:eastAsia="宋体" w:cs="宋体"/>
          <w:color w:val="auto"/>
          <w:sz w:val="24"/>
          <w:szCs w:val="24"/>
        </w:rPr>
        <w:t>附表1</w:t>
      </w:r>
    </w:p>
    <w:p w14:paraId="12F9A5CD">
      <w:pPr>
        <w:pStyle w:val="15"/>
        <w:jc w:val="center"/>
        <w:rPr>
          <w:rFonts w:hint="eastAsia" w:ascii="宋体" w:hAnsi="宋体" w:eastAsia="宋体" w:cs="宋体"/>
          <w:b/>
          <w:color w:val="auto"/>
          <w:sz w:val="32"/>
        </w:rPr>
      </w:pPr>
    </w:p>
    <w:p w14:paraId="079BFA11">
      <w:pPr>
        <w:pStyle w:val="15"/>
        <w:jc w:val="center"/>
        <w:rPr>
          <w:rFonts w:hint="eastAsia" w:ascii="宋体" w:hAnsi="宋体" w:eastAsia="宋体" w:cs="宋体"/>
          <w:b/>
          <w:color w:val="auto"/>
          <w:sz w:val="32"/>
        </w:rPr>
      </w:pPr>
      <w:r>
        <w:rPr>
          <w:rFonts w:hint="eastAsia" w:ascii="宋体" w:hAnsi="宋体" w:eastAsia="宋体" w:cs="宋体"/>
          <w:b/>
          <w:color w:val="auto"/>
          <w:sz w:val="32"/>
        </w:rPr>
        <w:t>分项报价表</w:t>
      </w:r>
    </w:p>
    <w:tbl>
      <w:tblPr>
        <w:tblStyle w:val="26"/>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2777"/>
        <w:gridCol w:w="1317"/>
        <w:gridCol w:w="1317"/>
        <w:gridCol w:w="1317"/>
        <w:gridCol w:w="1318"/>
      </w:tblGrid>
      <w:tr w14:paraId="6EDD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647FA296">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序号</w:t>
            </w:r>
          </w:p>
        </w:tc>
        <w:tc>
          <w:tcPr>
            <w:tcW w:w="2777" w:type="dxa"/>
            <w:noWrap w:val="0"/>
            <w:vAlign w:val="center"/>
          </w:tcPr>
          <w:p w14:paraId="672B98C7">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分项费用名称/类别</w:t>
            </w:r>
          </w:p>
        </w:tc>
        <w:tc>
          <w:tcPr>
            <w:tcW w:w="1317" w:type="dxa"/>
            <w:noWrap w:val="0"/>
            <w:vAlign w:val="center"/>
          </w:tcPr>
          <w:p w14:paraId="1B0008BE">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单价</w:t>
            </w:r>
          </w:p>
        </w:tc>
        <w:tc>
          <w:tcPr>
            <w:tcW w:w="1317" w:type="dxa"/>
            <w:noWrap w:val="0"/>
            <w:vAlign w:val="center"/>
          </w:tcPr>
          <w:p w14:paraId="6DB2DCE6">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数量</w:t>
            </w:r>
          </w:p>
        </w:tc>
        <w:tc>
          <w:tcPr>
            <w:tcW w:w="1317" w:type="dxa"/>
            <w:noWrap w:val="0"/>
            <w:vAlign w:val="center"/>
          </w:tcPr>
          <w:p w14:paraId="5774C6BA">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总价</w:t>
            </w:r>
          </w:p>
        </w:tc>
        <w:tc>
          <w:tcPr>
            <w:tcW w:w="1318" w:type="dxa"/>
            <w:noWrap w:val="0"/>
            <w:vAlign w:val="center"/>
          </w:tcPr>
          <w:p w14:paraId="56BAD004">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备注</w:t>
            </w:r>
          </w:p>
        </w:tc>
      </w:tr>
      <w:tr w14:paraId="75A9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1297A07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777" w:type="dxa"/>
            <w:noWrap w:val="0"/>
            <w:vAlign w:val="center"/>
          </w:tcPr>
          <w:p w14:paraId="39226C46">
            <w:pPr>
              <w:jc w:val="center"/>
              <w:rPr>
                <w:rFonts w:hint="eastAsia" w:ascii="宋体" w:hAnsi="宋体" w:eastAsia="宋体" w:cs="宋体"/>
                <w:color w:val="auto"/>
                <w:sz w:val="28"/>
                <w:szCs w:val="28"/>
              </w:rPr>
            </w:pPr>
          </w:p>
        </w:tc>
        <w:tc>
          <w:tcPr>
            <w:tcW w:w="1317" w:type="dxa"/>
            <w:noWrap w:val="0"/>
            <w:vAlign w:val="center"/>
          </w:tcPr>
          <w:p w14:paraId="300CA4E8">
            <w:pPr>
              <w:jc w:val="center"/>
              <w:rPr>
                <w:rFonts w:hint="eastAsia" w:ascii="宋体" w:hAnsi="宋体" w:eastAsia="宋体" w:cs="宋体"/>
                <w:color w:val="auto"/>
                <w:sz w:val="28"/>
                <w:szCs w:val="28"/>
              </w:rPr>
            </w:pPr>
          </w:p>
        </w:tc>
        <w:tc>
          <w:tcPr>
            <w:tcW w:w="1317" w:type="dxa"/>
            <w:noWrap w:val="0"/>
            <w:vAlign w:val="center"/>
          </w:tcPr>
          <w:p w14:paraId="25B278F2">
            <w:pPr>
              <w:jc w:val="center"/>
              <w:rPr>
                <w:rFonts w:hint="eastAsia" w:ascii="宋体" w:hAnsi="宋体" w:eastAsia="宋体" w:cs="宋体"/>
                <w:bCs/>
                <w:color w:val="auto"/>
                <w:sz w:val="28"/>
                <w:szCs w:val="28"/>
              </w:rPr>
            </w:pPr>
          </w:p>
        </w:tc>
        <w:tc>
          <w:tcPr>
            <w:tcW w:w="1317" w:type="dxa"/>
            <w:noWrap w:val="0"/>
            <w:vAlign w:val="center"/>
          </w:tcPr>
          <w:p w14:paraId="413F8DB6">
            <w:pPr>
              <w:jc w:val="center"/>
              <w:rPr>
                <w:rFonts w:hint="eastAsia" w:ascii="宋体" w:hAnsi="宋体" w:eastAsia="宋体" w:cs="宋体"/>
                <w:color w:val="auto"/>
                <w:sz w:val="28"/>
                <w:szCs w:val="28"/>
              </w:rPr>
            </w:pPr>
          </w:p>
        </w:tc>
        <w:tc>
          <w:tcPr>
            <w:tcW w:w="1318" w:type="dxa"/>
            <w:noWrap w:val="0"/>
            <w:vAlign w:val="center"/>
          </w:tcPr>
          <w:p w14:paraId="3348EEEE">
            <w:pPr>
              <w:jc w:val="center"/>
              <w:rPr>
                <w:rFonts w:hint="eastAsia" w:ascii="宋体" w:hAnsi="宋体" w:eastAsia="宋体" w:cs="宋体"/>
                <w:color w:val="auto"/>
                <w:sz w:val="28"/>
                <w:szCs w:val="28"/>
              </w:rPr>
            </w:pPr>
          </w:p>
        </w:tc>
      </w:tr>
      <w:tr w14:paraId="515E7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3E389A9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777" w:type="dxa"/>
            <w:noWrap w:val="0"/>
            <w:vAlign w:val="center"/>
          </w:tcPr>
          <w:p w14:paraId="13196AED">
            <w:pPr>
              <w:jc w:val="center"/>
              <w:rPr>
                <w:rFonts w:hint="eastAsia" w:ascii="宋体" w:hAnsi="宋体" w:eastAsia="宋体" w:cs="宋体"/>
                <w:color w:val="auto"/>
                <w:sz w:val="28"/>
                <w:szCs w:val="28"/>
              </w:rPr>
            </w:pPr>
          </w:p>
        </w:tc>
        <w:tc>
          <w:tcPr>
            <w:tcW w:w="1317" w:type="dxa"/>
            <w:noWrap w:val="0"/>
            <w:vAlign w:val="center"/>
          </w:tcPr>
          <w:p w14:paraId="34483B3D">
            <w:pPr>
              <w:jc w:val="center"/>
              <w:rPr>
                <w:rFonts w:hint="eastAsia" w:ascii="宋体" w:hAnsi="宋体" w:eastAsia="宋体" w:cs="宋体"/>
                <w:color w:val="auto"/>
                <w:sz w:val="28"/>
                <w:szCs w:val="28"/>
              </w:rPr>
            </w:pPr>
          </w:p>
        </w:tc>
        <w:tc>
          <w:tcPr>
            <w:tcW w:w="1317" w:type="dxa"/>
            <w:noWrap w:val="0"/>
            <w:vAlign w:val="center"/>
          </w:tcPr>
          <w:p w14:paraId="34A93B50">
            <w:pPr>
              <w:jc w:val="center"/>
              <w:rPr>
                <w:rFonts w:hint="eastAsia" w:ascii="宋体" w:hAnsi="宋体" w:eastAsia="宋体" w:cs="宋体"/>
                <w:bCs/>
                <w:color w:val="auto"/>
                <w:sz w:val="28"/>
                <w:szCs w:val="28"/>
              </w:rPr>
            </w:pPr>
          </w:p>
        </w:tc>
        <w:tc>
          <w:tcPr>
            <w:tcW w:w="1317" w:type="dxa"/>
            <w:noWrap w:val="0"/>
            <w:vAlign w:val="center"/>
          </w:tcPr>
          <w:p w14:paraId="41B6437F">
            <w:pPr>
              <w:jc w:val="center"/>
              <w:rPr>
                <w:rFonts w:hint="eastAsia" w:ascii="宋体" w:hAnsi="宋体" w:eastAsia="宋体" w:cs="宋体"/>
                <w:color w:val="auto"/>
                <w:sz w:val="28"/>
                <w:szCs w:val="28"/>
              </w:rPr>
            </w:pPr>
          </w:p>
        </w:tc>
        <w:tc>
          <w:tcPr>
            <w:tcW w:w="1318" w:type="dxa"/>
            <w:noWrap w:val="0"/>
            <w:vAlign w:val="center"/>
          </w:tcPr>
          <w:p w14:paraId="5ECDBAA1">
            <w:pPr>
              <w:jc w:val="center"/>
              <w:rPr>
                <w:rFonts w:hint="eastAsia" w:ascii="宋体" w:hAnsi="宋体" w:eastAsia="宋体" w:cs="宋体"/>
                <w:color w:val="auto"/>
                <w:sz w:val="28"/>
                <w:szCs w:val="28"/>
              </w:rPr>
            </w:pPr>
          </w:p>
        </w:tc>
      </w:tr>
      <w:tr w14:paraId="70C7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13AE095B">
            <w:pPr>
              <w:jc w:val="center"/>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777" w:type="dxa"/>
            <w:noWrap w:val="0"/>
            <w:vAlign w:val="center"/>
          </w:tcPr>
          <w:p w14:paraId="473A2039">
            <w:pPr>
              <w:jc w:val="center"/>
              <w:rPr>
                <w:rFonts w:hint="eastAsia" w:ascii="宋体" w:hAnsi="宋体" w:eastAsia="宋体" w:cs="宋体"/>
                <w:color w:val="auto"/>
                <w:sz w:val="28"/>
                <w:szCs w:val="28"/>
              </w:rPr>
            </w:pPr>
          </w:p>
        </w:tc>
        <w:tc>
          <w:tcPr>
            <w:tcW w:w="1317" w:type="dxa"/>
            <w:noWrap w:val="0"/>
            <w:vAlign w:val="center"/>
          </w:tcPr>
          <w:p w14:paraId="7B18EC5E">
            <w:pPr>
              <w:jc w:val="center"/>
              <w:rPr>
                <w:rFonts w:hint="eastAsia" w:ascii="宋体" w:hAnsi="宋体" w:eastAsia="宋体" w:cs="宋体"/>
                <w:color w:val="auto"/>
                <w:sz w:val="28"/>
                <w:szCs w:val="28"/>
              </w:rPr>
            </w:pPr>
          </w:p>
        </w:tc>
        <w:tc>
          <w:tcPr>
            <w:tcW w:w="1317" w:type="dxa"/>
            <w:noWrap w:val="0"/>
            <w:vAlign w:val="center"/>
          </w:tcPr>
          <w:p w14:paraId="6E53CC8E">
            <w:pPr>
              <w:jc w:val="center"/>
              <w:rPr>
                <w:rFonts w:hint="eastAsia" w:ascii="宋体" w:hAnsi="宋体" w:eastAsia="宋体" w:cs="宋体"/>
                <w:color w:val="auto"/>
                <w:sz w:val="28"/>
                <w:szCs w:val="28"/>
              </w:rPr>
            </w:pPr>
          </w:p>
        </w:tc>
        <w:tc>
          <w:tcPr>
            <w:tcW w:w="1317" w:type="dxa"/>
            <w:noWrap w:val="0"/>
            <w:vAlign w:val="center"/>
          </w:tcPr>
          <w:p w14:paraId="6CEAE444">
            <w:pPr>
              <w:jc w:val="center"/>
              <w:rPr>
                <w:rFonts w:hint="eastAsia" w:ascii="宋体" w:hAnsi="宋体" w:eastAsia="宋体" w:cs="宋体"/>
                <w:color w:val="auto"/>
                <w:sz w:val="28"/>
                <w:szCs w:val="28"/>
              </w:rPr>
            </w:pPr>
          </w:p>
        </w:tc>
        <w:tc>
          <w:tcPr>
            <w:tcW w:w="1318" w:type="dxa"/>
            <w:noWrap w:val="0"/>
            <w:vAlign w:val="center"/>
          </w:tcPr>
          <w:p w14:paraId="797783D2">
            <w:pPr>
              <w:jc w:val="center"/>
              <w:rPr>
                <w:rFonts w:hint="eastAsia" w:ascii="宋体" w:hAnsi="宋体" w:eastAsia="宋体" w:cs="宋体"/>
                <w:color w:val="auto"/>
                <w:sz w:val="28"/>
                <w:szCs w:val="28"/>
              </w:rPr>
            </w:pPr>
          </w:p>
        </w:tc>
      </w:tr>
      <w:tr w14:paraId="233C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3E07F49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2777" w:type="dxa"/>
            <w:noWrap w:val="0"/>
            <w:vAlign w:val="center"/>
          </w:tcPr>
          <w:p w14:paraId="3EF5BE48">
            <w:pPr>
              <w:jc w:val="center"/>
              <w:rPr>
                <w:rFonts w:hint="eastAsia" w:ascii="宋体" w:hAnsi="宋体" w:eastAsia="宋体" w:cs="宋体"/>
                <w:color w:val="auto"/>
                <w:sz w:val="28"/>
                <w:szCs w:val="28"/>
              </w:rPr>
            </w:pPr>
          </w:p>
        </w:tc>
        <w:tc>
          <w:tcPr>
            <w:tcW w:w="1317" w:type="dxa"/>
            <w:noWrap w:val="0"/>
            <w:vAlign w:val="center"/>
          </w:tcPr>
          <w:p w14:paraId="10A9A645">
            <w:pPr>
              <w:jc w:val="center"/>
              <w:rPr>
                <w:rFonts w:hint="eastAsia" w:ascii="宋体" w:hAnsi="宋体" w:eastAsia="宋体" w:cs="宋体"/>
                <w:color w:val="auto"/>
                <w:sz w:val="28"/>
                <w:szCs w:val="28"/>
              </w:rPr>
            </w:pPr>
          </w:p>
        </w:tc>
        <w:tc>
          <w:tcPr>
            <w:tcW w:w="1317" w:type="dxa"/>
            <w:noWrap w:val="0"/>
            <w:vAlign w:val="center"/>
          </w:tcPr>
          <w:p w14:paraId="3381FB9D">
            <w:pPr>
              <w:jc w:val="center"/>
              <w:rPr>
                <w:rFonts w:hint="eastAsia" w:ascii="宋体" w:hAnsi="宋体" w:eastAsia="宋体" w:cs="宋体"/>
                <w:color w:val="auto"/>
                <w:sz w:val="28"/>
                <w:szCs w:val="28"/>
              </w:rPr>
            </w:pPr>
          </w:p>
        </w:tc>
        <w:tc>
          <w:tcPr>
            <w:tcW w:w="1317" w:type="dxa"/>
            <w:noWrap w:val="0"/>
            <w:vAlign w:val="center"/>
          </w:tcPr>
          <w:p w14:paraId="71F9250C">
            <w:pPr>
              <w:jc w:val="center"/>
              <w:rPr>
                <w:rFonts w:hint="eastAsia" w:ascii="宋体" w:hAnsi="宋体" w:eastAsia="宋体" w:cs="宋体"/>
                <w:color w:val="auto"/>
                <w:sz w:val="28"/>
                <w:szCs w:val="28"/>
              </w:rPr>
            </w:pPr>
          </w:p>
        </w:tc>
        <w:tc>
          <w:tcPr>
            <w:tcW w:w="1318" w:type="dxa"/>
            <w:noWrap w:val="0"/>
            <w:vAlign w:val="center"/>
          </w:tcPr>
          <w:p w14:paraId="68717A76">
            <w:pPr>
              <w:jc w:val="center"/>
              <w:rPr>
                <w:rFonts w:hint="eastAsia" w:ascii="宋体" w:hAnsi="宋体" w:eastAsia="宋体" w:cs="宋体"/>
                <w:color w:val="auto"/>
                <w:sz w:val="28"/>
                <w:szCs w:val="28"/>
              </w:rPr>
            </w:pPr>
          </w:p>
        </w:tc>
      </w:tr>
      <w:tr w14:paraId="65A76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4E57E71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w:t>
            </w:r>
          </w:p>
        </w:tc>
        <w:tc>
          <w:tcPr>
            <w:tcW w:w="2777" w:type="dxa"/>
            <w:noWrap w:val="0"/>
            <w:vAlign w:val="center"/>
          </w:tcPr>
          <w:p w14:paraId="0F963527">
            <w:pPr>
              <w:jc w:val="center"/>
              <w:rPr>
                <w:rFonts w:hint="eastAsia" w:ascii="宋体" w:hAnsi="宋体" w:eastAsia="宋体" w:cs="宋体"/>
                <w:color w:val="auto"/>
                <w:sz w:val="28"/>
                <w:szCs w:val="28"/>
              </w:rPr>
            </w:pPr>
          </w:p>
        </w:tc>
        <w:tc>
          <w:tcPr>
            <w:tcW w:w="1317" w:type="dxa"/>
            <w:noWrap w:val="0"/>
            <w:vAlign w:val="center"/>
          </w:tcPr>
          <w:p w14:paraId="7019D100">
            <w:pPr>
              <w:jc w:val="center"/>
              <w:rPr>
                <w:rFonts w:hint="eastAsia" w:ascii="宋体" w:hAnsi="宋体" w:eastAsia="宋体" w:cs="宋体"/>
                <w:color w:val="auto"/>
                <w:sz w:val="28"/>
                <w:szCs w:val="28"/>
              </w:rPr>
            </w:pPr>
          </w:p>
        </w:tc>
        <w:tc>
          <w:tcPr>
            <w:tcW w:w="1317" w:type="dxa"/>
            <w:noWrap w:val="0"/>
            <w:vAlign w:val="center"/>
          </w:tcPr>
          <w:p w14:paraId="663CF29D">
            <w:pPr>
              <w:jc w:val="center"/>
              <w:rPr>
                <w:rFonts w:hint="eastAsia" w:ascii="宋体" w:hAnsi="宋体" w:eastAsia="宋体" w:cs="宋体"/>
                <w:color w:val="auto"/>
                <w:sz w:val="28"/>
                <w:szCs w:val="28"/>
              </w:rPr>
            </w:pPr>
          </w:p>
        </w:tc>
        <w:tc>
          <w:tcPr>
            <w:tcW w:w="1317" w:type="dxa"/>
            <w:noWrap w:val="0"/>
            <w:vAlign w:val="center"/>
          </w:tcPr>
          <w:p w14:paraId="5DC1A452">
            <w:pPr>
              <w:jc w:val="center"/>
              <w:rPr>
                <w:rFonts w:hint="eastAsia" w:ascii="宋体" w:hAnsi="宋体" w:eastAsia="宋体" w:cs="宋体"/>
                <w:color w:val="auto"/>
                <w:sz w:val="28"/>
                <w:szCs w:val="28"/>
              </w:rPr>
            </w:pPr>
          </w:p>
        </w:tc>
        <w:tc>
          <w:tcPr>
            <w:tcW w:w="1318" w:type="dxa"/>
            <w:noWrap w:val="0"/>
            <w:vAlign w:val="center"/>
          </w:tcPr>
          <w:p w14:paraId="0F004872">
            <w:pPr>
              <w:jc w:val="center"/>
              <w:rPr>
                <w:rFonts w:hint="eastAsia" w:ascii="宋体" w:hAnsi="宋体" w:eastAsia="宋体" w:cs="宋体"/>
                <w:color w:val="auto"/>
                <w:sz w:val="28"/>
                <w:szCs w:val="28"/>
              </w:rPr>
            </w:pPr>
          </w:p>
        </w:tc>
      </w:tr>
      <w:tr w14:paraId="42105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957" w:type="dxa"/>
            <w:noWrap w:val="0"/>
            <w:vAlign w:val="center"/>
          </w:tcPr>
          <w:p w14:paraId="6BB4F35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N</w:t>
            </w:r>
          </w:p>
        </w:tc>
        <w:tc>
          <w:tcPr>
            <w:tcW w:w="2777" w:type="dxa"/>
            <w:noWrap w:val="0"/>
            <w:vAlign w:val="center"/>
          </w:tcPr>
          <w:p w14:paraId="627B7BF5">
            <w:pPr>
              <w:jc w:val="center"/>
              <w:rPr>
                <w:rFonts w:hint="eastAsia" w:ascii="宋体" w:hAnsi="宋体" w:eastAsia="宋体" w:cs="宋体"/>
                <w:color w:val="auto"/>
                <w:sz w:val="28"/>
                <w:szCs w:val="28"/>
              </w:rPr>
            </w:pPr>
          </w:p>
        </w:tc>
        <w:tc>
          <w:tcPr>
            <w:tcW w:w="1317" w:type="dxa"/>
            <w:noWrap w:val="0"/>
            <w:vAlign w:val="center"/>
          </w:tcPr>
          <w:p w14:paraId="2B54406E">
            <w:pPr>
              <w:jc w:val="center"/>
              <w:rPr>
                <w:rFonts w:hint="eastAsia" w:ascii="宋体" w:hAnsi="宋体" w:eastAsia="宋体" w:cs="宋体"/>
                <w:color w:val="auto"/>
                <w:sz w:val="28"/>
                <w:szCs w:val="28"/>
              </w:rPr>
            </w:pPr>
          </w:p>
        </w:tc>
        <w:tc>
          <w:tcPr>
            <w:tcW w:w="1317" w:type="dxa"/>
            <w:noWrap w:val="0"/>
            <w:vAlign w:val="center"/>
          </w:tcPr>
          <w:p w14:paraId="4EC7EC40">
            <w:pPr>
              <w:jc w:val="center"/>
              <w:rPr>
                <w:rFonts w:hint="eastAsia" w:ascii="宋体" w:hAnsi="宋体" w:eastAsia="宋体" w:cs="宋体"/>
                <w:color w:val="auto"/>
                <w:sz w:val="28"/>
                <w:szCs w:val="28"/>
              </w:rPr>
            </w:pPr>
          </w:p>
        </w:tc>
        <w:tc>
          <w:tcPr>
            <w:tcW w:w="1317" w:type="dxa"/>
            <w:noWrap w:val="0"/>
            <w:vAlign w:val="center"/>
          </w:tcPr>
          <w:p w14:paraId="4E8C650E">
            <w:pPr>
              <w:jc w:val="center"/>
              <w:rPr>
                <w:rFonts w:hint="eastAsia" w:ascii="宋体" w:hAnsi="宋体" w:eastAsia="宋体" w:cs="宋体"/>
                <w:color w:val="auto"/>
                <w:sz w:val="28"/>
                <w:szCs w:val="28"/>
              </w:rPr>
            </w:pPr>
          </w:p>
        </w:tc>
        <w:tc>
          <w:tcPr>
            <w:tcW w:w="1318" w:type="dxa"/>
            <w:noWrap w:val="0"/>
            <w:vAlign w:val="center"/>
          </w:tcPr>
          <w:p w14:paraId="07C5EB7C">
            <w:pPr>
              <w:jc w:val="center"/>
              <w:rPr>
                <w:rFonts w:hint="eastAsia" w:ascii="宋体" w:hAnsi="宋体" w:eastAsia="宋体" w:cs="宋体"/>
                <w:color w:val="auto"/>
                <w:sz w:val="28"/>
                <w:szCs w:val="28"/>
              </w:rPr>
            </w:pPr>
          </w:p>
        </w:tc>
      </w:tr>
    </w:tbl>
    <w:p w14:paraId="6176D6CC">
      <w:pPr>
        <w:spacing w:line="500" w:lineRule="exact"/>
        <w:rPr>
          <w:rFonts w:hint="eastAsia" w:ascii="宋体" w:hAnsi="宋体" w:eastAsia="宋体" w:cs="宋体"/>
          <w:color w:val="auto"/>
          <w:sz w:val="24"/>
        </w:rPr>
      </w:pPr>
    </w:p>
    <w:p w14:paraId="670D996A">
      <w:pPr>
        <w:spacing w:line="500" w:lineRule="exact"/>
        <w:rPr>
          <w:rFonts w:hint="eastAsia" w:ascii="宋体" w:hAnsi="宋体" w:eastAsia="宋体" w:cs="宋体"/>
          <w:color w:val="auto"/>
          <w:sz w:val="24"/>
        </w:rPr>
      </w:pPr>
    </w:p>
    <w:p w14:paraId="43E2D6B7">
      <w:pPr>
        <w:pStyle w:val="10"/>
        <w:rPr>
          <w:rFonts w:hint="eastAsia" w:ascii="宋体" w:hAnsi="宋体" w:eastAsia="宋体" w:cs="宋体"/>
          <w:color w:val="auto"/>
        </w:rPr>
      </w:pPr>
    </w:p>
    <w:p w14:paraId="184B7BEE">
      <w:pPr>
        <w:spacing w:line="500" w:lineRule="exact"/>
        <w:rPr>
          <w:rFonts w:hint="eastAsia" w:ascii="宋体" w:hAnsi="宋体" w:eastAsia="宋体" w:cs="宋体"/>
          <w:color w:val="auto"/>
          <w:sz w:val="24"/>
        </w:rPr>
      </w:pPr>
      <w:r>
        <w:rPr>
          <w:rFonts w:hint="eastAsia" w:ascii="宋体" w:hAnsi="宋体" w:eastAsia="宋体" w:cs="宋体"/>
          <w:color w:val="auto"/>
          <w:sz w:val="24"/>
        </w:rPr>
        <w:t>注：本表中的“分项报价合计”与“</w:t>
      </w:r>
      <w:r>
        <w:rPr>
          <w:rFonts w:hint="eastAsia" w:hAnsi="宋体" w:cs="宋体"/>
          <w:color w:val="auto"/>
          <w:sz w:val="24"/>
          <w:lang w:val="en-US" w:eastAsia="zh-CN"/>
        </w:rPr>
        <w:t>报价一览</w:t>
      </w:r>
      <w:r>
        <w:rPr>
          <w:rFonts w:hint="eastAsia" w:ascii="宋体" w:hAnsi="宋体" w:eastAsia="宋体" w:cs="宋体"/>
          <w:color w:val="auto"/>
          <w:sz w:val="24"/>
        </w:rPr>
        <w:t>表”中的</w:t>
      </w:r>
      <w:r>
        <w:rPr>
          <w:rFonts w:hint="eastAsia" w:ascii="宋体" w:hAnsi="宋体" w:eastAsia="宋体" w:cs="宋体"/>
          <w:color w:val="auto"/>
          <w:spacing w:val="-6"/>
          <w:sz w:val="24"/>
        </w:rPr>
        <w:t>“</w:t>
      </w:r>
      <w:r>
        <w:rPr>
          <w:rFonts w:hint="eastAsia" w:ascii="宋体" w:hAnsi="宋体" w:eastAsia="宋体" w:cs="宋体"/>
          <w:color w:val="auto"/>
          <w:sz w:val="24"/>
        </w:rPr>
        <w:t>投标总报价</w:t>
      </w:r>
      <w:r>
        <w:rPr>
          <w:rFonts w:hint="eastAsia" w:ascii="宋体" w:hAnsi="宋体" w:eastAsia="宋体" w:cs="宋体"/>
          <w:color w:val="auto"/>
          <w:spacing w:val="-6"/>
          <w:sz w:val="24"/>
        </w:rPr>
        <w:t>”</w:t>
      </w:r>
      <w:r>
        <w:rPr>
          <w:rFonts w:hint="eastAsia" w:ascii="宋体" w:hAnsi="宋体" w:eastAsia="宋体" w:cs="宋体"/>
          <w:color w:val="auto"/>
          <w:sz w:val="24"/>
        </w:rPr>
        <w:t>一致。各子项分别报价。</w:t>
      </w:r>
    </w:p>
    <w:p w14:paraId="3648AC47">
      <w:pPr>
        <w:ind w:right="420"/>
        <w:rPr>
          <w:rFonts w:hint="eastAsia" w:ascii="宋体" w:hAnsi="宋体" w:eastAsia="宋体" w:cs="宋体"/>
          <w:color w:val="auto"/>
          <w:sz w:val="24"/>
        </w:rPr>
      </w:pPr>
    </w:p>
    <w:p w14:paraId="1780CC2B">
      <w:pPr>
        <w:pStyle w:val="15"/>
        <w:rPr>
          <w:rFonts w:hint="eastAsia" w:ascii="宋体" w:hAnsi="宋体" w:eastAsia="宋体" w:cs="宋体"/>
          <w:color w:val="auto"/>
          <w:sz w:val="24"/>
          <w:szCs w:val="24"/>
        </w:rPr>
      </w:pPr>
    </w:p>
    <w:p w14:paraId="28C8888C">
      <w:pPr>
        <w:pStyle w:val="15"/>
        <w:rPr>
          <w:rFonts w:hint="eastAsia" w:ascii="宋体" w:hAnsi="宋体" w:eastAsia="宋体" w:cs="宋体"/>
          <w:color w:val="auto"/>
          <w:sz w:val="24"/>
          <w:szCs w:val="24"/>
        </w:rPr>
      </w:pPr>
    </w:p>
    <w:p w14:paraId="4BA18B9B">
      <w:pPr>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57BB6F3">
      <w:pPr>
        <w:rPr>
          <w:rFonts w:hint="eastAsia" w:ascii="宋体" w:hAnsi="宋体" w:eastAsia="宋体" w:cs="宋体"/>
          <w:color w:val="auto"/>
          <w:sz w:val="24"/>
        </w:rPr>
      </w:pPr>
    </w:p>
    <w:p w14:paraId="7F7D0085">
      <w:pPr>
        <w:rPr>
          <w:rFonts w:hint="eastAsia" w:ascii="宋体" w:hAnsi="宋体" w:eastAsia="宋体" w:cs="宋体"/>
          <w:b/>
          <w:color w:val="auto"/>
          <w:sz w:val="32"/>
          <w:szCs w:val="32"/>
        </w:rPr>
      </w:pPr>
      <w:r>
        <w:rPr>
          <w:rFonts w:hint="eastAsia" w:ascii="宋体" w:hAnsi="宋体" w:eastAsia="宋体" w:cs="宋体"/>
          <w:color w:val="auto"/>
          <w:sz w:val="24"/>
        </w:rPr>
        <w:t>法定代表人或被授权人（签字或盖章）：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6079C2A9">
      <w:pPr>
        <w:pStyle w:val="10"/>
        <w:rPr>
          <w:rFonts w:hint="eastAsia" w:ascii="宋体" w:hAnsi="宋体" w:eastAsia="宋体" w:cs="宋体"/>
          <w:b/>
          <w:color w:val="auto"/>
          <w:sz w:val="32"/>
          <w:szCs w:val="32"/>
        </w:rPr>
      </w:pPr>
    </w:p>
    <w:p w14:paraId="56202A01">
      <w:pPr>
        <w:pStyle w:val="15"/>
        <w:rPr>
          <w:rFonts w:hint="eastAsia" w:ascii="宋体" w:hAnsi="宋体" w:eastAsia="宋体" w:cs="宋体"/>
          <w:color w:val="auto"/>
          <w:sz w:val="24"/>
          <w:szCs w:val="24"/>
        </w:rPr>
      </w:pPr>
    </w:p>
    <w:p w14:paraId="0889EE3D">
      <w:pPr>
        <w:pStyle w:val="15"/>
        <w:rPr>
          <w:rFonts w:hint="eastAsia" w:ascii="宋体" w:hAnsi="宋体" w:eastAsia="宋体" w:cs="宋体"/>
          <w:color w:val="auto"/>
          <w:sz w:val="24"/>
          <w:szCs w:val="24"/>
        </w:rPr>
      </w:pPr>
    </w:p>
    <w:p w14:paraId="6B94E876">
      <w:pPr>
        <w:pStyle w:val="15"/>
        <w:rPr>
          <w:rFonts w:hint="eastAsia" w:ascii="宋体" w:hAnsi="宋体" w:eastAsia="宋体" w:cs="宋体"/>
          <w:color w:val="auto"/>
          <w:sz w:val="24"/>
          <w:szCs w:val="24"/>
        </w:rPr>
      </w:pPr>
    </w:p>
    <w:p w14:paraId="74BE2622">
      <w:pPr>
        <w:pStyle w:val="15"/>
        <w:rPr>
          <w:rFonts w:hint="eastAsia" w:ascii="宋体" w:hAnsi="宋体" w:eastAsia="宋体" w:cs="宋体"/>
          <w:color w:val="auto"/>
          <w:sz w:val="24"/>
          <w:szCs w:val="24"/>
        </w:rPr>
      </w:pPr>
    </w:p>
    <w:p w14:paraId="2FE466DE">
      <w:pPr>
        <w:pStyle w:val="15"/>
        <w:rPr>
          <w:rFonts w:hint="eastAsia" w:ascii="宋体" w:hAnsi="宋体" w:eastAsia="宋体" w:cs="宋体"/>
          <w:color w:val="auto"/>
          <w:sz w:val="24"/>
          <w:szCs w:val="24"/>
        </w:rPr>
      </w:pPr>
    </w:p>
    <w:p w14:paraId="46275975">
      <w:pPr>
        <w:pStyle w:val="15"/>
        <w:rPr>
          <w:rFonts w:hint="eastAsia" w:ascii="宋体" w:hAnsi="宋体" w:eastAsia="宋体" w:cs="宋体"/>
          <w:color w:val="auto"/>
          <w:sz w:val="24"/>
          <w:szCs w:val="24"/>
        </w:rPr>
      </w:pPr>
      <w:r>
        <w:rPr>
          <w:rFonts w:hint="eastAsia" w:ascii="宋体" w:hAnsi="宋体" w:eastAsia="宋体" w:cs="宋体"/>
          <w:color w:val="auto"/>
          <w:sz w:val="24"/>
          <w:szCs w:val="24"/>
        </w:rPr>
        <w:t>附表2</w:t>
      </w:r>
    </w:p>
    <w:p w14:paraId="1B23CA44">
      <w:pPr>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商务条款响应说明</w:t>
      </w:r>
    </w:p>
    <w:p w14:paraId="72EFD9F5">
      <w:pPr>
        <w:kinsoku w:val="0"/>
        <w:spacing w:line="500" w:lineRule="exact"/>
        <w:ind w:left="-581" w:leftChars="-171" w:firstLine="358"/>
        <w:rPr>
          <w:rFonts w:hint="eastAsia" w:ascii="宋体" w:hAnsi="宋体" w:eastAsia="宋体" w:cs="宋体"/>
          <w:b/>
          <w:color w:val="auto"/>
          <w:sz w:val="24"/>
        </w:rPr>
      </w:pPr>
      <w:r>
        <w:rPr>
          <w:rFonts w:hint="eastAsia" w:ascii="宋体" w:hAnsi="宋体" w:eastAsia="宋体" w:cs="宋体"/>
          <w:color w:val="auto"/>
          <w:sz w:val="24"/>
        </w:rPr>
        <w:t>项目名称：                                                 项目编号：</w:t>
      </w:r>
      <w:r>
        <w:rPr>
          <w:rFonts w:hint="eastAsia" w:ascii="宋体" w:hAnsi="宋体" w:eastAsia="宋体" w:cs="宋体"/>
          <w:color w:val="auto"/>
          <w:sz w:val="32"/>
          <w:szCs w:val="32"/>
        </w:rPr>
        <w:t xml:space="preserve">                          </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14B6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FA36E8F">
            <w:pPr>
              <w:spacing w:line="560" w:lineRule="exact"/>
              <w:ind w:right="-272"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3425" w:type="dxa"/>
            <w:vAlign w:val="center"/>
          </w:tcPr>
          <w:p w14:paraId="7C1C84AE">
            <w:pPr>
              <w:spacing w:line="560" w:lineRule="exact"/>
              <w:ind w:right="-272" w:rightChars="-80"/>
              <w:jc w:val="center"/>
              <w:rPr>
                <w:rFonts w:hint="eastAsia" w:ascii="宋体" w:hAnsi="宋体" w:eastAsia="宋体" w:cs="宋体"/>
                <w:color w:val="auto"/>
                <w:sz w:val="24"/>
              </w:rPr>
            </w:pPr>
            <w:r>
              <w:rPr>
                <w:rFonts w:hint="eastAsia" w:ascii="宋体" w:hAnsi="宋体" w:eastAsia="宋体" w:cs="宋体"/>
                <w:color w:val="auto"/>
                <w:sz w:val="24"/>
              </w:rPr>
              <w:t>招标文件要求</w:t>
            </w:r>
          </w:p>
        </w:tc>
        <w:tc>
          <w:tcPr>
            <w:tcW w:w="2992" w:type="dxa"/>
            <w:vAlign w:val="center"/>
          </w:tcPr>
          <w:p w14:paraId="3F50E649">
            <w:pPr>
              <w:spacing w:line="560" w:lineRule="exact"/>
              <w:ind w:right="-272" w:rightChars="-80" w:firstLine="360" w:firstLineChars="150"/>
              <w:rPr>
                <w:rFonts w:hint="eastAsia" w:ascii="宋体" w:hAnsi="宋体" w:eastAsia="宋体" w:cs="宋体"/>
                <w:color w:val="auto"/>
                <w:sz w:val="24"/>
              </w:rPr>
            </w:pPr>
            <w:r>
              <w:rPr>
                <w:rFonts w:hint="eastAsia" w:ascii="宋体" w:hAnsi="宋体" w:eastAsia="宋体" w:cs="宋体"/>
                <w:color w:val="auto"/>
                <w:sz w:val="24"/>
              </w:rPr>
              <w:t>投标文件实际数据</w:t>
            </w:r>
          </w:p>
        </w:tc>
        <w:tc>
          <w:tcPr>
            <w:tcW w:w="1866" w:type="dxa"/>
            <w:vAlign w:val="center"/>
          </w:tcPr>
          <w:p w14:paraId="0741A03D">
            <w:pPr>
              <w:spacing w:line="560" w:lineRule="exact"/>
              <w:ind w:right="-272" w:rightChars="-80" w:firstLine="360" w:firstLineChars="150"/>
              <w:rPr>
                <w:rFonts w:hint="eastAsia" w:ascii="宋体" w:hAnsi="宋体" w:eastAsia="宋体" w:cs="宋体"/>
                <w:color w:val="auto"/>
                <w:sz w:val="24"/>
              </w:rPr>
            </w:pPr>
            <w:r>
              <w:rPr>
                <w:rFonts w:hint="eastAsia" w:ascii="宋体" w:hAnsi="宋体" w:eastAsia="宋体" w:cs="宋体"/>
                <w:color w:val="auto"/>
                <w:sz w:val="24"/>
              </w:rPr>
              <w:t>响应说明</w:t>
            </w:r>
          </w:p>
        </w:tc>
      </w:tr>
      <w:tr w14:paraId="6993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F684EA4">
            <w:pPr>
              <w:spacing w:line="560" w:lineRule="exact"/>
              <w:ind w:right="-272" w:rightChars="-80"/>
              <w:jc w:val="center"/>
              <w:rPr>
                <w:rFonts w:hint="eastAsia" w:ascii="宋体" w:hAnsi="宋体" w:eastAsia="宋体" w:cs="宋体"/>
                <w:color w:val="auto"/>
                <w:sz w:val="24"/>
              </w:rPr>
            </w:pPr>
          </w:p>
        </w:tc>
        <w:tc>
          <w:tcPr>
            <w:tcW w:w="3425" w:type="dxa"/>
            <w:vAlign w:val="center"/>
          </w:tcPr>
          <w:p w14:paraId="0D4DDFEA">
            <w:pPr>
              <w:spacing w:line="560" w:lineRule="exact"/>
              <w:ind w:right="-272" w:rightChars="-80"/>
              <w:jc w:val="center"/>
              <w:rPr>
                <w:rFonts w:hint="eastAsia" w:ascii="宋体" w:hAnsi="宋体" w:eastAsia="宋体" w:cs="宋体"/>
                <w:color w:val="auto"/>
                <w:sz w:val="24"/>
              </w:rPr>
            </w:pPr>
          </w:p>
        </w:tc>
        <w:tc>
          <w:tcPr>
            <w:tcW w:w="2992" w:type="dxa"/>
            <w:vAlign w:val="center"/>
          </w:tcPr>
          <w:p w14:paraId="790F0733">
            <w:pPr>
              <w:spacing w:line="560" w:lineRule="exact"/>
              <w:ind w:right="-272" w:rightChars="-80"/>
              <w:jc w:val="center"/>
              <w:rPr>
                <w:rFonts w:hint="eastAsia" w:ascii="宋体" w:hAnsi="宋体" w:eastAsia="宋体" w:cs="宋体"/>
                <w:color w:val="auto"/>
                <w:sz w:val="24"/>
              </w:rPr>
            </w:pPr>
          </w:p>
        </w:tc>
        <w:tc>
          <w:tcPr>
            <w:tcW w:w="1866" w:type="dxa"/>
            <w:vAlign w:val="center"/>
          </w:tcPr>
          <w:p w14:paraId="71E874B5">
            <w:pPr>
              <w:spacing w:line="560" w:lineRule="exact"/>
              <w:ind w:right="-272" w:rightChars="-80"/>
              <w:jc w:val="center"/>
              <w:rPr>
                <w:rFonts w:hint="eastAsia" w:ascii="宋体" w:hAnsi="宋体" w:eastAsia="宋体" w:cs="宋体"/>
                <w:color w:val="auto"/>
                <w:sz w:val="24"/>
              </w:rPr>
            </w:pPr>
          </w:p>
        </w:tc>
      </w:tr>
      <w:tr w14:paraId="5E98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3A7CA89">
            <w:pPr>
              <w:spacing w:line="560" w:lineRule="exact"/>
              <w:ind w:right="-272" w:rightChars="-80"/>
              <w:jc w:val="center"/>
              <w:rPr>
                <w:rFonts w:hint="eastAsia" w:ascii="宋体" w:hAnsi="宋体" w:eastAsia="宋体" w:cs="宋体"/>
                <w:color w:val="auto"/>
                <w:sz w:val="24"/>
              </w:rPr>
            </w:pPr>
          </w:p>
        </w:tc>
        <w:tc>
          <w:tcPr>
            <w:tcW w:w="3425" w:type="dxa"/>
            <w:vAlign w:val="center"/>
          </w:tcPr>
          <w:p w14:paraId="51CC1750">
            <w:pPr>
              <w:spacing w:line="560" w:lineRule="exact"/>
              <w:ind w:right="-272" w:rightChars="-80"/>
              <w:jc w:val="center"/>
              <w:rPr>
                <w:rFonts w:hint="eastAsia" w:ascii="宋体" w:hAnsi="宋体" w:eastAsia="宋体" w:cs="宋体"/>
                <w:color w:val="auto"/>
                <w:sz w:val="24"/>
              </w:rPr>
            </w:pPr>
          </w:p>
        </w:tc>
        <w:tc>
          <w:tcPr>
            <w:tcW w:w="2992" w:type="dxa"/>
            <w:vAlign w:val="center"/>
          </w:tcPr>
          <w:p w14:paraId="1E66C8DD">
            <w:pPr>
              <w:spacing w:line="560" w:lineRule="exact"/>
              <w:ind w:right="-272" w:rightChars="-80"/>
              <w:jc w:val="center"/>
              <w:rPr>
                <w:rFonts w:hint="eastAsia" w:ascii="宋体" w:hAnsi="宋体" w:eastAsia="宋体" w:cs="宋体"/>
                <w:color w:val="auto"/>
                <w:sz w:val="24"/>
              </w:rPr>
            </w:pPr>
          </w:p>
        </w:tc>
        <w:tc>
          <w:tcPr>
            <w:tcW w:w="1866" w:type="dxa"/>
            <w:vAlign w:val="center"/>
          </w:tcPr>
          <w:p w14:paraId="2F919B23">
            <w:pPr>
              <w:spacing w:line="560" w:lineRule="exact"/>
              <w:ind w:right="-272" w:rightChars="-80"/>
              <w:jc w:val="center"/>
              <w:rPr>
                <w:rFonts w:hint="eastAsia" w:ascii="宋体" w:hAnsi="宋体" w:eastAsia="宋体" w:cs="宋体"/>
                <w:color w:val="auto"/>
                <w:sz w:val="24"/>
              </w:rPr>
            </w:pPr>
          </w:p>
        </w:tc>
      </w:tr>
      <w:tr w14:paraId="12134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1D84A52">
            <w:pPr>
              <w:spacing w:line="560" w:lineRule="exact"/>
              <w:ind w:right="-272" w:rightChars="-80"/>
              <w:jc w:val="center"/>
              <w:rPr>
                <w:rFonts w:hint="eastAsia" w:ascii="宋体" w:hAnsi="宋体" w:eastAsia="宋体" w:cs="宋体"/>
                <w:color w:val="auto"/>
                <w:sz w:val="24"/>
              </w:rPr>
            </w:pPr>
          </w:p>
        </w:tc>
        <w:tc>
          <w:tcPr>
            <w:tcW w:w="3425" w:type="dxa"/>
            <w:vAlign w:val="center"/>
          </w:tcPr>
          <w:p w14:paraId="4569D0C4">
            <w:pPr>
              <w:spacing w:line="560" w:lineRule="exact"/>
              <w:ind w:right="-272" w:rightChars="-80"/>
              <w:jc w:val="center"/>
              <w:rPr>
                <w:rFonts w:hint="eastAsia" w:ascii="宋体" w:hAnsi="宋体" w:eastAsia="宋体" w:cs="宋体"/>
                <w:color w:val="auto"/>
                <w:sz w:val="24"/>
              </w:rPr>
            </w:pPr>
          </w:p>
        </w:tc>
        <w:tc>
          <w:tcPr>
            <w:tcW w:w="2992" w:type="dxa"/>
            <w:vAlign w:val="center"/>
          </w:tcPr>
          <w:p w14:paraId="050C8F8A">
            <w:pPr>
              <w:spacing w:line="560" w:lineRule="exact"/>
              <w:ind w:right="-272" w:rightChars="-80"/>
              <w:jc w:val="center"/>
              <w:rPr>
                <w:rFonts w:hint="eastAsia" w:ascii="宋体" w:hAnsi="宋体" w:eastAsia="宋体" w:cs="宋体"/>
                <w:color w:val="auto"/>
                <w:sz w:val="24"/>
              </w:rPr>
            </w:pPr>
          </w:p>
        </w:tc>
        <w:tc>
          <w:tcPr>
            <w:tcW w:w="1866" w:type="dxa"/>
            <w:vAlign w:val="center"/>
          </w:tcPr>
          <w:p w14:paraId="3816978C">
            <w:pPr>
              <w:spacing w:line="560" w:lineRule="exact"/>
              <w:ind w:right="-272" w:rightChars="-80"/>
              <w:jc w:val="center"/>
              <w:rPr>
                <w:rFonts w:hint="eastAsia" w:ascii="宋体" w:hAnsi="宋体" w:eastAsia="宋体" w:cs="宋体"/>
                <w:color w:val="auto"/>
                <w:sz w:val="24"/>
              </w:rPr>
            </w:pPr>
          </w:p>
        </w:tc>
      </w:tr>
      <w:tr w14:paraId="609C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02ECF69">
            <w:pPr>
              <w:spacing w:line="560" w:lineRule="exact"/>
              <w:ind w:right="-272" w:rightChars="-80"/>
              <w:jc w:val="center"/>
              <w:rPr>
                <w:rFonts w:hint="eastAsia" w:ascii="宋体" w:hAnsi="宋体" w:eastAsia="宋体" w:cs="宋体"/>
                <w:color w:val="auto"/>
                <w:sz w:val="24"/>
              </w:rPr>
            </w:pPr>
          </w:p>
        </w:tc>
        <w:tc>
          <w:tcPr>
            <w:tcW w:w="3425" w:type="dxa"/>
            <w:vAlign w:val="center"/>
          </w:tcPr>
          <w:p w14:paraId="6EEC657C">
            <w:pPr>
              <w:spacing w:line="560" w:lineRule="exact"/>
              <w:ind w:right="-272" w:rightChars="-80"/>
              <w:jc w:val="center"/>
              <w:rPr>
                <w:rFonts w:hint="eastAsia" w:ascii="宋体" w:hAnsi="宋体" w:eastAsia="宋体" w:cs="宋体"/>
                <w:color w:val="auto"/>
                <w:sz w:val="24"/>
              </w:rPr>
            </w:pPr>
          </w:p>
        </w:tc>
        <w:tc>
          <w:tcPr>
            <w:tcW w:w="2992" w:type="dxa"/>
            <w:vAlign w:val="center"/>
          </w:tcPr>
          <w:p w14:paraId="2433DAE1">
            <w:pPr>
              <w:spacing w:line="560" w:lineRule="exact"/>
              <w:ind w:right="-272" w:rightChars="-80"/>
              <w:jc w:val="center"/>
              <w:rPr>
                <w:rFonts w:hint="eastAsia" w:ascii="宋体" w:hAnsi="宋体" w:eastAsia="宋体" w:cs="宋体"/>
                <w:color w:val="auto"/>
                <w:sz w:val="24"/>
              </w:rPr>
            </w:pPr>
          </w:p>
        </w:tc>
        <w:tc>
          <w:tcPr>
            <w:tcW w:w="1866" w:type="dxa"/>
            <w:vAlign w:val="center"/>
          </w:tcPr>
          <w:p w14:paraId="117DFF62">
            <w:pPr>
              <w:spacing w:line="560" w:lineRule="exact"/>
              <w:ind w:right="-272" w:rightChars="-80"/>
              <w:jc w:val="center"/>
              <w:rPr>
                <w:rFonts w:hint="eastAsia" w:ascii="宋体" w:hAnsi="宋体" w:eastAsia="宋体" w:cs="宋体"/>
                <w:color w:val="auto"/>
                <w:sz w:val="24"/>
              </w:rPr>
            </w:pPr>
          </w:p>
        </w:tc>
      </w:tr>
      <w:tr w14:paraId="674BB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A55CF97">
            <w:pPr>
              <w:spacing w:line="560" w:lineRule="exact"/>
              <w:ind w:right="-272" w:rightChars="-80"/>
              <w:jc w:val="center"/>
              <w:rPr>
                <w:rFonts w:hint="eastAsia" w:ascii="宋体" w:hAnsi="宋体" w:eastAsia="宋体" w:cs="宋体"/>
                <w:color w:val="auto"/>
                <w:sz w:val="24"/>
              </w:rPr>
            </w:pPr>
          </w:p>
        </w:tc>
        <w:tc>
          <w:tcPr>
            <w:tcW w:w="3425" w:type="dxa"/>
            <w:vAlign w:val="center"/>
          </w:tcPr>
          <w:p w14:paraId="036CF99C">
            <w:pPr>
              <w:spacing w:line="560" w:lineRule="exact"/>
              <w:ind w:right="-272" w:rightChars="-80"/>
              <w:jc w:val="center"/>
              <w:rPr>
                <w:rFonts w:hint="eastAsia" w:ascii="宋体" w:hAnsi="宋体" w:eastAsia="宋体" w:cs="宋体"/>
                <w:color w:val="auto"/>
                <w:sz w:val="24"/>
              </w:rPr>
            </w:pPr>
          </w:p>
        </w:tc>
        <w:tc>
          <w:tcPr>
            <w:tcW w:w="2992" w:type="dxa"/>
            <w:vAlign w:val="center"/>
          </w:tcPr>
          <w:p w14:paraId="4931F153">
            <w:pPr>
              <w:spacing w:line="560" w:lineRule="exact"/>
              <w:ind w:right="-272" w:rightChars="-80"/>
              <w:jc w:val="center"/>
              <w:rPr>
                <w:rFonts w:hint="eastAsia" w:ascii="宋体" w:hAnsi="宋体" w:eastAsia="宋体" w:cs="宋体"/>
                <w:color w:val="auto"/>
                <w:sz w:val="24"/>
              </w:rPr>
            </w:pPr>
          </w:p>
        </w:tc>
        <w:tc>
          <w:tcPr>
            <w:tcW w:w="1866" w:type="dxa"/>
            <w:vAlign w:val="center"/>
          </w:tcPr>
          <w:p w14:paraId="1DD3282D">
            <w:pPr>
              <w:spacing w:line="560" w:lineRule="exact"/>
              <w:ind w:right="-272" w:rightChars="-80"/>
              <w:jc w:val="center"/>
              <w:rPr>
                <w:rFonts w:hint="eastAsia" w:ascii="宋体" w:hAnsi="宋体" w:eastAsia="宋体" w:cs="宋体"/>
                <w:color w:val="auto"/>
                <w:sz w:val="24"/>
              </w:rPr>
            </w:pPr>
          </w:p>
        </w:tc>
      </w:tr>
      <w:tr w14:paraId="7DC6B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5EACDA8">
            <w:pPr>
              <w:spacing w:line="560" w:lineRule="exact"/>
              <w:ind w:right="-272" w:rightChars="-80"/>
              <w:jc w:val="center"/>
              <w:rPr>
                <w:rFonts w:hint="eastAsia" w:ascii="宋体" w:hAnsi="宋体" w:eastAsia="宋体" w:cs="宋体"/>
                <w:color w:val="auto"/>
                <w:sz w:val="24"/>
              </w:rPr>
            </w:pPr>
          </w:p>
        </w:tc>
        <w:tc>
          <w:tcPr>
            <w:tcW w:w="3425" w:type="dxa"/>
            <w:vAlign w:val="center"/>
          </w:tcPr>
          <w:p w14:paraId="5CBEDBB9">
            <w:pPr>
              <w:spacing w:line="560" w:lineRule="exact"/>
              <w:ind w:right="-272" w:rightChars="-80"/>
              <w:jc w:val="center"/>
              <w:rPr>
                <w:rFonts w:hint="eastAsia" w:ascii="宋体" w:hAnsi="宋体" w:eastAsia="宋体" w:cs="宋体"/>
                <w:color w:val="auto"/>
                <w:sz w:val="24"/>
              </w:rPr>
            </w:pPr>
          </w:p>
        </w:tc>
        <w:tc>
          <w:tcPr>
            <w:tcW w:w="2992" w:type="dxa"/>
            <w:vAlign w:val="center"/>
          </w:tcPr>
          <w:p w14:paraId="7FFFC620">
            <w:pPr>
              <w:spacing w:line="560" w:lineRule="exact"/>
              <w:ind w:right="-272" w:rightChars="-80"/>
              <w:jc w:val="center"/>
              <w:rPr>
                <w:rFonts w:hint="eastAsia" w:ascii="宋体" w:hAnsi="宋体" w:eastAsia="宋体" w:cs="宋体"/>
                <w:color w:val="auto"/>
                <w:sz w:val="24"/>
              </w:rPr>
            </w:pPr>
          </w:p>
        </w:tc>
        <w:tc>
          <w:tcPr>
            <w:tcW w:w="1866" w:type="dxa"/>
            <w:vAlign w:val="center"/>
          </w:tcPr>
          <w:p w14:paraId="2E2B752A">
            <w:pPr>
              <w:spacing w:line="560" w:lineRule="exact"/>
              <w:ind w:right="-272" w:rightChars="-80"/>
              <w:jc w:val="center"/>
              <w:rPr>
                <w:rFonts w:hint="eastAsia" w:ascii="宋体" w:hAnsi="宋体" w:eastAsia="宋体" w:cs="宋体"/>
                <w:color w:val="auto"/>
                <w:sz w:val="24"/>
              </w:rPr>
            </w:pPr>
          </w:p>
        </w:tc>
      </w:tr>
      <w:tr w14:paraId="107B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8EB88AF">
            <w:pPr>
              <w:spacing w:line="560" w:lineRule="exact"/>
              <w:ind w:right="-272" w:rightChars="-80"/>
              <w:jc w:val="center"/>
              <w:rPr>
                <w:rFonts w:hint="eastAsia" w:ascii="宋体" w:hAnsi="宋体" w:eastAsia="宋体" w:cs="宋体"/>
                <w:color w:val="auto"/>
                <w:sz w:val="24"/>
              </w:rPr>
            </w:pPr>
          </w:p>
        </w:tc>
        <w:tc>
          <w:tcPr>
            <w:tcW w:w="3425" w:type="dxa"/>
            <w:vAlign w:val="center"/>
          </w:tcPr>
          <w:p w14:paraId="601B6238">
            <w:pPr>
              <w:spacing w:line="560" w:lineRule="exact"/>
              <w:ind w:right="-272" w:rightChars="-80"/>
              <w:jc w:val="center"/>
              <w:rPr>
                <w:rFonts w:hint="eastAsia" w:ascii="宋体" w:hAnsi="宋体" w:eastAsia="宋体" w:cs="宋体"/>
                <w:color w:val="auto"/>
                <w:sz w:val="24"/>
              </w:rPr>
            </w:pPr>
          </w:p>
        </w:tc>
        <w:tc>
          <w:tcPr>
            <w:tcW w:w="2992" w:type="dxa"/>
            <w:vAlign w:val="center"/>
          </w:tcPr>
          <w:p w14:paraId="2419B68A">
            <w:pPr>
              <w:spacing w:line="560" w:lineRule="exact"/>
              <w:ind w:right="-272" w:rightChars="-80"/>
              <w:jc w:val="center"/>
              <w:rPr>
                <w:rFonts w:hint="eastAsia" w:ascii="宋体" w:hAnsi="宋体" w:eastAsia="宋体" w:cs="宋体"/>
                <w:color w:val="auto"/>
                <w:sz w:val="24"/>
              </w:rPr>
            </w:pPr>
          </w:p>
        </w:tc>
        <w:tc>
          <w:tcPr>
            <w:tcW w:w="1866" w:type="dxa"/>
            <w:vAlign w:val="center"/>
          </w:tcPr>
          <w:p w14:paraId="63882098">
            <w:pPr>
              <w:spacing w:line="560" w:lineRule="exact"/>
              <w:ind w:right="-272" w:rightChars="-80"/>
              <w:jc w:val="center"/>
              <w:rPr>
                <w:rFonts w:hint="eastAsia" w:ascii="宋体" w:hAnsi="宋体" w:eastAsia="宋体" w:cs="宋体"/>
                <w:color w:val="auto"/>
                <w:sz w:val="24"/>
              </w:rPr>
            </w:pPr>
          </w:p>
        </w:tc>
      </w:tr>
      <w:tr w14:paraId="47AFF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0C7976B">
            <w:pPr>
              <w:spacing w:line="560" w:lineRule="exact"/>
              <w:ind w:right="-272" w:rightChars="-80"/>
              <w:jc w:val="center"/>
              <w:rPr>
                <w:rFonts w:hint="eastAsia" w:ascii="宋体" w:hAnsi="宋体" w:eastAsia="宋体" w:cs="宋体"/>
                <w:color w:val="auto"/>
                <w:sz w:val="24"/>
              </w:rPr>
            </w:pPr>
          </w:p>
        </w:tc>
        <w:tc>
          <w:tcPr>
            <w:tcW w:w="3425" w:type="dxa"/>
            <w:vAlign w:val="center"/>
          </w:tcPr>
          <w:p w14:paraId="6C43D22A">
            <w:pPr>
              <w:spacing w:line="560" w:lineRule="exact"/>
              <w:ind w:right="-272" w:rightChars="-80"/>
              <w:jc w:val="center"/>
              <w:rPr>
                <w:rFonts w:hint="eastAsia" w:ascii="宋体" w:hAnsi="宋体" w:eastAsia="宋体" w:cs="宋体"/>
                <w:color w:val="auto"/>
                <w:sz w:val="24"/>
              </w:rPr>
            </w:pPr>
          </w:p>
        </w:tc>
        <w:tc>
          <w:tcPr>
            <w:tcW w:w="2992" w:type="dxa"/>
            <w:vAlign w:val="center"/>
          </w:tcPr>
          <w:p w14:paraId="2F7695EE">
            <w:pPr>
              <w:spacing w:line="560" w:lineRule="exact"/>
              <w:ind w:right="-272" w:rightChars="-80"/>
              <w:jc w:val="center"/>
              <w:rPr>
                <w:rFonts w:hint="eastAsia" w:ascii="宋体" w:hAnsi="宋体" w:eastAsia="宋体" w:cs="宋体"/>
                <w:color w:val="auto"/>
                <w:sz w:val="24"/>
              </w:rPr>
            </w:pPr>
          </w:p>
        </w:tc>
        <w:tc>
          <w:tcPr>
            <w:tcW w:w="1866" w:type="dxa"/>
            <w:vAlign w:val="center"/>
          </w:tcPr>
          <w:p w14:paraId="7F719E52">
            <w:pPr>
              <w:spacing w:line="560" w:lineRule="exact"/>
              <w:ind w:right="-272" w:rightChars="-80"/>
              <w:jc w:val="center"/>
              <w:rPr>
                <w:rFonts w:hint="eastAsia" w:ascii="宋体" w:hAnsi="宋体" w:eastAsia="宋体" w:cs="宋体"/>
                <w:color w:val="auto"/>
                <w:sz w:val="24"/>
              </w:rPr>
            </w:pPr>
          </w:p>
        </w:tc>
      </w:tr>
      <w:tr w14:paraId="3EEF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556998D">
            <w:pPr>
              <w:spacing w:line="560" w:lineRule="exact"/>
              <w:ind w:right="-272" w:rightChars="-80"/>
              <w:jc w:val="center"/>
              <w:rPr>
                <w:rFonts w:hint="eastAsia" w:ascii="宋体" w:hAnsi="宋体" w:eastAsia="宋体" w:cs="宋体"/>
                <w:color w:val="auto"/>
                <w:sz w:val="24"/>
              </w:rPr>
            </w:pPr>
          </w:p>
        </w:tc>
        <w:tc>
          <w:tcPr>
            <w:tcW w:w="3425" w:type="dxa"/>
            <w:vAlign w:val="center"/>
          </w:tcPr>
          <w:p w14:paraId="06C17E4D">
            <w:pPr>
              <w:spacing w:line="560" w:lineRule="exact"/>
              <w:ind w:right="-272" w:rightChars="-80"/>
              <w:jc w:val="center"/>
              <w:rPr>
                <w:rFonts w:hint="eastAsia" w:ascii="宋体" w:hAnsi="宋体" w:eastAsia="宋体" w:cs="宋体"/>
                <w:color w:val="auto"/>
                <w:sz w:val="24"/>
              </w:rPr>
            </w:pPr>
          </w:p>
        </w:tc>
        <w:tc>
          <w:tcPr>
            <w:tcW w:w="2992" w:type="dxa"/>
            <w:vAlign w:val="center"/>
          </w:tcPr>
          <w:p w14:paraId="4D4F62BB">
            <w:pPr>
              <w:spacing w:line="560" w:lineRule="exact"/>
              <w:ind w:right="-272" w:rightChars="-80"/>
              <w:jc w:val="center"/>
              <w:rPr>
                <w:rFonts w:hint="eastAsia" w:ascii="宋体" w:hAnsi="宋体" w:eastAsia="宋体" w:cs="宋体"/>
                <w:color w:val="auto"/>
                <w:sz w:val="24"/>
              </w:rPr>
            </w:pPr>
          </w:p>
        </w:tc>
        <w:tc>
          <w:tcPr>
            <w:tcW w:w="1866" w:type="dxa"/>
            <w:vAlign w:val="center"/>
          </w:tcPr>
          <w:p w14:paraId="57ACD333">
            <w:pPr>
              <w:spacing w:line="560" w:lineRule="exact"/>
              <w:ind w:right="-272" w:rightChars="-80"/>
              <w:jc w:val="center"/>
              <w:rPr>
                <w:rFonts w:hint="eastAsia" w:ascii="宋体" w:hAnsi="宋体" w:eastAsia="宋体" w:cs="宋体"/>
                <w:color w:val="auto"/>
                <w:sz w:val="24"/>
              </w:rPr>
            </w:pPr>
          </w:p>
        </w:tc>
      </w:tr>
      <w:tr w14:paraId="13DA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33DB80B">
            <w:pPr>
              <w:spacing w:line="560" w:lineRule="exact"/>
              <w:ind w:right="-272" w:rightChars="-80"/>
              <w:jc w:val="center"/>
              <w:rPr>
                <w:rFonts w:hint="eastAsia" w:ascii="宋体" w:hAnsi="宋体" w:eastAsia="宋体" w:cs="宋体"/>
                <w:color w:val="auto"/>
                <w:sz w:val="24"/>
              </w:rPr>
            </w:pPr>
          </w:p>
        </w:tc>
        <w:tc>
          <w:tcPr>
            <w:tcW w:w="3425" w:type="dxa"/>
            <w:vAlign w:val="center"/>
          </w:tcPr>
          <w:p w14:paraId="06A221C8">
            <w:pPr>
              <w:spacing w:line="560" w:lineRule="exact"/>
              <w:ind w:right="-272" w:rightChars="-80"/>
              <w:jc w:val="center"/>
              <w:rPr>
                <w:rFonts w:hint="eastAsia" w:ascii="宋体" w:hAnsi="宋体" w:eastAsia="宋体" w:cs="宋体"/>
                <w:color w:val="auto"/>
                <w:sz w:val="24"/>
              </w:rPr>
            </w:pPr>
          </w:p>
        </w:tc>
        <w:tc>
          <w:tcPr>
            <w:tcW w:w="2992" w:type="dxa"/>
            <w:vAlign w:val="center"/>
          </w:tcPr>
          <w:p w14:paraId="0BE4859F">
            <w:pPr>
              <w:spacing w:line="560" w:lineRule="exact"/>
              <w:ind w:right="-272" w:rightChars="-80"/>
              <w:jc w:val="center"/>
              <w:rPr>
                <w:rFonts w:hint="eastAsia" w:ascii="宋体" w:hAnsi="宋体" w:eastAsia="宋体" w:cs="宋体"/>
                <w:color w:val="auto"/>
                <w:sz w:val="24"/>
              </w:rPr>
            </w:pPr>
          </w:p>
        </w:tc>
        <w:tc>
          <w:tcPr>
            <w:tcW w:w="1866" w:type="dxa"/>
            <w:vAlign w:val="center"/>
          </w:tcPr>
          <w:p w14:paraId="4A3052B9">
            <w:pPr>
              <w:spacing w:line="560" w:lineRule="exact"/>
              <w:ind w:right="-272" w:rightChars="-80"/>
              <w:jc w:val="center"/>
              <w:rPr>
                <w:rFonts w:hint="eastAsia" w:ascii="宋体" w:hAnsi="宋体" w:eastAsia="宋体" w:cs="宋体"/>
                <w:color w:val="auto"/>
                <w:sz w:val="24"/>
              </w:rPr>
            </w:pPr>
          </w:p>
        </w:tc>
      </w:tr>
      <w:tr w14:paraId="3D466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C2915D3">
            <w:pPr>
              <w:spacing w:line="560" w:lineRule="exact"/>
              <w:ind w:right="-272" w:rightChars="-80"/>
              <w:jc w:val="center"/>
              <w:rPr>
                <w:rFonts w:hint="eastAsia" w:ascii="宋体" w:hAnsi="宋体" w:eastAsia="宋体" w:cs="宋体"/>
                <w:color w:val="auto"/>
                <w:sz w:val="24"/>
              </w:rPr>
            </w:pPr>
          </w:p>
        </w:tc>
        <w:tc>
          <w:tcPr>
            <w:tcW w:w="3425" w:type="dxa"/>
            <w:vAlign w:val="center"/>
          </w:tcPr>
          <w:p w14:paraId="5B96AD1E">
            <w:pPr>
              <w:spacing w:line="560" w:lineRule="exact"/>
              <w:ind w:right="-272" w:rightChars="-80"/>
              <w:jc w:val="center"/>
              <w:rPr>
                <w:rFonts w:hint="eastAsia" w:ascii="宋体" w:hAnsi="宋体" w:eastAsia="宋体" w:cs="宋体"/>
                <w:color w:val="auto"/>
                <w:sz w:val="24"/>
              </w:rPr>
            </w:pPr>
          </w:p>
        </w:tc>
        <w:tc>
          <w:tcPr>
            <w:tcW w:w="2992" w:type="dxa"/>
            <w:vAlign w:val="center"/>
          </w:tcPr>
          <w:p w14:paraId="06F56034">
            <w:pPr>
              <w:spacing w:line="560" w:lineRule="exact"/>
              <w:ind w:right="-272" w:rightChars="-80"/>
              <w:jc w:val="center"/>
              <w:rPr>
                <w:rFonts w:hint="eastAsia" w:ascii="宋体" w:hAnsi="宋体" w:eastAsia="宋体" w:cs="宋体"/>
                <w:color w:val="auto"/>
                <w:sz w:val="24"/>
              </w:rPr>
            </w:pPr>
          </w:p>
        </w:tc>
        <w:tc>
          <w:tcPr>
            <w:tcW w:w="1866" w:type="dxa"/>
            <w:vAlign w:val="center"/>
          </w:tcPr>
          <w:p w14:paraId="40D143C2">
            <w:pPr>
              <w:spacing w:line="560" w:lineRule="exact"/>
              <w:ind w:right="-272" w:rightChars="-80"/>
              <w:jc w:val="center"/>
              <w:rPr>
                <w:rFonts w:hint="eastAsia" w:ascii="宋体" w:hAnsi="宋体" w:eastAsia="宋体" w:cs="宋体"/>
                <w:color w:val="auto"/>
                <w:sz w:val="24"/>
              </w:rPr>
            </w:pPr>
          </w:p>
        </w:tc>
      </w:tr>
    </w:tbl>
    <w:p w14:paraId="6161C0C1">
      <w:pPr>
        <w:autoSpaceDE w:val="0"/>
        <w:autoSpaceDN w:val="0"/>
        <w:spacing w:line="360" w:lineRule="auto"/>
        <w:rPr>
          <w:rFonts w:hint="eastAsia" w:ascii="宋体" w:hAnsi="宋体" w:eastAsia="宋体" w:cs="宋体"/>
          <w:color w:val="auto"/>
          <w:sz w:val="24"/>
        </w:rPr>
      </w:pPr>
      <w:r>
        <w:rPr>
          <w:rFonts w:hint="eastAsia" w:ascii="宋体" w:hAnsi="宋体" w:eastAsia="宋体" w:cs="宋体"/>
          <w:color w:val="auto"/>
          <w:sz w:val="24"/>
        </w:rPr>
        <w:t>说明：</w:t>
      </w:r>
    </w:p>
    <w:p w14:paraId="4D60D2DB">
      <w:pPr>
        <w:autoSpaceDE w:val="0"/>
        <w:autoSpaceDN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1、按照招标文件中第三章“拟签订合同主要条款”商务条款须如实填写。</w:t>
      </w:r>
    </w:p>
    <w:p w14:paraId="30FCCE87">
      <w:pPr>
        <w:autoSpaceDE w:val="0"/>
        <w:autoSpaceDN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2、响应说明填写：优于、相同、低于。</w:t>
      </w:r>
    </w:p>
    <w:p w14:paraId="1CD4C770">
      <w:pPr>
        <w:pStyle w:val="15"/>
        <w:rPr>
          <w:rFonts w:hint="eastAsia" w:ascii="宋体" w:hAnsi="宋体" w:eastAsia="宋体" w:cs="宋体"/>
          <w:color w:val="auto"/>
          <w:sz w:val="24"/>
        </w:rPr>
      </w:pPr>
    </w:p>
    <w:p w14:paraId="18B3021A">
      <w:pPr>
        <w:pStyle w:val="15"/>
        <w:rPr>
          <w:rFonts w:hint="eastAsia" w:ascii="宋体" w:hAnsi="宋体" w:eastAsia="宋体" w:cs="宋体"/>
          <w:color w:val="auto"/>
          <w:sz w:val="24"/>
          <w:szCs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25F59CA6">
      <w:pPr>
        <w:pStyle w:val="15"/>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0DD09CB6">
      <w:pPr>
        <w:pStyle w:val="15"/>
        <w:rPr>
          <w:rFonts w:hint="eastAsia" w:ascii="宋体" w:hAnsi="宋体" w:eastAsia="宋体" w:cs="宋体"/>
          <w:color w:val="auto"/>
          <w:sz w:val="24"/>
          <w:szCs w:val="24"/>
        </w:rPr>
      </w:pPr>
    </w:p>
    <w:p w14:paraId="6A6C5C54">
      <w:pPr>
        <w:pStyle w:val="15"/>
        <w:rPr>
          <w:rFonts w:hint="eastAsia" w:ascii="宋体" w:hAnsi="宋体" w:eastAsia="宋体" w:cs="宋体"/>
          <w:color w:val="auto"/>
          <w:sz w:val="24"/>
          <w:szCs w:val="24"/>
        </w:rPr>
      </w:pPr>
      <w:r>
        <w:rPr>
          <w:rFonts w:hint="eastAsia" w:ascii="宋体" w:hAnsi="宋体" w:eastAsia="宋体" w:cs="宋体"/>
          <w:color w:val="auto"/>
          <w:sz w:val="24"/>
        </w:rPr>
        <w:t xml:space="preserve">法定代表人或被授权人（签字或盖章）：  </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741456FE">
      <w:pPr>
        <w:pStyle w:val="15"/>
        <w:rPr>
          <w:rFonts w:hint="eastAsia" w:ascii="宋体" w:hAnsi="宋体" w:eastAsia="宋体" w:cs="宋体"/>
          <w:color w:val="auto"/>
          <w:sz w:val="24"/>
          <w:szCs w:val="24"/>
        </w:rPr>
      </w:pPr>
    </w:p>
    <w:p w14:paraId="3BEFEFC7">
      <w:pPr>
        <w:pStyle w:val="15"/>
        <w:rPr>
          <w:rFonts w:hint="eastAsia" w:ascii="宋体" w:hAnsi="宋体" w:eastAsia="宋体" w:cs="宋体"/>
          <w:color w:val="auto"/>
          <w:sz w:val="24"/>
          <w:szCs w:val="24"/>
        </w:rPr>
      </w:pPr>
    </w:p>
    <w:p w14:paraId="6DB643EC">
      <w:pPr>
        <w:pStyle w:val="15"/>
        <w:rPr>
          <w:rFonts w:hint="eastAsia" w:ascii="宋体" w:hAnsi="宋体" w:eastAsia="宋体" w:cs="宋体"/>
          <w:color w:val="auto"/>
          <w:sz w:val="24"/>
          <w:szCs w:val="24"/>
        </w:rPr>
      </w:pPr>
    </w:p>
    <w:p w14:paraId="0FF840F0">
      <w:pPr>
        <w:pStyle w:val="15"/>
        <w:rPr>
          <w:rFonts w:hint="eastAsia" w:ascii="宋体" w:hAnsi="宋体" w:eastAsia="宋体" w:cs="宋体"/>
          <w:color w:val="auto"/>
          <w:sz w:val="24"/>
          <w:szCs w:val="24"/>
        </w:rPr>
      </w:pPr>
    </w:p>
    <w:p w14:paraId="6C76863C">
      <w:pPr>
        <w:pStyle w:val="15"/>
        <w:rPr>
          <w:rFonts w:hint="eastAsia" w:ascii="宋体" w:hAnsi="宋体" w:eastAsia="宋体" w:cs="宋体"/>
          <w:color w:val="auto"/>
          <w:sz w:val="24"/>
          <w:szCs w:val="24"/>
        </w:rPr>
      </w:pPr>
    </w:p>
    <w:p w14:paraId="6E8083EE">
      <w:pPr>
        <w:pStyle w:val="15"/>
        <w:rPr>
          <w:rFonts w:hint="eastAsia" w:ascii="宋体" w:hAnsi="宋体" w:eastAsia="宋体" w:cs="宋体"/>
          <w:color w:val="auto"/>
          <w:sz w:val="24"/>
          <w:szCs w:val="24"/>
        </w:rPr>
      </w:pPr>
    </w:p>
    <w:p w14:paraId="1CAA51F0">
      <w:pPr>
        <w:pStyle w:val="15"/>
        <w:rPr>
          <w:rFonts w:hint="eastAsia" w:ascii="宋体" w:hAnsi="宋体" w:eastAsia="宋体" w:cs="宋体"/>
          <w:color w:val="auto"/>
          <w:sz w:val="24"/>
          <w:szCs w:val="24"/>
        </w:rPr>
      </w:pPr>
    </w:p>
    <w:p w14:paraId="2D324355">
      <w:pPr>
        <w:pStyle w:val="15"/>
        <w:rPr>
          <w:rFonts w:hint="eastAsia" w:ascii="宋体" w:hAnsi="宋体" w:eastAsia="宋体" w:cs="宋体"/>
          <w:color w:val="auto"/>
          <w:sz w:val="24"/>
          <w:szCs w:val="24"/>
        </w:rPr>
      </w:pPr>
    </w:p>
    <w:p w14:paraId="511EA561">
      <w:pPr>
        <w:pStyle w:val="15"/>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附表</w:t>
      </w:r>
      <w:r>
        <w:rPr>
          <w:rFonts w:hint="eastAsia" w:ascii="宋体" w:hAnsi="宋体" w:eastAsia="宋体" w:cs="宋体"/>
          <w:color w:val="auto"/>
          <w:sz w:val="24"/>
          <w:szCs w:val="24"/>
          <w:lang w:val="en-US" w:eastAsia="zh-CN"/>
        </w:rPr>
        <w:t>3</w:t>
      </w:r>
    </w:p>
    <w:p w14:paraId="628857E7">
      <w:pPr>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技术条款</w:t>
      </w:r>
      <w:r>
        <w:rPr>
          <w:rFonts w:hint="eastAsia" w:ascii="宋体" w:hAnsi="宋体" w:eastAsia="宋体" w:cs="宋体"/>
          <w:b/>
          <w:bCs/>
          <w:color w:val="auto"/>
          <w:sz w:val="32"/>
          <w:szCs w:val="32"/>
        </w:rPr>
        <w:t>响应说明</w:t>
      </w:r>
    </w:p>
    <w:p w14:paraId="2D627B3D">
      <w:pPr>
        <w:kinsoku w:val="0"/>
        <w:spacing w:line="500" w:lineRule="exact"/>
        <w:ind w:left="-581" w:leftChars="-171" w:firstLine="358"/>
        <w:rPr>
          <w:rFonts w:hint="eastAsia" w:ascii="宋体" w:hAnsi="宋体" w:eastAsia="宋体" w:cs="宋体"/>
          <w:b/>
          <w:color w:val="auto"/>
          <w:sz w:val="24"/>
        </w:rPr>
      </w:pPr>
      <w:r>
        <w:rPr>
          <w:rFonts w:hint="eastAsia" w:ascii="宋体" w:hAnsi="宋体" w:eastAsia="宋体" w:cs="宋体"/>
          <w:color w:val="auto"/>
          <w:sz w:val="24"/>
        </w:rPr>
        <w:t>项目名称：                                                 项目编号：</w:t>
      </w:r>
      <w:r>
        <w:rPr>
          <w:rFonts w:hint="eastAsia" w:ascii="宋体" w:hAnsi="宋体" w:eastAsia="宋体" w:cs="宋体"/>
          <w:color w:val="auto"/>
          <w:sz w:val="32"/>
          <w:szCs w:val="32"/>
        </w:rPr>
        <w:t xml:space="preserve">                          </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667DD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A0B5391">
            <w:pPr>
              <w:spacing w:line="560" w:lineRule="exact"/>
              <w:ind w:right="-272"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3425" w:type="dxa"/>
            <w:vAlign w:val="center"/>
          </w:tcPr>
          <w:p w14:paraId="423AF10C">
            <w:pPr>
              <w:spacing w:line="560" w:lineRule="exact"/>
              <w:ind w:right="-272" w:rightChars="-80"/>
              <w:jc w:val="center"/>
              <w:rPr>
                <w:rFonts w:hint="eastAsia" w:ascii="宋体" w:hAnsi="宋体" w:eastAsia="宋体" w:cs="宋体"/>
                <w:color w:val="auto"/>
                <w:sz w:val="24"/>
              </w:rPr>
            </w:pPr>
            <w:r>
              <w:rPr>
                <w:rFonts w:hint="eastAsia" w:ascii="宋体" w:hAnsi="宋体" w:eastAsia="宋体" w:cs="宋体"/>
                <w:color w:val="auto"/>
                <w:sz w:val="24"/>
              </w:rPr>
              <w:t>招标文件要求</w:t>
            </w:r>
          </w:p>
        </w:tc>
        <w:tc>
          <w:tcPr>
            <w:tcW w:w="2992" w:type="dxa"/>
            <w:vAlign w:val="center"/>
          </w:tcPr>
          <w:p w14:paraId="20418CC2">
            <w:pPr>
              <w:spacing w:line="560" w:lineRule="exact"/>
              <w:ind w:right="-272" w:rightChars="-80" w:firstLine="360" w:firstLineChars="150"/>
              <w:rPr>
                <w:rFonts w:hint="eastAsia" w:ascii="宋体" w:hAnsi="宋体" w:eastAsia="宋体" w:cs="宋体"/>
                <w:color w:val="auto"/>
                <w:sz w:val="24"/>
              </w:rPr>
            </w:pPr>
            <w:r>
              <w:rPr>
                <w:rFonts w:hint="eastAsia" w:ascii="宋体" w:hAnsi="宋体" w:eastAsia="宋体" w:cs="宋体"/>
                <w:color w:val="auto"/>
                <w:sz w:val="24"/>
              </w:rPr>
              <w:t>投标文件实际数据</w:t>
            </w:r>
          </w:p>
        </w:tc>
        <w:tc>
          <w:tcPr>
            <w:tcW w:w="1866" w:type="dxa"/>
            <w:vAlign w:val="center"/>
          </w:tcPr>
          <w:p w14:paraId="1CD463E7">
            <w:pPr>
              <w:spacing w:line="560" w:lineRule="exact"/>
              <w:ind w:right="-272" w:rightChars="-80" w:firstLine="360" w:firstLineChars="150"/>
              <w:rPr>
                <w:rFonts w:hint="eastAsia" w:ascii="宋体" w:hAnsi="宋体" w:eastAsia="宋体" w:cs="宋体"/>
                <w:color w:val="auto"/>
                <w:sz w:val="24"/>
              </w:rPr>
            </w:pPr>
            <w:r>
              <w:rPr>
                <w:rFonts w:hint="eastAsia" w:ascii="宋体" w:hAnsi="宋体" w:eastAsia="宋体" w:cs="宋体"/>
                <w:color w:val="auto"/>
                <w:sz w:val="24"/>
              </w:rPr>
              <w:t>响应说明</w:t>
            </w:r>
          </w:p>
        </w:tc>
      </w:tr>
      <w:tr w14:paraId="2632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3C1E250">
            <w:pPr>
              <w:spacing w:line="560" w:lineRule="exact"/>
              <w:ind w:right="-272" w:rightChars="-80"/>
              <w:jc w:val="center"/>
              <w:rPr>
                <w:rFonts w:hint="eastAsia" w:ascii="宋体" w:hAnsi="宋体" w:eastAsia="宋体" w:cs="宋体"/>
                <w:color w:val="auto"/>
                <w:sz w:val="24"/>
              </w:rPr>
            </w:pPr>
          </w:p>
        </w:tc>
        <w:tc>
          <w:tcPr>
            <w:tcW w:w="3425" w:type="dxa"/>
            <w:vAlign w:val="center"/>
          </w:tcPr>
          <w:p w14:paraId="4E6F93F8">
            <w:pPr>
              <w:spacing w:line="560" w:lineRule="exact"/>
              <w:ind w:right="-272" w:rightChars="-80"/>
              <w:jc w:val="center"/>
              <w:rPr>
                <w:rFonts w:hint="eastAsia" w:ascii="宋体" w:hAnsi="宋体" w:eastAsia="宋体" w:cs="宋体"/>
                <w:color w:val="auto"/>
                <w:sz w:val="24"/>
              </w:rPr>
            </w:pPr>
          </w:p>
        </w:tc>
        <w:tc>
          <w:tcPr>
            <w:tcW w:w="2992" w:type="dxa"/>
            <w:vAlign w:val="center"/>
          </w:tcPr>
          <w:p w14:paraId="483D477E">
            <w:pPr>
              <w:spacing w:line="560" w:lineRule="exact"/>
              <w:ind w:right="-272" w:rightChars="-80"/>
              <w:jc w:val="center"/>
              <w:rPr>
                <w:rFonts w:hint="eastAsia" w:ascii="宋体" w:hAnsi="宋体" w:eastAsia="宋体" w:cs="宋体"/>
                <w:color w:val="auto"/>
                <w:sz w:val="24"/>
              </w:rPr>
            </w:pPr>
          </w:p>
        </w:tc>
        <w:tc>
          <w:tcPr>
            <w:tcW w:w="1866" w:type="dxa"/>
            <w:vAlign w:val="center"/>
          </w:tcPr>
          <w:p w14:paraId="24A20DFA">
            <w:pPr>
              <w:spacing w:line="560" w:lineRule="exact"/>
              <w:ind w:right="-272" w:rightChars="-80"/>
              <w:jc w:val="center"/>
              <w:rPr>
                <w:rFonts w:hint="eastAsia" w:ascii="宋体" w:hAnsi="宋体" w:eastAsia="宋体" w:cs="宋体"/>
                <w:color w:val="auto"/>
                <w:sz w:val="24"/>
              </w:rPr>
            </w:pPr>
          </w:p>
        </w:tc>
      </w:tr>
      <w:tr w14:paraId="2368F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D3E91A8">
            <w:pPr>
              <w:spacing w:line="560" w:lineRule="exact"/>
              <w:ind w:right="-272" w:rightChars="-80"/>
              <w:jc w:val="center"/>
              <w:rPr>
                <w:rFonts w:hint="eastAsia" w:ascii="宋体" w:hAnsi="宋体" w:eastAsia="宋体" w:cs="宋体"/>
                <w:color w:val="auto"/>
                <w:sz w:val="24"/>
              </w:rPr>
            </w:pPr>
          </w:p>
        </w:tc>
        <w:tc>
          <w:tcPr>
            <w:tcW w:w="3425" w:type="dxa"/>
            <w:vAlign w:val="center"/>
          </w:tcPr>
          <w:p w14:paraId="498AAA42">
            <w:pPr>
              <w:spacing w:line="560" w:lineRule="exact"/>
              <w:ind w:right="-272" w:rightChars="-80"/>
              <w:jc w:val="center"/>
              <w:rPr>
                <w:rFonts w:hint="eastAsia" w:ascii="宋体" w:hAnsi="宋体" w:eastAsia="宋体" w:cs="宋体"/>
                <w:color w:val="auto"/>
                <w:sz w:val="24"/>
              </w:rPr>
            </w:pPr>
          </w:p>
        </w:tc>
        <w:tc>
          <w:tcPr>
            <w:tcW w:w="2992" w:type="dxa"/>
            <w:vAlign w:val="center"/>
          </w:tcPr>
          <w:p w14:paraId="4258457A">
            <w:pPr>
              <w:spacing w:line="560" w:lineRule="exact"/>
              <w:ind w:right="-272" w:rightChars="-80"/>
              <w:jc w:val="center"/>
              <w:rPr>
                <w:rFonts w:hint="eastAsia" w:ascii="宋体" w:hAnsi="宋体" w:eastAsia="宋体" w:cs="宋体"/>
                <w:color w:val="auto"/>
                <w:sz w:val="24"/>
              </w:rPr>
            </w:pPr>
          </w:p>
        </w:tc>
        <w:tc>
          <w:tcPr>
            <w:tcW w:w="1866" w:type="dxa"/>
            <w:vAlign w:val="center"/>
          </w:tcPr>
          <w:p w14:paraId="586CBC02">
            <w:pPr>
              <w:spacing w:line="560" w:lineRule="exact"/>
              <w:ind w:right="-272" w:rightChars="-80"/>
              <w:jc w:val="center"/>
              <w:rPr>
                <w:rFonts w:hint="eastAsia" w:ascii="宋体" w:hAnsi="宋体" w:eastAsia="宋体" w:cs="宋体"/>
                <w:color w:val="auto"/>
                <w:sz w:val="24"/>
              </w:rPr>
            </w:pPr>
          </w:p>
        </w:tc>
      </w:tr>
      <w:tr w14:paraId="62AA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3E00978">
            <w:pPr>
              <w:spacing w:line="560" w:lineRule="exact"/>
              <w:ind w:right="-272" w:rightChars="-80"/>
              <w:jc w:val="center"/>
              <w:rPr>
                <w:rFonts w:hint="eastAsia" w:ascii="宋体" w:hAnsi="宋体" w:eastAsia="宋体" w:cs="宋体"/>
                <w:color w:val="auto"/>
                <w:sz w:val="24"/>
              </w:rPr>
            </w:pPr>
          </w:p>
        </w:tc>
        <w:tc>
          <w:tcPr>
            <w:tcW w:w="3425" w:type="dxa"/>
            <w:vAlign w:val="center"/>
          </w:tcPr>
          <w:p w14:paraId="5640EEB6">
            <w:pPr>
              <w:spacing w:line="560" w:lineRule="exact"/>
              <w:ind w:right="-272" w:rightChars="-80"/>
              <w:jc w:val="center"/>
              <w:rPr>
                <w:rFonts w:hint="eastAsia" w:ascii="宋体" w:hAnsi="宋体" w:eastAsia="宋体" w:cs="宋体"/>
                <w:color w:val="auto"/>
                <w:sz w:val="24"/>
              </w:rPr>
            </w:pPr>
          </w:p>
        </w:tc>
        <w:tc>
          <w:tcPr>
            <w:tcW w:w="2992" w:type="dxa"/>
            <w:vAlign w:val="center"/>
          </w:tcPr>
          <w:p w14:paraId="6BCD8BE8">
            <w:pPr>
              <w:spacing w:line="560" w:lineRule="exact"/>
              <w:ind w:right="-272" w:rightChars="-80"/>
              <w:jc w:val="center"/>
              <w:rPr>
                <w:rFonts w:hint="eastAsia" w:ascii="宋体" w:hAnsi="宋体" w:eastAsia="宋体" w:cs="宋体"/>
                <w:color w:val="auto"/>
                <w:sz w:val="24"/>
              </w:rPr>
            </w:pPr>
          </w:p>
        </w:tc>
        <w:tc>
          <w:tcPr>
            <w:tcW w:w="1866" w:type="dxa"/>
            <w:vAlign w:val="center"/>
          </w:tcPr>
          <w:p w14:paraId="6EA90540">
            <w:pPr>
              <w:spacing w:line="560" w:lineRule="exact"/>
              <w:ind w:right="-272" w:rightChars="-80"/>
              <w:jc w:val="center"/>
              <w:rPr>
                <w:rFonts w:hint="eastAsia" w:ascii="宋体" w:hAnsi="宋体" w:eastAsia="宋体" w:cs="宋体"/>
                <w:color w:val="auto"/>
                <w:sz w:val="24"/>
              </w:rPr>
            </w:pPr>
          </w:p>
        </w:tc>
      </w:tr>
      <w:tr w14:paraId="27506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DAABFF7">
            <w:pPr>
              <w:spacing w:line="560" w:lineRule="exact"/>
              <w:ind w:right="-272" w:rightChars="-80"/>
              <w:jc w:val="center"/>
              <w:rPr>
                <w:rFonts w:hint="eastAsia" w:ascii="宋体" w:hAnsi="宋体" w:eastAsia="宋体" w:cs="宋体"/>
                <w:color w:val="auto"/>
                <w:sz w:val="24"/>
              </w:rPr>
            </w:pPr>
          </w:p>
        </w:tc>
        <w:tc>
          <w:tcPr>
            <w:tcW w:w="3425" w:type="dxa"/>
            <w:vAlign w:val="center"/>
          </w:tcPr>
          <w:p w14:paraId="1F1D443C">
            <w:pPr>
              <w:spacing w:line="560" w:lineRule="exact"/>
              <w:ind w:right="-272" w:rightChars="-80"/>
              <w:jc w:val="center"/>
              <w:rPr>
                <w:rFonts w:hint="eastAsia" w:ascii="宋体" w:hAnsi="宋体" w:eastAsia="宋体" w:cs="宋体"/>
                <w:color w:val="auto"/>
                <w:sz w:val="24"/>
              </w:rPr>
            </w:pPr>
          </w:p>
        </w:tc>
        <w:tc>
          <w:tcPr>
            <w:tcW w:w="2992" w:type="dxa"/>
            <w:vAlign w:val="center"/>
          </w:tcPr>
          <w:p w14:paraId="4F1146B2">
            <w:pPr>
              <w:spacing w:line="560" w:lineRule="exact"/>
              <w:ind w:right="-272" w:rightChars="-80"/>
              <w:jc w:val="center"/>
              <w:rPr>
                <w:rFonts w:hint="eastAsia" w:ascii="宋体" w:hAnsi="宋体" w:eastAsia="宋体" w:cs="宋体"/>
                <w:color w:val="auto"/>
                <w:sz w:val="24"/>
              </w:rPr>
            </w:pPr>
          </w:p>
        </w:tc>
        <w:tc>
          <w:tcPr>
            <w:tcW w:w="1866" w:type="dxa"/>
            <w:vAlign w:val="center"/>
          </w:tcPr>
          <w:p w14:paraId="53E7BDF9">
            <w:pPr>
              <w:spacing w:line="560" w:lineRule="exact"/>
              <w:ind w:right="-272" w:rightChars="-80"/>
              <w:jc w:val="center"/>
              <w:rPr>
                <w:rFonts w:hint="eastAsia" w:ascii="宋体" w:hAnsi="宋体" w:eastAsia="宋体" w:cs="宋体"/>
                <w:color w:val="auto"/>
                <w:sz w:val="24"/>
              </w:rPr>
            </w:pPr>
          </w:p>
        </w:tc>
      </w:tr>
      <w:tr w14:paraId="4829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0195E85">
            <w:pPr>
              <w:spacing w:line="560" w:lineRule="exact"/>
              <w:ind w:right="-272" w:rightChars="-80"/>
              <w:jc w:val="center"/>
              <w:rPr>
                <w:rFonts w:hint="eastAsia" w:ascii="宋体" w:hAnsi="宋体" w:eastAsia="宋体" w:cs="宋体"/>
                <w:color w:val="auto"/>
                <w:sz w:val="24"/>
              </w:rPr>
            </w:pPr>
          </w:p>
        </w:tc>
        <w:tc>
          <w:tcPr>
            <w:tcW w:w="3425" w:type="dxa"/>
            <w:vAlign w:val="center"/>
          </w:tcPr>
          <w:p w14:paraId="1E83084F">
            <w:pPr>
              <w:spacing w:line="560" w:lineRule="exact"/>
              <w:ind w:right="-272" w:rightChars="-80"/>
              <w:jc w:val="center"/>
              <w:rPr>
                <w:rFonts w:hint="eastAsia" w:ascii="宋体" w:hAnsi="宋体" w:eastAsia="宋体" w:cs="宋体"/>
                <w:color w:val="auto"/>
                <w:sz w:val="24"/>
              </w:rPr>
            </w:pPr>
          </w:p>
        </w:tc>
        <w:tc>
          <w:tcPr>
            <w:tcW w:w="2992" w:type="dxa"/>
            <w:vAlign w:val="center"/>
          </w:tcPr>
          <w:p w14:paraId="526B852D">
            <w:pPr>
              <w:spacing w:line="560" w:lineRule="exact"/>
              <w:ind w:right="-272" w:rightChars="-80"/>
              <w:jc w:val="center"/>
              <w:rPr>
                <w:rFonts w:hint="eastAsia" w:ascii="宋体" w:hAnsi="宋体" w:eastAsia="宋体" w:cs="宋体"/>
                <w:color w:val="auto"/>
                <w:sz w:val="24"/>
              </w:rPr>
            </w:pPr>
          </w:p>
        </w:tc>
        <w:tc>
          <w:tcPr>
            <w:tcW w:w="1866" w:type="dxa"/>
            <w:vAlign w:val="center"/>
          </w:tcPr>
          <w:p w14:paraId="26CBDD6C">
            <w:pPr>
              <w:spacing w:line="560" w:lineRule="exact"/>
              <w:ind w:right="-272" w:rightChars="-80"/>
              <w:jc w:val="center"/>
              <w:rPr>
                <w:rFonts w:hint="eastAsia" w:ascii="宋体" w:hAnsi="宋体" w:eastAsia="宋体" w:cs="宋体"/>
                <w:color w:val="auto"/>
                <w:sz w:val="24"/>
              </w:rPr>
            </w:pPr>
          </w:p>
        </w:tc>
      </w:tr>
      <w:tr w14:paraId="1CD1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ACA25E2">
            <w:pPr>
              <w:spacing w:line="560" w:lineRule="exact"/>
              <w:ind w:right="-272" w:rightChars="-80"/>
              <w:jc w:val="center"/>
              <w:rPr>
                <w:rFonts w:hint="eastAsia" w:ascii="宋体" w:hAnsi="宋体" w:eastAsia="宋体" w:cs="宋体"/>
                <w:color w:val="auto"/>
                <w:sz w:val="24"/>
              </w:rPr>
            </w:pPr>
          </w:p>
        </w:tc>
        <w:tc>
          <w:tcPr>
            <w:tcW w:w="3425" w:type="dxa"/>
            <w:vAlign w:val="center"/>
          </w:tcPr>
          <w:p w14:paraId="15D8673C">
            <w:pPr>
              <w:spacing w:line="560" w:lineRule="exact"/>
              <w:ind w:right="-272" w:rightChars="-80"/>
              <w:jc w:val="center"/>
              <w:rPr>
                <w:rFonts w:hint="eastAsia" w:ascii="宋体" w:hAnsi="宋体" w:eastAsia="宋体" w:cs="宋体"/>
                <w:color w:val="auto"/>
                <w:sz w:val="24"/>
              </w:rPr>
            </w:pPr>
          </w:p>
        </w:tc>
        <w:tc>
          <w:tcPr>
            <w:tcW w:w="2992" w:type="dxa"/>
            <w:vAlign w:val="center"/>
          </w:tcPr>
          <w:p w14:paraId="794B0545">
            <w:pPr>
              <w:spacing w:line="560" w:lineRule="exact"/>
              <w:ind w:right="-272" w:rightChars="-80"/>
              <w:jc w:val="center"/>
              <w:rPr>
                <w:rFonts w:hint="eastAsia" w:ascii="宋体" w:hAnsi="宋体" w:eastAsia="宋体" w:cs="宋体"/>
                <w:color w:val="auto"/>
                <w:sz w:val="24"/>
              </w:rPr>
            </w:pPr>
          </w:p>
        </w:tc>
        <w:tc>
          <w:tcPr>
            <w:tcW w:w="1866" w:type="dxa"/>
            <w:vAlign w:val="center"/>
          </w:tcPr>
          <w:p w14:paraId="53D62D88">
            <w:pPr>
              <w:spacing w:line="560" w:lineRule="exact"/>
              <w:ind w:right="-272" w:rightChars="-80"/>
              <w:jc w:val="center"/>
              <w:rPr>
                <w:rFonts w:hint="eastAsia" w:ascii="宋体" w:hAnsi="宋体" w:eastAsia="宋体" w:cs="宋体"/>
                <w:color w:val="auto"/>
                <w:sz w:val="24"/>
              </w:rPr>
            </w:pPr>
          </w:p>
        </w:tc>
      </w:tr>
      <w:tr w14:paraId="7787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CC784A9">
            <w:pPr>
              <w:spacing w:line="560" w:lineRule="exact"/>
              <w:ind w:right="-272" w:rightChars="-80"/>
              <w:jc w:val="center"/>
              <w:rPr>
                <w:rFonts w:hint="eastAsia" w:ascii="宋体" w:hAnsi="宋体" w:eastAsia="宋体" w:cs="宋体"/>
                <w:color w:val="auto"/>
                <w:sz w:val="24"/>
              </w:rPr>
            </w:pPr>
          </w:p>
        </w:tc>
        <w:tc>
          <w:tcPr>
            <w:tcW w:w="3425" w:type="dxa"/>
            <w:vAlign w:val="center"/>
          </w:tcPr>
          <w:p w14:paraId="6B05605C">
            <w:pPr>
              <w:spacing w:line="560" w:lineRule="exact"/>
              <w:ind w:right="-272" w:rightChars="-80"/>
              <w:jc w:val="center"/>
              <w:rPr>
                <w:rFonts w:hint="eastAsia" w:ascii="宋体" w:hAnsi="宋体" w:eastAsia="宋体" w:cs="宋体"/>
                <w:color w:val="auto"/>
                <w:sz w:val="24"/>
              </w:rPr>
            </w:pPr>
          </w:p>
        </w:tc>
        <w:tc>
          <w:tcPr>
            <w:tcW w:w="2992" w:type="dxa"/>
            <w:vAlign w:val="center"/>
          </w:tcPr>
          <w:p w14:paraId="57FC6978">
            <w:pPr>
              <w:spacing w:line="560" w:lineRule="exact"/>
              <w:ind w:right="-272" w:rightChars="-80"/>
              <w:jc w:val="center"/>
              <w:rPr>
                <w:rFonts w:hint="eastAsia" w:ascii="宋体" w:hAnsi="宋体" w:eastAsia="宋体" w:cs="宋体"/>
                <w:color w:val="auto"/>
                <w:sz w:val="24"/>
              </w:rPr>
            </w:pPr>
          </w:p>
        </w:tc>
        <w:tc>
          <w:tcPr>
            <w:tcW w:w="1866" w:type="dxa"/>
            <w:vAlign w:val="center"/>
          </w:tcPr>
          <w:p w14:paraId="3AE17B90">
            <w:pPr>
              <w:spacing w:line="560" w:lineRule="exact"/>
              <w:ind w:right="-272" w:rightChars="-80"/>
              <w:jc w:val="center"/>
              <w:rPr>
                <w:rFonts w:hint="eastAsia" w:ascii="宋体" w:hAnsi="宋体" w:eastAsia="宋体" w:cs="宋体"/>
                <w:color w:val="auto"/>
                <w:sz w:val="24"/>
              </w:rPr>
            </w:pPr>
          </w:p>
        </w:tc>
      </w:tr>
      <w:tr w14:paraId="64B3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63F173A">
            <w:pPr>
              <w:spacing w:line="560" w:lineRule="exact"/>
              <w:ind w:right="-272" w:rightChars="-80"/>
              <w:jc w:val="center"/>
              <w:rPr>
                <w:rFonts w:hint="eastAsia" w:ascii="宋体" w:hAnsi="宋体" w:eastAsia="宋体" w:cs="宋体"/>
                <w:color w:val="auto"/>
                <w:sz w:val="24"/>
              </w:rPr>
            </w:pPr>
          </w:p>
        </w:tc>
        <w:tc>
          <w:tcPr>
            <w:tcW w:w="3425" w:type="dxa"/>
            <w:vAlign w:val="center"/>
          </w:tcPr>
          <w:p w14:paraId="07274142">
            <w:pPr>
              <w:spacing w:line="560" w:lineRule="exact"/>
              <w:ind w:right="-272" w:rightChars="-80"/>
              <w:jc w:val="center"/>
              <w:rPr>
                <w:rFonts w:hint="eastAsia" w:ascii="宋体" w:hAnsi="宋体" w:eastAsia="宋体" w:cs="宋体"/>
                <w:color w:val="auto"/>
                <w:sz w:val="24"/>
              </w:rPr>
            </w:pPr>
          </w:p>
        </w:tc>
        <w:tc>
          <w:tcPr>
            <w:tcW w:w="2992" w:type="dxa"/>
            <w:vAlign w:val="center"/>
          </w:tcPr>
          <w:p w14:paraId="288FCD19">
            <w:pPr>
              <w:spacing w:line="560" w:lineRule="exact"/>
              <w:ind w:right="-272" w:rightChars="-80"/>
              <w:jc w:val="center"/>
              <w:rPr>
                <w:rFonts w:hint="eastAsia" w:ascii="宋体" w:hAnsi="宋体" w:eastAsia="宋体" w:cs="宋体"/>
                <w:color w:val="auto"/>
                <w:sz w:val="24"/>
              </w:rPr>
            </w:pPr>
          </w:p>
        </w:tc>
        <w:tc>
          <w:tcPr>
            <w:tcW w:w="1866" w:type="dxa"/>
            <w:vAlign w:val="center"/>
          </w:tcPr>
          <w:p w14:paraId="1FB05BC7">
            <w:pPr>
              <w:spacing w:line="560" w:lineRule="exact"/>
              <w:ind w:right="-272" w:rightChars="-80"/>
              <w:jc w:val="center"/>
              <w:rPr>
                <w:rFonts w:hint="eastAsia" w:ascii="宋体" w:hAnsi="宋体" w:eastAsia="宋体" w:cs="宋体"/>
                <w:color w:val="auto"/>
                <w:sz w:val="24"/>
              </w:rPr>
            </w:pPr>
          </w:p>
        </w:tc>
      </w:tr>
      <w:tr w14:paraId="2944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E47D8C6">
            <w:pPr>
              <w:spacing w:line="560" w:lineRule="exact"/>
              <w:ind w:right="-272" w:rightChars="-80"/>
              <w:jc w:val="center"/>
              <w:rPr>
                <w:rFonts w:hint="eastAsia" w:ascii="宋体" w:hAnsi="宋体" w:eastAsia="宋体" w:cs="宋体"/>
                <w:color w:val="auto"/>
                <w:sz w:val="24"/>
              </w:rPr>
            </w:pPr>
          </w:p>
        </w:tc>
        <w:tc>
          <w:tcPr>
            <w:tcW w:w="3425" w:type="dxa"/>
            <w:vAlign w:val="center"/>
          </w:tcPr>
          <w:p w14:paraId="0723D96D">
            <w:pPr>
              <w:spacing w:line="560" w:lineRule="exact"/>
              <w:ind w:right="-272" w:rightChars="-80"/>
              <w:jc w:val="center"/>
              <w:rPr>
                <w:rFonts w:hint="eastAsia" w:ascii="宋体" w:hAnsi="宋体" w:eastAsia="宋体" w:cs="宋体"/>
                <w:color w:val="auto"/>
                <w:sz w:val="24"/>
              </w:rPr>
            </w:pPr>
          </w:p>
        </w:tc>
        <w:tc>
          <w:tcPr>
            <w:tcW w:w="2992" w:type="dxa"/>
            <w:vAlign w:val="center"/>
          </w:tcPr>
          <w:p w14:paraId="4767A055">
            <w:pPr>
              <w:spacing w:line="560" w:lineRule="exact"/>
              <w:ind w:right="-272" w:rightChars="-80"/>
              <w:jc w:val="center"/>
              <w:rPr>
                <w:rFonts w:hint="eastAsia" w:ascii="宋体" w:hAnsi="宋体" w:eastAsia="宋体" w:cs="宋体"/>
                <w:color w:val="auto"/>
                <w:sz w:val="24"/>
              </w:rPr>
            </w:pPr>
          </w:p>
        </w:tc>
        <w:tc>
          <w:tcPr>
            <w:tcW w:w="1866" w:type="dxa"/>
            <w:vAlign w:val="center"/>
          </w:tcPr>
          <w:p w14:paraId="46DEF638">
            <w:pPr>
              <w:spacing w:line="560" w:lineRule="exact"/>
              <w:ind w:right="-272" w:rightChars="-80"/>
              <w:jc w:val="center"/>
              <w:rPr>
                <w:rFonts w:hint="eastAsia" w:ascii="宋体" w:hAnsi="宋体" w:eastAsia="宋体" w:cs="宋体"/>
                <w:color w:val="auto"/>
                <w:sz w:val="24"/>
              </w:rPr>
            </w:pPr>
          </w:p>
        </w:tc>
      </w:tr>
      <w:tr w14:paraId="2432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A2F64BA">
            <w:pPr>
              <w:spacing w:line="560" w:lineRule="exact"/>
              <w:ind w:right="-272" w:rightChars="-80"/>
              <w:jc w:val="center"/>
              <w:rPr>
                <w:rFonts w:hint="eastAsia" w:ascii="宋体" w:hAnsi="宋体" w:eastAsia="宋体" w:cs="宋体"/>
                <w:color w:val="auto"/>
                <w:sz w:val="24"/>
              </w:rPr>
            </w:pPr>
          </w:p>
        </w:tc>
        <w:tc>
          <w:tcPr>
            <w:tcW w:w="3425" w:type="dxa"/>
            <w:vAlign w:val="center"/>
          </w:tcPr>
          <w:p w14:paraId="5539BDF8">
            <w:pPr>
              <w:spacing w:line="560" w:lineRule="exact"/>
              <w:ind w:right="-272" w:rightChars="-80"/>
              <w:jc w:val="center"/>
              <w:rPr>
                <w:rFonts w:hint="eastAsia" w:ascii="宋体" w:hAnsi="宋体" w:eastAsia="宋体" w:cs="宋体"/>
                <w:color w:val="auto"/>
                <w:sz w:val="24"/>
              </w:rPr>
            </w:pPr>
          </w:p>
        </w:tc>
        <w:tc>
          <w:tcPr>
            <w:tcW w:w="2992" w:type="dxa"/>
            <w:vAlign w:val="center"/>
          </w:tcPr>
          <w:p w14:paraId="1F2447A7">
            <w:pPr>
              <w:spacing w:line="560" w:lineRule="exact"/>
              <w:ind w:right="-272" w:rightChars="-80"/>
              <w:jc w:val="center"/>
              <w:rPr>
                <w:rFonts w:hint="eastAsia" w:ascii="宋体" w:hAnsi="宋体" w:eastAsia="宋体" w:cs="宋体"/>
                <w:color w:val="auto"/>
                <w:sz w:val="24"/>
              </w:rPr>
            </w:pPr>
          </w:p>
        </w:tc>
        <w:tc>
          <w:tcPr>
            <w:tcW w:w="1866" w:type="dxa"/>
            <w:vAlign w:val="center"/>
          </w:tcPr>
          <w:p w14:paraId="10EC343F">
            <w:pPr>
              <w:spacing w:line="560" w:lineRule="exact"/>
              <w:ind w:right="-272" w:rightChars="-80"/>
              <w:jc w:val="center"/>
              <w:rPr>
                <w:rFonts w:hint="eastAsia" w:ascii="宋体" w:hAnsi="宋体" w:eastAsia="宋体" w:cs="宋体"/>
                <w:color w:val="auto"/>
                <w:sz w:val="24"/>
              </w:rPr>
            </w:pPr>
          </w:p>
        </w:tc>
      </w:tr>
      <w:tr w14:paraId="5197F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6343BE8">
            <w:pPr>
              <w:spacing w:line="560" w:lineRule="exact"/>
              <w:ind w:right="-272" w:rightChars="-80"/>
              <w:jc w:val="center"/>
              <w:rPr>
                <w:rFonts w:hint="eastAsia" w:ascii="宋体" w:hAnsi="宋体" w:eastAsia="宋体" w:cs="宋体"/>
                <w:color w:val="auto"/>
                <w:sz w:val="24"/>
              </w:rPr>
            </w:pPr>
          </w:p>
        </w:tc>
        <w:tc>
          <w:tcPr>
            <w:tcW w:w="3425" w:type="dxa"/>
            <w:vAlign w:val="center"/>
          </w:tcPr>
          <w:p w14:paraId="49A98BB6">
            <w:pPr>
              <w:spacing w:line="560" w:lineRule="exact"/>
              <w:ind w:right="-272" w:rightChars="-80"/>
              <w:jc w:val="center"/>
              <w:rPr>
                <w:rFonts w:hint="eastAsia" w:ascii="宋体" w:hAnsi="宋体" w:eastAsia="宋体" w:cs="宋体"/>
                <w:color w:val="auto"/>
                <w:sz w:val="24"/>
              </w:rPr>
            </w:pPr>
          </w:p>
        </w:tc>
        <w:tc>
          <w:tcPr>
            <w:tcW w:w="2992" w:type="dxa"/>
            <w:vAlign w:val="center"/>
          </w:tcPr>
          <w:p w14:paraId="5350AB1B">
            <w:pPr>
              <w:spacing w:line="560" w:lineRule="exact"/>
              <w:ind w:right="-272" w:rightChars="-80"/>
              <w:jc w:val="center"/>
              <w:rPr>
                <w:rFonts w:hint="eastAsia" w:ascii="宋体" w:hAnsi="宋体" w:eastAsia="宋体" w:cs="宋体"/>
                <w:color w:val="auto"/>
                <w:sz w:val="24"/>
              </w:rPr>
            </w:pPr>
          </w:p>
        </w:tc>
        <w:tc>
          <w:tcPr>
            <w:tcW w:w="1866" w:type="dxa"/>
            <w:vAlign w:val="center"/>
          </w:tcPr>
          <w:p w14:paraId="469DE108">
            <w:pPr>
              <w:spacing w:line="560" w:lineRule="exact"/>
              <w:ind w:right="-272" w:rightChars="-80"/>
              <w:jc w:val="center"/>
              <w:rPr>
                <w:rFonts w:hint="eastAsia" w:ascii="宋体" w:hAnsi="宋体" w:eastAsia="宋体" w:cs="宋体"/>
                <w:color w:val="auto"/>
                <w:sz w:val="24"/>
              </w:rPr>
            </w:pPr>
          </w:p>
        </w:tc>
      </w:tr>
    </w:tbl>
    <w:p w14:paraId="6AB72AD0">
      <w:pPr>
        <w:autoSpaceDE w:val="0"/>
        <w:autoSpaceDN w:val="0"/>
        <w:spacing w:line="360" w:lineRule="auto"/>
        <w:rPr>
          <w:rFonts w:hint="eastAsia" w:ascii="宋体" w:hAnsi="宋体" w:eastAsia="宋体" w:cs="宋体"/>
          <w:color w:val="auto"/>
          <w:sz w:val="24"/>
        </w:rPr>
      </w:pPr>
      <w:r>
        <w:rPr>
          <w:rFonts w:hint="eastAsia" w:ascii="宋体" w:hAnsi="宋体" w:eastAsia="宋体" w:cs="宋体"/>
          <w:color w:val="auto"/>
          <w:sz w:val="24"/>
        </w:rPr>
        <w:t>说明：</w:t>
      </w:r>
    </w:p>
    <w:p w14:paraId="04C61FEF">
      <w:pPr>
        <w:autoSpaceDE w:val="0"/>
        <w:autoSpaceDN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1、按照招标文件中</w:t>
      </w:r>
      <w:r>
        <w:rPr>
          <w:rFonts w:hint="eastAsia" w:hAnsi="宋体" w:cs="宋体"/>
          <w:color w:val="auto"/>
          <w:sz w:val="24"/>
          <w:lang w:eastAsia="zh-CN"/>
        </w:rPr>
        <w:t>“第四章</w:t>
      </w:r>
      <w:r>
        <w:rPr>
          <w:rFonts w:hint="eastAsia" w:hAnsi="宋体" w:cs="宋体"/>
          <w:color w:val="auto"/>
          <w:sz w:val="24"/>
          <w:lang w:val="en-US" w:eastAsia="zh-CN"/>
        </w:rPr>
        <w:t xml:space="preserve"> 第二项技术要求</w:t>
      </w:r>
      <w:r>
        <w:rPr>
          <w:rFonts w:hint="eastAsia" w:hAnsi="宋体" w:cs="宋体"/>
          <w:color w:val="auto"/>
          <w:sz w:val="24"/>
          <w:lang w:eastAsia="zh-CN"/>
        </w:rPr>
        <w:t>”</w:t>
      </w:r>
      <w:r>
        <w:rPr>
          <w:rFonts w:hint="eastAsia" w:hAnsi="宋体" w:cs="宋体"/>
          <w:color w:val="auto"/>
          <w:sz w:val="24"/>
          <w:lang w:val="en-US" w:eastAsia="zh-CN"/>
        </w:rPr>
        <w:t>技术</w:t>
      </w:r>
      <w:r>
        <w:rPr>
          <w:rFonts w:hint="eastAsia" w:ascii="宋体" w:hAnsi="宋体" w:eastAsia="宋体" w:cs="宋体"/>
          <w:color w:val="auto"/>
          <w:sz w:val="24"/>
        </w:rPr>
        <w:t>条款须如实填写。</w:t>
      </w:r>
    </w:p>
    <w:p w14:paraId="351638E9">
      <w:pPr>
        <w:autoSpaceDE w:val="0"/>
        <w:autoSpaceDN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2、响应说明填写：优于、相同、低于。</w:t>
      </w:r>
    </w:p>
    <w:p w14:paraId="57D01CDE">
      <w:pPr>
        <w:autoSpaceDE w:val="0"/>
        <w:autoSpaceDN w:val="0"/>
        <w:spacing w:line="360" w:lineRule="auto"/>
        <w:ind w:firstLine="480" w:firstLineChars="200"/>
        <w:rPr>
          <w:rFonts w:hint="default" w:ascii="宋体" w:hAnsi="宋体" w:eastAsia="宋体" w:cs="宋体"/>
          <w:color w:val="auto"/>
          <w:sz w:val="24"/>
          <w:lang w:val="en-US" w:eastAsia="zh-CN"/>
        </w:rPr>
      </w:pPr>
      <w:r>
        <w:rPr>
          <w:rFonts w:hint="eastAsia" w:hAnsi="宋体" w:cs="宋体"/>
          <w:color w:val="auto"/>
          <w:sz w:val="24"/>
          <w:lang w:val="en-US" w:eastAsia="zh-CN"/>
        </w:rPr>
        <w:t>3、后附技术要求条款中括号内要求提供相关指标项的证明材料或功能截图。</w:t>
      </w:r>
    </w:p>
    <w:p w14:paraId="13F70E18">
      <w:pPr>
        <w:pStyle w:val="15"/>
        <w:rPr>
          <w:rFonts w:hint="eastAsia" w:ascii="宋体" w:hAnsi="宋体" w:eastAsia="宋体" w:cs="宋体"/>
          <w:color w:val="auto"/>
          <w:sz w:val="24"/>
        </w:rPr>
      </w:pPr>
    </w:p>
    <w:p w14:paraId="08460FFA">
      <w:pPr>
        <w:pStyle w:val="15"/>
        <w:rPr>
          <w:rFonts w:hint="eastAsia" w:ascii="宋体" w:hAnsi="宋体" w:eastAsia="宋体" w:cs="宋体"/>
          <w:color w:val="auto"/>
          <w:sz w:val="24"/>
          <w:szCs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1E2D7233">
      <w:pPr>
        <w:pStyle w:val="15"/>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497E0D1">
      <w:pPr>
        <w:pStyle w:val="15"/>
        <w:rPr>
          <w:rFonts w:hint="eastAsia" w:ascii="宋体" w:hAnsi="宋体" w:eastAsia="宋体" w:cs="宋体"/>
          <w:color w:val="auto"/>
          <w:sz w:val="24"/>
          <w:szCs w:val="24"/>
        </w:rPr>
      </w:pPr>
    </w:p>
    <w:p w14:paraId="7E08FF41">
      <w:pPr>
        <w:pStyle w:val="15"/>
        <w:rPr>
          <w:rFonts w:hint="eastAsia" w:ascii="宋体" w:hAnsi="宋体" w:eastAsia="宋体" w:cs="宋体"/>
          <w:color w:val="auto"/>
          <w:sz w:val="24"/>
          <w:szCs w:val="24"/>
        </w:rPr>
      </w:pPr>
      <w:r>
        <w:rPr>
          <w:rFonts w:hint="eastAsia" w:ascii="宋体" w:hAnsi="宋体" w:eastAsia="宋体" w:cs="宋体"/>
          <w:color w:val="auto"/>
          <w:sz w:val="24"/>
        </w:rPr>
        <w:t xml:space="preserve">法定代表人或被授权人（签字或盖章）：  </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7B3B41F2">
      <w:pPr>
        <w:pStyle w:val="15"/>
        <w:rPr>
          <w:rFonts w:hint="eastAsia" w:ascii="宋体" w:hAnsi="宋体" w:eastAsia="宋体" w:cs="宋体"/>
          <w:color w:val="auto"/>
          <w:sz w:val="24"/>
          <w:szCs w:val="24"/>
        </w:rPr>
      </w:pPr>
    </w:p>
    <w:p w14:paraId="354AC9A4">
      <w:pPr>
        <w:pStyle w:val="15"/>
        <w:rPr>
          <w:rFonts w:hint="eastAsia" w:ascii="宋体" w:hAnsi="宋体" w:eastAsia="宋体" w:cs="宋体"/>
          <w:color w:val="auto"/>
        </w:rPr>
      </w:pPr>
    </w:p>
    <w:p w14:paraId="7740D532">
      <w:pPr>
        <w:pStyle w:val="15"/>
        <w:rPr>
          <w:rFonts w:hint="eastAsia" w:ascii="宋体" w:hAnsi="宋体" w:eastAsia="宋体" w:cs="宋体"/>
          <w:color w:val="auto"/>
        </w:rPr>
      </w:pPr>
    </w:p>
    <w:p w14:paraId="31A93802">
      <w:pPr>
        <w:pStyle w:val="15"/>
        <w:rPr>
          <w:rFonts w:hint="eastAsia" w:ascii="宋体" w:hAnsi="宋体" w:eastAsia="宋体" w:cs="宋体"/>
          <w:color w:val="auto"/>
        </w:rPr>
      </w:pPr>
    </w:p>
    <w:p w14:paraId="070DFA70">
      <w:pPr>
        <w:pStyle w:val="15"/>
        <w:rPr>
          <w:rFonts w:hint="eastAsia" w:ascii="宋体" w:hAnsi="宋体" w:eastAsia="宋体" w:cs="宋体"/>
          <w:color w:val="auto"/>
        </w:rPr>
      </w:pPr>
    </w:p>
    <w:p w14:paraId="4FE365E0">
      <w:pPr>
        <w:pStyle w:val="15"/>
        <w:rPr>
          <w:rFonts w:hint="eastAsia" w:ascii="宋体" w:hAnsi="宋体" w:eastAsia="宋体" w:cs="宋体"/>
          <w:color w:val="auto"/>
        </w:rPr>
      </w:pPr>
    </w:p>
    <w:p w14:paraId="4099EF44">
      <w:pPr>
        <w:numPr>
          <w:ilvl w:val="0"/>
          <w:numId w:val="23"/>
        </w:numPr>
        <w:jc w:val="center"/>
        <w:rPr>
          <w:rFonts w:hint="eastAsia" w:ascii="宋体" w:hAnsi="宋体" w:eastAsia="宋体" w:cs="宋体"/>
          <w:color w:val="auto"/>
        </w:rPr>
      </w:pPr>
      <w:r>
        <w:rPr>
          <w:rFonts w:hint="eastAsia" w:ascii="宋体" w:hAnsi="宋体" w:eastAsia="宋体" w:cs="宋体"/>
          <w:b/>
          <w:color w:val="auto"/>
          <w:sz w:val="32"/>
          <w:szCs w:val="32"/>
        </w:rPr>
        <w:t>法定代表人授权委托书</w:t>
      </w:r>
    </w:p>
    <w:p w14:paraId="7EB07073">
      <w:pPr>
        <w:pStyle w:val="10"/>
        <w:rPr>
          <w:rFonts w:hint="eastAsia" w:ascii="宋体" w:hAnsi="宋体" w:eastAsia="宋体" w:cs="宋体"/>
          <w:color w:val="auto"/>
        </w:rPr>
      </w:pPr>
    </w:p>
    <w:p w14:paraId="02678B21">
      <w:pPr>
        <w:pBdr>
          <w:top w:val="none" w:color="auto" w:sz="0" w:space="1"/>
          <w:left w:val="none" w:color="auto" w:sz="0" w:space="4"/>
          <w:bottom w:val="none" w:color="auto" w:sz="0" w:space="1"/>
          <w:right w:val="none" w:color="auto" w:sz="0" w:space="4"/>
        </w:pBdr>
        <w:rPr>
          <w:rFonts w:hint="eastAsia" w:ascii="宋体" w:hAnsi="宋体" w:eastAsia="宋体" w:cs="宋体"/>
          <w:color w:val="auto"/>
          <w:sz w:val="24"/>
        </w:rPr>
      </w:pPr>
      <w:r>
        <w:rPr>
          <w:rFonts w:hint="eastAsia" w:ascii="宋体" w:hAnsi="宋体" w:eastAsia="宋体" w:cs="宋体"/>
          <w:color w:val="auto"/>
          <w:sz w:val="24"/>
        </w:rPr>
        <w:t>陕西悦嘉冠宏项目管理有限公司：</w:t>
      </w:r>
    </w:p>
    <w:p w14:paraId="63FCB6A9">
      <w:pPr>
        <w:pBdr>
          <w:top w:val="none" w:color="auto" w:sz="0" w:space="1"/>
          <w:left w:val="none" w:color="auto" w:sz="0" w:space="4"/>
          <w:bottom w:val="none" w:color="auto" w:sz="0" w:space="1"/>
          <w:right w:val="none" w:color="auto" w:sz="0" w:space="4"/>
        </w:pBdr>
        <w:spacing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本授权书声明：注册于中华人民共和国的</w:t>
      </w:r>
      <w:r>
        <w:rPr>
          <w:rFonts w:hint="eastAsia" w:ascii="宋体" w:hAnsi="宋体" w:eastAsia="宋体" w:cs="宋体"/>
          <w:color w:val="auto"/>
          <w:sz w:val="24"/>
          <w:u w:val="single"/>
        </w:rPr>
        <w:t xml:space="preserve">      （供应商 名称）      </w:t>
      </w:r>
      <w:r>
        <w:rPr>
          <w:rFonts w:hint="eastAsia" w:ascii="宋体" w:hAnsi="宋体" w:eastAsia="宋体" w:cs="宋体"/>
          <w:color w:val="auto"/>
          <w:sz w:val="24"/>
        </w:rPr>
        <w:t>的在下面签字的</w:t>
      </w:r>
      <w:r>
        <w:rPr>
          <w:rFonts w:hint="eastAsia" w:ascii="宋体" w:hAnsi="宋体" w:eastAsia="宋体" w:cs="宋体"/>
          <w:color w:val="auto"/>
          <w:sz w:val="24"/>
          <w:u w:val="single"/>
        </w:rPr>
        <w:t xml:space="preserve">     （法定代表人姓名、职务）     </w:t>
      </w:r>
      <w:r>
        <w:rPr>
          <w:rFonts w:hint="eastAsia" w:ascii="宋体" w:hAnsi="宋体" w:eastAsia="宋体" w:cs="宋体"/>
          <w:color w:val="auto"/>
          <w:sz w:val="24"/>
        </w:rPr>
        <w:t>代表本公司授权的在下面签字的</w:t>
      </w:r>
      <w:r>
        <w:rPr>
          <w:rFonts w:hint="eastAsia" w:ascii="宋体" w:hAnsi="宋体" w:eastAsia="宋体" w:cs="宋体"/>
          <w:color w:val="auto"/>
          <w:sz w:val="24"/>
          <w:u w:val="single"/>
        </w:rPr>
        <w:t xml:space="preserve">    （被授权人的姓名、职务）    </w:t>
      </w:r>
      <w:r>
        <w:rPr>
          <w:rFonts w:hint="eastAsia" w:ascii="宋体" w:hAnsi="宋体" w:eastAsia="宋体" w:cs="宋体"/>
          <w:color w:val="auto"/>
          <w:sz w:val="24"/>
        </w:rPr>
        <w:t>为本公司的合法代理人，就项目编号为</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(采购项目名称)      </w:t>
      </w:r>
      <w:r>
        <w:rPr>
          <w:rFonts w:hint="eastAsia" w:ascii="宋体" w:hAnsi="宋体" w:eastAsia="宋体" w:cs="宋体"/>
          <w:color w:val="auto"/>
          <w:sz w:val="24"/>
        </w:rPr>
        <w:t>的投标，以本公司名义处理一切与之有关的事务。</w:t>
      </w:r>
    </w:p>
    <w:p w14:paraId="73145F00">
      <w:pPr>
        <w:pBdr>
          <w:top w:val="none" w:color="auto" w:sz="0" w:space="1"/>
          <w:left w:val="none" w:color="auto" w:sz="0" w:space="4"/>
          <w:bottom w:val="none" w:color="auto" w:sz="0" w:space="1"/>
          <w:right w:val="none" w:color="auto" w:sz="0" w:space="4"/>
        </w:pBdr>
        <w:spacing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日签字生效，特此声明。</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0526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vAlign w:val="center"/>
          </w:tcPr>
          <w:p w14:paraId="25D8E898">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6C962664">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33" w:type="dxa"/>
            <w:vAlign w:val="center"/>
          </w:tcPr>
          <w:p w14:paraId="02140631">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2C6E6B5">
            <w:pPr>
              <w:pStyle w:val="19"/>
              <w:pBdr>
                <w:top w:val="none" w:color="auto" w:sz="0" w:space="1"/>
                <w:left w:val="none" w:color="auto" w:sz="0" w:space="4"/>
                <w:bottom w:val="none" w:color="auto" w:sz="0" w:space="1"/>
                <w:right w:val="none" w:color="auto" w:sz="0" w:space="4"/>
              </w:pBdr>
              <w:ind w:left="-365"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0B0BB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vAlign w:val="center"/>
          </w:tcPr>
          <w:p w14:paraId="1084F38D">
            <w:pPr>
              <w:pBdr>
                <w:top w:val="none" w:color="auto" w:sz="0" w:space="1"/>
                <w:left w:val="none" w:color="auto" w:sz="0" w:space="4"/>
                <w:bottom w:val="none" w:color="auto" w:sz="0" w:space="1"/>
                <w:right w:val="none" w:color="auto" w:sz="0" w:space="4"/>
              </w:pBd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r>
              <w:rPr>
                <w:rFonts w:hint="eastAsia" w:ascii="宋体" w:hAnsi="宋体" w:eastAsia="宋体" w:cs="宋体"/>
                <w:color w:val="auto"/>
                <w:sz w:val="24"/>
                <w:szCs w:val="24"/>
                <w:u w:val="single"/>
              </w:rPr>
              <w:t xml:space="preserve">                </w:t>
            </w:r>
          </w:p>
        </w:tc>
        <w:tc>
          <w:tcPr>
            <w:tcW w:w="4433" w:type="dxa"/>
            <w:vAlign w:val="center"/>
          </w:tcPr>
          <w:p w14:paraId="2CC0087A">
            <w:pPr>
              <w:pBdr>
                <w:top w:val="none" w:color="auto" w:sz="0" w:space="1"/>
                <w:left w:val="none" w:color="auto" w:sz="0" w:space="4"/>
                <w:bottom w:val="none" w:color="auto" w:sz="0" w:space="1"/>
                <w:right w:val="none" w:color="auto" w:sz="0" w:space="4"/>
              </w:pBdr>
              <w:spacing w:line="440" w:lineRule="exact"/>
              <w:ind w:firstLine="240" w:firstLineChars="100"/>
              <w:rPr>
                <w:rFonts w:hint="eastAsia" w:ascii="宋体" w:hAnsi="宋体" w:eastAsia="宋体" w:cs="宋体"/>
                <w:color w:val="auto"/>
                <w:sz w:val="24"/>
                <w:szCs w:val="24"/>
                <w:u w:val="single"/>
              </w:rPr>
            </w:pP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p>
          <w:p w14:paraId="6799119F">
            <w:pPr>
              <w:pBdr>
                <w:top w:val="none" w:color="auto" w:sz="0" w:space="1"/>
                <w:left w:val="none" w:color="auto" w:sz="0" w:space="4"/>
                <w:bottom w:val="none" w:color="auto" w:sz="0" w:space="1"/>
                <w:right w:val="none" w:color="auto" w:sz="0" w:space="4"/>
              </w:pBd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4BB19270">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val="0"/>
        <w:autoSpaceDN w:val="0"/>
        <w:bidi w:val="0"/>
        <w:adjustRightInd w:val="0"/>
        <w:snapToGrid/>
        <w:spacing w:line="240" w:lineRule="exact"/>
        <w:textAlignment w:val="baseline"/>
        <w:rPr>
          <w:rFonts w:hint="eastAsia" w:ascii="宋体" w:hAnsi="宋体" w:eastAsia="宋体" w:cs="宋体"/>
          <w:color w:val="auto"/>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3C74E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vAlign w:val="center"/>
          </w:tcPr>
          <w:p w14:paraId="7CAB129E">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3F51D080">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20" w:type="dxa"/>
            <w:vAlign w:val="center"/>
          </w:tcPr>
          <w:p w14:paraId="5D9B1661">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3EFF420F">
            <w:pPr>
              <w:pStyle w:val="19"/>
              <w:pBdr>
                <w:top w:val="none" w:color="auto" w:sz="0" w:space="1"/>
                <w:left w:val="none" w:color="auto" w:sz="0" w:space="4"/>
                <w:bottom w:val="none" w:color="auto" w:sz="0" w:space="1"/>
                <w:right w:val="none" w:color="auto" w:sz="0" w:space="4"/>
              </w:pBdr>
              <w:ind w:left="-365"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767A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vAlign w:val="center"/>
          </w:tcPr>
          <w:p w14:paraId="43EFF54B">
            <w:pPr>
              <w:pStyle w:val="19"/>
              <w:pBdr>
                <w:top w:val="none" w:color="auto" w:sz="0" w:space="1"/>
                <w:left w:val="none" w:color="auto" w:sz="0" w:space="4"/>
                <w:bottom w:val="none" w:color="auto" w:sz="0" w:space="1"/>
                <w:right w:val="none" w:color="auto" w:sz="0" w:space="4"/>
              </w:pBdr>
              <w:ind w:firstLine="139" w:firstLineChars="58"/>
              <w:rPr>
                <w:rFonts w:hint="eastAsia" w:ascii="宋体" w:hAnsi="宋体" w:eastAsia="宋体" w:cs="宋体"/>
                <w:color w:val="auto"/>
                <w:sz w:val="24"/>
              </w:rPr>
            </w:pP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p>
        </w:tc>
        <w:tc>
          <w:tcPr>
            <w:tcW w:w="4420" w:type="dxa"/>
            <w:vAlign w:val="center"/>
          </w:tcPr>
          <w:p w14:paraId="349CD3BB">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03084C0C">
      <w:pPr>
        <w:pStyle w:val="15"/>
        <w:pBdr>
          <w:top w:val="none" w:color="auto" w:sz="0" w:space="1"/>
          <w:left w:val="none" w:color="auto" w:sz="0" w:space="4"/>
          <w:bottom w:val="none" w:color="auto" w:sz="0" w:space="1"/>
          <w:right w:val="none" w:color="auto" w:sz="0" w:space="4"/>
        </w:pBdr>
        <w:spacing w:line="500" w:lineRule="exact"/>
        <w:rPr>
          <w:rFonts w:hint="eastAsia" w:ascii="宋体" w:hAnsi="宋体" w:eastAsia="宋体" w:cs="宋体"/>
          <w:b/>
          <w:color w:val="auto"/>
          <w:sz w:val="32"/>
          <w:szCs w:val="32"/>
        </w:rPr>
      </w:pPr>
      <w:r>
        <w:rPr>
          <w:rFonts w:hint="eastAsia" w:ascii="宋体" w:hAnsi="宋体" w:eastAsia="宋体" w:cs="宋体"/>
          <w:color w:val="auto"/>
          <w:sz w:val="24"/>
          <w:szCs w:val="24"/>
        </w:rPr>
        <w:t>注：授权书内容填写要明确，文字要工整清楚，涂改无效。</w:t>
      </w:r>
    </w:p>
    <w:p w14:paraId="0A7A32FD">
      <w:pPr>
        <w:tabs>
          <w:tab w:val="left" w:pos="210"/>
        </w:tabs>
        <w:spacing w:line="320" w:lineRule="exact"/>
        <w:jc w:val="center"/>
        <w:rPr>
          <w:rFonts w:hint="eastAsia" w:ascii="宋体" w:hAnsi="宋体" w:eastAsia="宋体" w:cs="宋体"/>
          <w:b/>
          <w:color w:val="auto"/>
          <w:sz w:val="32"/>
          <w:szCs w:val="32"/>
        </w:rPr>
      </w:pPr>
    </w:p>
    <w:p w14:paraId="4EAF67B7">
      <w:pPr>
        <w:tabs>
          <w:tab w:val="left" w:pos="210"/>
        </w:tabs>
        <w:spacing w:line="320" w:lineRule="exact"/>
        <w:jc w:val="center"/>
        <w:rPr>
          <w:rFonts w:hint="eastAsia" w:ascii="宋体" w:hAnsi="宋体" w:eastAsia="宋体" w:cs="宋体"/>
          <w:b/>
          <w:color w:val="auto"/>
          <w:sz w:val="32"/>
          <w:szCs w:val="32"/>
        </w:rPr>
      </w:pPr>
    </w:p>
    <w:p w14:paraId="2D6E78EE">
      <w:pPr>
        <w:tabs>
          <w:tab w:val="left" w:pos="210"/>
        </w:tabs>
        <w:spacing w:line="320" w:lineRule="exact"/>
        <w:jc w:val="center"/>
        <w:rPr>
          <w:rFonts w:hint="eastAsia" w:ascii="宋体" w:hAnsi="宋体" w:eastAsia="宋体" w:cs="宋体"/>
          <w:b/>
          <w:color w:val="auto"/>
          <w:sz w:val="32"/>
          <w:szCs w:val="32"/>
        </w:rPr>
      </w:pPr>
    </w:p>
    <w:p w14:paraId="6A16470C">
      <w:pPr>
        <w:tabs>
          <w:tab w:val="left" w:pos="210"/>
        </w:tabs>
        <w:spacing w:line="32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法定代表人证明书</w:t>
      </w:r>
    </w:p>
    <w:p w14:paraId="1C74438C">
      <w:pPr>
        <w:tabs>
          <w:tab w:val="left" w:pos="210"/>
        </w:tabs>
        <w:spacing w:line="320" w:lineRule="exact"/>
        <w:jc w:val="center"/>
        <w:rPr>
          <w:rFonts w:hint="eastAsia" w:ascii="宋体" w:hAnsi="宋体" w:eastAsia="宋体" w:cs="宋体"/>
          <w:b/>
          <w:color w:val="auto"/>
          <w:sz w:val="32"/>
          <w:szCs w:val="32"/>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5D53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vAlign w:val="center"/>
          </w:tcPr>
          <w:p w14:paraId="36AA0F0D">
            <w:pPr>
              <w:tabs>
                <w:tab w:val="left" w:pos="210"/>
              </w:tabs>
              <w:spacing w:line="320" w:lineRule="exact"/>
              <w:rPr>
                <w:rFonts w:hint="eastAsia" w:ascii="宋体" w:hAnsi="宋体" w:eastAsia="宋体" w:cs="宋体"/>
                <w:color w:val="auto"/>
                <w:sz w:val="24"/>
              </w:rPr>
            </w:pPr>
            <w:r>
              <w:rPr>
                <w:rFonts w:hint="eastAsia" w:ascii="宋体" w:hAnsi="宋体" w:eastAsia="宋体" w:cs="宋体"/>
                <w:color w:val="auto"/>
                <w:sz w:val="24"/>
              </w:rPr>
              <w:t>致：陕西悦嘉冠宏项目管理有限公司</w:t>
            </w:r>
          </w:p>
        </w:tc>
      </w:tr>
      <w:tr w14:paraId="0C385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vAlign w:val="center"/>
          </w:tcPr>
          <w:p w14:paraId="0339CEB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企</w:t>
            </w:r>
          </w:p>
          <w:p w14:paraId="3602E027">
            <w:pPr>
              <w:tabs>
                <w:tab w:val="left" w:pos="210"/>
              </w:tabs>
              <w:spacing w:line="320" w:lineRule="exact"/>
              <w:jc w:val="center"/>
              <w:rPr>
                <w:rFonts w:hint="eastAsia" w:ascii="宋体" w:hAnsi="宋体" w:eastAsia="宋体" w:cs="宋体"/>
                <w:color w:val="auto"/>
                <w:sz w:val="24"/>
              </w:rPr>
            </w:pPr>
          </w:p>
          <w:p w14:paraId="315AB3F4">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业</w:t>
            </w:r>
          </w:p>
          <w:p w14:paraId="22A41739">
            <w:pPr>
              <w:tabs>
                <w:tab w:val="left" w:pos="210"/>
              </w:tabs>
              <w:spacing w:line="320" w:lineRule="exact"/>
              <w:jc w:val="center"/>
              <w:rPr>
                <w:rFonts w:hint="eastAsia" w:ascii="宋体" w:hAnsi="宋体" w:eastAsia="宋体" w:cs="宋体"/>
                <w:color w:val="auto"/>
                <w:sz w:val="24"/>
              </w:rPr>
            </w:pPr>
          </w:p>
          <w:p w14:paraId="66D76B6E">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法</w:t>
            </w:r>
          </w:p>
          <w:p w14:paraId="0F55CBBB">
            <w:pPr>
              <w:tabs>
                <w:tab w:val="left" w:pos="210"/>
              </w:tabs>
              <w:spacing w:line="320" w:lineRule="exact"/>
              <w:jc w:val="center"/>
              <w:rPr>
                <w:rFonts w:hint="eastAsia" w:ascii="宋体" w:hAnsi="宋体" w:eastAsia="宋体" w:cs="宋体"/>
                <w:color w:val="auto"/>
                <w:sz w:val="24"/>
              </w:rPr>
            </w:pPr>
          </w:p>
          <w:p w14:paraId="2A144A7A">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人</w:t>
            </w:r>
          </w:p>
        </w:tc>
        <w:tc>
          <w:tcPr>
            <w:tcW w:w="2064" w:type="dxa"/>
            <w:vAlign w:val="center"/>
          </w:tcPr>
          <w:p w14:paraId="0FC6A298">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企业名称</w:t>
            </w:r>
          </w:p>
        </w:tc>
        <w:tc>
          <w:tcPr>
            <w:tcW w:w="6356" w:type="dxa"/>
            <w:gridSpan w:val="4"/>
            <w:vAlign w:val="center"/>
          </w:tcPr>
          <w:p w14:paraId="0F0BAEC2">
            <w:pPr>
              <w:tabs>
                <w:tab w:val="left" w:pos="210"/>
              </w:tabs>
              <w:spacing w:line="320" w:lineRule="exact"/>
              <w:jc w:val="center"/>
              <w:rPr>
                <w:rFonts w:hint="eastAsia" w:ascii="宋体" w:hAnsi="宋体" w:eastAsia="宋体" w:cs="宋体"/>
                <w:color w:val="auto"/>
                <w:sz w:val="24"/>
              </w:rPr>
            </w:pPr>
          </w:p>
        </w:tc>
      </w:tr>
      <w:tr w14:paraId="585AC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vAlign w:val="center"/>
          </w:tcPr>
          <w:p w14:paraId="36D6CC93">
            <w:pPr>
              <w:tabs>
                <w:tab w:val="left" w:pos="210"/>
              </w:tabs>
              <w:spacing w:line="320" w:lineRule="exact"/>
              <w:jc w:val="center"/>
              <w:rPr>
                <w:rFonts w:hint="eastAsia" w:ascii="宋体" w:hAnsi="宋体" w:eastAsia="宋体" w:cs="宋体"/>
                <w:color w:val="auto"/>
                <w:sz w:val="24"/>
              </w:rPr>
            </w:pPr>
          </w:p>
        </w:tc>
        <w:tc>
          <w:tcPr>
            <w:tcW w:w="2064" w:type="dxa"/>
            <w:vAlign w:val="center"/>
          </w:tcPr>
          <w:p w14:paraId="3C9153BF">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法定地址</w:t>
            </w:r>
          </w:p>
        </w:tc>
        <w:tc>
          <w:tcPr>
            <w:tcW w:w="6356" w:type="dxa"/>
            <w:gridSpan w:val="4"/>
            <w:vAlign w:val="center"/>
          </w:tcPr>
          <w:p w14:paraId="7B865E22">
            <w:pPr>
              <w:tabs>
                <w:tab w:val="left" w:pos="210"/>
              </w:tabs>
              <w:spacing w:line="320" w:lineRule="exact"/>
              <w:jc w:val="center"/>
              <w:rPr>
                <w:rFonts w:hint="eastAsia" w:ascii="宋体" w:hAnsi="宋体" w:eastAsia="宋体" w:cs="宋体"/>
                <w:color w:val="auto"/>
                <w:sz w:val="24"/>
              </w:rPr>
            </w:pPr>
          </w:p>
        </w:tc>
      </w:tr>
      <w:tr w14:paraId="2C0D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vAlign w:val="center"/>
          </w:tcPr>
          <w:p w14:paraId="487BDFB4">
            <w:pPr>
              <w:tabs>
                <w:tab w:val="left" w:pos="210"/>
              </w:tabs>
              <w:spacing w:line="320" w:lineRule="exact"/>
              <w:jc w:val="center"/>
              <w:rPr>
                <w:rFonts w:hint="eastAsia" w:ascii="宋体" w:hAnsi="宋体" w:eastAsia="宋体" w:cs="宋体"/>
                <w:color w:val="auto"/>
                <w:sz w:val="24"/>
              </w:rPr>
            </w:pPr>
          </w:p>
        </w:tc>
        <w:tc>
          <w:tcPr>
            <w:tcW w:w="2064" w:type="dxa"/>
            <w:vAlign w:val="center"/>
          </w:tcPr>
          <w:p w14:paraId="4A34550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邮政编码</w:t>
            </w:r>
          </w:p>
        </w:tc>
        <w:tc>
          <w:tcPr>
            <w:tcW w:w="6356" w:type="dxa"/>
            <w:gridSpan w:val="4"/>
            <w:vAlign w:val="center"/>
          </w:tcPr>
          <w:p w14:paraId="4673E880">
            <w:pPr>
              <w:tabs>
                <w:tab w:val="left" w:pos="210"/>
              </w:tabs>
              <w:spacing w:line="320" w:lineRule="exact"/>
              <w:jc w:val="center"/>
              <w:rPr>
                <w:rFonts w:hint="eastAsia" w:ascii="宋体" w:hAnsi="宋体" w:eastAsia="宋体" w:cs="宋体"/>
                <w:color w:val="auto"/>
                <w:sz w:val="24"/>
              </w:rPr>
            </w:pPr>
          </w:p>
        </w:tc>
      </w:tr>
      <w:tr w14:paraId="11E7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vAlign w:val="center"/>
          </w:tcPr>
          <w:p w14:paraId="32F8C4FC">
            <w:pPr>
              <w:tabs>
                <w:tab w:val="left" w:pos="210"/>
              </w:tabs>
              <w:spacing w:line="320" w:lineRule="exact"/>
              <w:jc w:val="center"/>
              <w:rPr>
                <w:rFonts w:hint="eastAsia" w:ascii="宋体" w:hAnsi="宋体" w:eastAsia="宋体" w:cs="宋体"/>
                <w:color w:val="auto"/>
                <w:sz w:val="24"/>
              </w:rPr>
            </w:pPr>
          </w:p>
        </w:tc>
        <w:tc>
          <w:tcPr>
            <w:tcW w:w="2064" w:type="dxa"/>
            <w:vAlign w:val="center"/>
          </w:tcPr>
          <w:p w14:paraId="6C0892B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工商登记机关</w:t>
            </w:r>
          </w:p>
        </w:tc>
        <w:tc>
          <w:tcPr>
            <w:tcW w:w="6356" w:type="dxa"/>
            <w:gridSpan w:val="4"/>
            <w:vAlign w:val="center"/>
          </w:tcPr>
          <w:p w14:paraId="37A1C6B2">
            <w:pPr>
              <w:tabs>
                <w:tab w:val="left" w:pos="210"/>
              </w:tabs>
              <w:spacing w:line="320" w:lineRule="exact"/>
              <w:jc w:val="center"/>
              <w:rPr>
                <w:rFonts w:hint="eastAsia" w:ascii="宋体" w:hAnsi="宋体" w:eastAsia="宋体" w:cs="宋体"/>
                <w:color w:val="auto"/>
                <w:sz w:val="24"/>
              </w:rPr>
            </w:pPr>
          </w:p>
        </w:tc>
      </w:tr>
      <w:tr w14:paraId="1FD11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860" w:type="dxa"/>
            <w:vMerge w:val="continue"/>
            <w:vAlign w:val="center"/>
          </w:tcPr>
          <w:p w14:paraId="1EE2E04E">
            <w:pPr>
              <w:tabs>
                <w:tab w:val="left" w:pos="210"/>
              </w:tabs>
              <w:spacing w:line="320" w:lineRule="exact"/>
              <w:jc w:val="center"/>
              <w:rPr>
                <w:rFonts w:hint="eastAsia" w:ascii="宋体" w:hAnsi="宋体" w:eastAsia="宋体" w:cs="宋体"/>
                <w:color w:val="auto"/>
                <w:sz w:val="24"/>
              </w:rPr>
            </w:pPr>
          </w:p>
        </w:tc>
        <w:tc>
          <w:tcPr>
            <w:tcW w:w="2064" w:type="dxa"/>
            <w:vAlign w:val="center"/>
          </w:tcPr>
          <w:p w14:paraId="2ACA4FA3">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税务登记机关</w:t>
            </w:r>
          </w:p>
        </w:tc>
        <w:tc>
          <w:tcPr>
            <w:tcW w:w="6356" w:type="dxa"/>
            <w:gridSpan w:val="4"/>
            <w:vAlign w:val="center"/>
          </w:tcPr>
          <w:p w14:paraId="623855E0">
            <w:pPr>
              <w:tabs>
                <w:tab w:val="left" w:pos="210"/>
              </w:tabs>
              <w:spacing w:line="320" w:lineRule="exact"/>
              <w:rPr>
                <w:rFonts w:hint="eastAsia" w:ascii="宋体" w:hAnsi="宋体" w:eastAsia="宋体" w:cs="宋体"/>
                <w:color w:val="auto"/>
                <w:sz w:val="24"/>
              </w:rPr>
            </w:pPr>
          </w:p>
        </w:tc>
      </w:tr>
      <w:tr w14:paraId="6E8C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vAlign w:val="center"/>
          </w:tcPr>
          <w:p w14:paraId="73B4F2CB">
            <w:pPr>
              <w:tabs>
                <w:tab w:val="left" w:pos="210"/>
              </w:tabs>
              <w:spacing w:line="320" w:lineRule="exact"/>
              <w:jc w:val="center"/>
              <w:rPr>
                <w:rFonts w:hint="eastAsia" w:ascii="宋体" w:hAnsi="宋体" w:eastAsia="宋体" w:cs="宋体"/>
                <w:color w:val="auto"/>
                <w:sz w:val="24"/>
              </w:rPr>
            </w:pPr>
          </w:p>
        </w:tc>
        <w:tc>
          <w:tcPr>
            <w:tcW w:w="2064" w:type="dxa"/>
            <w:vAlign w:val="center"/>
          </w:tcPr>
          <w:p w14:paraId="5B1A1EB4">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信用代码证号</w:t>
            </w:r>
          </w:p>
        </w:tc>
        <w:tc>
          <w:tcPr>
            <w:tcW w:w="6356" w:type="dxa"/>
            <w:gridSpan w:val="4"/>
            <w:vAlign w:val="center"/>
          </w:tcPr>
          <w:p w14:paraId="5E24BB6E">
            <w:pPr>
              <w:tabs>
                <w:tab w:val="left" w:pos="210"/>
              </w:tabs>
              <w:spacing w:line="320" w:lineRule="exact"/>
              <w:jc w:val="center"/>
              <w:rPr>
                <w:rFonts w:hint="eastAsia" w:ascii="宋体" w:hAnsi="宋体" w:eastAsia="宋体" w:cs="宋体"/>
                <w:color w:val="auto"/>
                <w:sz w:val="24"/>
              </w:rPr>
            </w:pPr>
          </w:p>
        </w:tc>
      </w:tr>
      <w:tr w14:paraId="6B63F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vAlign w:val="center"/>
          </w:tcPr>
          <w:p w14:paraId="38E88633">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064" w:type="dxa"/>
            <w:vAlign w:val="center"/>
          </w:tcPr>
          <w:p w14:paraId="0B1D1FC9">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2235" w:type="dxa"/>
            <w:gridSpan w:val="2"/>
            <w:vAlign w:val="center"/>
          </w:tcPr>
          <w:p w14:paraId="694FDCD0">
            <w:pPr>
              <w:tabs>
                <w:tab w:val="left" w:pos="210"/>
              </w:tabs>
              <w:spacing w:line="320" w:lineRule="exact"/>
              <w:jc w:val="center"/>
              <w:rPr>
                <w:rFonts w:hint="eastAsia" w:ascii="宋体" w:hAnsi="宋体" w:eastAsia="宋体" w:cs="宋体"/>
                <w:color w:val="auto"/>
                <w:sz w:val="24"/>
              </w:rPr>
            </w:pPr>
          </w:p>
        </w:tc>
        <w:tc>
          <w:tcPr>
            <w:tcW w:w="2059" w:type="dxa"/>
            <w:vAlign w:val="center"/>
          </w:tcPr>
          <w:p w14:paraId="522F93C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性别</w:t>
            </w:r>
          </w:p>
        </w:tc>
        <w:tc>
          <w:tcPr>
            <w:tcW w:w="2062" w:type="dxa"/>
            <w:vAlign w:val="center"/>
          </w:tcPr>
          <w:p w14:paraId="09279310">
            <w:pPr>
              <w:tabs>
                <w:tab w:val="left" w:pos="210"/>
              </w:tabs>
              <w:spacing w:line="320" w:lineRule="exact"/>
              <w:jc w:val="center"/>
              <w:rPr>
                <w:rFonts w:hint="eastAsia" w:ascii="宋体" w:hAnsi="宋体" w:eastAsia="宋体" w:cs="宋体"/>
                <w:color w:val="auto"/>
                <w:sz w:val="24"/>
              </w:rPr>
            </w:pPr>
          </w:p>
        </w:tc>
      </w:tr>
      <w:tr w14:paraId="620B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vAlign w:val="center"/>
          </w:tcPr>
          <w:p w14:paraId="7C253AAC">
            <w:pPr>
              <w:tabs>
                <w:tab w:val="left" w:pos="210"/>
              </w:tabs>
              <w:spacing w:line="320" w:lineRule="exact"/>
              <w:jc w:val="center"/>
              <w:rPr>
                <w:rFonts w:hint="eastAsia" w:ascii="宋体" w:hAnsi="宋体" w:eastAsia="宋体" w:cs="宋体"/>
                <w:color w:val="auto"/>
                <w:sz w:val="24"/>
              </w:rPr>
            </w:pPr>
          </w:p>
        </w:tc>
        <w:tc>
          <w:tcPr>
            <w:tcW w:w="2064" w:type="dxa"/>
            <w:vAlign w:val="center"/>
          </w:tcPr>
          <w:p w14:paraId="7EAF018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2235" w:type="dxa"/>
            <w:gridSpan w:val="2"/>
            <w:vAlign w:val="center"/>
          </w:tcPr>
          <w:p w14:paraId="5C472CE6">
            <w:pPr>
              <w:tabs>
                <w:tab w:val="left" w:pos="210"/>
              </w:tabs>
              <w:spacing w:line="320" w:lineRule="exact"/>
              <w:jc w:val="center"/>
              <w:rPr>
                <w:rFonts w:hint="eastAsia" w:ascii="宋体" w:hAnsi="宋体" w:eastAsia="宋体" w:cs="宋体"/>
                <w:color w:val="auto"/>
                <w:sz w:val="24"/>
              </w:rPr>
            </w:pPr>
          </w:p>
        </w:tc>
        <w:tc>
          <w:tcPr>
            <w:tcW w:w="2059" w:type="dxa"/>
            <w:vAlign w:val="center"/>
          </w:tcPr>
          <w:p w14:paraId="43CBE89A">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联系电话</w:t>
            </w:r>
          </w:p>
        </w:tc>
        <w:tc>
          <w:tcPr>
            <w:tcW w:w="2062" w:type="dxa"/>
            <w:vAlign w:val="center"/>
          </w:tcPr>
          <w:p w14:paraId="3C5259DB">
            <w:pPr>
              <w:tabs>
                <w:tab w:val="left" w:pos="210"/>
              </w:tabs>
              <w:spacing w:line="320" w:lineRule="exact"/>
              <w:jc w:val="center"/>
              <w:rPr>
                <w:rFonts w:hint="eastAsia" w:ascii="宋体" w:hAnsi="宋体" w:eastAsia="宋体" w:cs="宋体"/>
                <w:color w:val="auto"/>
                <w:sz w:val="24"/>
              </w:rPr>
            </w:pPr>
          </w:p>
        </w:tc>
      </w:tr>
      <w:tr w14:paraId="7016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vAlign w:val="center"/>
          </w:tcPr>
          <w:p w14:paraId="62149D0C">
            <w:pPr>
              <w:tabs>
                <w:tab w:val="left" w:pos="210"/>
              </w:tabs>
              <w:spacing w:line="320" w:lineRule="exact"/>
              <w:jc w:val="center"/>
              <w:rPr>
                <w:rFonts w:hint="eastAsia" w:ascii="宋体" w:hAnsi="宋体" w:eastAsia="宋体" w:cs="宋体"/>
                <w:color w:val="auto"/>
                <w:sz w:val="24"/>
              </w:rPr>
            </w:pPr>
          </w:p>
        </w:tc>
        <w:tc>
          <w:tcPr>
            <w:tcW w:w="2064" w:type="dxa"/>
            <w:vAlign w:val="center"/>
          </w:tcPr>
          <w:p w14:paraId="4EC44157">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传真</w:t>
            </w:r>
          </w:p>
        </w:tc>
        <w:tc>
          <w:tcPr>
            <w:tcW w:w="6356" w:type="dxa"/>
            <w:gridSpan w:val="4"/>
            <w:vAlign w:val="center"/>
          </w:tcPr>
          <w:p w14:paraId="25BF5108">
            <w:pPr>
              <w:tabs>
                <w:tab w:val="left" w:pos="210"/>
              </w:tabs>
              <w:spacing w:line="320" w:lineRule="exact"/>
              <w:jc w:val="center"/>
              <w:rPr>
                <w:rFonts w:hint="eastAsia" w:ascii="宋体" w:hAnsi="宋体" w:eastAsia="宋体" w:cs="宋体"/>
                <w:color w:val="auto"/>
                <w:sz w:val="24"/>
              </w:rPr>
            </w:pPr>
          </w:p>
        </w:tc>
      </w:tr>
      <w:tr w14:paraId="16122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1" w:hRule="atLeast"/>
          <w:jc w:val="center"/>
        </w:trPr>
        <w:tc>
          <w:tcPr>
            <w:tcW w:w="860" w:type="dxa"/>
            <w:vMerge w:val="restart"/>
            <w:vAlign w:val="center"/>
          </w:tcPr>
          <w:p w14:paraId="1BD4268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法定代表人身份证正反复印件</w:t>
            </w:r>
          </w:p>
        </w:tc>
        <w:tc>
          <w:tcPr>
            <w:tcW w:w="4122" w:type="dxa"/>
            <w:gridSpan w:val="2"/>
            <w:vMerge w:val="restart"/>
            <w:vAlign w:val="center"/>
          </w:tcPr>
          <w:p w14:paraId="3F5A141D">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（粘贴处）</w:t>
            </w:r>
          </w:p>
        </w:tc>
        <w:tc>
          <w:tcPr>
            <w:tcW w:w="4298" w:type="dxa"/>
            <w:gridSpan w:val="3"/>
            <w:vAlign w:val="center"/>
          </w:tcPr>
          <w:p w14:paraId="118C68FF">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法定代表人（签字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r>
      <w:tr w14:paraId="7F2EB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860" w:type="dxa"/>
            <w:vMerge w:val="continue"/>
            <w:vAlign w:val="center"/>
          </w:tcPr>
          <w:p w14:paraId="5F7E76AE">
            <w:pPr>
              <w:tabs>
                <w:tab w:val="left" w:pos="210"/>
              </w:tabs>
              <w:spacing w:line="320" w:lineRule="exact"/>
              <w:jc w:val="center"/>
              <w:rPr>
                <w:rFonts w:hint="eastAsia" w:ascii="宋体" w:hAnsi="宋体" w:eastAsia="宋体" w:cs="宋体"/>
                <w:color w:val="auto"/>
                <w:sz w:val="24"/>
              </w:rPr>
            </w:pPr>
          </w:p>
        </w:tc>
        <w:tc>
          <w:tcPr>
            <w:tcW w:w="4122" w:type="dxa"/>
            <w:gridSpan w:val="2"/>
            <w:vMerge w:val="continue"/>
            <w:vAlign w:val="center"/>
          </w:tcPr>
          <w:p w14:paraId="03FDC26B">
            <w:pPr>
              <w:tabs>
                <w:tab w:val="left" w:pos="210"/>
              </w:tabs>
              <w:spacing w:line="320" w:lineRule="exact"/>
              <w:jc w:val="center"/>
              <w:rPr>
                <w:rFonts w:hint="eastAsia" w:ascii="宋体" w:hAnsi="宋体" w:eastAsia="宋体" w:cs="宋体"/>
                <w:color w:val="auto"/>
                <w:sz w:val="24"/>
              </w:rPr>
            </w:pPr>
          </w:p>
        </w:tc>
        <w:tc>
          <w:tcPr>
            <w:tcW w:w="4298" w:type="dxa"/>
            <w:gridSpan w:val="3"/>
            <w:vAlign w:val="bottom"/>
          </w:tcPr>
          <w:p w14:paraId="04DCA212">
            <w:pPr>
              <w:tabs>
                <w:tab w:val="left" w:pos="210"/>
              </w:tabs>
              <w:spacing w:line="320" w:lineRule="exact"/>
              <w:jc w:val="center"/>
              <w:rPr>
                <w:rFonts w:hint="eastAsia" w:ascii="宋体" w:hAnsi="宋体" w:eastAsia="宋体" w:cs="宋体"/>
                <w:color w:val="auto"/>
                <w:sz w:val="24"/>
              </w:rPr>
            </w:pPr>
            <w:r>
              <w:rPr>
                <w:rFonts w:hint="eastAsia" w:ascii="宋体" w:hAnsi="宋体" w:eastAsia="宋体" w:cs="宋体"/>
                <w:color w:val="auto"/>
                <w:sz w:val="24"/>
              </w:rPr>
              <w:t>（公章）</w:t>
            </w:r>
          </w:p>
          <w:p w14:paraId="6443D291">
            <w:pPr>
              <w:tabs>
                <w:tab w:val="left" w:pos="210"/>
              </w:tabs>
              <w:spacing w:line="320" w:lineRule="exact"/>
              <w:jc w:val="center"/>
              <w:rPr>
                <w:rFonts w:hint="eastAsia" w:ascii="宋体" w:hAnsi="宋体" w:eastAsia="宋体" w:cs="宋体"/>
                <w:color w:val="auto"/>
                <w:sz w:val="24"/>
              </w:rPr>
            </w:pPr>
          </w:p>
          <w:p w14:paraId="6F334162">
            <w:pPr>
              <w:tabs>
                <w:tab w:val="left" w:pos="210"/>
              </w:tabs>
              <w:spacing w:line="320" w:lineRule="exact"/>
              <w:jc w:val="center"/>
              <w:rPr>
                <w:rFonts w:hint="eastAsia" w:ascii="宋体" w:hAnsi="宋体" w:eastAsia="宋体" w:cs="宋体"/>
                <w:color w:val="auto"/>
                <w:sz w:val="24"/>
              </w:rPr>
            </w:pPr>
          </w:p>
          <w:p w14:paraId="28B0BF4C">
            <w:pPr>
              <w:tabs>
                <w:tab w:val="left" w:pos="210"/>
              </w:tabs>
              <w:spacing w:line="320" w:lineRule="exact"/>
              <w:jc w:val="center"/>
              <w:rPr>
                <w:rFonts w:hint="eastAsia" w:ascii="宋体" w:hAnsi="宋体" w:eastAsia="宋体" w:cs="宋体"/>
                <w:color w:val="auto"/>
                <w:sz w:val="24"/>
              </w:rPr>
            </w:pPr>
          </w:p>
          <w:p w14:paraId="47561E89">
            <w:pPr>
              <w:tabs>
                <w:tab w:val="left" w:pos="210"/>
              </w:tabs>
              <w:spacing w:line="320" w:lineRule="exact"/>
              <w:jc w:val="right"/>
              <w:rPr>
                <w:rFonts w:hint="eastAsia" w:ascii="宋体" w:hAnsi="宋体" w:eastAsia="宋体" w:cs="宋体"/>
                <w:color w:val="auto"/>
                <w:sz w:val="24"/>
              </w:rPr>
            </w:pPr>
            <w:r>
              <w:rPr>
                <w:rFonts w:hint="eastAsia" w:ascii="宋体" w:hAnsi="宋体" w:eastAsia="宋体" w:cs="宋体"/>
                <w:color w:val="auto"/>
                <w:sz w:val="24"/>
              </w:rPr>
              <w:t xml:space="preserve">年  月  日 </w:t>
            </w:r>
          </w:p>
        </w:tc>
      </w:tr>
    </w:tbl>
    <w:p w14:paraId="0FC664B3">
      <w:pPr>
        <w:spacing w:line="440" w:lineRule="exact"/>
        <w:jc w:val="center"/>
        <w:rPr>
          <w:rFonts w:hint="eastAsia" w:ascii="宋体" w:hAnsi="宋体" w:eastAsia="宋体" w:cs="宋体"/>
          <w:b/>
          <w:bCs/>
          <w:color w:val="auto"/>
          <w:sz w:val="32"/>
          <w:szCs w:val="32"/>
        </w:rPr>
      </w:pPr>
    </w:p>
    <w:p w14:paraId="68F71AEF">
      <w:pPr>
        <w:spacing w:line="440" w:lineRule="exact"/>
        <w:jc w:val="center"/>
        <w:outlineLvl w:val="1"/>
        <w:rPr>
          <w:rFonts w:hint="eastAsia" w:ascii="宋体" w:hAnsi="宋体" w:eastAsia="宋体" w:cs="宋体"/>
          <w:b/>
          <w:color w:val="auto"/>
          <w:sz w:val="32"/>
          <w:szCs w:val="32"/>
        </w:rPr>
      </w:pPr>
    </w:p>
    <w:p w14:paraId="0729F0A4">
      <w:pPr>
        <w:spacing w:line="440" w:lineRule="exact"/>
        <w:jc w:val="center"/>
        <w:outlineLvl w:val="1"/>
        <w:rPr>
          <w:rFonts w:hint="eastAsia" w:ascii="宋体" w:hAnsi="宋体" w:eastAsia="宋体" w:cs="宋体"/>
          <w:b/>
          <w:color w:val="auto"/>
          <w:sz w:val="32"/>
          <w:szCs w:val="32"/>
        </w:rPr>
      </w:pPr>
    </w:p>
    <w:p w14:paraId="1FB7AA7A">
      <w:pPr>
        <w:spacing w:line="440" w:lineRule="exact"/>
        <w:jc w:val="center"/>
        <w:outlineLvl w:val="1"/>
        <w:rPr>
          <w:rFonts w:hint="eastAsia" w:ascii="宋体" w:hAnsi="宋体" w:eastAsia="宋体" w:cs="宋体"/>
          <w:b/>
          <w:color w:val="auto"/>
          <w:sz w:val="32"/>
          <w:szCs w:val="32"/>
        </w:rPr>
      </w:pPr>
    </w:p>
    <w:p w14:paraId="1D3CD105">
      <w:pPr>
        <w:spacing w:line="440" w:lineRule="exact"/>
        <w:jc w:val="center"/>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四、</w:t>
      </w:r>
      <w:r>
        <w:rPr>
          <w:rFonts w:hint="eastAsia" w:hAnsi="宋体" w:cs="宋体"/>
          <w:b/>
          <w:color w:val="auto"/>
          <w:sz w:val="32"/>
          <w:szCs w:val="32"/>
          <w:lang w:val="en-US" w:eastAsia="zh-CN"/>
        </w:rPr>
        <w:t>投标人</w:t>
      </w:r>
      <w:r>
        <w:rPr>
          <w:rFonts w:hint="eastAsia" w:ascii="宋体" w:hAnsi="宋体" w:eastAsia="宋体" w:cs="宋体"/>
          <w:b/>
          <w:color w:val="auto"/>
          <w:sz w:val="32"/>
          <w:szCs w:val="32"/>
        </w:rPr>
        <w:t>资格证明文件</w:t>
      </w:r>
    </w:p>
    <w:p w14:paraId="50D18A25">
      <w:pPr>
        <w:spacing w:line="440" w:lineRule="exact"/>
        <w:jc w:val="center"/>
        <w:outlineLvl w:val="1"/>
        <w:rPr>
          <w:rFonts w:hint="eastAsia" w:ascii="宋体" w:hAnsi="宋体" w:eastAsia="宋体" w:cs="宋体"/>
          <w:b/>
          <w:color w:val="auto"/>
          <w:sz w:val="24"/>
        </w:rPr>
      </w:pPr>
    </w:p>
    <w:p w14:paraId="5237B621">
      <w:pPr>
        <w:adjustRightInd/>
        <w:spacing w:line="43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符合《中华人民共和国政府采购法》第二十二条的规定，有能力提供本次采购服务的供应商。</w:t>
      </w:r>
    </w:p>
    <w:p w14:paraId="08EE781F">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（1）具有独立承担民事责任能力的法人、其他组织或自然人，提供年检有效的统一社会信用代码的营业执照</w:t>
      </w:r>
      <w:r>
        <w:rPr>
          <w:rFonts w:hint="eastAsia" w:ascii="宋体" w:hAnsi="宋体" w:eastAsia="宋体" w:cs="宋体"/>
          <w:color w:val="auto"/>
          <w:sz w:val="24"/>
        </w:rPr>
        <w:t>；</w:t>
      </w:r>
    </w:p>
    <w:p w14:paraId="6496A90C">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i w:val="0"/>
          <w:iCs w:val="0"/>
          <w:caps w:val="0"/>
          <w:color w:val="auto"/>
          <w:spacing w:val="0"/>
          <w:sz w:val="24"/>
          <w:szCs w:val="24"/>
          <w:shd w:val="clear" w:fill="FFFFFF"/>
        </w:rPr>
        <w:t>法定代表人直接参加投标的，须出具法定代表人身份证；法定代表人授权代表参加投标的，须出具法定代表人授权委托书及被授权代表身份证</w:t>
      </w:r>
      <w:r>
        <w:rPr>
          <w:rFonts w:hint="eastAsia" w:ascii="宋体" w:hAnsi="宋体" w:eastAsia="宋体" w:cs="宋体"/>
          <w:color w:val="auto"/>
          <w:sz w:val="24"/>
          <w:szCs w:val="24"/>
        </w:rPr>
        <w:t>；</w:t>
      </w:r>
    </w:p>
    <w:p w14:paraId="44BF4772">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hAnsi="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i w:val="0"/>
          <w:iCs w:val="0"/>
          <w:caps w:val="0"/>
          <w:color w:val="auto"/>
          <w:spacing w:val="0"/>
          <w:sz w:val="24"/>
          <w:szCs w:val="24"/>
          <w:shd w:val="clear" w:fill="FFFFFF"/>
        </w:rPr>
        <w:t>供应商未被列入失信被执行人、重大税收违法失信主体、政府采购严重违法失信行为记录名单，以“信用中国”网站(www.creditchina.gov.cn)、中国政府采购网(www.ccgp.gov.cn)查询结果为准</w:t>
      </w:r>
      <w:r>
        <w:rPr>
          <w:rFonts w:hint="eastAsia" w:ascii="宋体" w:hAnsi="宋体" w:cs="宋体"/>
          <w:b/>
          <w:bCs/>
          <w:color w:val="auto"/>
          <w:kern w:val="2"/>
          <w:sz w:val="24"/>
          <w:szCs w:val="24"/>
          <w:lang w:val="en-US" w:eastAsia="zh-CN" w:bidi="ar-SA"/>
        </w:rPr>
        <w:t>（</w:t>
      </w:r>
      <w:r>
        <w:rPr>
          <w:rFonts w:hint="eastAsia" w:ascii="宋体" w:hAnsi="宋体" w:eastAsia="宋体" w:cs="宋体"/>
          <w:b/>
          <w:bCs/>
          <w:color w:val="auto"/>
          <w:kern w:val="2"/>
          <w:sz w:val="24"/>
          <w:szCs w:val="24"/>
          <w:lang w:val="en-US" w:eastAsia="zh-CN" w:bidi="ar-SA"/>
        </w:rPr>
        <w:t>截止时点为招标文件发出至投标截止时间内，网页截图加盖投标</w:t>
      </w:r>
      <w:r>
        <w:rPr>
          <w:rFonts w:hint="eastAsia" w:hAnsi="宋体" w:cs="宋体"/>
          <w:b/>
          <w:bCs/>
          <w:color w:val="auto"/>
          <w:kern w:val="2"/>
          <w:sz w:val="24"/>
          <w:szCs w:val="24"/>
          <w:lang w:val="en-US" w:eastAsia="zh-CN" w:bidi="ar-SA"/>
        </w:rPr>
        <w:t>人</w:t>
      </w:r>
      <w:r>
        <w:rPr>
          <w:rFonts w:hint="eastAsia" w:ascii="宋体" w:hAnsi="宋体" w:eastAsia="宋体" w:cs="宋体"/>
          <w:b/>
          <w:bCs/>
          <w:color w:val="auto"/>
          <w:kern w:val="2"/>
          <w:sz w:val="24"/>
          <w:szCs w:val="24"/>
          <w:lang w:val="en-US" w:eastAsia="zh-CN" w:bidi="ar-SA"/>
        </w:rPr>
        <w:t>公章</w:t>
      </w:r>
      <w:r>
        <w:rPr>
          <w:rFonts w:hint="eastAsia" w:ascii="宋体" w:hAnsi="宋体" w:cs="宋体"/>
          <w:b/>
          <w:bCs/>
          <w:color w:val="auto"/>
          <w:kern w:val="2"/>
          <w:sz w:val="24"/>
          <w:szCs w:val="24"/>
          <w:lang w:val="en-US" w:eastAsia="zh-CN" w:bidi="ar-SA"/>
        </w:rPr>
        <w:t>）</w:t>
      </w:r>
      <w:r>
        <w:rPr>
          <w:rFonts w:hint="eastAsia" w:ascii="宋体" w:hAnsi="宋体" w:eastAsia="宋体" w:cs="宋体"/>
          <w:color w:val="auto"/>
          <w:sz w:val="24"/>
        </w:rPr>
        <w:t>；</w:t>
      </w:r>
    </w:p>
    <w:p w14:paraId="2E4DCF53">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hAnsi="宋体" w:cs="宋体"/>
          <w:color w:val="auto"/>
          <w:sz w:val="24"/>
          <w:szCs w:val="24"/>
          <w:lang w:val="en-US" w:eastAsia="zh-CN"/>
        </w:rPr>
        <w:t>4</w:t>
      </w:r>
      <w:r>
        <w:rPr>
          <w:rFonts w:hint="eastAsia" w:ascii="宋体" w:hAnsi="宋体" w:eastAsia="宋体" w:cs="宋体"/>
          <w:color w:val="auto"/>
          <w:sz w:val="24"/>
          <w:szCs w:val="24"/>
        </w:rPr>
        <w:t>）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w:t>
      </w:r>
    </w:p>
    <w:p w14:paraId="1B5C31A6">
      <w:pPr>
        <w:pStyle w:val="25"/>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hAnsi="宋体" w:cs="宋体"/>
          <w:color w:val="auto"/>
          <w:sz w:val="24"/>
          <w:szCs w:val="24"/>
          <w:lang w:val="en-US" w:eastAsia="zh-CN"/>
        </w:rPr>
        <w:t>5</w:t>
      </w:r>
      <w:r>
        <w:rPr>
          <w:rFonts w:hint="eastAsia" w:ascii="宋体" w:hAnsi="宋体" w:eastAsia="宋体" w:cs="宋体"/>
          <w:color w:val="auto"/>
          <w:sz w:val="24"/>
          <w:szCs w:val="24"/>
        </w:rPr>
        <w:t>）社会保障资金缴纳证明：提供2025年1</w:t>
      </w:r>
      <w:r>
        <w:rPr>
          <w:rFonts w:hint="eastAsia" w:hAnsi="宋体" w:cs="宋体"/>
          <w:color w:val="auto"/>
          <w:sz w:val="24"/>
          <w:szCs w:val="24"/>
          <w:lang w:val="en-US" w:eastAsia="zh-CN"/>
        </w:rPr>
        <w:t>0</w:t>
      </w:r>
      <w:r>
        <w:rPr>
          <w:rFonts w:hint="eastAsia" w:ascii="宋体" w:hAnsi="宋体" w:eastAsia="宋体" w:cs="宋体"/>
          <w:color w:val="auto"/>
          <w:sz w:val="24"/>
          <w:szCs w:val="24"/>
        </w:rPr>
        <w:t>月至</w:t>
      </w:r>
      <w:r>
        <w:rPr>
          <w:rFonts w:hint="eastAsia" w:hAnsi="宋体" w:cs="宋体"/>
          <w:color w:val="auto"/>
          <w:sz w:val="24"/>
          <w:szCs w:val="24"/>
          <w:lang w:val="en-US" w:eastAsia="zh-CN"/>
        </w:rPr>
        <w:t>项目</w:t>
      </w:r>
      <w:r>
        <w:rPr>
          <w:rFonts w:hint="eastAsia" w:ascii="宋体" w:hAnsi="宋体" w:eastAsia="宋体" w:cs="宋体"/>
          <w:color w:val="auto"/>
          <w:sz w:val="24"/>
          <w:szCs w:val="24"/>
        </w:rPr>
        <w:t>开标前任意</w:t>
      </w:r>
      <w:r>
        <w:rPr>
          <w:rFonts w:hint="eastAsia" w:hAnsi="宋体" w:cs="宋体"/>
          <w:color w:val="auto"/>
          <w:sz w:val="24"/>
          <w:szCs w:val="24"/>
          <w:lang w:val="en-US" w:eastAsia="zh-CN"/>
        </w:rPr>
        <w:t>三</w:t>
      </w:r>
      <w:r>
        <w:rPr>
          <w:rFonts w:hint="eastAsia" w:ascii="宋体" w:hAnsi="宋体" w:eastAsia="宋体" w:cs="宋体"/>
          <w:color w:val="auto"/>
          <w:sz w:val="24"/>
          <w:szCs w:val="24"/>
        </w:rPr>
        <w:t>个月的社会保障资金缴纳证明或社会保险缴纳清单或社会保险缴纳专用收据（依法不需要缴纳社会保障资金或新成立的投标单位应提供相关文件证明）；</w:t>
      </w:r>
    </w:p>
    <w:p w14:paraId="5FA8C1F4">
      <w:pPr>
        <w:pStyle w:val="25"/>
        <w:spacing w:after="0" w:line="46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hAnsi="宋体" w:cs="宋体"/>
          <w:color w:val="auto"/>
          <w:sz w:val="24"/>
          <w:szCs w:val="24"/>
          <w:lang w:val="en-US" w:eastAsia="zh-CN"/>
        </w:rPr>
        <w:t>6</w:t>
      </w:r>
      <w:r>
        <w:rPr>
          <w:rFonts w:hint="eastAsia" w:ascii="宋体" w:hAnsi="宋体" w:eastAsia="宋体" w:cs="宋体"/>
          <w:color w:val="auto"/>
          <w:sz w:val="24"/>
          <w:szCs w:val="24"/>
        </w:rPr>
        <w:t>）税收缴纳证明：提供2025年1</w:t>
      </w:r>
      <w:r>
        <w:rPr>
          <w:rFonts w:hint="eastAsia" w:hAnsi="宋体" w:cs="宋体"/>
          <w:color w:val="auto"/>
          <w:sz w:val="24"/>
          <w:szCs w:val="24"/>
          <w:lang w:val="en-US" w:eastAsia="zh-CN"/>
        </w:rPr>
        <w:t>0</w:t>
      </w:r>
      <w:r>
        <w:rPr>
          <w:rFonts w:hint="eastAsia" w:ascii="宋体" w:hAnsi="宋体" w:eastAsia="宋体" w:cs="宋体"/>
          <w:color w:val="auto"/>
          <w:sz w:val="24"/>
          <w:szCs w:val="24"/>
        </w:rPr>
        <w:t>月至</w:t>
      </w:r>
      <w:r>
        <w:rPr>
          <w:rFonts w:hint="eastAsia" w:hAnsi="宋体" w:cs="宋体"/>
          <w:color w:val="auto"/>
          <w:sz w:val="24"/>
          <w:szCs w:val="24"/>
          <w:lang w:val="en-US" w:eastAsia="zh-CN"/>
        </w:rPr>
        <w:t>项目</w:t>
      </w:r>
      <w:r>
        <w:rPr>
          <w:rFonts w:hint="eastAsia" w:ascii="宋体" w:hAnsi="宋体" w:eastAsia="宋体" w:cs="宋体"/>
          <w:color w:val="auto"/>
          <w:sz w:val="24"/>
          <w:szCs w:val="24"/>
        </w:rPr>
        <w:t>开标前任意</w:t>
      </w:r>
      <w:r>
        <w:rPr>
          <w:rFonts w:hint="eastAsia" w:hAnsi="宋体" w:cs="宋体"/>
          <w:color w:val="auto"/>
          <w:sz w:val="24"/>
          <w:szCs w:val="24"/>
          <w:lang w:val="en-US" w:eastAsia="zh-CN"/>
        </w:rPr>
        <w:t>三</w:t>
      </w:r>
      <w:r>
        <w:rPr>
          <w:rFonts w:hint="eastAsia" w:ascii="宋体" w:hAnsi="宋体" w:eastAsia="宋体" w:cs="宋体"/>
          <w:color w:val="auto"/>
          <w:sz w:val="24"/>
          <w:szCs w:val="24"/>
        </w:rPr>
        <w:t>个月已缴纳的完税证明（依法免税或新成立的投标单位应提供相关文件证明）</w:t>
      </w:r>
      <w:r>
        <w:rPr>
          <w:rFonts w:hint="eastAsia" w:ascii="宋体" w:hAnsi="宋体" w:eastAsia="宋体" w:cs="宋体"/>
          <w:i w:val="0"/>
          <w:iCs w:val="0"/>
          <w:caps w:val="0"/>
          <w:color w:val="auto"/>
          <w:spacing w:val="0"/>
          <w:sz w:val="24"/>
          <w:szCs w:val="24"/>
          <w:shd w:val="clear" w:fill="FFFFFF"/>
          <w:lang w:eastAsia="zh-CN"/>
        </w:rPr>
        <w:t>；</w:t>
      </w:r>
    </w:p>
    <w:p w14:paraId="10FE5043">
      <w:pPr>
        <w:pStyle w:val="25"/>
        <w:spacing w:after="0" w:line="460" w:lineRule="exact"/>
        <w:ind w:firstLine="480" w:firstLineChars="200"/>
        <w:rPr>
          <w:rFonts w:hint="eastAsia" w:ascii="宋体" w:hAnsi="宋体" w:eastAsia="宋体" w:cs="宋体"/>
          <w:color w:val="auto"/>
          <w:sz w:val="24"/>
          <w:szCs w:val="24"/>
        </w:rPr>
      </w:pPr>
      <w:r>
        <w:rPr>
          <w:rFonts w:hint="eastAsia" w:hAnsi="宋体" w:cs="宋体"/>
          <w:color w:val="auto"/>
          <w:sz w:val="24"/>
          <w:szCs w:val="24"/>
          <w:lang w:eastAsia="zh-CN"/>
        </w:rPr>
        <w:t>（</w:t>
      </w:r>
      <w:r>
        <w:rPr>
          <w:rFonts w:hint="eastAsia" w:hAnsi="宋体" w:cs="宋体"/>
          <w:color w:val="auto"/>
          <w:sz w:val="24"/>
          <w:szCs w:val="24"/>
          <w:lang w:val="en-US" w:eastAsia="zh-CN"/>
        </w:rPr>
        <w:t>7</w:t>
      </w:r>
      <w:r>
        <w:rPr>
          <w:rFonts w:hint="eastAsia" w:hAnsi="宋体" w:cs="宋体"/>
          <w:color w:val="auto"/>
          <w:sz w:val="24"/>
          <w:szCs w:val="24"/>
          <w:lang w:eastAsia="zh-CN"/>
        </w:rPr>
        <w:t>）</w:t>
      </w:r>
      <w:r>
        <w:rPr>
          <w:rFonts w:hint="eastAsia" w:ascii="宋体" w:hAnsi="宋体" w:eastAsia="宋体" w:cs="宋体"/>
          <w:i w:val="0"/>
          <w:iCs w:val="0"/>
          <w:caps w:val="0"/>
          <w:color w:val="auto"/>
          <w:spacing w:val="0"/>
          <w:sz w:val="24"/>
          <w:szCs w:val="24"/>
          <w:shd w:val="clear" w:fill="FFFFFF"/>
        </w:rPr>
        <w:t>参加政府采购活动前三年内，在经营活动中没有重大违法记录的书面声明</w:t>
      </w:r>
      <w:r>
        <w:rPr>
          <w:rFonts w:hint="eastAsia" w:ascii="宋体" w:hAnsi="宋体" w:eastAsia="宋体" w:cs="宋体"/>
          <w:color w:val="auto"/>
          <w:sz w:val="24"/>
          <w:szCs w:val="24"/>
        </w:rPr>
        <w:t>；</w:t>
      </w:r>
    </w:p>
    <w:p w14:paraId="7EF8DC1A">
      <w:pPr>
        <w:pStyle w:val="10"/>
        <w:spacing w:after="0" w:line="46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hAnsi="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i w:val="0"/>
          <w:iCs w:val="0"/>
          <w:caps w:val="0"/>
          <w:color w:val="auto"/>
          <w:spacing w:val="0"/>
          <w:sz w:val="24"/>
          <w:szCs w:val="24"/>
          <w:shd w:val="clear" w:fill="FFFFFF"/>
        </w:rPr>
        <w:t>本项目不接受联合体投标</w:t>
      </w:r>
      <w:r>
        <w:rPr>
          <w:rFonts w:hint="eastAsia" w:hAnsi="宋体" w:cs="宋体"/>
          <w:i w:val="0"/>
          <w:iCs w:val="0"/>
          <w:caps w:val="0"/>
          <w:color w:val="auto"/>
          <w:spacing w:val="0"/>
          <w:sz w:val="24"/>
          <w:szCs w:val="24"/>
          <w:shd w:val="clear" w:fill="FFFFFF"/>
          <w:lang w:eastAsia="zh-CN"/>
        </w:rPr>
        <w:t>；</w:t>
      </w:r>
    </w:p>
    <w:p w14:paraId="0807BE7D">
      <w:pPr>
        <w:spacing w:line="440" w:lineRule="exact"/>
        <w:ind w:firstLine="480" w:firstLineChars="200"/>
        <w:rPr>
          <w:rFonts w:hint="eastAsia"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hAnsi="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eastAsia="zh-CN"/>
        </w:rPr>
        <w:t>）本项目</w:t>
      </w:r>
      <w:r>
        <w:rPr>
          <w:rFonts w:hint="eastAsia" w:hAnsi="宋体" w:cs="宋体"/>
          <w:i w:val="0"/>
          <w:iCs w:val="0"/>
          <w:caps w:val="0"/>
          <w:color w:val="auto"/>
          <w:spacing w:val="0"/>
          <w:sz w:val="24"/>
          <w:szCs w:val="24"/>
          <w:shd w:val="clear" w:fill="FFFFFF"/>
          <w:lang w:val="en-US" w:eastAsia="zh-CN"/>
        </w:rPr>
        <w:t>不</w:t>
      </w:r>
      <w:r>
        <w:rPr>
          <w:rFonts w:hint="eastAsia" w:ascii="宋体" w:hAnsi="宋体" w:eastAsia="宋体" w:cs="宋体"/>
          <w:i w:val="0"/>
          <w:iCs w:val="0"/>
          <w:caps w:val="0"/>
          <w:color w:val="auto"/>
          <w:spacing w:val="0"/>
          <w:sz w:val="24"/>
          <w:szCs w:val="24"/>
          <w:shd w:val="clear" w:fill="FFFFFF"/>
          <w:lang w:eastAsia="zh-CN"/>
        </w:rPr>
        <w:t>专门面向中小企业采购，投标企业</w:t>
      </w:r>
      <w:r>
        <w:rPr>
          <w:rFonts w:hint="eastAsia" w:hAnsi="宋体" w:cs="宋体"/>
          <w:i w:val="0"/>
          <w:iCs w:val="0"/>
          <w:caps w:val="0"/>
          <w:color w:val="auto"/>
          <w:spacing w:val="0"/>
          <w:sz w:val="24"/>
          <w:szCs w:val="24"/>
          <w:shd w:val="clear" w:fill="FFFFFF"/>
          <w:lang w:val="en-US" w:eastAsia="zh-CN"/>
        </w:rPr>
        <w:t>若为中小微企业，</w:t>
      </w:r>
      <w:r>
        <w:rPr>
          <w:rFonts w:hint="eastAsia" w:ascii="宋体" w:hAnsi="宋体" w:eastAsia="宋体" w:cs="宋体"/>
          <w:i w:val="0"/>
          <w:iCs w:val="0"/>
          <w:caps w:val="0"/>
          <w:color w:val="auto"/>
          <w:spacing w:val="0"/>
          <w:sz w:val="24"/>
          <w:szCs w:val="24"/>
          <w:shd w:val="clear" w:fill="FFFFFF"/>
          <w:lang w:eastAsia="zh-CN"/>
        </w:rPr>
        <w:t>应提供《中小企业声明函》，本项目采购标的对应的中小企业划分标准所属行业为：其他未列明行业；</w:t>
      </w:r>
      <w:r>
        <w:rPr>
          <w:rFonts w:hint="eastAsia" w:hAnsi="宋体" w:cs="宋体"/>
          <w:i w:val="0"/>
          <w:iCs w:val="0"/>
          <w:caps w:val="0"/>
          <w:color w:val="auto"/>
          <w:spacing w:val="0"/>
          <w:sz w:val="24"/>
          <w:szCs w:val="24"/>
          <w:shd w:val="clear" w:fill="FFFFFF"/>
          <w:lang w:eastAsia="zh-CN"/>
        </w:rPr>
        <w:t>（</w:t>
      </w:r>
      <w:r>
        <w:rPr>
          <w:rFonts w:hint="eastAsia" w:hAnsi="宋体" w:cs="宋体"/>
          <w:i w:val="0"/>
          <w:iCs w:val="0"/>
          <w:caps w:val="0"/>
          <w:color w:val="auto"/>
          <w:spacing w:val="0"/>
          <w:sz w:val="24"/>
          <w:szCs w:val="24"/>
          <w:shd w:val="clear" w:fill="FFFFFF"/>
          <w:lang w:val="en-US" w:eastAsia="zh-CN"/>
        </w:rPr>
        <w:t>格式见附件1</w:t>
      </w:r>
      <w:r>
        <w:rPr>
          <w:rFonts w:hint="eastAsia" w:hAnsi="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w:t>
      </w:r>
    </w:p>
    <w:p w14:paraId="50410857">
      <w:pPr>
        <w:spacing w:line="440" w:lineRule="exact"/>
        <w:ind w:firstLine="480" w:firstLineChars="200"/>
        <w:rPr>
          <w:rFonts w:hint="eastAsia" w:ascii="宋体" w:hAnsi="宋体" w:eastAsia="宋体" w:cs="宋体"/>
          <w:color w:val="auto"/>
          <w:sz w:val="28"/>
          <w:szCs w:val="28"/>
        </w:rPr>
      </w:pPr>
      <w:r>
        <w:rPr>
          <w:rFonts w:hint="eastAsia" w:hAnsi="宋体" w:cs="宋体"/>
          <w:color w:val="auto"/>
          <w:sz w:val="24"/>
          <w:szCs w:val="24"/>
          <w:lang w:val="en-US" w:eastAsia="zh-CN"/>
        </w:rPr>
        <w:t>（10）</w:t>
      </w:r>
      <w:r>
        <w:rPr>
          <w:rFonts w:hint="eastAsia" w:ascii="宋体" w:hAnsi="宋体" w:eastAsia="宋体" w:cs="宋体"/>
          <w:color w:val="auto"/>
          <w:sz w:val="24"/>
          <w:szCs w:val="24"/>
        </w:rPr>
        <w:t>供应商认为有必要提供的其他证明材料。</w:t>
      </w:r>
    </w:p>
    <w:p w14:paraId="764F56EE">
      <w:pPr>
        <w:pStyle w:val="20"/>
        <w:jc w:val="both"/>
        <w:rPr>
          <w:rFonts w:hint="eastAsia"/>
        </w:rPr>
      </w:pPr>
    </w:p>
    <w:p w14:paraId="7577C11B">
      <w:pPr>
        <w:pStyle w:val="20"/>
        <w:jc w:val="both"/>
        <w:rPr>
          <w:rFonts w:hint="eastAsia"/>
        </w:rPr>
      </w:pPr>
    </w:p>
    <w:p w14:paraId="6387AE4F">
      <w:pPr>
        <w:pStyle w:val="10"/>
        <w:keepNext w:val="0"/>
        <w:keepLines w:val="0"/>
        <w:pageBreakBefore w:val="0"/>
        <w:widowControl w:val="0"/>
        <w:kinsoku/>
        <w:wordWrap/>
        <w:overflowPunct/>
        <w:topLinePunct w:val="0"/>
        <w:autoSpaceDE/>
        <w:autoSpaceDN/>
        <w:bidi w:val="0"/>
        <w:adjustRightInd w:val="0"/>
        <w:snapToGrid/>
        <w:spacing w:after="0" w:line="480" w:lineRule="exact"/>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8"/>
          <w:szCs w:val="28"/>
        </w:rPr>
        <w:t>附件1</w:t>
      </w:r>
    </w:p>
    <w:p w14:paraId="5C414A04">
      <w:pPr>
        <w:keepNext w:val="0"/>
        <w:keepLines w:val="0"/>
        <w:widowControl/>
        <w:suppressLineNumbers w:val="0"/>
        <w:shd w:val="clear" w:fill="FFFFFF"/>
        <w:spacing w:before="0" w:beforeAutospacing="1" w:after="0" w:afterAutospacing="1" w:line="435" w:lineRule="atLeast"/>
        <w:ind w:left="0" w:right="0" w:firstLine="0"/>
        <w:jc w:val="center"/>
        <w:rPr>
          <w:rFonts w:ascii="Arial" w:hAnsi="Arial" w:cs="Arial"/>
          <w:i w:val="0"/>
          <w:iCs w:val="0"/>
          <w:caps w:val="0"/>
          <w:color w:val="auto"/>
          <w:spacing w:val="0"/>
          <w:sz w:val="21"/>
          <w:szCs w:val="21"/>
        </w:rPr>
      </w:pPr>
      <w:bookmarkStart w:id="160" w:name="OLE_LINK14"/>
      <w:bookmarkStart w:id="161" w:name="OLE_LINK13"/>
      <w:r>
        <w:rPr>
          <w:rStyle w:val="29"/>
          <w:rFonts w:hint="eastAsia" w:ascii="宋体" w:hAnsi="宋体" w:eastAsia="宋体" w:cs="宋体"/>
          <w:i w:val="0"/>
          <w:iCs w:val="0"/>
          <w:caps w:val="0"/>
          <w:color w:val="auto"/>
          <w:spacing w:val="0"/>
          <w:kern w:val="0"/>
          <w:sz w:val="28"/>
          <w:szCs w:val="28"/>
          <w:shd w:val="clear" w:fill="FFFFFF"/>
          <w:lang w:val="en-US" w:eastAsia="zh-CN" w:bidi="ar"/>
        </w:rPr>
        <w:t>中小企业声明函（工程、服务）</w:t>
      </w:r>
    </w:p>
    <w:p w14:paraId="23DD5EB1">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本公司（联合体）郑重声明，根据《政府采购促进中小企业发展管理办法》（财库﹝2020﹞46号）的规定，本公司（联合体）参加</w:t>
      </w:r>
      <w:r>
        <w:rPr>
          <w:rFonts w:hint="eastAsia" w:ascii="宋体" w:hAnsi="宋体" w:eastAsia="宋体" w:cs="宋体"/>
          <w:i w:val="0"/>
          <w:iCs w:val="0"/>
          <w:caps w:val="0"/>
          <w:color w:val="auto"/>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auto"/>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70A35F8C">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；承建（承接）企业为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0C1EB438">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2.</w:t>
      </w:r>
      <w:r>
        <w:rPr>
          <w:rFonts w:hint="eastAsia" w:ascii="宋体" w:hAnsi="宋体" w:eastAsia="宋体" w:cs="宋体"/>
          <w:i w:val="0"/>
          <w:iCs w:val="0"/>
          <w:caps w:val="0"/>
          <w:color w:val="auto"/>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行业；制造商为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w:t>
      </w:r>
      <w:r>
        <w:rPr>
          <w:rFonts w:hint="eastAsia" w:ascii="宋体" w:hAnsi="宋体" w:eastAsia="宋体" w:cs="宋体"/>
          <w:i w:val="0"/>
          <w:iCs w:val="0"/>
          <w:caps w:val="0"/>
          <w:color w:val="auto"/>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5D2C0E6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w:t>
      </w:r>
    </w:p>
    <w:p w14:paraId="6CE91574">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367ECA14">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本企业对上述声明内容的真实性负责。如有虚假，将依法承担相应责任。</w:t>
      </w:r>
    </w:p>
    <w:p w14:paraId="79DD62E4">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p>
    <w:p w14:paraId="6F670B08">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企业名称（盖章）：</w:t>
      </w:r>
    </w:p>
    <w:p w14:paraId="2368986B">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日 期：</w:t>
      </w:r>
    </w:p>
    <w:p w14:paraId="50364C3E">
      <w:pPr>
        <w:keepNext w:val="0"/>
        <w:keepLines w:val="0"/>
        <w:widowControl/>
        <w:suppressLineNumbers w:val="0"/>
        <w:shd w:val="clear" w:fill="FFFFFF"/>
        <w:spacing w:before="0" w:beforeAutospacing="1" w:after="0" w:afterAutospacing="1" w:line="435" w:lineRule="atLeast"/>
        <w:ind w:right="0"/>
        <w:jc w:val="left"/>
        <w:rPr>
          <w:rFonts w:hint="default" w:ascii="Arial" w:hAnsi="Arial" w:cs="Arial"/>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 </w:t>
      </w:r>
    </w:p>
    <w:p w14:paraId="40EB66C8">
      <w:pPr>
        <w:pStyle w:val="8"/>
        <w:pBdr>
          <w:top w:val="none" w:color="auto" w:sz="0" w:space="1"/>
          <w:left w:val="none" w:color="auto" w:sz="0" w:space="4"/>
          <w:bottom w:val="none" w:color="auto" w:sz="0" w:space="1"/>
          <w:right w:val="none" w:color="auto" w:sz="0" w:space="4"/>
        </w:pBdr>
        <w:rPr>
          <w:rFonts w:hint="eastAsia" w:ascii="宋体" w:hAnsi="宋体" w:eastAsia="宋体" w:cs="宋体"/>
          <w:bCs/>
          <w:color w:val="auto"/>
          <w:spacing w:val="6"/>
          <w:sz w:val="28"/>
          <w:szCs w:val="28"/>
        </w:rPr>
      </w:pPr>
      <w:r>
        <w:rPr>
          <w:rFonts w:hint="eastAsia" w:ascii="宋体" w:hAnsi="宋体" w:eastAsia="宋体" w:cs="宋体"/>
          <w:i w:val="0"/>
          <w:iCs w:val="0"/>
          <w:caps w:val="0"/>
          <w:color w:val="auto"/>
          <w:spacing w:val="0"/>
          <w:sz w:val="18"/>
          <w:szCs w:val="18"/>
          <w:shd w:val="clear" w:fill="FFFFFF"/>
          <w:vertAlign w:val="superscript"/>
          <w:lang w:val="en-US"/>
        </w:rPr>
        <w:t>1</w:t>
      </w:r>
      <w:r>
        <w:rPr>
          <w:rFonts w:hint="eastAsia" w:ascii="宋体" w:hAnsi="宋体" w:eastAsia="宋体" w:cs="宋体"/>
          <w:i w:val="0"/>
          <w:iCs w:val="0"/>
          <w:caps w:val="0"/>
          <w:color w:val="auto"/>
          <w:spacing w:val="0"/>
          <w:sz w:val="18"/>
          <w:szCs w:val="18"/>
          <w:shd w:val="clear" w:fill="FFFFFF"/>
        </w:rPr>
        <w:t>从业人员、营业收入、资产总额填报上一年度数据，无上一年度数据的新成立企业可不填报。</w:t>
      </w:r>
    </w:p>
    <w:p w14:paraId="4ABB28D5">
      <w:pPr>
        <w:spacing w:line="588" w:lineRule="exact"/>
        <w:rPr>
          <w:rFonts w:hint="eastAsia" w:ascii="宋体" w:hAnsi="宋体" w:eastAsia="宋体" w:cs="宋体"/>
          <w:bCs/>
          <w:color w:val="auto"/>
          <w:spacing w:val="6"/>
          <w:sz w:val="28"/>
          <w:szCs w:val="28"/>
        </w:rPr>
      </w:pPr>
    </w:p>
    <w:p w14:paraId="751D3E69">
      <w:pPr>
        <w:spacing w:line="588" w:lineRule="exact"/>
        <w:rPr>
          <w:rFonts w:hint="eastAsia" w:ascii="宋体" w:hAnsi="宋体" w:eastAsia="宋体" w:cs="宋体"/>
          <w:bCs/>
          <w:color w:val="auto"/>
          <w:spacing w:val="6"/>
          <w:sz w:val="28"/>
          <w:szCs w:val="28"/>
        </w:rPr>
      </w:pPr>
      <w:r>
        <w:rPr>
          <w:rFonts w:hint="eastAsia" w:ascii="宋体" w:hAnsi="宋体" w:eastAsia="宋体" w:cs="宋体"/>
          <w:bCs/>
          <w:color w:val="auto"/>
          <w:spacing w:val="6"/>
          <w:sz w:val="28"/>
          <w:szCs w:val="28"/>
        </w:rPr>
        <w:t>附件2</w:t>
      </w:r>
    </w:p>
    <w:p w14:paraId="06B80355">
      <w:pPr>
        <w:spacing w:line="588" w:lineRule="exact"/>
        <w:jc w:val="center"/>
        <w:rPr>
          <w:rFonts w:hint="eastAsia" w:ascii="宋体" w:hAnsi="宋体" w:eastAsia="宋体" w:cs="宋体"/>
          <w:b/>
          <w:color w:val="auto"/>
          <w:spacing w:val="6"/>
          <w:sz w:val="32"/>
          <w:szCs w:val="32"/>
        </w:rPr>
      </w:pPr>
    </w:p>
    <w:p w14:paraId="4875AA6D">
      <w:pPr>
        <w:spacing w:line="588" w:lineRule="exact"/>
        <w:jc w:val="center"/>
        <w:rPr>
          <w:rFonts w:hint="eastAsia" w:ascii="宋体" w:hAnsi="宋体" w:eastAsia="宋体" w:cs="宋体"/>
          <w:b/>
          <w:color w:val="auto"/>
          <w:spacing w:val="6"/>
          <w:sz w:val="32"/>
          <w:szCs w:val="32"/>
        </w:rPr>
      </w:pPr>
      <w:r>
        <w:rPr>
          <w:rFonts w:hint="eastAsia" w:ascii="宋体" w:hAnsi="宋体" w:eastAsia="宋体" w:cs="宋体"/>
          <w:b/>
          <w:color w:val="auto"/>
          <w:spacing w:val="6"/>
          <w:sz w:val="32"/>
          <w:szCs w:val="32"/>
        </w:rPr>
        <w:t>残疾人福利性单位声明函</w:t>
      </w:r>
    </w:p>
    <w:bookmarkEnd w:id="160"/>
    <w:bookmarkEnd w:id="161"/>
    <w:p w14:paraId="3B8BA2CF">
      <w:pPr>
        <w:spacing w:line="588" w:lineRule="exact"/>
        <w:rPr>
          <w:rFonts w:hint="eastAsia" w:ascii="宋体" w:hAnsi="宋体" w:eastAsia="宋体" w:cs="宋体"/>
          <w:b/>
          <w:color w:val="auto"/>
          <w:spacing w:val="6"/>
          <w:sz w:val="30"/>
          <w:szCs w:val="30"/>
        </w:rPr>
      </w:pPr>
    </w:p>
    <w:p w14:paraId="37CA4105">
      <w:pPr>
        <w:spacing w:line="588" w:lineRule="exact"/>
        <w:ind w:firstLine="624" w:firstLineChars="200"/>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本单位郑重声明，根据《财政部 民政部 中国残疾人联合会关于促进残疾人就业政府采购政策的通知》（财库</w:t>
      </w:r>
      <w:r>
        <w:rPr>
          <w:rFonts w:hint="eastAsia" w:ascii="宋体" w:hAnsi="宋体" w:eastAsia="宋体" w:cs="宋体"/>
          <w:color w:val="auto"/>
          <w:sz w:val="32"/>
          <w:szCs w:val="32"/>
        </w:rPr>
        <w:t>〔2017〕141</w:t>
      </w:r>
      <w:r>
        <w:rPr>
          <w:rFonts w:hint="eastAsia" w:ascii="宋体" w:hAnsi="宋体" w:eastAsia="宋体" w:cs="宋体"/>
          <w:color w:val="auto"/>
          <w:spacing w:val="6"/>
          <w:sz w:val="30"/>
          <w:szCs w:val="30"/>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DDA489">
      <w:pPr>
        <w:spacing w:line="588" w:lineRule="exact"/>
        <w:ind w:firstLine="624" w:firstLineChars="200"/>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本单位对上述声明的真实性负责。如有虚假，将依法承担相应责任。</w:t>
      </w:r>
    </w:p>
    <w:p w14:paraId="5D406344">
      <w:pPr>
        <w:spacing w:line="588" w:lineRule="exact"/>
        <w:ind w:firstLine="624" w:firstLineChars="200"/>
        <w:rPr>
          <w:rFonts w:hint="eastAsia" w:ascii="宋体" w:hAnsi="宋体" w:eastAsia="宋体" w:cs="宋体"/>
          <w:color w:val="auto"/>
          <w:spacing w:val="6"/>
          <w:sz w:val="30"/>
          <w:szCs w:val="30"/>
        </w:rPr>
      </w:pPr>
    </w:p>
    <w:p w14:paraId="1C28C33A">
      <w:pPr>
        <w:spacing w:line="588" w:lineRule="exact"/>
        <w:ind w:firstLine="624" w:firstLineChars="200"/>
        <w:rPr>
          <w:rFonts w:hint="eastAsia" w:ascii="宋体" w:hAnsi="宋体" w:eastAsia="宋体" w:cs="宋体"/>
          <w:color w:val="auto"/>
          <w:spacing w:val="6"/>
          <w:sz w:val="30"/>
          <w:szCs w:val="30"/>
        </w:rPr>
      </w:pPr>
    </w:p>
    <w:p w14:paraId="5FBDC3F3">
      <w:pPr>
        <w:tabs>
          <w:tab w:val="left" w:pos="4860"/>
        </w:tabs>
        <w:spacing w:line="588" w:lineRule="exact"/>
        <w:ind w:right="1560" w:firstLine="624" w:firstLineChars="200"/>
        <w:jc w:val="center"/>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               单位名称（盖章）：</w:t>
      </w:r>
    </w:p>
    <w:p w14:paraId="520ACA70">
      <w:pPr>
        <w:tabs>
          <w:tab w:val="left" w:pos="4860"/>
        </w:tabs>
        <w:spacing w:line="588" w:lineRule="exact"/>
        <w:ind w:right="1560" w:firstLine="624" w:firstLineChars="200"/>
        <w:jc w:val="center"/>
        <w:rPr>
          <w:rFonts w:hint="eastAsia" w:ascii="宋体" w:hAnsi="宋体" w:eastAsia="宋体" w:cs="宋体"/>
          <w:color w:val="auto"/>
          <w:spacing w:val="6"/>
          <w:sz w:val="30"/>
          <w:szCs w:val="30"/>
        </w:rPr>
      </w:pPr>
      <w:r>
        <w:rPr>
          <w:rFonts w:hint="eastAsia" w:ascii="宋体" w:hAnsi="宋体" w:eastAsia="宋体" w:cs="宋体"/>
          <w:color w:val="auto"/>
          <w:spacing w:val="6"/>
          <w:sz w:val="30"/>
          <w:szCs w:val="30"/>
        </w:rPr>
        <w:t xml:space="preserve">      日  期：</w:t>
      </w:r>
    </w:p>
    <w:p w14:paraId="7F0C024E">
      <w:pPr>
        <w:pStyle w:val="75"/>
        <w:rPr>
          <w:rFonts w:hint="eastAsia" w:ascii="宋体" w:hAnsi="宋体" w:eastAsia="宋体" w:cs="宋体"/>
          <w:color w:val="auto"/>
        </w:rPr>
      </w:pPr>
    </w:p>
    <w:p w14:paraId="363D1D94">
      <w:pPr>
        <w:pStyle w:val="75"/>
        <w:rPr>
          <w:rFonts w:hint="eastAsia" w:ascii="宋体" w:hAnsi="宋体" w:eastAsia="宋体" w:cs="宋体"/>
          <w:color w:val="auto"/>
        </w:rPr>
      </w:pPr>
    </w:p>
    <w:p w14:paraId="0E2E6CA2">
      <w:pPr>
        <w:pStyle w:val="75"/>
        <w:rPr>
          <w:rFonts w:hint="eastAsia" w:ascii="宋体" w:hAnsi="宋体" w:eastAsia="宋体" w:cs="宋体"/>
          <w:color w:val="auto"/>
        </w:rPr>
      </w:pPr>
    </w:p>
    <w:p w14:paraId="36960567">
      <w:pPr>
        <w:widowControl/>
        <w:spacing w:line="440" w:lineRule="exact"/>
        <w:rPr>
          <w:rFonts w:hint="eastAsia" w:ascii="宋体" w:hAnsi="宋体" w:eastAsia="宋体" w:cs="宋体"/>
          <w:b/>
          <w:bCs/>
          <w:color w:val="auto"/>
          <w:sz w:val="32"/>
          <w:szCs w:val="32"/>
        </w:rPr>
      </w:pPr>
    </w:p>
    <w:p w14:paraId="75F74787">
      <w:pPr>
        <w:pStyle w:val="75"/>
        <w:rPr>
          <w:rFonts w:hint="eastAsia" w:ascii="宋体" w:hAnsi="宋体" w:eastAsia="宋体" w:cs="宋体"/>
          <w:color w:val="auto"/>
        </w:rPr>
      </w:pPr>
    </w:p>
    <w:p w14:paraId="4AE7F319">
      <w:pPr>
        <w:widowControl/>
        <w:spacing w:line="440" w:lineRule="exact"/>
        <w:jc w:val="center"/>
        <w:rPr>
          <w:rFonts w:hint="eastAsia" w:ascii="宋体" w:hAnsi="宋体" w:eastAsia="宋体" w:cs="宋体"/>
          <w:b/>
          <w:bCs/>
          <w:color w:val="auto"/>
          <w:sz w:val="32"/>
          <w:szCs w:val="32"/>
        </w:rPr>
      </w:pPr>
    </w:p>
    <w:p w14:paraId="5808CCD3">
      <w:pPr>
        <w:pStyle w:val="6"/>
        <w:rPr>
          <w:rFonts w:hint="eastAsia"/>
          <w:color w:val="auto"/>
        </w:rPr>
      </w:pPr>
    </w:p>
    <w:p w14:paraId="30CFEFE3">
      <w:pPr>
        <w:pStyle w:val="10"/>
        <w:rPr>
          <w:rFonts w:hint="eastAsia" w:ascii="宋体" w:hAnsi="宋体" w:eastAsia="宋体" w:cs="宋体"/>
          <w:color w:val="auto"/>
        </w:rPr>
      </w:pPr>
    </w:p>
    <w:p w14:paraId="5DBC779F">
      <w:pPr>
        <w:widowControl/>
        <w:spacing w:line="440" w:lineRule="exact"/>
        <w:jc w:val="center"/>
        <w:rPr>
          <w:rFonts w:hint="eastAsia" w:ascii="宋体" w:hAnsi="宋体" w:eastAsia="宋体" w:cs="宋体"/>
          <w:b/>
          <w:bCs/>
          <w:color w:val="auto"/>
          <w:sz w:val="32"/>
          <w:szCs w:val="32"/>
        </w:rPr>
      </w:pPr>
    </w:p>
    <w:p w14:paraId="4AE29373">
      <w:pPr>
        <w:rPr>
          <w:rFonts w:hint="eastAsia"/>
          <w:color w:val="auto"/>
        </w:rPr>
      </w:pPr>
    </w:p>
    <w:p w14:paraId="174DB158">
      <w:pPr>
        <w:widowControl/>
        <w:spacing w:line="440" w:lineRule="exact"/>
        <w:jc w:val="center"/>
        <w:rPr>
          <w:rFonts w:hint="eastAsia" w:ascii="宋体" w:hAnsi="宋体" w:eastAsia="宋体" w:cs="宋体"/>
          <w:b/>
          <w:bCs/>
          <w:color w:val="auto"/>
          <w:sz w:val="32"/>
          <w:szCs w:val="32"/>
        </w:rPr>
      </w:pPr>
    </w:p>
    <w:p w14:paraId="40D8FAB1">
      <w:pPr>
        <w:widowControl/>
        <w:spacing w:line="440" w:lineRule="exact"/>
        <w:jc w:val="center"/>
        <w:rPr>
          <w:rFonts w:hint="eastAsia" w:ascii="宋体" w:hAnsi="宋体" w:eastAsia="宋体" w:cs="宋体"/>
          <w:color w:val="auto"/>
          <w:sz w:val="24"/>
        </w:rPr>
      </w:pPr>
      <w:r>
        <w:rPr>
          <w:rFonts w:hint="eastAsia" w:ascii="宋体" w:hAnsi="宋体" w:eastAsia="宋体" w:cs="宋体"/>
          <w:b/>
          <w:bCs/>
          <w:color w:val="auto"/>
          <w:sz w:val="32"/>
          <w:szCs w:val="32"/>
        </w:rPr>
        <w:t>五、投标方案说明及服务承诺</w:t>
      </w:r>
    </w:p>
    <w:p w14:paraId="28766864">
      <w:pPr>
        <w:spacing w:line="480" w:lineRule="auto"/>
        <w:jc w:val="left"/>
        <w:rPr>
          <w:rFonts w:hint="eastAsia" w:ascii="宋体" w:hAnsi="宋体" w:eastAsia="宋体" w:cs="宋体"/>
          <w:color w:val="auto"/>
          <w:sz w:val="24"/>
        </w:rPr>
      </w:pPr>
    </w:p>
    <w:p w14:paraId="218AF7B7">
      <w:pPr>
        <w:numPr>
          <w:ilvl w:val="0"/>
          <w:numId w:val="24"/>
        </w:numPr>
        <w:adjustRightInd/>
        <w:spacing w:line="480" w:lineRule="auto"/>
        <w:ind w:firstLine="480" w:firstLineChars="200"/>
        <w:textAlignment w:val="auto"/>
        <w:rPr>
          <w:rFonts w:hint="eastAsia" w:hAnsi="宋体" w:cs="宋体"/>
          <w:color w:val="auto"/>
          <w:sz w:val="24"/>
          <w:lang w:val="en-US" w:eastAsia="zh-CN"/>
        </w:rPr>
      </w:pPr>
      <w:r>
        <w:rPr>
          <w:rFonts w:hint="eastAsia" w:ascii="宋体" w:hAnsi="宋体" w:eastAsia="宋体" w:cs="宋体"/>
          <w:color w:val="auto"/>
          <w:sz w:val="24"/>
        </w:rPr>
        <w:t>各供应商按照</w:t>
      </w:r>
      <w:r>
        <w:rPr>
          <w:rFonts w:hint="eastAsia" w:hAnsi="宋体" w:cs="宋体"/>
          <w:color w:val="auto"/>
          <w:sz w:val="24"/>
          <w:lang w:eastAsia="zh-CN"/>
        </w:rPr>
        <w:t>招标文件</w:t>
      </w:r>
      <w:r>
        <w:rPr>
          <w:rFonts w:hint="eastAsia" w:ascii="宋体" w:hAnsi="宋体" w:eastAsia="宋体" w:cs="宋体"/>
          <w:color w:val="auto"/>
          <w:sz w:val="24"/>
        </w:rPr>
        <w:t>“第四章 采购内容与</w:t>
      </w:r>
      <w:r>
        <w:rPr>
          <w:rFonts w:hint="eastAsia" w:hAnsi="宋体" w:cs="宋体"/>
          <w:color w:val="auto"/>
          <w:sz w:val="24"/>
          <w:lang w:eastAsia="zh-CN"/>
        </w:rPr>
        <w:t>服务要求</w:t>
      </w:r>
      <w:r>
        <w:rPr>
          <w:rFonts w:hint="eastAsia" w:ascii="宋体" w:hAnsi="宋体" w:eastAsia="宋体" w:cs="宋体"/>
          <w:color w:val="auto"/>
          <w:sz w:val="24"/>
        </w:rPr>
        <w:t>”及</w:t>
      </w:r>
      <w:r>
        <w:rPr>
          <w:rFonts w:hint="eastAsia" w:hAnsi="宋体" w:cs="宋体"/>
          <w:color w:val="auto"/>
          <w:sz w:val="24"/>
          <w:lang w:eastAsia="zh-CN"/>
        </w:rPr>
        <w:t>招标文件</w:t>
      </w:r>
      <w:r>
        <w:rPr>
          <w:rFonts w:hint="eastAsia" w:ascii="宋体" w:hAnsi="宋体" w:eastAsia="宋体" w:cs="宋体"/>
          <w:color w:val="auto"/>
          <w:sz w:val="24"/>
        </w:rPr>
        <w:t>“综合评分法”中的评审细则表编制对应的</w:t>
      </w:r>
      <w:r>
        <w:rPr>
          <w:rFonts w:hint="eastAsia" w:hAnsi="宋体" w:cs="宋体"/>
          <w:color w:val="auto"/>
          <w:sz w:val="24"/>
          <w:lang w:val="en-US" w:eastAsia="zh-CN"/>
        </w:rPr>
        <w:t>投标</w:t>
      </w:r>
      <w:r>
        <w:rPr>
          <w:rFonts w:hint="eastAsia" w:ascii="宋体" w:hAnsi="宋体" w:eastAsia="宋体" w:cs="宋体"/>
          <w:color w:val="auto"/>
          <w:sz w:val="24"/>
        </w:rPr>
        <w:t>方案</w:t>
      </w:r>
      <w:r>
        <w:rPr>
          <w:rFonts w:hint="eastAsia" w:hAnsi="宋体" w:cs="宋体"/>
          <w:color w:val="auto"/>
          <w:sz w:val="24"/>
          <w:lang w:eastAsia="zh-CN"/>
        </w:rPr>
        <w:t>，</w:t>
      </w:r>
      <w:r>
        <w:rPr>
          <w:rFonts w:hint="eastAsia" w:hAnsi="宋体" w:cs="宋体"/>
          <w:color w:val="auto"/>
          <w:sz w:val="24"/>
          <w:lang w:val="en-US" w:eastAsia="zh-CN"/>
        </w:rPr>
        <w:t>格式自拟</w:t>
      </w:r>
      <w:r>
        <w:rPr>
          <w:rFonts w:hint="eastAsia" w:hAnsi="宋体" w:cs="宋体"/>
          <w:color w:val="auto"/>
          <w:sz w:val="24"/>
          <w:highlight w:val="none"/>
          <w:lang w:val="en-US" w:eastAsia="zh-CN"/>
        </w:rPr>
        <w:t>。</w:t>
      </w:r>
    </w:p>
    <w:p w14:paraId="46BBB34C">
      <w:pPr>
        <w:adjustRightInd/>
        <w:spacing w:line="480" w:lineRule="auto"/>
        <w:ind w:firstLine="480" w:firstLineChars="200"/>
        <w:textAlignment w:val="auto"/>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rPr>
        <w:t>、</w:t>
      </w:r>
      <w:r>
        <w:rPr>
          <w:rFonts w:hint="eastAsia" w:hAnsi="宋体" w:cs="宋体"/>
          <w:color w:val="auto"/>
          <w:sz w:val="24"/>
          <w:szCs w:val="24"/>
          <w:lang w:val="en-US" w:eastAsia="zh-CN"/>
        </w:rPr>
        <w:t>企业业绩。</w:t>
      </w:r>
    </w:p>
    <w:p w14:paraId="19DD7812">
      <w:pPr>
        <w:adjustRightInd/>
        <w:spacing w:line="480" w:lineRule="auto"/>
        <w:ind w:firstLine="480" w:firstLineChars="200"/>
        <w:textAlignment w:val="auto"/>
        <w:rPr>
          <w:rFonts w:hint="eastAsia" w:ascii="宋体" w:hAnsi="宋体" w:eastAsia="宋体" w:cs="宋体"/>
          <w:b/>
          <w:bCs/>
          <w:color w:val="auto"/>
          <w:sz w:val="24"/>
          <w:szCs w:val="24"/>
        </w:rPr>
      </w:pPr>
      <w:r>
        <w:rPr>
          <w:rFonts w:hint="eastAsia" w:hAnsi="宋体" w:cs="宋体"/>
          <w:color w:val="auto"/>
          <w:sz w:val="24"/>
          <w:szCs w:val="24"/>
          <w:lang w:val="en-US" w:eastAsia="zh-CN"/>
        </w:rPr>
        <w:t>3、</w:t>
      </w:r>
      <w:r>
        <w:rPr>
          <w:rFonts w:hint="eastAsia" w:ascii="宋体" w:hAnsi="宋体" w:eastAsia="宋体" w:cs="宋体"/>
          <w:color w:val="auto"/>
          <w:sz w:val="24"/>
          <w:szCs w:val="24"/>
        </w:rPr>
        <w:t>供应商认为有必要说明的问题。</w:t>
      </w:r>
    </w:p>
    <w:p w14:paraId="42B302D9">
      <w:pPr>
        <w:widowControl/>
        <w:adjustRightInd/>
        <w:spacing w:line="440" w:lineRule="exact"/>
        <w:jc w:val="center"/>
        <w:textAlignment w:val="auto"/>
        <w:rPr>
          <w:rFonts w:hint="eastAsia" w:ascii="宋体" w:hAnsi="宋体" w:eastAsia="宋体" w:cs="宋体"/>
          <w:b/>
          <w:bCs/>
          <w:color w:val="auto"/>
          <w:sz w:val="32"/>
          <w:szCs w:val="32"/>
        </w:rPr>
      </w:pPr>
    </w:p>
    <w:p w14:paraId="5B5B7F17">
      <w:pPr>
        <w:pStyle w:val="10"/>
        <w:rPr>
          <w:rFonts w:hint="eastAsia" w:ascii="宋体" w:hAnsi="宋体" w:eastAsia="宋体" w:cs="宋体"/>
          <w:color w:val="auto"/>
        </w:rPr>
      </w:pPr>
    </w:p>
    <w:p w14:paraId="24E43501">
      <w:pPr>
        <w:pStyle w:val="25"/>
        <w:ind w:firstLine="321"/>
        <w:rPr>
          <w:rFonts w:hint="eastAsia" w:ascii="宋体" w:hAnsi="宋体" w:eastAsia="宋体" w:cs="宋体"/>
          <w:b/>
          <w:bCs/>
          <w:color w:val="auto"/>
          <w:sz w:val="32"/>
          <w:szCs w:val="32"/>
        </w:rPr>
      </w:pPr>
    </w:p>
    <w:p w14:paraId="2BE8414D">
      <w:pPr>
        <w:pStyle w:val="25"/>
        <w:ind w:firstLine="321"/>
        <w:rPr>
          <w:rFonts w:hint="eastAsia" w:ascii="宋体" w:hAnsi="宋体" w:eastAsia="宋体" w:cs="宋体"/>
          <w:b/>
          <w:bCs/>
          <w:color w:val="auto"/>
          <w:sz w:val="32"/>
          <w:szCs w:val="32"/>
        </w:rPr>
      </w:pPr>
    </w:p>
    <w:p w14:paraId="55ED9B04">
      <w:pPr>
        <w:pStyle w:val="25"/>
        <w:ind w:firstLine="321"/>
        <w:rPr>
          <w:rFonts w:hint="eastAsia" w:ascii="宋体" w:hAnsi="宋体" w:eastAsia="宋体" w:cs="宋体"/>
          <w:b/>
          <w:bCs/>
          <w:color w:val="auto"/>
          <w:sz w:val="32"/>
          <w:szCs w:val="32"/>
        </w:rPr>
      </w:pPr>
    </w:p>
    <w:p w14:paraId="439F0D80">
      <w:pPr>
        <w:pStyle w:val="25"/>
        <w:ind w:firstLine="321"/>
        <w:rPr>
          <w:rFonts w:hint="eastAsia" w:ascii="宋体" w:hAnsi="宋体" w:eastAsia="宋体" w:cs="宋体"/>
          <w:b/>
          <w:bCs/>
          <w:color w:val="auto"/>
          <w:sz w:val="32"/>
          <w:szCs w:val="32"/>
        </w:rPr>
      </w:pPr>
    </w:p>
    <w:p w14:paraId="4ED47196">
      <w:pPr>
        <w:pStyle w:val="25"/>
        <w:ind w:firstLine="321"/>
        <w:rPr>
          <w:rFonts w:hint="eastAsia" w:ascii="宋体" w:hAnsi="宋体" w:eastAsia="宋体" w:cs="宋体"/>
          <w:b/>
          <w:bCs/>
          <w:color w:val="auto"/>
          <w:sz w:val="32"/>
          <w:szCs w:val="32"/>
        </w:rPr>
      </w:pPr>
    </w:p>
    <w:p w14:paraId="774ACE8E">
      <w:pPr>
        <w:pStyle w:val="12"/>
        <w:rPr>
          <w:rFonts w:hint="eastAsia"/>
        </w:rPr>
      </w:pPr>
    </w:p>
    <w:p w14:paraId="4C30AB96">
      <w:pPr>
        <w:pStyle w:val="12"/>
        <w:rPr>
          <w:rFonts w:hint="eastAsia"/>
        </w:rPr>
      </w:pPr>
    </w:p>
    <w:p w14:paraId="4C8530F5">
      <w:pPr>
        <w:rPr>
          <w:rFonts w:hint="eastAsia"/>
        </w:rPr>
      </w:pPr>
    </w:p>
    <w:p w14:paraId="623461F1">
      <w:pPr>
        <w:rPr>
          <w:rFonts w:hint="eastAsia"/>
        </w:rPr>
      </w:pPr>
    </w:p>
    <w:p w14:paraId="5629A34F">
      <w:pPr>
        <w:rPr>
          <w:rFonts w:hint="eastAsia"/>
        </w:rPr>
      </w:pPr>
    </w:p>
    <w:p w14:paraId="62ED1DF5">
      <w:pPr>
        <w:rPr>
          <w:rFonts w:hint="eastAsia"/>
        </w:rPr>
      </w:pPr>
    </w:p>
    <w:p w14:paraId="2BD001E2">
      <w:pPr>
        <w:rPr>
          <w:rFonts w:hint="eastAsia" w:ascii="宋体" w:hAnsi="宋体" w:eastAsia="宋体" w:cs="宋体"/>
          <w:color w:val="auto"/>
        </w:rPr>
      </w:pPr>
    </w:p>
    <w:p w14:paraId="70374EEB">
      <w:pPr>
        <w:pStyle w:val="25"/>
        <w:ind w:firstLine="321"/>
        <w:rPr>
          <w:rFonts w:hint="eastAsia" w:ascii="宋体" w:hAnsi="宋体" w:eastAsia="宋体" w:cs="宋体"/>
          <w:b/>
          <w:bCs/>
          <w:color w:val="auto"/>
          <w:sz w:val="32"/>
          <w:szCs w:val="32"/>
        </w:rPr>
      </w:pPr>
    </w:p>
    <w:p w14:paraId="275A82EA">
      <w:pPr>
        <w:spacing w:line="360" w:lineRule="atLeast"/>
        <w:rPr>
          <w:rFonts w:hint="eastAsia" w:ascii="宋体" w:hAnsi="宋体" w:eastAsia="宋体" w:cs="宋体"/>
          <w:b/>
          <w:bCs/>
          <w:color w:val="auto"/>
          <w:sz w:val="32"/>
          <w:szCs w:val="32"/>
        </w:rPr>
      </w:pPr>
    </w:p>
    <w:p w14:paraId="317A6516">
      <w:pPr>
        <w:spacing w:line="360" w:lineRule="atLeast"/>
        <w:jc w:val="center"/>
        <w:rPr>
          <w:rFonts w:hint="eastAsia" w:ascii="宋体" w:hAnsi="宋体" w:eastAsia="宋体" w:cs="宋体"/>
          <w:b/>
          <w:bCs/>
          <w:color w:val="auto"/>
          <w:sz w:val="32"/>
          <w:szCs w:val="32"/>
        </w:rPr>
        <w:sectPr>
          <w:headerReference r:id="rId8" w:type="default"/>
          <w:footerReference r:id="rId9" w:type="default"/>
          <w:pgSz w:w="11906" w:h="16838"/>
          <w:pgMar w:top="1418" w:right="1361" w:bottom="1418" w:left="1474" w:header="851" w:footer="992" w:gutter="0"/>
          <w:pgNumType w:fmt="decimal" w:start="1"/>
          <w:cols w:space="720" w:num="1"/>
          <w:docGrid w:type="linesAndChars" w:linePitch="312" w:charSpace="0"/>
        </w:sectPr>
      </w:pPr>
    </w:p>
    <w:p w14:paraId="7A7293A7">
      <w:pPr>
        <w:spacing w:line="360" w:lineRule="atLeas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六、</w:t>
      </w:r>
      <w:r>
        <w:rPr>
          <w:rFonts w:hint="eastAsia" w:ascii="宋体" w:hAnsi="宋体" w:eastAsia="宋体" w:cs="宋体"/>
          <w:b/>
          <w:color w:val="auto"/>
          <w:sz w:val="32"/>
        </w:rPr>
        <w:t>陕西省政府采购供应商拒绝政府采购领域商业贿赂承诺书</w:t>
      </w:r>
    </w:p>
    <w:p w14:paraId="0250D80F">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为响应党中央、国务院关于治理政府采购领域商业贿赂行为的号召，我单位在此庄严承诺：</w:t>
      </w:r>
    </w:p>
    <w:p w14:paraId="00428CC4">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1、在参与政府采购活动中遵纪守法、诚信经营、公平竞标。</w:t>
      </w:r>
    </w:p>
    <w:p w14:paraId="4759E15C">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2、不向政府采购人、采购代理机构和政府采购评审专家进行任何形式的商业贿赂以谋取交易机会。</w:t>
      </w:r>
    </w:p>
    <w:p w14:paraId="4D48CB1D">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3、不向政府采购代理机构和采购人提供虚假资质文件或采用虚假应标方式参与政府采购市场竞争并谋取中标、成交。</w:t>
      </w:r>
    </w:p>
    <w:p w14:paraId="0A23B966">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4、不采取“围标、陪标”等商业欺诈手段获得政府采购订单。</w:t>
      </w:r>
    </w:p>
    <w:p w14:paraId="312767ED">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5、不采取不正当手段诋毁、排挤其他供应商。</w:t>
      </w:r>
    </w:p>
    <w:p w14:paraId="43264A0C">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6、不在提供商品和服务时“偷梁换柱、以次充好”损害采购人的合法权益。</w:t>
      </w:r>
    </w:p>
    <w:p w14:paraId="4D815DFC">
      <w:pPr>
        <w:widowControl/>
        <w:spacing w:line="52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7、不与采购人、采购代理机构政府采购评审专家或其他供应商恶意串通，进行质疑和投诉，维护政府采购市场秩序。</w:t>
      </w:r>
    </w:p>
    <w:p w14:paraId="3C4B25F8">
      <w:pPr>
        <w:widowControl/>
        <w:spacing w:line="520" w:lineRule="exact"/>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8、尊重和接受政府采购监督管理部门的监督和政府采购代理机构招标采购要求，承担因违约行为给采购人造成的损失。</w:t>
      </w:r>
      <w:r>
        <w:rPr>
          <w:rFonts w:hint="eastAsia" w:ascii="宋体" w:hAnsi="宋体" w:eastAsia="宋体" w:cs="宋体"/>
          <w:color w:val="auto"/>
          <w:sz w:val="24"/>
        </w:rPr>
        <w:br w:type="textWrapping"/>
      </w:r>
      <w:r>
        <w:rPr>
          <w:rFonts w:hint="eastAsia" w:ascii="宋体" w:hAnsi="宋体" w:eastAsia="宋体" w:cs="宋体"/>
          <w:color w:val="auto"/>
          <w:sz w:val="24"/>
        </w:rPr>
        <w:t>　　9、不发生其他有悖于政府采购公开、公平、公正和诚信原则的行为。</w:t>
      </w:r>
      <w:r>
        <w:rPr>
          <w:rFonts w:hint="eastAsia" w:ascii="宋体" w:hAnsi="宋体" w:eastAsia="宋体" w:cs="宋体"/>
          <w:color w:val="auto"/>
          <w:sz w:val="24"/>
        </w:rPr>
        <w:br w:type="textWrapping"/>
      </w:r>
      <w:r>
        <w:rPr>
          <w:rFonts w:hint="eastAsia" w:ascii="宋体" w:hAnsi="宋体" w:eastAsia="宋体" w:cs="宋体"/>
          <w:color w:val="auto"/>
          <w:sz w:val="24"/>
        </w:rPr>
        <w:br w:type="textWrapping"/>
      </w:r>
      <w:r>
        <w:rPr>
          <w:rFonts w:hint="eastAsia" w:ascii="宋体" w:hAnsi="宋体" w:eastAsia="宋体" w:cs="宋体"/>
          <w:color w:val="auto"/>
          <w:sz w:val="24"/>
        </w:rPr>
        <w:t>  承诺单位：</w:t>
      </w:r>
      <w:r>
        <w:rPr>
          <w:rFonts w:hint="eastAsia" w:ascii="宋体" w:hAnsi="宋体" w:eastAsia="宋体" w:cs="宋体"/>
          <w:color w:val="auto"/>
          <w:sz w:val="24"/>
          <w:u w:val="single"/>
        </w:rPr>
        <w:t>　　                    　</w:t>
      </w:r>
      <w:r>
        <w:rPr>
          <w:rFonts w:hint="eastAsia" w:ascii="宋体" w:hAnsi="宋体" w:eastAsia="宋体" w:cs="宋体"/>
          <w:color w:val="auto"/>
          <w:sz w:val="24"/>
        </w:rPr>
        <w:t>（盖章）</w:t>
      </w:r>
      <w:r>
        <w:rPr>
          <w:rFonts w:hint="eastAsia" w:ascii="宋体" w:hAnsi="宋体" w:eastAsia="宋体" w:cs="宋体"/>
          <w:color w:val="auto"/>
          <w:sz w:val="24"/>
        </w:rPr>
        <w:br w:type="textWrapping"/>
      </w:r>
      <w:r>
        <w:rPr>
          <w:rFonts w:hint="eastAsia" w:ascii="宋体" w:hAnsi="宋体" w:eastAsia="宋体" w:cs="宋体"/>
          <w:color w:val="auto"/>
          <w:sz w:val="24"/>
        </w:rPr>
        <w:t>  全权代表：</w:t>
      </w:r>
      <w:r>
        <w:rPr>
          <w:rFonts w:hint="eastAsia" w:ascii="宋体" w:hAnsi="宋体" w:eastAsia="宋体" w:cs="宋体"/>
          <w:color w:val="auto"/>
          <w:sz w:val="24"/>
          <w:u w:val="single"/>
        </w:rPr>
        <w:t>　　　　　　　　        　</w:t>
      </w:r>
      <w:r>
        <w:rPr>
          <w:rFonts w:hint="eastAsia" w:ascii="宋体" w:hAnsi="宋体" w:eastAsia="宋体" w:cs="宋体"/>
          <w:color w:val="auto"/>
          <w:sz w:val="24"/>
        </w:rPr>
        <w:t>（签字）</w:t>
      </w:r>
      <w:r>
        <w:rPr>
          <w:rFonts w:hint="eastAsia" w:ascii="宋体" w:hAnsi="宋体" w:eastAsia="宋体" w:cs="宋体"/>
          <w:color w:val="auto"/>
          <w:sz w:val="24"/>
        </w:rPr>
        <w:br w:type="textWrapping"/>
      </w:r>
      <w:r>
        <w:rPr>
          <w:rFonts w:hint="eastAsia" w:ascii="宋体" w:hAnsi="宋体" w:eastAsia="宋体" w:cs="宋体"/>
          <w:color w:val="auto"/>
          <w:sz w:val="24"/>
        </w:rPr>
        <w:t>  地　　址：</w:t>
      </w:r>
      <w:r>
        <w:rPr>
          <w:rFonts w:hint="eastAsia" w:ascii="宋体" w:hAnsi="宋体" w:eastAsia="宋体" w:cs="宋体"/>
          <w:color w:val="auto"/>
          <w:sz w:val="24"/>
          <w:u w:val="single"/>
        </w:rPr>
        <w:t xml:space="preserve">                          </w:t>
      </w:r>
    </w:p>
    <w:p w14:paraId="0CA9C20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邮    编：</w:t>
      </w:r>
      <w:r>
        <w:rPr>
          <w:rFonts w:hint="eastAsia" w:ascii="宋体" w:hAnsi="宋体" w:eastAsia="宋体" w:cs="宋体"/>
          <w:color w:val="auto"/>
          <w:sz w:val="24"/>
          <w:u w:val="single"/>
        </w:rPr>
        <w:t>　　                  　　</w:t>
      </w:r>
      <w:r>
        <w:rPr>
          <w:rFonts w:hint="eastAsia" w:ascii="宋体" w:hAnsi="宋体" w:eastAsia="宋体" w:cs="宋体"/>
          <w:color w:val="auto"/>
          <w:sz w:val="24"/>
        </w:rPr>
        <w:br w:type="textWrapping"/>
      </w:r>
      <w:r>
        <w:rPr>
          <w:rFonts w:hint="eastAsia" w:ascii="宋体" w:hAnsi="宋体" w:eastAsia="宋体" w:cs="宋体"/>
          <w:color w:val="auto"/>
          <w:sz w:val="24"/>
        </w:rPr>
        <w:t>  电　　话：</w:t>
      </w:r>
      <w:r>
        <w:rPr>
          <w:rFonts w:hint="eastAsia" w:ascii="宋体" w:hAnsi="宋体" w:eastAsia="宋体" w:cs="宋体"/>
          <w:color w:val="auto"/>
          <w:sz w:val="24"/>
          <w:u w:val="single"/>
        </w:rPr>
        <w:t>　　　　　　            　</w:t>
      </w:r>
      <w:r>
        <w:rPr>
          <w:rFonts w:hint="eastAsia" w:ascii="宋体" w:hAnsi="宋体" w:eastAsia="宋体" w:cs="宋体"/>
          <w:color w:val="auto"/>
          <w:sz w:val="24"/>
        </w:rPr>
        <w:br w:type="textWrapping"/>
      </w:r>
      <w:r>
        <w:rPr>
          <w:rFonts w:hint="eastAsia" w:ascii="宋体" w:hAnsi="宋体" w:eastAsia="宋体" w:cs="宋体"/>
          <w:color w:val="auto"/>
          <w:sz w:val="24"/>
        </w:rPr>
        <w:t>　　　　　　　　　　　　　　</w:t>
      </w:r>
      <w:r>
        <w:rPr>
          <w:rFonts w:hint="eastAsia" w:ascii="宋体" w:hAnsi="宋体" w:eastAsia="宋体" w:cs="宋体"/>
          <w:color w:val="auto"/>
          <w:sz w:val="24"/>
        </w:rPr>
        <w:br w:type="textWrapping"/>
      </w:r>
      <w:r>
        <w:rPr>
          <w:rFonts w:hint="eastAsia" w:ascii="宋体" w:hAnsi="宋体" w:eastAsia="宋体" w:cs="宋体"/>
          <w:color w:val="auto"/>
          <w:sz w:val="24"/>
        </w:rPr>
        <w:t>                                                年　　月　　日</w:t>
      </w:r>
    </w:p>
    <w:p w14:paraId="536439E5">
      <w:pPr>
        <w:rPr>
          <w:rFonts w:hint="eastAsia" w:ascii="宋体" w:hAnsi="宋体" w:eastAsia="宋体" w:cs="宋体"/>
          <w:color w:val="auto"/>
        </w:rPr>
      </w:pPr>
    </w:p>
    <w:p w14:paraId="2E66C19B">
      <w:pPr>
        <w:wordWrap w:val="0"/>
        <w:spacing w:line="360" w:lineRule="auto"/>
        <w:ind w:right="480" w:firstLine="360" w:firstLineChars="150"/>
        <w:jc w:val="center"/>
        <w:rPr>
          <w:rFonts w:hint="eastAsia" w:ascii="宋体" w:hAnsi="宋体" w:eastAsia="宋体" w:cs="宋体"/>
          <w:color w:val="auto"/>
          <w:sz w:val="24"/>
          <w:szCs w:val="28"/>
        </w:rPr>
      </w:pPr>
    </w:p>
    <w:p w14:paraId="4C432888">
      <w:pPr>
        <w:pStyle w:val="10"/>
        <w:rPr>
          <w:rFonts w:hint="eastAsia" w:ascii="宋体" w:hAnsi="宋体" w:eastAsia="宋体" w:cs="宋体"/>
          <w:color w:val="auto"/>
        </w:rPr>
      </w:pPr>
    </w:p>
    <w:sectPr>
      <w:footerReference r:id="rId10" w:type="default"/>
      <w:pgSz w:w="11906" w:h="16838"/>
      <w:pgMar w:top="1418" w:right="1361" w:bottom="1418" w:left="1474" w:header="851" w:footer="992" w:gutter="0"/>
      <w:pgNumType w:fmt="decimal"/>
      <w:cols w:space="720"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ED1BB">
    <w:pPr>
      <w:pStyle w:val="17"/>
      <w:tabs>
        <w:tab w:val="clear" w:pos="8306"/>
      </w:tabs>
      <w:ind w:left="-581" w:leftChars="-171" w:right="-466" w:rightChars="-137"/>
      <w:rPr>
        <w:szCs w:val="21"/>
        <w:u w:val="single"/>
      </w:rPr>
    </w:pPr>
    <w:r>
      <w:rPr>
        <w:szCs w:val="21"/>
        <w:u w:val="single"/>
      </w:rPr>
      <w:t xml:space="preserve">                                                                                                             </w:t>
    </w:r>
  </w:p>
  <w:p w14:paraId="5433AE80">
    <w:pPr>
      <w:pStyle w:val="17"/>
      <w:ind w:firstLine="452" w:firstLineChars="250"/>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F6C51">
    <w:pPr>
      <w:pStyle w:val="17"/>
      <w:tabs>
        <w:tab w:val="clear" w:pos="8306"/>
      </w:tabs>
      <w:ind w:right="-466" w:rightChars="-137"/>
      <w:jc w:val="both"/>
      <w:rPr>
        <w:rFonts w:hAnsi="宋体"/>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D60CF8">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4D60CF8">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56</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878E0">
    <w:pPr>
      <w:pStyle w:val="17"/>
      <w:tabs>
        <w:tab w:val="clear" w:pos="8306"/>
      </w:tabs>
      <w:ind w:right="-466" w:rightChars="-137"/>
      <w:jc w:val="both"/>
      <w:rPr>
        <w:rFonts w:hAnsi="宋体"/>
        <w:b/>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B97D1">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4B97D1">
                    <w:pPr>
                      <w:pStyle w:val="1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56</w:t>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EBF25">
    <w:pPr>
      <w:pStyle w:val="18"/>
      <w:ind w:left="-223" w:leftChars="-171" w:right="-581" w:rightChars="-171" w:hanging="358" w:hangingChars="198"/>
      <w:jc w:val="right"/>
      <w:rPr>
        <w:rFonts w:hint="eastAsia" w:eastAsia="宋体"/>
        <w:b/>
        <w:i/>
        <w:iCs/>
        <w:sz w:val="20"/>
        <w:szCs w:val="20"/>
        <w:lang w:eastAsia="zh-CN"/>
      </w:rPr>
    </w:pPr>
    <w:r>
      <w:rPr>
        <w:rFonts w:hAnsi="宋体"/>
        <w:b/>
      </w:rPr>
      <w:t xml:space="preserve">                                  </w:t>
    </w:r>
    <w:r>
      <w:rPr>
        <w:rFonts w:hint="eastAsia" w:hAnsi="宋体"/>
        <w:b/>
      </w:rPr>
      <w:t xml:space="preserve">    </w:t>
    </w:r>
    <w:r>
      <w:rPr>
        <w:rFonts w:hint="eastAsia" w:hAnsi="宋体"/>
        <w:b/>
        <w:lang w:eastAsia="zh-CN"/>
      </w:rPr>
      <w:t>学前教育专业（群）教学资源库建设项目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895DD">
    <w:pPr>
      <w:pStyle w:val="1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0A164">
    <w:pPr>
      <w:pStyle w:val="18"/>
      <w:ind w:left="-223" w:leftChars="-171" w:right="-581" w:rightChars="-171" w:hanging="358" w:hangingChars="198"/>
      <w:jc w:val="right"/>
      <w:rPr>
        <w:rFonts w:hint="eastAsia" w:hAnsi="宋体" w:eastAsia="宋体"/>
        <w:b/>
        <w:i/>
        <w:lang w:eastAsia="zh-CN"/>
      </w:rPr>
    </w:pPr>
    <w:r>
      <w:rPr>
        <w:rFonts w:hAnsi="宋体"/>
        <w:b/>
      </w:rPr>
      <w:t xml:space="preserve"> </w:t>
    </w:r>
    <w:r>
      <w:rPr>
        <w:rFonts w:hAnsi="宋体"/>
        <w:bCs/>
        <w:i/>
        <w:iCs/>
      </w:rPr>
      <w:t xml:space="preserve"> </w:t>
    </w:r>
    <w:r>
      <w:rPr>
        <w:rFonts w:hint="eastAsia" w:hAnsi="宋体"/>
        <w:bCs/>
        <w:i/>
        <w:iCs/>
        <w:lang w:eastAsia="zh-CN"/>
      </w:rPr>
      <w:t>学前教育专业（群）教学资源库建设项目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31F2ED"/>
    <w:multiLevelType w:val="singleLevel"/>
    <w:tmpl w:val="8231F2ED"/>
    <w:lvl w:ilvl="0" w:tentative="0">
      <w:start w:val="1"/>
      <w:numFmt w:val="decimal"/>
      <w:lvlText w:val="(%1)"/>
      <w:lvlJc w:val="left"/>
      <w:pPr>
        <w:ind w:left="425" w:hanging="425"/>
      </w:pPr>
      <w:rPr>
        <w:rFonts w:hint="default"/>
      </w:rPr>
    </w:lvl>
  </w:abstractNum>
  <w:abstractNum w:abstractNumId="1">
    <w:nsid w:val="89C2F0BF"/>
    <w:multiLevelType w:val="singleLevel"/>
    <w:tmpl w:val="89C2F0BF"/>
    <w:lvl w:ilvl="0" w:tentative="0">
      <w:start w:val="1"/>
      <w:numFmt w:val="decimal"/>
      <w:lvlText w:val="(%1)"/>
      <w:lvlJc w:val="left"/>
      <w:pPr>
        <w:ind w:left="635" w:hanging="425"/>
      </w:pPr>
      <w:rPr>
        <w:rFonts w:hint="default"/>
      </w:rPr>
    </w:lvl>
  </w:abstractNum>
  <w:abstractNum w:abstractNumId="2">
    <w:nsid w:val="A71980CE"/>
    <w:multiLevelType w:val="singleLevel"/>
    <w:tmpl w:val="A71980CE"/>
    <w:lvl w:ilvl="0" w:tentative="0">
      <w:start w:val="1"/>
      <w:numFmt w:val="decimal"/>
      <w:suff w:val="nothing"/>
      <w:lvlText w:val="%1、"/>
      <w:lvlJc w:val="left"/>
    </w:lvl>
  </w:abstractNum>
  <w:abstractNum w:abstractNumId="3">
    <w:nsid w:val="A738DABB"/>
    <w:multiLevelType w:val="singleLevel"/>
    <w:tmpl w:val="A738DABB"/>
    <w:lvl w:ilvl="0" w:tentative="0">
      <w:start w:val="1"/>
      <w:numFmt w:val="chineseCounting"/>
      <w:suff w:val="nothing"/>
      <w:lvlText w:val="（%1）"/>
      <w:lvlJc w:val="left"/>
      <w:pPr>
        <w:ind w:left="0" w:firstLine="420"/>
      </w:pPr>
      <w:rPr>
        <w:rFonts w:hint="eastAsia"/>
      </w:rPr>
    </w:lvl>
  </w:abstractNum>
  <w:abstractNum w:abstractNumId="4">
    <w:nsid w:val="C416D620"/>
    <w:multiLevelType w:val="singleLevel"/>
    <w:tmpl w:val="C416D620"/>
    <w:lvl w:ilvl="0" w:tentative="0">
      <w:start w:val="1"/>
      <w:numFmt w:val="decimal"/>
      <w:lvlText w:val="(%1)"/>
      <w:lvlJc w:val="left"/>
      <w:pPr>
        <w:ind w:left="425" w:hanging="425"/>
      </w:pPr>
      <w:rPr>
        <w:rFonts w:hint="default"/>
      </w:rPr>
    </w:lvl>
  </w:abstractNum>
  <w:abstractNum w:abstractNumId="5">
    <w:nsid w:val="C808EB56"/>
    <w:multiLevelType w:val="singleLevel"/>
    <w:tmpl w:val="C808EB56"/>
    <w:lvl w:ilvl="0" w:tentative="0">
      <w:start w:val="1"/>
      <w:numFmt w:val="decimal"/>
      <w:lvlText w:val="(%1)"/>
      <w:lvlJc w:val="left"/>
      <w:pPr>
        <w:ind w:left="425" w:hanging="425"/>
      </w:pPr>
      <w:rPr>
        <w:rFonts w:hint="default"/>
      </w:rPr>
    </w:lvl>
  </w:abstractNum>
  <w:abstractNum w:abstractNumId="6">
    <w:nsid w:val="D1ADB817"/>
    <w:multiLevelType w:val="singleLevel"/>
    <w:tmpl w:val="D1ADB817"/>
    <w:lvl w:ilvl="0" w:tentative="0">
      <w:start w:val="1"/>
      <w:numFmt w:val="decimalEnclosedCircleChinese"/>
      <w:suff w:val="nothing"/>
      <w:lvlText w:val="%1　"/>
      <w:lvlJc w:val="left"/>
      <w:pPr>
        <w:ind w:left="0" w:firstLine="400"/>
      </w:pPr>
      <w:rPr>
        <w:rFonts w:hint="eastAsia"/>
      </w:rPr>
    </w:lvl>
  </w:abstractNum>
  <w:abstractNum w:abstractNumId="7">
    <w:nsid w:val="D5E75967"/>
    <w:multiLevelType w:val="singleLevel"/>
    <w:tmpl w:val="D5E75967"/>
    <w:lvl w:ilvl="0" w:tentative="0">
      <w:start w:val="1"/>
      <w:numFmt w:val="decimalEnclosedCircleChinese"/>
      <w:suff w:val="nothing"/>
      <w:lvlText w:val="%1　"/>
      <w:lvlJc w:val="left"/>
      <w:pPr>
        <w:ind w:left="0" w:firstLine="400"/>
      </w:pPr>
      <w:rPr>
        <w:rFonts w:hint="eastAsia"/>
      </w:rPr>
    </w:lvl>
  </w:abstractNum>
  <w:abstractNum w:abstractNumId="8">
    <w:nsid w:val="D72B5017"/>
    <w:multiLevelType w:val="singleLevel"/>
    <w:tmpl w:val="D72B5017"/>
    <w:lvl w:ilvl="0" w:tentative="0">
      <w:start w:val="1"/>
      <w:numFmt w:val="decimal"/>
      <w:suff w:val="nothing"/>
      <w:lvlText w:val="%1、"/>
      <w:lvlJc w:val="left"/>
    </w:lvl>
  </w:abstractNum>
  <w:abstractNum w:abstractNumId="9">
    <w:nsid w:val="E07BA6D9"/>
    <w:multiLevelType w:val="singleLevel"/>
    <w:tmpl w:val="E07BA6D9"/>
    <w:lvl w:ilvl="0" w:tentative="0">
      <w:start w:val="3"/>
      <w:numFmt w:val="chineseCounting"/>
      <w:suff w:val="nothing"/>
      <w:lvlText w:val="%1、"/>
      <w:lvlJc w:val="left"/>
      <w:rPr>
        <w:rFonts w:hint="eastAsia"/>
      </w:rPr>
    </w:lvl>
  </w:abstractNum>
  <w:abstractNum w:abstractNumId="10">
    <w:nsid w:val="EE8F453E"/>
    <w:multiLevelType w:val="singleLevel"/>
    <w:tmpl w:val="EE8F453E"/>
    <w:lvl w:ilvl="0" w:tentative="0">
      <w:start w:val="1"/>
      <w:numFmt w:val="decimal"/>
      <w:suff w:val="nothing"/>
      <w:lvlText w:val="%1、"/>
      <w:lvlJc w:val="left"/>
    </w:lvl>
  </w:abstractNum>
  <w:abstractNum w:abstractNumId="11">
    <w:nsid w:val="065BB598"/>
    <w:multiLevelType w:val="singleLevel"/>
    <w:tmpl w:val="065BB598"/>
    <w:lvl w:ilvl="0" w:tentative="0">
      <w:start w:val="1"/>
      <w:numFmt w:val="decimalEnclosedCircleChinese"/>
      <w:suff w:val="nothing"/>
      <w:lvlText w:val="%1　"/>
      <w:lvlJc w:val="left"/>
      <w:pPr>
        <w:ind w:left="0" w:firstLine="400"/>
      </w:pPr>
      <w:rPr>
        <w:rFonts w:hint="eastAsia"/>
      </w:rPr>
    </w:lvl>
  </w:abstractNum>
  <w:abstractNum w:abstractNumId="12">
    <w:nsid w:val="0F0CC13A"/>
    <w:multiLevelType w:val="singleLevel"/>
    <w:tmpl w:val="0F0CC13A"/>
    <w:lvl w:ilvl="0" w:tentative="0">
      <w:start w:val="1"/>
      <w:numFmt w:val="decimal"/>
      <w:suff w:val="nothing"/>
      <w:lvlText w:val="%1、"/>
      <w:lvlJc w:val="left"/>
    </w:lvl>
  </w:abstractNum>
  <w:abstractNum w:abstractNumId="13">
    <w:nsid w:val="1AA3F21B"/>
    <w:multiLevelType w:val="singleLevel"/>
    <w:tmpl w:val="1AA3F21B"/>
    <w:lvl w:ilvl="0" w:tentative="0">
      <w:start w:val="1"/>
      <w:numFmt w:val="decimalEnclosedCircleChinese"/>
      <w:suff w:val="nothing"/>
      <w:lvlText w:val="%1　"/>
      <w:lvlJc w:val="left"/>
      <w:pPr>
        <w:ind w:left="0" w:firstLine="400"/>
      </w:pPr>
      <w:rPr>
        <w:rFonts w:hint="eastAsia"/>
      </w:rPr>
    </w:lvl>
  </w:abstractNum>
  <w:abstractNum w:abstractNumId="14">
    <w:nsid w:val="28AA2B60"/>
    <w:multiLevelType w:val="singleLevel"/>
    <w:tmpl w:val="28AA2B60"/>
    <w:lvl w:ilvl="0" w:tentative="0">
      <w:start w:val="1"/>
      <w:numFmt w:val="decimal"/>
      <w:lvlText w:val="(%1)"/>
      <w:lvlJc w:val="left"/>
      <w:pPr>
        <w:ind w:left="425" w:hanging="425"/>
      </w:pPr>
      <w:rPr>
        <w:rFonts w:hint="default"/>
      </w:rPr>
    </w:lvl>
  </w:abstractNum>
  <w:abstractNum w:abstractNumId="15">
    <w:nsid w:val="45820813"/>
    <w:multiLevelType w:val="singleLevel"/>
    <w:tmpl w:val="45820813"/>
    <w:lvl w:ilvl="0" w:tentative="0">
      <w:start w:val="1"/>
      <w:numFmt w:val="decimal"/>
      <w:lvlText w:val="(%1)"/>
      <w:lvlJc w:val="left"/>
      <w:pPr>
        <w:ind w:left="425" w:hanging="425"/>
      </w:pPr>
      <w:rPr>
        <w:rFonts w:hint="default"/>
      </w:rPr>
    </w:lvl>
  </w:abstractNum>
  <w:abstractNum w:abstractNumId="16">
    <w:nsid w:val="4B995298"/>
    <w:multiLevelType w:val="singleLevel"/>
    <w:tmpl w:val="4B995298"/>
    <w:lvl w:ilvl="0" w:tentative="0">
      <w:start w:val="1"/>
      <w:numFmt w:val="decimalEnclosedCircleChinese"/>
      <w:suff w:val="nothing"/>
      <w:lvlText w:val="%1　"/>
      <w:lvlJc w:val="left"/>
      <w:pPr>
        <w:ind w:left="0" w:firstLine="400"/>
      </w:pPr>
      <w:rPr>
        <w:rFonts w:hint="eastAsia"/>
      </w:rPr>
    </w:lvl>
  </w:abstractNum>
  <w:abstractNum w:abstractNumId="17">
    <w:nsid w:val="667FE953"/>
    <w:multiLevelType w:val="singleLevel"/>
    <w:tmpl w:val="667FE953"/>
    <w:lvl w:ilvl="0" w:tentative="0">
      <w:start w:val="1"/>
      <w:numFmt w:val="decimal"/>
      <w:lvlText w:val="%1."/>
      <w:lvlJc w:val="left"/>
      <w:pPr>
        <w:ind w:left="425" w:hanging="425"/>
      </w:pPr>
      <w:rPr>
        <w:rFonts w:hint="default"/>
      </w:rPr>
    </w:lvl>
  </w:abstractNum>
  <w:abstractNum w:abstractNumId="18">
    <w:nsid w:val="684DFB81"/>
    <w:multiLevelType w:val="singleLevel"/>
    <w:tmpl w:val="684DFB81"/>
    <w:lvl w:ilvl="0" w:tentative="0">
      <w:start w:val="1"/>
      <w:numFmt w:val="decimal"/>
      <w:lvlText w:val="%1."/>
      <w:lvlJc w:val="left"/>
      <w:pPr>
        <w:ind w:left="425" w:hanging="425"/>
      </w:pPr>
      <w:rPr>
        <w:rFonts w:hint="default"/>
      </w:rPr>
    </w:lvl>
  </w:abstractNum>
  <w:abstractNum w:abstractNumId="19">
    <w:nsid w:val="6DFA10F5"/>
    <w:multiLevelType w:val="singleLevel"/>
    <w:tmpl w:val="6DFA10F5"/>
    <w:lvl w:ilvl="0" w:tentative="0">
      <w:start w:val="1"/>
      <w:numFmt w:val="decimal"/>
      <w:lvlText w:val="(%1)"/>
      <w:lvlJc w:val="left"/>
      <w:pPr>
        <w:ind w:left="425" w:hanging="425"/>
      </w:pPr>
      <w:rPr>
        <w:rFonts w:hint="default"/>
      </w:rPr>
    </w:lvl>
  </w:abstractNum>
  <w:abstractNum w:abstractNumId="20">
    <w:nsid w:val="6E74F696"/>
    <w:multiLevelType w:val="singleLevel"/>
    <w:tmpl w:val="6E74F696"/>
    <w:lvl w:ilvl="0" w:tentative="0">
      <w:start w:val="1"/>
      <w:numFmt w:val="decimalEnclosedCircleChinese"/>
      <w:suff w:val="nothing"/>
      <w:lvlText w:val="%1　"/>
      <w:lvlJc w:val="left"/>
      <w:pPr>
        <w:ind w:left="0" w:firstLine="400"/>
      </w:pPr>
      <w:rPr>
        <w:rFonts w:hint="eastAsia"/>
      </w:rPr>
    </w:lvl>
  </w:abstractNum>
  <w:abstractNum w:abstractNumId="21">
    <w:nsid w:val="70526CE6"/>
    <w:multiLevelType w:val="singleLevel"/>
    <w:tmpl w:val="70526CE6"/>
    <w:lvl w:ilvl="0" w:tentative="0">
      <w:start w:val="1"/>
      <w:numFmt w:val="chineseCounting"/>
      <w:suff w:val="nothing"/>
      <w:lvlText w:val="（%1）"/>
      <w:lvlJc w:val="left"/>
      <w:pPr>
        <w:ind w:left="0" w:firstLine="420"/>
      </w:pPr>
      <w:rPr>
        <w:rFonts w:hint="eastAsia"/>
      </w:rPr>
    </w:lvl>
  </w:abstractNum>
  <w:abstractNum w:abstractNumId="22">
    <w:nsid w:val="7353523B"/>
    <w:multiLevelType w:val="singleLevel"/>
    <w:tmpl w:val="7353523B"/>
    <w:lvl w:ilvl="0" w:tentative="0">
      <w:start w:val="4"/>
      <w:numFmt w:val="chineseCounting"/>
      <w:suff w:val="space"/>
      <w:lvlText w:val="第%1章"/>
      <w:lvlJc w:val="left"/>
      <w:rPr>
        <w:rFonts w:hint="eastAsia"/>
        <w:sz w:val="32"/>
        <w:szCs w:val="32"/>
      </w:rPr>
    </w:lvl>
  </w:abstractNum>
  <w:abstractNum w:abstractNumId="23">
    <w:nsid w:val="7508A051"/>
    <w:multiLevelType w:val="singleLevel"/>
    <w:tmpl w:val="7508A051"/>
    <w:lvl w:ilvl="0" w:tentative="0">
      <w:start w:val="1"/>
      <w:numFmt w:val="decimal"/>
      <w:lvlText w:val="(%1)"/>
      <w:lvlJc w:val="left"/>
      <w:pPr>
        <w:ind w:left="425" w:hanging="425"/>
      </w:pPr>
      <w:rPr>
        <w:rFonts w:hint="default"/>
      </w:rPr>
    </w:lvl>
  </w:abstractNum>
  <w:num w:numId="1">
    <w:abstractNumId w:val="8"/>
  </w:num>
  <w:num w:numId="2">
    <w:abstractNumId w:val="22"/>
  </w:num>
  <w:num w:numId="3">
    <w:abstractNumId w:val="3"/>
  </w:num>
  <w:num w:numId="4">
    <w:abstractNumId w:val="2"/>
  </w:num>
  <w:num w:numId="5">
    <w:abstractNumId w:val="21"/>
  </w:num>
  <w:num w:numId="6">
    <w:abstractNumId w:val="18"/>
  </w:num>
  <w:num w:numId="7">
    <w:abstractNumId w:val="0"/>
  </w:num>
  <w:num w:numId="8">
    <w:abstractNumId w:val="20"/>
  </w:num>
  <w:num w:numId="9">
    <w:abstractNumId w:val="7"/>
  </w:num>
  <w:num w:numId="10">
    <w:abstractNumId w:val="6"/>
  </w:num>
  <w:num w:numId="11">
    <w:abstractNumId w:val="13"/>
  </w:num>
  <w:num w:numId="12">
    <w:abstractNumId w:val="23"/>
  </w:num>
  <w:num w:numId="13">
    <w:abstractNumId w:val="11"/>
  </w:num>
  <w:num w:numId="14">
    <w:abstractNumId w:val="16"/>
  </w:num>
  <w:num w:numId="15">
    <w:abstractNumId w:val="5"/>
  </w:num>
  <w:num w:numId="16">
    <w:abstractNumId w:val="1"/>
  </w:num>
  <w:num w:numId="17">
    <w:abstractNumId w:val="17"/>
  </w:num>
  <w:num w:numId="18">
    <w:abstractNumId w:val="19"/>
  </w:num>
  <w:num w:numId="19">
    <w:abstractNumId w:val="14"/>
  </w:num>
  <w:num w:numId="20">
    <w:abstractNumId w:val="4"/>
  </w:num>
  <w:num w:numId="21">
    <w:abstractNumId w:val="15"/>
  </w:num>
  <w:num w:numId="22">
    <w:abstractNumId w:val="12"/>
  </w:num>
  <w:num w:numId="23">
    <w:abstractNumId w:val="9"/>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formatting="1" w:enforcement="1" w:cryptProviderType="rsaFull" w:cryptAlgorithmClass="hash" w:cryptAlgorithmType="typeAny" w:cryptAlgorithmSid="4" w:cryptSpinCount="0" w:hash="f2uwrolZANqlIF/ih70niENXV4E=" w:salt="Qx5f4How8zi14T/Ll+x4gA=="/>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0MjI3Nzg2MmZlNzliYzRjMTk2YjY5OWE0NWE5ODMifQ=="/>
  </w:docVars>
  <w:rsids>
    <w:rsidRoot w:val="00813BE0"/>
    <w:rsid w:val="00005938"/>
    <w:rsid w:val="00017772"/>
    <w:rsid w:val="000200D1"/>
    <w:rsid w:val="00031FED"/>
    <w:rsid w:val="00033B4B"/>
    <w:rsid w:val="00037FE8"/>
    <w:rsid w:val="000401E1"/>
    <w:rsid w:val="000416A0"/>
    <w:rsid w:val="00045B1F"/>
    <w:rsid w:val="00046886"/>
    <w:rsid w:val="00054AE7"/>
    <w:rsid w:val="00072DCB"/>
    <w:rsid w:val="000851E5"/>
    <w:rsid w:val="00093811"/>
    <w:rsid w:val="00093DE9"/>
    <w:rsid w:val="000A38C3"/>
    <w:rsid w:val="000A3F62"/>
    <w:rsid w:val="000B2277"/>
    <w:rsid w:val="000B6575"/>
    <w:rsid w:val="000C344C"/>
    <w:rsid w:val="000C79A2"/>
    <w:rsid w:val="000D51BA"/>
    <w:rsid w:val="000D6935"/>
    <w:rsid w:val="000D74C4"/>
    <w:rsid w:val="000E1EE6"/>
    <w:rsid w:val="000F2063"/>
    <w:rsid w:val="000F55B9"/>
    <w:rsid w:val="000F6546"/>
    <w:rsid w:val="000F7B32"/>
    <w:rsid w:val="00100994"/>
    <w:rsid w:val="001034BB"/>
    <w:rsid w:val="00111CA3"/>
    <w:rsid w:val="00123AC0"/>
    <w:rsid w:val="0013152D"/>
    <w:rsid w:val="00131E67"/>
    <w:rsid w:val="00156D86"/>
    <w:rsid w:val="00157AB3"/>
    <w:rsid w:val="00157C81"/>
    <w:rsid w:val="00161EA4"/>
    <w:rsid w:val="0017296C"/>
    <w:rsid w:val="0017616E"/>
    <w:rsid w:val="0018476C"/>
    <w:rsid w:val="0019356C"/>
    <w:rsid w:val="001953E5"/>
    <w:rsid w:val="00196019"/>
    <w:rsid w:val="001A1A00"/>
    <w:rsid w:val="001B03BC"/>
    <w:rsid w:val="001B0CB0"/>
    <w:rsid w:val="001B0F45"/>
    <w:rsid w:val="001C0F53"/>
    <w:rsid w:val="001C7A2B"/>
    <w:rsid w:val="001D0BDB"/>
    <w:rsid w:val="001D279B"/>
    <w:rsid w:val="001D6879"/>
    <w:rsid w:val="001E0609"/>
    <w:rsid w:val="001E2745"/>
    <w:rsid w:val="001E2CBB"/>
    <w:rsid w:val="001F5439"/>
    <w:rsid w:val="00216B28"/>
    <w:rsid w:val="002171DC"/>
    <w:rsid w:val="002302C4"/>
    <w:rsid w:val="00233FD7"/>
    <w:rsid w:val="002378A9"/>
    <w:rsid w:val="002457A7"/>
    <w:rsid w:val="00247A00"/>
    <w:rsid w:val="0025123F"/>
    <w:rsid w:val="00252144"/>
    <w:rsid w:val="002528FF"/>
    <w:rsid w:val="00253315"/>
    <w:rsid w:val="00253472"/>
    <w:rsid w:val="00253653"/>
    <w:rsid w:val="002557B1"/>
    <w:rsid w:val="0025669E"/>
    <w:rsid w:val="0027215A"/>
    <w:rsid w:val="00284D2B"/>
    <w:rsid w:val="0028567A"/>
    <w:rsid w:val="002922F1"/>
    <w:rsid w:val="00295FF7"/>
    <w:rsid w:val="002A3551"/>
    <w:rsid w:val="002B2318"/>
    <w:rsid w:val="002D0BA3"/>
    <w:rsid w:val="002D287B"/>
    <w:rsid w:val="002D434E"/>
    <w:rsid w:val="002D5AF2"/>
    <w:rsid w:val="002D5C1C"/>
    <w:rsid w:val="002F272D"/>
    <w:rsid w:val="002F2A76"/>
    <w:rsid w:val="0030448B"/>
    <w:rsid w:val="003104D1"/>
    <w:rsid w:val="00312E62"/>
    <w:rsid w:val="00321C1B"/>
    <w:rsid w:val="003236B6"/>
    <w:rsid w:val="00332B35"/>
    <w:rsid w:val="003344C1"/>
    <w:rsid w:val="00335747"/>
    <w:rsid w:val="00335D7C"/>
    <w:rsid w:val="00343BA5"/>
    <w:rsid w:val="00347362"/>
    <w:rsid w:val="00360640"/>
    <w:rsid w:val="003847D9"/>
    <w:rsid w:val="003A1687"/>
    <w:rsid w:val="003A300E"/>
    <w:rsid w:val="003A5071"/>
    <w:rsid w:val="003A7B5E"/>
    <w:rsid w:val="003B6EA1"/>
    <w:rsid w:val="003B78EA"/>
    <w:rsid w:val="003C5851"/>
    <w:rsid w:val="003D2EFA"/>
    <w:rsid w:val="003D605D"/>
    <w:rsid w:val="003F133D"/>
    <w:rsid w:val="003F3923"/>
    <w:rsid w:val="003F4492"/>
    <w:rsid w:val="003F6C85"/>
    <w:rsid w:val="003F7B26"/>
    <w:rsid w:val="003F7F2C"/>
    <w:rsid w:val="0041174A"/>
    <w:rsid w:val="0041601D"/>
    <w:rsid w:val="0042213B"/>
    <w:rsid w:val="004264A6"/>
    <w:rsid w:val="00427116"/>
    <w:rsid w:val="0043645F"/>
    <w:rsid w:val="00436E98"/>
    <w:rsid w:val="00443F3E"/>
    <w:rsid w:val="0045154A"/>
    <w:rsid w:val="00470289"/>
    <w:rsid w:val="004801E1"/>
    <w:rsid w:val="00482E50"/>
    <w:rsid w:val="00497806"/>
    <w:rsid w:val="004B7C5E"/>
    <w:rsid w:val="004C0884"/>
    <w:rsid w:val="004D158D"/>
    <w:rsid w:val="004D306A"/>
    <w:rsid w:val="004E03A8"/>
    <w:rsid w:val="004E2B33"/>
    <w:rsid w:val="004E2D6A"/>
    <w:rsid w:val="004F1CBB"/>
    <w:rsid w:val="005031E5"/>
    <w:rsid w:val="00505050"/>
    <w:rsid w:val="005137AB"/>
    <w:rsid w:val="005215DF"/>
    <w:rsid w:val="00536055"/>
    <w:rsid w:val="005370C8"/>
    <w:rsid w:val="0054550E"/>
    <w:rsid w:val="0055033B"/>
    <w:rsid w:val="00551915"/>
    <w:rsid w:val="0056149C"/>
    <w:rsid w:val="005634A8"/>
    <w:rsid w:val="00574840"/>
    <w:rsid w:val="00580660"/>
    <w:rsid w:val="00582351"/>
    <w:rsid w:val="00587FA6"/>
    <w:rsid w:val="005A2706"/>
    <w:rsid w:val="005C6691"/>
    <w:rsid w:val="00605F28"/>
    <w:rsid w:val="00612BC4"/>
    <w:rsid w:val="00615FB1"/>
    <w:rsid w:val="00622C41"/>
    <w:rsid w:val="0062730B"/>
    <w:rsid w:val="00633B4B"/>
    <w:rsid w:val="00640653"/>
    <w:rsid w:val="00644EB9"/>
    <w:rsid w:val="00647C8B"/>
    <w:rsid w:val="00650FD9"/>
    <w:rsid w:val="00650FE1"/>
    <w:rsid w:val="0065375E"/>
    <w:rsid w:val="00656257"/>
    <w:rsid w:val="006603FB"/>
    <w:rsid w:val="00667B92"/>
    <w:rsid w:val="0067322B"/>
    <w:rsid w:val="006901AB"/>
    <w:rsid w:val="0069058D"/>
    <w:rsid w:val="00691A20"/>
    <w:rsid w:val="00697589"/>
    <w:rsid w:val="006A0A63"/>
    <w:rsid w:val="006A6ED0"/>
    <w:rsid w:val="006D04DC"/>
    <w:rsid w:val="006D3DF9"/>
    <w:rsid w:val="006F08D7"/>
    <w:rsid w:val="006F4711"/>
    <w:rsid w:val="00701E17"/>
    <w:rsid w:val="00705EF1"/>
    <w:rsid w:val="00723CFD"/>
    <w:rsid w:val="007245DF"/>
    <w:rsid w:val="00727F88"/>
    <w:rsid w:val="007325CA"/>
    <w:rsid w:val="00733D03"/>
    <w:rsid w:val="00743786"/>
    <w:rsid w:val="0074551C"/>
    <w:rsid w:val="00752CF6"/>
    <w:rsid w:val="00766619"/>
    <w:rsid w:val="00770C87"/>
    <w:rsid w:val="00785B7B"/>
    <w:rsid w:val="0079005C"/>
    <w:rsid w:val="007B1791"/>
    <w:rsid w:val="007B1889"/>
    <w:rsid w:val="007C2A6D"/>
    <w:rsid w:val="007C580B"/>
    <w:rsid w:val="007D5C34"/>
    <w:rsid w:val="007D6706"/>
    <w:rsid w:val="007E3ABB"/>
    <w:rsid w:val="007E49B4"/>
    <w:rsid w:val="007F6BD3"/>
    <w:rsid w:val="0080041E"/>
    <w:rsid w:val="008024B5"/>
    <w:rsid w:val="0080595F"/>
    <w:rsid w:val="00810AFA"/>
    <w:rsid w:val="00813BE0"/>
    <w:rsid w:val="00813E52"/>
    <w:rsid w:val="00827FFE"/>
    <w:rsid w:val="00834F33"/>
    <w:rsid w:val="00836137"/>
    <w:rsid w:val="008731FC"/>
    <w:rsid w:val="008821D1"/>
    <w:rsid w:val="008A0C95"/>
    <w:rsid w:val="008C75AB"/>
    <w:rsid w:val="008D0CAC"/>
    <w:rsid w:val="008D31E2"/>
    <w:rsid w:val="008D4AB8"/>
    <w:rsid w:val="008E2F8C"/>
    <w:rsid w:val="008F4D2E"/>
    <w:rsid w:val="008F5B81"/>
    <w:rsid w:val="008F613C"/>
    <w:rsid w:val="008F6A12"/>
    <w:rsid w:val="0090207D"/>
    <w:rsid w:val="0091598B"/>
    <w:rsid w:val="00917206"/>
    <w:rsid w:val="009206FE"/>
    <w:rsid w:val="00924D70"/>
    <w:rsid w:val="00925A93"/>
    <w:rsid w:val="00926EB8"/>
    <w:rsid w:val="00927110"/>
    <w:rsid w:val="00931ACB"/>
    <w:rsid w:val="0093248B"/>
    <w:rsid w:val="00935259"/>
    <w:rsid w:val="009368FC"/>
    <w:rsid w:val="00940E7B"/>
    <w:rsid w:val="0094169A"/>
    <w:rsid w:val="00942245"/>
    <w:rsid w:val="009454AC"/>
    <w:rsid w:val="00955C5D"/>
    <w:rsid w:val="00956B49"/>
    <w:rsid w:val="00956ED8"/>
    <w:rsid w:val="00956EF1"/>
    <w:rsid w:val="00963747"/>
    <w:rsid w:val="00963866"/>
    <w:rsid w:val="009650EF"/>
    <w:rsid w:val="00966A2D"/>
    <w:rsid w:val="00967963"/>
    <w:rsid w:val="009679D3"/>
    <w:rsid w:val="00967D60"/>
    <w:rsid w:val="0097693A"/>
    <w:rsid w:val="00986BCA"/>
    <w:rsid w:val="009933DB"/>
    <w:rsid w:val="00993B0B"/>
    <w:rsid w:val="00993B73"/>
    <w:rsid w:val="009A4009"/>
    <w:rsid w:val="009A45B6"/>
    <w:rsid w:val="009B3362"/>
    <w:rsid w:val="009B570F"/>
    <w:rsid w:val="009B6FCF"/>
    <w:rsid w:val="009D5935"/>
    <w:rsid w:val="009D6EC4"/>
    <w:rsid w:val="009E19F6"/>
    <w:rsid w:val="009F256D"/>
    <w:rsid w:val="00A00A9D"/>
    <w:rsid w:val="00A02160"/>
    <w:rsid w:val="00A05B8A"/>
    <w:rsid w:val="00A05D3E"/>
    <w:rsid w:val="00A20DA8"/>
    <w:rsid w:val="00A21ED5"/>
    <w:rsid w:val="00A255C8"/>
    <w:rsid w:val="00A37269"/>
    <w:rsid w:val="00A40CA2"/>
    <w:rsid w:val="00A45281"/>
    <w:rsid w:val="00A62AE5"/>
    <w:rsid w:val="00A7016D"/>
    <w:rsid w:val="00A74349"/>
    <w:rsid w:val="00A8297A"/>
    <w:rsid w:val="00A83BAB"/>
    <w:rsid w:val="00A95022"/>
    <w:rsid w:val="00AB2396"/>
    <w:rsid w:val="00AC4B19"/>
    <w:rsid w:val="00AD52F3"/>
    <w:rsid w:val="00AD6CAB"/>
    <w:rsid w:val="00AE6E5D"/>
    <w:rsid w:val="00B04707"/>
    <w:rsid w:val="00B04E02"/>
    <w:rsid w:val="00B127CA"/>
    <w:rsid w:val="00B12CBB"/>
    <w:rsid w:val="00B13784"/>
    <w:rsid w:val="00B21D00"/>
    <w:rsid w:val="00B27A83"/>
    <w:rsid w:val="00B27E17"/>
    <w:rsid w:val="00B32FA1"/>
    <w:rsid w:val="00B33661"/>
    <w:rsid w:val="00B348BA"/>
    <w:rsid w:val="00B61DDB"/>
    <w:rsid w:val="00B67790"/>
    <w:rsid w:val="00B70F4E"/>
    <w:rsid w:val="00B72C24"/>
    <w:rsid w:val="00B73868"/>
    <w:rsid w:val="00B76319"/>
    <w:rsid w:val="00B76343"/>
    <w:rsid w:val="00B8263A"/>
    <w:rsid w:val="00BC3788"/>
    <w:rsid w:val="00BC706C"/>
    <w:rsid w:val="00BD2E91"/>
    <w:rsid w:val="00BD7173"/>
    <w:rsid w:val="00BE13BC"/>
    <w:rsid w:val="00BE348C"/>
    <w:rsid w:val="00BE42DE"/>
    <w:rsid w:val="00BF19A3"/>
    <w:rsid w:val="00BF4C9C"/>
    <w:rsid w:val="00C0195C"/>
    <w:rsid w:val="00C16EC4"/>
    <w:rsid w:val="00C17DF4"/>
    <w:rsid w:val="00C223B3"/>
    <w:rsid w:val="00C233A1"/>
    <w:rsid w:val="00C245B0"/>
    <w:rsid w:val="00C25930"/>
    <w:rsid w:val="00C376EA"/>
    <w:rsid w:val="00C417E2"/>
    <w:rsid w:val="00C45A24"/>
    <w:rsid w:val="00C73B34"/>
    <w:rsid w:val="00C74296"/>
    <w:rsid w:val="00C75AE6"/>
    <w:rsid w:val="00C932E7"/>
    <w:rsid w:val="00C9605D"/>
    <w:rsid w:val="00CD6CE0"/>
    <w:rsid w:val="00CE712A"/>
    <w:rsid w:val="00CE79EE"/>
    <w:rsid w:val="00CF3FB6"/>
    <w:rsid w:val="00CF7D23"/>
    <w:rsid w:val="00D073EA"/>
    <w:rsid w:val="00D10405"/>
    <w:rsid w:val="00D104C5"/>
    <w:rsid w:val="00D126F8"/>
    <w:rsid w:val="00D14CAA"/>
    <w:rsid w:val="00D168F1"/>
    <w:rsid w:val="00D178CC"/>
    <w:rsid w:val="00D33536"/>
    <w:rsid w:val="00D43FAD"/>
    <w:rsid w:val="00D44BE1"/>
    <w:rsid w:val="00D4690A"/>
    <w:rsid w:val="00D6351B"/>
    <w:rsid w:val="00D65F05"/>
    <w:rsid w:val="00D6621F"/>
    <w:rsid w:val="00D718F2"/>
    <w:rsid w:val="00D743B5"/>
    <w:rsid w:val="00D76F7C"/>
    <w:rsid w:val="00D80D0A"/>
    <w:rsid w:val="00D94524"/>
    <w:rsid w:val="00D96598"/>
    <w:rsid w:val="00D97101"/>
    <w:rsid w:val="00DA021C"/>
    <w:rsid w:val="00DA1591"/>
    <w:rsid w:val="00DB27C8"/>
    <w:rsid w:val="00DB2C28"/>
    <w:rsid w:val="00DE11E3"/>
    <w:rsid w:val="00DE29B0"/>
    <w:rsid w:val="00DE5330"/>
    <w:rsid w:val="00DE7017"/>
    <w:rsid w:val="00DF023D"/>
    <w:rsid w:val="00E00E77"/>
    <w:rsid w:val="00E1779E"/>
    <w:rsid w:val="00E221F9"/>
    <w:rsid w:val="00E356A3"/>
    <w:rsid w:val="00E4512C"/>
    <w:rsid w:val="00E468D4"/>
    <w:rsid w:val="00E934F5"/>
    <w:rsid w:val="00E94EB6"/>
    <w:rsid w:val="00EA2401"/>
    <w:rsid w:val="00EB067D"/>
    <w:rsid w:val="00EB59B9"/>
    <w:rsid w:val="00ED0C2E"/>
    <w:rsid w:val="00ED4EAD"/>
    <w:rsid w:val="00ED6D32"/>
    <w:rsid w:val="00EE07E1"/>
    <w:rsid w:val="00EF3076"/>
    <w:rsid w:val="00F143B4"/>
    <w:rsid w:val="00F17378"/>
    <w:rsid w:val="00F17D75"/>
    <w:rsid w:val="00F25A25"/>
    <w:rsid w:val="00F31ABB"/>
    <w:rsid w:val="00F3527B"/>
    <w:rsid w:val="00F50450"/>
    <w:rsid w:val="00F521B2"/>
    <w:rsid w:val="00F54C5E"/>
    <w:rsid w:val="00F63099"/>
    <w:rsid w:val="00F63714"/>
    <w:rsid w:val="00F83F24"/>
    <w:rsid w:val="00FA0E02"/>
    <w:rsid w:val="00FA21B8"/>
    <w:rsid w:val="00FA26A7"/>
    <w:rsid w:val="00FB7EAE"/>
    <w:rsid w:val="00FC4F29"/>
    <w:rsid w:val="00FE2239"/>
    <w:rsid w:val="00FF0DE2"/>
    <w:rsid w:val="01231CE0"/>
    <w:rsid w:val="012D72E8"/>
    <w:rsid w:val="01622118"/>
    <w:rsid w:val="016814B1"/>
    <w:rsid w:val="0170172A"/>
    <w:rsid w:val="0173764E"/>
    <w:rsid w:val="017A6A7D"/>
    <w:rsid w:val="0186183B"/>
    <w:rsid w:val="01883901"/>
    <w:rsid w:val="01995ED0"/>
    <w:rsid w:val="01AC6959"/>
    <w:rsid w:val="01B4376B"/>
    <w:rsid w:val="01D619FC"/>
    <w:rsid w:val="01DD44AD"/>
    <w:rsid w:val="01DF0F3D"/>
    <w:rsid w:val="01EC1F63"/>
    <w:rsid w:val="01ED75BD"/>
    <w:rsid w:val="020D59C5"/>
    <w:rsid w:val="02434703"/>
    <w:rsid w:val="0247371F"/>
    <w:rsid w:val="025A35B7"/>
    <w:rsid w:val="027A2DC5"/>
    <w:rsid w:val="02A060B2"/>
    <w:rsid w:val="02B03607"/>
    <w:rsid w:val="02B7149E"/>
    <w:rsid w:val="02C63391"/>
    <w:rsid w:val="02D6233B"/>
    <w:rsid w:val="02D92240"/>
    <w:rsid w:val="02DA3CDA"/>
    <w:rsid w:val="02DD640C"/>
    <w:rsid w:val="02E75BF4"/>
    <w:rsid w:val="02EA2FF7"/>
    <w:rsid w:val="02F3512B"/>
    <w:rsid w:val="02F45EAD"/>
    <w:rsid w:val="02FD10ED"/>
    <w:rsid w:val="02FD7048"/>
    <w:rsid w:val="03011BBD"/>
    <w:rsid w:val="03091FDF"/>
    <w:rsid w:val="030F5AF0"/>
    <w:rsid w:val="03127FDB"/>
    <w:rsid w:val="03142038"/>
    <w:rsid w:val="03191B3E"/>
    <w:rsid w:val="03204738"/>
    <w:rsid w:val="0328750D"/>
    <w:rsid w:val="032A51B4"/>
    <w:rsid w:val="032C0004"/>
    <w:rsid w:val="03315857"/>
    <w:rsid w:val="03357DBF"/>
    <w:rsid w:val="03452DDF"/>
    <w:rsid w:val="034F7840"/>
    <w:rsid w:val="036954B5"/>
    <w:rsid w:val="036D2DAF"/>
    <w:rsid w:val="037E6DF3"/>
    <w:rsid w:val="0383586F"/>
    <w:rsid w:val="038739B7"/>
    <w:rsid w:val="03890CFF"/>
    <w:rsid w:val="038E70DB"/>
    <w:rsid w:val="038F0B6A"/>
    <w:rsid w:val="03AF1C52"/>
    <w:rsid w:val="03B056CD"/>
    <w:rsid w:val="03B15DF9"/>
    <w:rsid w:val="03B31109"/>
    <w:rsid w:val="03B9704E"/>
    <w:rsid w:val="03D0739B"/>
    <w:rsid w:val="03D426CC"/>
    <w:rsid w:val="03D45E55"/>
    <w:rsid w:val="03E87B85"/>
    <w:rsid w:val="03EA3413"/>
    <w:rsid w:val="03F21D45"/>
    <w:rsid w:val="03F37D85"/>
    <w:rsid w:val="04093FB2"/>
    <w:rsid w:val="040B3F6D"/>
    <w:rsid w:val="040E18DD"/>
    <w:rsid w:val="04153EA3"/>
    <w:rsid w:val="04153F12"/>
    <w:rsid w:val="04163A89"/>
    <w:rsid w:val="042E1F73"/>
    <w:rsid w:val="04376BAE"/>
    <w:rsid w:val="043A1B06"/>
    <w:rsid w:val="0441123E"/>
    <w:rsid w:val="045349AC"/>
    <w:rsid w:val="045A2095"/>
    <w:rsid w:val="04695E6D"/>
    <w:rsid w:val="04940E42"/>
    <w:rsid w:val="049E6B25"/>
    <w:rsid w:val="04A4399E"/>
    <w:rsid w:val="04A45C05"/>
    <w:rsid w:val="04A5181C"/>
    <w:rsid w:val="04AF2286"/>
    <w:rsid w:val="04B0076A"/>
    <w:rsid w:val="04C305A0"/>
    <w:rsid w:val="04C926BF"/>
    <w:rsid w:val="04D81FF5"/>
    <w:rsid w:val="04EE6171"/>
    <w:rsid w:val="04F01E58"/>
    <w:rsid w:val="0526590B"/>
    <w:rsid w:val="05290F52"/>
    <w:rsid w:val="05344D58"/>
    <w:rsid w:val="053B709F"/>
    <w:rsid w:val="053B7CFB"/>
    <w:rsid w:val="054D10C0"/>
    <w:rsid w:val="05604D10"/>
    <w:rsid w:val="056E25FE"/>
    <w:rsid w:val="057D2852"/>
    <w:rsid w:val="05805E49"/>
    <w:rsid w:val="058455EF"/>
    <w:rsid w:val="058D5D40"/>
    <w:rsid w:val="05973428"/>
    <w:rsid w:val="05A22040"/>
    <w:rsid w:val="05A45064"/>
    <w:rsid w:val="05B232C6"/>
    <w:rsid w:val="05B47563"/>
    <w:rsid w:val="05B57C30"/>
    <w:rsid w:val="05C22E26"/>
    <w:rsid w:val="05C936C8"/>
    <w:rsid w:val="05D50583"/>
    <w:rsid w:val="05D85056"/>
    <w:rsid w:val="05DD0D36"/>
    <w:rsid w:val="05DD3B04"/>
    <w:rsid w:val="05E428E3"/>
    <w:rsid w:val="05E935D0"/>
    <w:rsid w:val="05F60344"/>
    <w:rsid w:val="06081035"/>
    <w:rsid w:val="06086396"/>
    <w:rsid w:val="060F55C5"/>
    <w:rsid w:val="061565DA"/>
    <w:rsid w:val="06240932"/>
    <w:rsid w:val="06331465"/>
    <w:rsid w:val="063C18DB"/>
    <w:rsid w:val="064A5470"/>
    <w:rsid w:val="064F2C87"/>
    <w:rsid w:val="06600D03"/>
    <w:rsid w:val="06613D46"/>
    <w:rsid w:val="066858FA"/>
    <w:rsid w:val="066C6A80"/>
    <w:rsid w:val="066F00FA"/>
    <w:rsid w:val="067052D0"/>
    <w:rsid w:val="067E4221"/>
    <w:rsid w:val="068C13EC"/>
    <w:rsid w:val="06A51DC1"/>
    <w:rsid w:val="06A84990"/>
    <w:rsid w:val="06A87FC2"/>
    <w:rsid w:val="06AA079F"/>
    <w:rsid w:val="06AB6D03"/>
    <w:rsid w:val="06B449F3"/>
    <w:rsid w:val="06BF4949"/>
    <w:rsid w:val="06D06CDC"/>
    <w:rsid w:val="06E25862"/>
    <w:rsid w:val="06E83959"/>
    <w:rsid w:val="06FA7876"/>
    <w:rsid w:val="070E1CE1"/>
    <w:rsid w:val="070E31AB"/>
    <w:rsid w:val="070E781A"/>
    <w:rsid w:val="070F7481"/>
    <w:rsid w:val="071102DE"/>
    <w:rsid w:val="07145221"/>
    <w:rsid w:val="0722213B"/>
    <w:rsid w:val="072D6AAA"/>
    <w:rsid w:val="0730026B"/>
    <w:rsid w:val="074064C0"/>
    <w:rsid w:val="07431443"/>
    <w:rsid w:val="07480DE0"/>
    <w:rsid w:val="075C17A5"/>
    <w:rsid w:val="07614287"/>
    <w:rsid w:val="0763631A"/>
    <w:rsid w:val="07660241"/>
    <w:rsid w:val="076E4503"/>
    <w:rsid w:val="07807815"/>
    <w:rsid w:val="07914C79"/>
    <w:rsid w:val="07A757D9"/>
    <w:rsid w:val="07AC6ACA"/>
    <w:rsid w:val="07AF4E39"/>
    <w:rsid w:val="07B9297B"/>
    <w:rsid w:val="07C6616C"/>
    <w:rsid w:val="07D35778"/>
    <w:rsid w:val="07D46B37"/>
    <w:rsid w:val="07D913E7"/>
    <w:rsid w:val="07DB043D"/>
    <w:rsid w:val="07E51972"/>
    <w:rsid w:val="07E72199"/>
    <w:rsid w:val="07F60492"/>
    <w:rsid w:val="07FA3719"/>
    <w:rsid w:val="0800440D"/>
    <w:rsid w:val="080A4C6A"/>
    <w:rsid w:val="08115588"/>
    <w:rsid w:val="081E606D"/>
    <w:rsid w:val="082428A7"/>
    <w:rsid w:val="08302CF9"/>
    <w:rsid w:val="083730EE"/>
    <w:rsid w:val="08391992"/>
    <w:rsid w:val="08417305"/>
    <w:rsid w:val="084B0214"/>
    <w:rsid w:val="085F5246"/>
    <w:rsid w:val="086116C2"/>
    <w:rsid w:val="0861453F"/>
    <w:rsid w:val="08A8309C"/>
    <w:rsid w:val="08B61208"/>
    <w:rsid w:val="08B9795A"/>
    <w:rsid w:val="08C66DB9"/>
    <w:rsid w:val="08C801D5"/>
    <w:rsid w:val="08D35514"/>
    <w:rsid w:val="08D80B16"/>
    <w:rsid w:val="08E0465E"/>
    <w:rsid w:val="08E6343A"/>
    <w:rsid w:val="08FE4037"/>
    <w:rsid w:val="09110913"/>
    <w:rsid w:val="091177F8"/>
    <w:rsid w:val="0920556A"/>
    <w:rsid w:val="09230AF5"/>
    <w:rsid w:val="0929319F"/>
    <w:rsid w:val="092A6A14"/>
    <w:rsid w:val="093D1994"/>
    <w:rsid w:val="093E40C5"/>
    <w:rsid w:val="09552930"/>
    <w:rsid w:val="096652B1"/>
    <w:rsid w:val="097A2D8F"/>
    <w:rsid w:val="098D4EFF"/>
    <w:rsid w:val="0991595F"/>
    <w:rsid w:val="09993FE4"/>
    <w:rsid w:val="09B23F4C"/>
    <w:rsid w:val="09B5175D"/>
    <w:rsid w:val="09B551E2"/>
    <w:rsid w:val="09C55772"/>
    <w:rsid w:val="09E07A6C"/>
    <w:rsid w:val="09E12C15"/>
    <w:rsid w:val="09EE2B1A"/>
    <w:rsid w:val="0A0C03C4"/>
    <w:rsid w:val="0A0F5B39"/>
    <w:rsid w:val="0A1C72DC"/>
    <w:rsid w:val="0A387109"/>
    <w:rsid w:val="0A3C0A38"/>
    <w:rsid w:val="0A3C4AB2"/>
    <w:rsid w:val="0A423FCF"/>
    <w:rsid w:val="0A465CB9"/>
    <w:rsid w:val="0A4D37B3"/>
    <w:rsid w:val="0A522E12"/>
    <w:rsid w:val="0A556823"/>
    <w:rsid w:val="0A5955BD"/>
    <w:rsid w:val="0A5A128D"/>
    <w:rsid w:val="0A642E41"/>
    <w:rsid w:val="0A6B64D2"/>
    <w:rsid w:val="0A6D3A68"/>
    <w:rsid w:val="0A7E7A7E"/>
    <w:rsid w:val="0A806F0A"/>
    <w:rsid w:val="0A807AA2"/>
    <w:rsid w:val="0A885831"/>
    <w:rsid w:val="0A940961"/>
    <w:rsid w:val="0AA4257A"/>
    <w:rsid w:val="0AA522E1"/>
    <w:rsid w:val="0AB94359"/>
    <w:rsid w:val="0ABC5336"/>
    <w:rsid w:val="0ADF16C4"/>
    <w:rsid w:val="0AF70E7E"/>
    <w:rsid w:val="0AFA5540"/>
    <w:rsid w:val="0B0E4E77"/>
    <w:rsid w:val="0B173B18"/>
    <w:rsid w:val="0B190801"/>
    <w:rsid w:val="0B28021A"/>
    <w:rsid w:val="0B3F7726"/>
    <w:rsid w:val="0B4417D6"/>
    <w:rsid w:val="0B4C27A8"/>
    <w:rsid w:val="0B582596"/>
    <w:rsid w:val="0B5E0566"/>
    <w:rsid w:val="0B615EC7"/>
    <w:rsid w:val="0B661850"/>
    <w:rsid w:val="0B6F7ED2"/>
    <w:rsid w:val="0B772BAF"/>
    <w:rsid w:val="0B897349"/>
    <w:rsid w:val="0B8A419C"/>
    <w:rsid w:val="0B934110"/>
    <w:rsid w:val="0B93537C"/>
    <w:rsid w:val="0B994890"/>
    <w:rsid w:val="0BAD6F0F"/>
    <w:rsid w:val="0BB6589E"/>
    <w:rsid w:val="0BBB7C64"/>
    <w:rsid w:val="0BBF2826"/>
    <w:rsid w:val="0BCA04CD"/>
    <w:rsid w:val="0BCA5276"/>
    <w:rsid w:val="0BD43567"/>
    <w:rsid w:val="0BDF2B3F"/>
    <w:rsid w:val="0BE7726C"/>
    <w:rsid w:val="0BEB1E81"/>
    <w:rsid w:val="0BF1196B"/>
    <w:rsid w:val="0BF92F63"/>
    <w:rsid w:val="0BFE2369"/>
    <w:rsid w:val="0C0149DC"/>
    <w:rsid w:val="0C1E46B3"/>
    <w:rsid w:val="0C203E2E"/>
    <w:rsid w:val="0C227C79"/>
    <w:rsid w:val="0C2A517C"/>
    <w:rsid w:val="0C37316A"/>
    <w:rsid w:val="0C400593"/>
    <w:rsid w:val="0C4F16FA"/>
    <w:rsid w:val="0C4F2856"/>
    <w:rsid w:val="0C5B7783"/>
    <w:rsid w:val="0C6C2A03"/>
    <w:rsid w:val="0C7230AE"/>
    <w:rsid w:val="0C737112"/>
    <w:rsid w:val="0C7D5F6F"/>
    <w:rsid w:val="0C921A43"/>
    <w:rsid w:val="0CA30181"/>
    <w:rsid w:val="0CA45CE6"/>
    <w:rsid w:val="0CA52963"/>
    <w:rsid w:val="0CAA2DA3"/>
    <w:rsid w:val="0CAA56BA"/>
    <w:rsid w:val="0CB27138"/>
    <w:rsid w:val="0CBC0DF4"/>
    <w:rsid w:val="0CC2278B"/>
    <w:rsid w:val="0CC46262"/>
    <w:rsid w:val="0CC7456D"/>
    <w:rsid w:val="0CD24C37"/>
    <w:rsid w:val="0CD52F53"/>
    <w:rsid w:val="0CE50F24"/>
    <w:rsid w:val="0CE74EF0"/>
    <w:rsid w:val="0CE918C5"/>
    <w:rsid w:val="0CF773EC"/>
    <w:rsid w:val="0CFB45A6"/>
    <w:rsid w:val="0D217FC1"/>
    <w:rsid w:val="0D237FE0"/>
    <w:rsid w:val="0D2F1C3E"/>
    <w:rsid w:val="0D4D5AB5"/>
    <w:rsid w:val="0D610B2A"/>
    <w:rsid w:val="0D625CCF"/>
    <w:rsid w:val="0D6767DA"/>
    <w:rsid w:val="0D76050D"/>
    <w:rsid w:val="0D7C4373"/>
    <w:rsid w:val="0D7E3A58"/>
    <w:rsid w:val="0D873E01"/>
    <w:rsid w:val="0DB717F6"/>
    <w:rsid w:val="0DBB66A5"/>
    <w:rsid w:val="0DC26EF9"/>
    <w:rsid w:val="0DCE11B5"/>
    <w:rsid w:val="0DDE4FD5"/>
    <w:rsid w:val="0DE26422"/>
    <w:rsid w:val="0DEB4533"/>
    <w:rsid w:val="0DF00D27"/>
    <w:rsid w:val="0DF02F5A"/>
    <w:rsid w:val="0DF37BDA"/>
    <w:rsid w:val="0DF43F10"/>
    <w:rsid w:val="0DFB3465"/>
    <w:rsid w:val="0DFC1CBF"/>
    <w:rsid w:val="0E0E0EC3"/>
    <w:rsid w:val="0E1A6B2D"/>
    <w:rsid w:val="0E33311B"/>
    <w:rsid w:val="0E3554DF"/>
    <w:rsid w:val="0E40297F"/>
    <w:rsid w:val="0E45273F"/>
    <w:rsid w:val="0E4B5052"/>
    <w:rsid w:val="0E8C4A4E"/>
    <w:rsid w:val="0E9755D5"/>
    <w:rsid w:val="0E9B4A82"/>
    <w:rsid w:val="0E9E34AD"/>
    <w:rsid w:val="0EA33A67"/>
    <w:rsid w:val="0EB90862"/>
    <w:rsid w:val="0EB9159E"/>
    <w:rsid w:val="0EBB5489"/>
    <w:rsid w:val="0EBC24C4"/>
    <w:rsid w:val="0ECE168D"/>
    <w:rsid w:val="0ED957F9"/>
    <w:rsid w:val="0EE15C31"/>
    <w:rsid w:val="0EF079CC"/>
    <w:rsid w:val="0EF44E94"/>
    <w:rsid w:val="0EFA5735"/>
    <w:rsid w:val="0EFB26E0"/>
    <w:rsid w:val="0EFC3537"/>
    <w:rsid w:val="0F1503D7"/>
    <w:rsid w:val="0F166627"/>
    <w:rsid w:val="0F1A1B32"/>
    <w:rsid w:val="0F2F4197"/>
    <w:rsid w:val="0F3D1676"/>
    <w:rsid w:val="0F5359C2"/>
    <w:rsid w:val="0F545D77"/>
    <w:rsid w:val="0F5959AB"/>
    <w:rsid w:val="0F603A4B"/>
    <w:rsid w:val="0F657B6F"/>
    <w:rsid w:val="0F677BBE"/>
    <w:rsid w:val="0F7C6B81"/>
    <w:rsid w:val="0F812FCB"/>
    <w:rsid w:val="0F900AB3"/>
    <w:rsid w:val="0F924C28"/>
    <w:rsid w:val="0F9326D0"/>
    <w:rsid w:val="0F9D54D1"/>
    <w:rsid w:val="0FAC546C"/>
    <w:rsid w:val="0FAD2E2D"/>
    <w:rsid w:val="0FBB6A8E"/>
    <w:rsid w:val="0FBC4D21"/>
    <w:rsid w:val="0FCA1444"/>
    <w:rsid w:val="0FD50C97"/>
    <w:rsid w:val="0FE453CA"/>
    <w:rsid w:val="0FED14FF"/>
    <w:rsid w:val="0FF0315D"/>
    <w:rsid w:val="0FFA6DF2"/>
    <w:rsid w:val="0FFB3399"/>
    <w:rsid w:val="1010343F"/>
    <w:rsid w:val="10267E3B"/>
    <w:rsid w:val="10460428"/>
    <w:rsid w:val="104A1CB7"/>
    <w:rsid w:val="105222A4"/>
    <w:rsid w:val="106874D7"/>
    <w:rsid w:val="107C5E67"/>
    <w:rsid w:val="107E09EF"/>
    <w:rsid w:val="10842FA1"/>
    <w:rsid w:val="108F4451"/>
    <w:rsid w:val="108F6DB8"/>
    <w:rsid w:val="10976757"/>
    <w:rsid w:val="10980C5A"/>
    <w:rsid w:val="10A46C6C"/>
    <w:rsid w:val="10AC360E"/>
    <w:rsid w:val="10BD4C93"/>
    <w:rsid w:val="10C312F8"/>
    <w:rsid w:val="10C73403"/>
    <w:rsid w:val="10D61F64"/>
    <w:rsid w:val="10DB6DBA"/>
    <w:rsid w:val="10EA7EE5"/>
    <w:rsid w:val="10EB6D6C"/>
    <w:rsid w:val="10F342B6"/>
    <w:rsid w:val="10F37D42"/>
    <w:rsid w:val="11201284"/>
    <w:rsid w:val="11291914"/>
    <w:rsid w:val="11336B48"/>
    <w:rsid w:val="11367F0D"/>
    <w:rsid w:val="114207E7"/>
    <w:rsid w:val="114401F9"/>
    <w:rsid w:val="1146544B"/>
    <w:rsid w:val="115A3779"/>
    <w:rsid w:val="116C5221"/>
    <w:rsid w:val="11731E43"/>
    <w:rsid w:val="118D0AFC"/>
    <w:rsid w:val="119111E0"/>
    <w:rsid w:val="11997415"/>
    <w:rsid w:val="11A04A4A"/>
    <w:rsid w:val="11AA74C5"/>
    <w:rsid w:val="11B579A6"/>
    <w:rsid w:val="11BD2261"/>
    <w:rsid w:val="11C94145"/>
    <w:rsid w:val="11D413C1"/>
    <w:rsid w:val="11E00FF1"/>
    <w:rsid w:val="11E72415"/>
    <w:rsid w:val="11E92FB8"/>
    <w:rsid w:val="11F02061"/>
    <w:rsid w:val="11FE5AD5"/>
    <w:rsid w:val="12000F6D"/>
    <w:rsid w:val="12047EB9"/>
    <w:rsid w:val="121518F4"/>
    <w:rsid w:val="12210E91"/>
    <w:rsid w:val="12230BC6"/>
    <w:rsid w:val="122956A3"/>
    <w:rsid w:val="122C4F70"/>
    <w:rsid w:val="123163BA"/>
    <w:rsid w:val="124837BD"/>
    <w:rsid w:val="124D097B"/>
    <w:rsid w:val="1252417B"/>
    <w:rsid w:val="12573698"/>
    <w:rsid w:val="12712A39"/>
    <w:rsid w:val="127561E3"/>
    <w:rsid w:val="127A6C91"/>
    <w:rsid w:val="128D7B71"/>
    <w:rsid w:val="129D7F55"/>
    <w:rsid w:val="12A47AB9"/>
    <w:rsid w:val="12A50BF1"/>
    <w:rsid w:val="12B101AF"/>
    <w:rsid w:val="12BB1692"/>
    <w:rsid w:val="12CE3B28"/>
    <w:rsid w:val="12D72A76"/>
    <w:rsid w:val="12E7589C"/>
    <w:rsid w:val="12E86B2E"/>
    <w:rsid w:val="12F13B21"/>
    <w:rsid w:val="12F322F9"/>
    <w:rsid w:val="12F33AEA"/>
    <w:rsid w:val="12F4667C"/>
    <w:rsid w:val="12FA55E2"/>
    <w:rsid w:val="130B059B"/>
    <w:rsid w:val="131431D7"/>
    <w:rsid w:val="13173411"/>
    <w:rsid w:val="131B4D73"/>
    <w:rsid w:val="132800F1"/>
    <w:rsid w:val="13287AB1"/>
    <w:rsid w:val="132F409E"/>
    <w:rsid w:val="13321E54"/>
    <w:rsid w:val="13332544"/>
    <w:rsid w:val="133403D2"/>
    <w:rsid w:val="1334365B"/>
    <w:rsid w:val="134644BB"/>
    <w:rsid w:val="134E6ACD"/>
    <w:rsid w:val="13532B9F"/>
    <w:rsid w:val="13596EAB"/>
    <w:rsid w:val="136006EF"/>
    <w:rsid w:val="13633F18"/>
    <w:rsid w:val="136E1994"/>
    <w:rsid w:val="13782944"/>
    <w:rsid w:val="137F453B"/>
    <w:rsid w:val="13801C0C"/>
    <w:rsid w:val="138925FF"/>
    <w:rsid w:val="138E49D4"/>
    <w:rsid w:val="13AA3FB9"/>
    <w:rsid w:val="13BC4140"/>
    <w:rsid w:val="13C130B8"/>
    <w:rsid w:val="13C133CE"/>
    <w:rsid w:val="13DD6999"/>
    <w:rsid w:val="13E94231"/>
    <w:rsid w:val="13EF077D"/>
    <w:rsid w:val="13F66B0F"/>
    <w:rsid w:val="13F91A59"/>
    <w:rsid w:val="140565C9"/>
    <w:rsid w:val="14065889"/>
    <w:rsid w:val="14071333"/>
    <w:rsid w:val="14121F00"/>
    <w:rsid w:val="14157CFF"/>
    <w:rsid w:val="142A1B8C"/>
    <w:rsid w:val="1431403B"/>
    <w:rsid w:val="143D51AD"/>
    <w:rsid w:val="14455DB5"/>
    <w:rsid w:val="14497983"/>
    <w:rsid w:val="145356A5"/>
    <w:rsid w:val="14573A06"/>
    <w:rsid w:val="145964CE"/>
    <w:rsid w:val="146064E0"/>
    <w:rsid w:val="146634F5"/>
    <w:rsid w:val="146E59B7"/>
    <w:rsid w:val="14771BFB"/>
    <w:rsid w:val="147B2562"/>
    <w:rsid w:val="149E6DB3"/>
    <w:rsid w:val="14A25CC1"/>
    <w:rsid w:val="14A30DA0"/>
    <w:rsid w:val="14AC486F"/>
    <w:rsid w:val="14B54D20"/>
    <w:rsid w:val="14D902A4"/>
    <w:rsid w:val="14FE7D0A"/>
    <w:rsid w:val="15026240"/>
    <w:rsid w:val="150B53C0"/>
    <w:rsid w:val="15111512"/>
    <w:rsid w:val="15120E34"/>
    <w:rsid w:val="151347B6"/>
    <w:rsid w:val="151D6822"/>
    <w:rsid w:val="151D76E2"/>
    <w:rsid w:val="151E29EF"/>
    <w:rsid w:val="152366EF"/>
    <w:rsid w:val="1529591A"/>
    <w:rsid w:val="152F49F1"/>
    <w:rsid w:val="15472EE6"/>
    <w:rsid w:val="154C316C"/>
    <w:rsid w:val="154D0DC0"/>
    <w:rsid w:val="155950A0"/>
    <w:rsid w:val="157111BC"/>
    <w:rsid w:val="157C10BD"/>
    <w:rsid w:val="158A3C94"/>
    <w:rsid w:val="158C3C38"/>
    <w:rsid w:val="158C5DDE"/>
    <w:rsid w:val="158F3058"/>
    <w:rsid w:val="159A2FE3"/>
    <w:rsid w:val="159C695D"/>
    <w:rsid w:val="159D2DB9"/>
    <w:rsid w:val="15AE538F"/>
    <w:rsid w:val="15BD5BED"/>
    <w:rsid w:val="15BE5AF9"/>
    <w:rsid w:val="15C17F83"/>
    <w:rsid w:val="15C35E56"/>
    <w:rsid w:val="15C46C1B"/>
    <w:rsid w:val="15D5540F"/>
    <w:rsid w:val="15E924AD"/>
    <w:rsid w:val="15EE2829"/>
    <w:rsid w:val="160D3847"/>
    <w:rsid w:val="16127F5F"/>
    <w:rsid w:val="16183A6D"/>
    <w:rsid w:val="161D0F63"/>
    <w:rsid w:val="16277F30"/>
    <w:rsid w:val="162C4E22"/>
    <w:rsid w:val="1660774B"/>
    <w:rsid w:val="166E2C6E"/>
    <w:rsid w:val="166F2593"/>
    <w:rsid w:val="167F2DF7"/>
    <w:rsid w:val="16850002"/>
    <w:rsid w:val="1685350E"/>
    <w:rsid w:val="169052DA"/>
    <w:rsid w:val="16983ABF"/>
    <w:rsid w:val="169E2832"/>
    <w:rsid w:val="16A732CD"/>
    <w:rsid w:val="16B822DF"/>
    <w:rsid w:val="16C03F59"/>
    <w:rsid w:val="16C3480B"/>
    <w:rsid w:val="16C51CA5"/>
    <w:rsid w:val="16CB4E9D"/>
    <w:rsid w:val="16CE5BD8"/>
    <w:rsid w:val="16D459DB"/>
    <w:rsid w:val="16DF58FB"/>
    <w:rsid w:val="16EA2C3C"/>
    <w:rsid w:val="16F4518C"/>
    <w:rsid w:val="16F91545"/>
    <w:rsid w:val="170C702E"/>
    <w:rsid w:val="17171217"/>
    <w:rsid w:val="171933EF"/>
    <w:rsid w:val="172116DF"/>
    <w:rsid w:val="17236738"/>
    <w:rsid w:val="17316ABF"/>
    <w:rsid w:val="1735753B"/>
    <w:rsid w:val="17365E81"/>
    <w:rsid w:val="173D4E28"/>
    <w:rsid w:val="174520BE"/>
    <w:rsid w:val="17503769"/>
    <w:rsid w:val="176A5676"/>
    <w:rsid w:val="176F19A6"/>
    <w:rsid w:val="17760F12"/>
    <w:rsid w:val="177673FF"/>
    <w:rsid w:val="17811481"/>
    <w:rsid w:val="1787048B"/>
    <w:rsid w:val="178D1616"/>
    <w:rsid w:val="1791320D"/>
    <w:rsid w:val="17C70888"/>
    <w:rsid w:val="17CB0BF1"/>
    <w:rsid w:val="17D24241"/>
    <w:rsid w:val="17D3085E"/>
    <w:rsid w:val="17EC719B"/>
    <w:rsid w:val="17EF29C5"/>
    <w:rsid w:val="17F36871"/>
    <w:rsid w:val="17F5185C"/>
    <w:rsid w:val="18033B1F"/>
    <w:rsid w:val="18037BDF"/>
    <w:rsid w:val="18053074"/>
    <w:rsid w:val="180A2B06"/>
    <w:rsid w:val="180C5E11"/>
    <w:rsid w:val="18115FA7"/>
    <w:rsid w:val="181D0B4B"/>
    <w:rsid w:val="182A0104"/>
    <w:rsid w:val="183A53B5"/>
    <w:rsid w:val="18463F1B"/>
    <w:rsid w:val="18465213"/>
    <w:rsid w:val="18495740"/>
    <w:rsid w:val="184F12F7"/>
    <w:rsid w:val="187A6402"/>
    <w:rsid w:val="187D34C3"/>
    <w:rsid w:val="18835AA6"/>
    <w:rsid w:val="189C2C68"/>
    <w:rsid w:val="18B90DE0"/>
    <w:rsid w:val="18BB297A"/>
    <w:rsid w:val="18BD1A34"/>
    <w:rsid w:val="18C71B47"/>
    <w:rsid w:val="18C87BBA"/>
    <w:rsid w:val="18CC0F04"/>
    <w:rsid w:val="18D76311"/>
    <w:rsid w:val="18E164EC"/>
    <w:rsid w:val="18F75181"/>
    <w:rsid w:val="18FD3996"/>
    <w:rsid w:val="19052CB5"/>
    <w:rsid w:val="190B0FC1"/>
    <w:rsid w:val="191A0178"/>
    <w:rsid w:val="191B0CF3"/>
    <w:rsid w:val="191F7822"/>
    <w:rsid w:val="1922596B"/>
    <w:rsid w:val="192A381F"/>
    <w:rsid w:val="192E7138"/>
    <w:rsid w:val="19365193"/>
    <w:rsid w:val="19560FD7"/>
    <w:rsid w:val="1959487C"/>
    <w:rsid w:val="196011BA"/>
    <w:rsid w:val="1962696F"/>
    <w:rsid w:val="19647C4E"/>
    <w:rsid w:val="198019C0"/>
    <w:rsid w:val="1980212F"/>
    <w:rsid w:val="1982222E"/>
    <w:rsid w:val="19917E56"/>
    <w:rsid w:val="19AD0379"/>
    <w:rsid w:val="19B061DB"/>
    <w:rsid w:val="19B760BB"/>
    <w:rsid w:val="19BA51B3"/>
    <w:rsid w:val="19E97647"/>
    <w:rsid w:val="19F31E08"/>
    <w:rsid w:val="19F71E2F"/>
    <w:rsid w:val="19F74B4D"/>
    <w:rsid w:val="19F85F38"/>
    <w:rsid w:val="1A0D36F9"/>
    <w:rsid w:val="1A143B2C"/>
    <w:rsid w:val="1A143B31"/>
    <w:rsid w:val="1A161AA4"/>
    <w:rsid w:val="1A164F65"/>
    <w:rsid w:val="1A2A4626"/>
    <w:rsid w:val="1A3A0E56"/>
    <w:rsid w:val="1A494EE7"/>
    <w:rsid w:val="1A4C733A"/>
    <w:rsid w:val="1A5071BF"/>
    <w:rsid w:val="1A591CE7"/>
    <w:rsid w:val="1A5A3E5D"/>
    <w:rsid w:val="1A6D4D80"/>
    <w:rsid w:val="1A8827D6"/>
    <w:rsid w:val="1A8C2E21"/>
    <w:rsid w:val="1A987A7B"/>
    <w:rsid w:val="1AA64167"/>
    <w:rsid w:val="1AA740D9"/>
    <w:rsid w:val="1AAE0369"/>
    <w:rsid w:val="1AC67607"/>
    <w:rsid w:val="1ACD08AB"/>
    <w:rsid w:val="1ACE073E"/>
    <w:rsid w:val="1AD270EE"/>
    <w:rsid w:val="1AD31C39"/>
    <w:rsid w:val="1ADB0702"/>
    <w:rsid w:val="1ADC67B7"/>
    <w:rsid w:val="1AE814E2"/>
    <w:rsid w:val="1AF4363C"/>
    <w:rsid w:val="1AF668FB"/>
    <w:rsid w:val="1AF8189A"/>
    <w:rsid w:val="1AFD76D7"/>
    <w:rsid w:val="1B014330"/>
    <w:rsid w:val="1B0E6C12"/>
    <w:rsid w:val="1B1C0118"/>
    <w:rsid w:val="1B334C97"/>
    <w:rsid w:val="1B4D564D"/>
    <w:rsid w:val="1B654F4C"/>
    <w:rsid w:val="1B677C9C"/>
    <w:rsid w:val="1B6862BA"/>
    <w:rsid w:val="1B877960"/>
    <w:rsid w:val="1B8D5199"/>
    <w:rsid w:val="1B8F790E"/>
    <w:rsid w:val="1B9F150F"/>
    <w:rsid w:val="1B9F2D70"/>
    <w:rsid w:val="1BA139C6"/>
    <w:rsid w:val="1BA147C3"/>
    <w:rsid w:val="1BAA01F9"/>
    <w:rsid w:val="1BAD40D9"/>
    <w:rsid w:val="1BAD500D"/>
    <w:rsid w:val="1BAF23E4"/>
    <w:rsid w:val="1BBE1A50"/>
    <w:rsid w:val="1BBF1918"/>
    <w:rsid w:val="1BD376BC"/>
    <w:rsid w:val="1BE31406"/>
    <w:rsid w:val="1BEF729E"/>
    <w:rsid w:val="1C0237E3"/>
    <w:rsid w:val="1C044017"/>
    <w:rsid w:val="1C1257EE"/>
    <w:rsid w:val="1C2A71B4"/>
    <w:rsid w:val="1C4253AC"/>
    <w:rsid w:val="1C520EFD"/>
    <w:rsid w:val="1C531BF3"/>
    <w:rsid w:val="1C5647E1"/>
    <w:rsid w:val="1C5F4E50"/>
    <w:rsid w:val="1C620F9C"/>
    <w:rsid w:val="1C637273"/>
    <w:rsid w:val="1C76156C"/>
    <w:rsid w:val="1C7622D6"/>
    <w:rsid w:val="1C7631E1"/>
    <w:rsid w:val="1C7D439F"/>
    <w:rsid w:val="1C9257D4"/>
    <w:rsid w:val="1CA032C8"/>
    <w:rsid w:val="1CA16D3A"/>
    <w:rsid w:val="1CA85480"/>
    <w:rsid w:val="1CE35C0D"/>
    <w:rsid w:val="1CE76430"/>
    <w:rsid w:val="1CEA3D21"/>
    <w:rsid w:val="1CF52B44"/>
    <w:rsid w:val="1CFF45C7"/>
    <w:rsid w:val="1D0653FB"/>
    <w:rsid w:val="1D0748D3"/>
    <w:rsid w:val="1D09142A"/>
    <w:rsid w:val="1D0E4833"/>
    <w:rsid w:val="1D1E5BDE"/>
    <w:rsid w:val="1D206223"/>
    <w:rsid w:val="1D2534DD"/>
    <w:rsid w:val="1D2D3883"/>
    <w:rsid w:val="1D540E0F"/>
    <w:rsid w:val="1D60491D"/>
    <w:rsid w:val="1D611166"/>
    <w:rsid w:val="1D671CA7"/>
    <w:rsid w:val="1D6B56C2"/>
    <w:rsid w:val="1D7211C5"/>
    <w:rsid w:val="1D7C38E5"/>
    <w:rsid w:val="1D7C3D6B"/>
    <w:rsid w:val="1D7D6A89"/>
    <w:rsid w:val="1D983F5A"/>
    <w:rsid w:val="1D9F5EAC"/>
    <w:rsid w:val="1DA726DC"/>
    <w:rsid w:val="1DA84CB7"/>
    <w:rsid w:val="1DAE056E"/>
    <w:rsid w:val="1DB95B67"/>
    <w:rsid w:val="1DBD2BFD"/>
    <w:rsid w:val="1DC03FA0"/>
    <w:rsid w:val="1DD47B92"/>
    <w:rsid w:val="1DD648FA"/>
    <w:rsid w:val="1DD97480"/>
    <w:rsid w:val="1DFA1B76"/>
    <w:rsid w:val="1E09017D"/>
    <w:rsid w:val="1E0C6872"/>
    <w:rsid w:val="1E1A3E93"/>
    <w:rsid w:val="1E2200E0"/>
    <w:rsid w:val="1E2F179E"/>
    <w:rsid w:val="1E356E9F"/>
    <w:rsid w:val="1E3610D6"/>
    <w:rsid w:val="1E3F1F63"/>
    <w:rsid w:val="1E542A0B"/>
    <w:rsid w:val="1E590815"/>
    <w:rsid w:val="1E616A77"/>
    <w:rsid w:val="1E693469"/>
    <w:rsid w:val="1E6F3E9A"/>
    <w:rsid w:val="1E78026B"/>
    <w:rsid w:val="1E7D2B10"/>
    <w:rsid w:val="1E8043AA"/>
    <w:rsid w:val="1E86080E"/>
    <w:rsid w:val="1E8D2F04"/>
    <w:rsid w:val="1E8E2E0B"/>
    <w:rsid w:val="1E902759"/>
    <w:rsid w:val="1EBE582E"/>
    <w:rsid w:val="1EC031DF"/>
    <w:rsid w:val="1ECD7416"/>
    <w:rsid w:val="1ECE2E43"/>
    <w:rsid w:val="1ECE31BC"/>
    <w:rsid w:val="1ED339E6"/>
    <w:rsid w:val="1EDA0429"/>
    <w:rsid w:val="1EFB1CDD"/>
    <w:rsid w:val="1EFD09DA"/>
    <w:rsid w:val="1EFD6929"/>
    <w:rsid w:val="1F042CD9"/>
    <w:rsid w:val="1F096AD1"/>
    <w:rsid w:val="1F196F31"/>
    <w:rsid w:val="1F342C07"/>
    <w:rsid w:val="1F4E5F72"/>
    <w:rsid w:val="1F59262E"/>
    <w:rsid w:val="1F620E57"/>
    <w:rsid w:val="1F6F0F8A"/>
    <w:rsid w:val="1F7746CD"/>
    <w:rsid w:val="1F7A63A3"/>
    <w:rsid w:val="1F8D422A"/>
    <w:rsid w:val="1F8F25D3"/>
    <w:rsid w:val="1F933900"/>
    <w:rsid w:val="1F966216"/>
    <w:rsid w:val="1F9922A3"/>
    <w:rsid w:val="1FB06DF8"/>
    <w:rsid w:val="1FB20BA0"/>
    <w:rsid w:val="1FC74713"/>
    <w:rsid w:val="1FDC5402"/>
    <w:rsid w:val="1FE25535"/>
    <w:rsid w:val="1FF23D5B"/>
    <w:rsid w:val="1FF539E8"/>
    <w:rsid w:val="201D0CAE"/>
    <w:rsid w:val="20284D01"/>
    <w:rsid w:val="20490B82"/>
    <w:rsid w:val="20493418"/>
    <w:rsid w:val="2058029F"/>
    <w:rsid w:val="206235E0"/>
    <w:rsid w:val="20635A20"/>
    <w:rsid w:val="206643AE"/>
    <w:rsid w:val="207D5313"/>
    <w:rsid w:val="208A4CE8"/>
    <w:rsid w:val="20995545"/>
    <w:rsid w:val="20AA090F"/>
    <w:rsid w:val="20AF71E7"/>
    <w:rsid w:val="20BA1850"/>
    <w:rsid w:val="20C15CDF"/>
    <w:rsid w:val="20C534E0"/>
    <w:rsid w:val="20CE6FB4"/>
    <w:rsid w:val="20D11AEE"/>
    <w:rsid w:val="20EF5AB5"/>
    <w:rsid w:val="20F313C8"/>
    <w:rsid w:val="20FA42B5"/>
    <w:rsid w:val="21072993"/>
    <w:rsid w:val="21262B10"/>
    <w:rsid w:val="212C219F"/>
    <w:rsid w:val="213A5134"/>
    <w:rsid w:val="21557350"/>
    <w:rsid w:val="21792A83"/>
    <w:rsid w:val="217C377D"/>
    <w:rsid w:val="21845506"/>
    <w:rsid w:val="21865F47"/>
    <w:rsid w:val="218E5D54"/>
    <w:rsid w:val="219227E7"/>
    <w:rsid w:val="21925757"/>
    <w:rsid w:val="21954506"/>
    <w:rsid w:val="21967F6C"/>
    <w:rsid w:val="219B3C09"/>
    <w:rsid w:val="219B5671"/>
    <w:rsid w:val="219F4623"/>
    <w:rsid w:val="21AB0BB7"/>
    <w:rsid w:val="21B715DB"/>
    <w:rsid w:val="21BC2E94"/>
    <w:rsid w:val="21C4616F"/>
    <w:rsid w:val="21C82661"/>
    <w:rsid w:val="21CD412A"/>
    <w:rsid w:val="21CD73AC"/>
    <w:rsid w:val="21D3798C"/>
    <w:rsid w:val="21E16F61"/>
    <w:rsid w:val="21E464DA"/>
    <w:rsid w:val="21E62FB6"/>
    <w:rsid w:val="21E66FB0"/>
    <w:rsid w:val="220623A3"/>
    <w:rsid w:val="22063627"/>
    <w:rsid w:val="2220773E"/>
    <w:rsid w:val="2221364A"/>
    <w:rsid w:val="222515D0"/>
    <w:rsid w:val="2258300F"/>
    <w:rsid w:val="22583E51"/>
    <w:rsid w:val="226A31BE"/>
    <w:rsid w:val="226E02AC"/>
    <w:rsid w:val="2280684F"/>
    <w:rsid w:val="228068B9"/>
    <w:rsid w:val="22830937"/>
    <w:rsid w:val="228755AF"/>
    <w:rsid w:val="22931CFE"/>
    <w:rsid w:val="22A01DD0"/>
    <w:rsid w:val="22AD25B4"/>
    <w:rsid w:val="22B95E2D"/>
    <w:rsid w:val="22BD45EC"/>
    <w:rsid w:val="22C20173"/>
    <w:rsid w:val="22C94458"/>
    <w:rsid w:val="22D12CF5"/>
    <w:rsid w:val="22D36C7A"/>
    <w:rsid w:val="22DB735D"/>
    <w:rsid w:val="22E220A1"/>
    <w:rsid w:val="22E97987"/>
    <w:rsid w:val="22FB613C"/>
    <w:rsid w:val="230351EA"/>
    <w:rsid w:val="23036D58"/>
    <w:rsid w:val="23092AD8"/>
    <w:rsid w:val="230B5B90"/>
    <w:rsid w:val="233731EF"/>
    <w:rsid w:val="233933C9"/>
    <w:rsid w:val="233B0096"/>
    <w:rsid w:val="23400A54"/>
    <w:rsid w:val="234842FF"/>
    <w:rsid w:val="23567065"/>
    <w:rsid w:val="235A1193"/>
    <w:rsid w:val="237C69EE"/>
    <w:rsid w:val="238615B6"/>
    <w:rsid w:val="23891E71"/>
    <w:rsid w:val="23957EF5"/>
    <w:rsid w:val="239F08AF"/>
    <w:rsid w:val="23A376D9"/>
    <w:rsid w:val="23A6505A"/>
    <w:rsid w:val="23B5025A"/>
    <w:rsid w:val="23BF0981"/>
    <w:rsid w:val="23CD2668"/>
    <w:rsid w:val="23CE3398"/>
    <w:rsid w:val="23D84D90"/>
    <w:rsid w:val="23E00202"/>
    <w:rsid w:val="23E274D4"/>
    <w:rsid w:val="23E32EED"/>
    <w:rsid w:val="23E40A13"/>
    <w:rsid w:val="23E457A0"/>
    <w:rsid w:val="23E6755B"/>
    <w:rsid w:val="23F5232C"/>
    <w:rsid w:val="2428210E"/>
    <w:rsid w:val="242E7EB3"/>
    <w:rsid w:val="24306FB4"/>
    <w:rsid w:val="244208A1"/>
    <w:rsid w:val="24441531"/>
    <w:rsid w:val="24446B17"/>
    <w:rsid w:val="246109A1"/>
    <w:rsid w:val="24614C26"/>
    <w:rsid w:val="246851A0"/>
    <w:rsid w:val="246904B5"/>
    <w:rsid w:val="24732EC1"/>
    <w:rsid w:val="24760BE2"/>
    <w:rsid w:val="24827881"/>
    <w:rsid w:val="248A24E4"/>
    <w:rsid w:val="24962C66"/>
    <w:rsid w:val="24B324C4"/>
    <w:rsid w:val="24B373DE"/>
    <w:rsid w:val="24C247FC"/>
    <w:rsid w:val="24CD56ED"/>
    <w:rsid w:val="24CF42BA"/>
    <w:rsid w:val="24D50D7A"/>
    <w:rsid w:val="24DC1410"/>
    <w:rsid w:val="24E16D01"/>
    <w:rsid w:val="24E95B44"/>
    <w:rsid w:val="24EF025A"/>
    <w:rsid w:val="24FE0D75"/>
    <w:rsid w:val="250025E5"/>
    <w:rsid w:val="25067B09"/>
    <w:rsid w:val="2509629B"/>
    <w:rsid w:val="250B68C1"/>
    <w:rsid w:val="251453C6"/>
    <w:rsid w:val="25153B26"/>
    <w:rsid w:val="251A4840"/>
    <w:rsid w:val="252F2DBC"/>
    <w:rsid w:val="25375BD9"/>
    <w:rsid w:val="253A1C19"/>
    <w:rsid w:val="25465E24"/>
    <w:rsid w:val="25493C12"/>
    <w:rsid w:val="25521420"/>
    <w:rsid w:val="25557CC1"/>
    <w:rsid w:val="256614A3"/>
    <w:rsid w:val="25826CB2"/>
    <w:rsid w:val="258E50DA"/>
    <w:rsid w:val="258F4AA1"/>
    <w:rsid w:val="25974EB0"/>
    <w:rsid w:val="259B27EB"/>
    <w:rsid w:val="25B14021"/>
    <w:rsid w:val="25B74626"/>
    <w:rsid w:val="25B873F2"/>
    <w:rsid w:val="25E46186"/>
    <w:rsid w:val="25E57F34"/>
    <w:rsid w:val="25E642D6"/>
    <w:rsid w:val="25F27687"/>
    <w:rsid w:val="26072CF6"/>
    <w:rsid w:val="26122A45"/>
    <w:rsid w:val="261A30C3"/>
    <w:rsid w:val="262E6F4C"/>
    <w:rsid w:val="26320923"/>
    <w:rsid w:val="26323262"/>
    <w:rsid w:val="2650413E"/>
    <w:rsid w:val="26906EF1"/>
    <w:rsid w:val="269161A2"/>
    <w:rsid w:val="26967365"/>
    <w:rsid w:val="269C55D5"/>
    <w:rsid w:val="26A821CC"/>
    <w:rsid w:val="26D42515"/>
    <w:rsid w:val="26E4671F"/>
    <w:rsid w:val="26E6225C"/>
    <w:rsid w:val="26E739EB"/>
    <w:rsid w:val="26E825C8"/>
    <w:rsid w:val="26F934AF"/>
    <w:rsid w:val="27043A03"/>
    <w:rsid w:val="270E1616"/>
    <w:rsid w:val="271A7147"/>
    <w:rsid w:val="271B4765"/>
    <w:rsid w:val="2722788B"/>
    <w:rsid w:val="272818D0"/>
    <w:rsid w:val="27282370"/>
    <w:rsid w:val="272B2D22"/>
    <w:rsid w:val="273A0DDE"/>
    <w:rsid w:val="273F731D"/>
    <w:rsid w:val="27403392"/>
    <w:rsid w:val="274121D1"/>
    <w:rsid w:val="27432151"/>
    <w:rsid w:val="276271F2"/>
    <w:rsid w:val="276718E5"/>
    <w:rsid w:val="27716E60"/>
    <w:rsid w:val="27773BB9"/>
    <w:rsid w:val="2778671F"/>
    <w:rsid w:val="277C6E17"/>
    <w:rsid w:val="278008FF"/>
    <w:rsid w:val="27845717"/>
    <w:rsid w:val="2786305D"/>
    <w:rsid w:val="279171D2"/>
    <w:rsid w:val="27997215"/>
    <w:rsid w:val="27A0275C"/>
    <w:rsid w:val="27A55E58"/>
    <w:rsid w:val="27A729CF"/>
    <w:rsid w:val="27B275FE"/>
    <w:rsid w:val="27B5130F"/>
    <w:rsid w:val="27D843EB"/>
    <w:rsid w:val="27DA49CC"/>
    <w:rsid w:val="27E62055"/>
    <w:rsid w:val="27E9713F"/>
    <w:rsid w:val="27EF5AF0"/>
    <w:rsid w:val="27FA6C2A"/>
    <w:rsid w:val="280165CF"/>
    <w:rsid w:val="282576FE"/>
    <w:rsid w:val="28297E09"/>
    <w:rsid w:val="283868ED"/>
    <w:rsid w:val="2848347A"/>
    <w:rsid w:val="285919D0"/>
    <w:rsid w:val="2862238F"/>
    <w:rsid w:val="28674413"/>
    <w:rsid w:val="28682ABE"/>
    <w:rsid w:val="2871794F"/>
    <w:rsid w:val="28A04D34"/>
    <w:rsid w:val="28AA029E"/>
    <w:rsid w:val="28AC6990"/>
    <w:rsid w:val="28BB1ACD"/>
    <w:rsid w:val="28BD3CA8"/>
    <w:rsid w:val="28C25231"/>
    <w:rsid w:val="28CE0693"/>
    <w:rsid w:val="28EB3FD6"/>
    <w:rsid w:val="28EC1F83"/>
    <w:rsid w:val="28EC572A"/>
    <w:rsid w:val="28EE0B72"/>
    <w:rsid w:val="28F13758"/>
    <w:rsid w:val="2931403C"/>
    <w:rsid w:val="294F2FF6"/>
    <w:rsid w:val="296042A7"/>
    <w:rsid w:val="2961005D"/>
    <w:rsid w:val="296148D9"/>
    <w:rsid w:val="297177CF"/>
    <w:rsid w:val="2990793C"/>
    <w:rsid w:val="299353D1"/>
    <w:rsid w:val="29987B95"/>
    <w:rsid w:val="299B50A3"/>
    <w:rsid w:val="299D2FA0"/>
    <w:rsid w:val="29A634C1"/>
    <w:rsid w:val="29AC12EA"/>
    <w:rsid w:val="29AC486B"/>
    <w:rsid w:val="29B222DA"/>
    <w:rsid w:val="29B246F9"/>
    <w:rsid w:val="29B305FE"/>
    <w:rsid w:val="29BF3DC0"/>
    <w:rsid w:val="29C05A89"/>
    <w:rsid w:val="29CA2BC3"/>
    <w:rsid w:val="29CD3442"/>
    <w:rsid w:val="29D50020"/>
    <w:rsid w:val="29E86279"/>
    <w:rsid w:val="29EC119F"/>
    <w:rsid w:val="29F10EC1"/>
    <w:rsid w:val="29FF5F90"/>
    <w:rsid w:val="2A016D6A"/>
    <w:rsid w:val="2A03339A"/>
    <w:rsid w:val="2A0357A4"/>
    <w:rsid w:val="2A0F4271"/>
    <w:rsid w:val="2A1329E4"/>
    <w:rsid w:val="2A285E8D"/>
    <w:rsid w:val="2A3B419D"/>
    <w:rsid w:val="2A474578"/>
    <w:rsid w:val="2A4D51DC"/>
    <w:rsid w:val="2A4F2AB6"/>
    <w:rsid w:val="2A533EF2"/>
    <w:rsid w:val="2A587773"/>
    <w:rsid w:val="2A723C3E"/>
    <w:rsid w:val="2A753876"/>
    <w:rsid w:val="2A99159E"/>
    <w:rsid w:val="2AA2141F"/>
    <w:rsid w:val="2ABC68B2"/>
    <w:rsid w:val="2AC42EF8"/>
    <w:rsid w:val="2AC44386"/>
    <w:rsid w:val="2AD25A6C"/>
    <w:rsid w:val="2AE07661"/>
    <w:rsid w:val="2AE204EA"/>
    <w:rsid w:val="2AE64E94"/>
    <w:rsid w:val="2AF26BEF"/>
    <w:rsid w:val="2AF9239C"/>
    <w:rsid w:val="2B067AAD"/>
    <w:rsid w:val="2B0F66A3"/>
    <w:rsid w:val="2B1C283F"/>
    <w:rsid w:val="2B2E7401"/>
    <w:rsid w:val="2B5D12F4"/>
    <w:rsid w:val="2B687AB9"/>
    <w:rsid w:val="2B6D1958"/>
    <w:rsid w:val="2B7B2982"/>
    <w:rsid w:val="2B7C689A"/>
    <w:rsid w:val="2B7F2405"/>
    <w:rsid w:val="2B881CA7"/>
    <w:rsid w:val="2B89111D"/>
    <w:rsid w:val="2BA23311"/>
    <w:rsid w:val="2BAB0DC0"/>
    <w:rsid w:val="2BCA7FF2"/>
    <w:rsid w:val="2BCD2AC7"/>
    <w:rsid w:val="2BDB54D0"/>
    <w:rsid w:val="2BFA6E3A"/>
    <w:rsid w:val="2BFE4598"/>
    <w:rsid w:val="2C04027B"/>
    <w:rsid w:val="2C0B26DD"/>
    <w:rsid w:val="2C0F3C53"/>
    <w:rsid w:val="2C113A36"/>
    <w:rsid w:val="2C1C611A"/>
    <w:rsid w:val="2C2C0776"/>
    <w:rsid w:val="2C2C4D53"/>
    <w:rsid w:val="2C3003DA"/>
    <w:rsid w:val="2C352DBE"/>
    <w:rsid w:val="2C4E63F4"/>
    <w:rsid w:val="2C613A01"/>
    <w:rsid w:val="2C6429C2"/>
    <w:rsid w:val="2C7007D1"/>
    <w:rsid w:val="2C73502A"/>
    <w:rsid w:val="2C8B4966"/>
    <w:rsid w:val="2C985C23"/>
    <w:rsid w:val="2C9E40DF"/>
    <w:rsid w:val="2CA92C2F"/>
    <w:rsid w:val="2CC04700"/>
    <w:rsid w:val="2CCB7E63"/>
    <w:rsid w:val="2CCE4918"/>
    <w:rsid w:val="2CD35F4A"/>
    <w:rsid w:val="2CD45AC9"/>
    <w:rsid w:val="2CED2131"/>
    <w:rsid w:val="2CEF54DA"/>
    <w:rsid w:val="2CF90C9B"/>
    <w:rsid w:val="2D062E5D"/>
    <w:rsid w:val="2D0F29F4"/>
    <w:rsid w:val="2D21170D"/>
    <w:rsid w:val="2D235ACA"/>
    <w:rsid w:val="2D4237CA"/>
    <w:rsid w:val="2D5179A0"/>
    <w:rsid w:val="2D5326F0"/>
    <w:rsid w:val="2D5704A8"/>
    <w:rsid w:val="2D5874FA"/>
    <w:rsid w:val="2D936083"/>
    <w:rsid w:val="2D9C347F"/>
    <w:rsid w:val="2D9E7F4D"/>
    <w:rsid w:val="2DAF488E"/>
    <w:rsid w:val="2DBF48F2"/>
    <w:rsid w:val="2DC76D80"/>
    <w:rsid w:val="2DD85E42"/>
    <w:rsid w:val="2DF23E9E"/>
    <w:rsid w:val="2DF3355E"/>
    <w:rsid w:val="2E001218"/>
    <w:rsid w:val="2E17114A"/>
    <w:rsid w:val="2E215460"/>
    <w:rsid w:val="2E242BB5"/>
    <w:rsid w:val="2E243469"/>
    <w:rsid w:val="2E27692E"/>
    <w:rsid w:val="2E2A3D19"/>
    <w:rsid w:val="2E3C4F0D"/>
    <w:rsid w:val="2E4756C4"/>
    <w:rsid w:val="2E5479FC"/>
    <w:rsid w:val="2E610F8A"/>
    <w:rsid w:val="2E623DDE"/>
    <w:rsid w:val="2E7667B3"/>
    <w:rsid w:val="2E7B1D83"/>
    <w:rsid w:val="2E7B3A83"/>
    <w:rsid w:val="2E7E2B75"/>
    <w:rsid w:val="2E7F0B81"/>
    <w:rsid w:val="2E81406D"/>
    <w:rsid w:val="2E8D7ED5"/>
    <w:rsid w:val="2E94602C"/>
    <w:rsid w:val="2EA16A57"/>
    <w:rsid w:val="2EA172A6"/>
    <w:rsid w:val="2EAB6683"/>
    <w:rsid w:val="2EAF6067"/>
    <w:rsid w:val="2ECA6BCB"/>
    <w:rsid w:val="2ECE7D00"/>
    <w:rsid w:val="2ED85C9F"/>
    <w:rsid w:val="2EEA2DF0"/>
    <w:rsid w:val="2EF16CC5"/>
    <w:rsid w:val="2EF170A8"/>
    <w:rsid w:val="2EFC2CC6"/>
    <w:rsid w:val="2F011C65"/>
    <w:rsid w:val="2F055C30"/>
    <w:rsid w:val="2F0605C2"/>
    <w:rsid w:val="2F06754D"/>
    <w:rsid w:val="2F0703F1"/>
    <w:rsid w:val="2F0C6266"/>
    <w:rsid w:val="2F1020B8"/>
    <w:rsid w:val="2F360C72"/>
    <w:rsid w:val="2F4363D0"/>
    <w:rsid w:val="2F537431"/>
    <w:rsid w:val="2F5E6375"/>
    <w:rsid w:val="2F6A0BFA"/>
    <w:rsid w:val="2F6B4C2B"/>
    <w:rsid w:val="2F6D6971"/>
    <w:rsid w:val="2F7B5B5F"/>
    <w:rsid w:val="2F7D23FA"/>
    <w:rsid w:val="2F805A94"/>
    <w:rsid w:val="2F843499"/>
    <w:rsid w:val="2F8919F4"/>
    <w:rsid w:val="2F963509"/>
    <w:rsid w:val="2F9A024E"/>
    <w:rsid w:val="2FAD486D"/>
    <w:rsid w:val="2FB25711"/>
    <w:rsid w:val="2FC372F8"/>
    <w:rsid w:val="2FFE3624"/>
    <w:rsid w:val="300528CD"/>
    <w:rsid w:val="30187CA8"/>
    <w:rsid w:val="301B27CA"/>
    <w:rsid w:val="30252CF1"/>
    <w:rsid w:val="30275F10"/>
    <w:rsid w:val="30286D1B"/>
    <w:rsid w:val="302C52D0"/>
    <w:rsid w:val="30354AD0"/>
    <w:rsid w:val="303912CB"/>
    <w:rsid w:val="304F240D"/>
    <w:rsid w:val="305E6B84"/>
    <w:rsid w:val="30757826"/>
    <w:rsid w:val="307A1170"/>
    <w:rsid w:val="307C467C"/>
    <w:rsid w:val="30863944"/>
    <w:rsid w:val="30895143"/>
    <w:rsid w:val="308C4C56"/>
    <w:rsid w:val="30987BAF"/>
    <w:rsid w:val="309B7FB5"/>
    <w:rsid w:val="30A041BB"/>
    <w:rsid w:val="30A21A3A"/>
    <w:rsid w:val="30C03B63"/>
    <w:rsid w:val="30D60049"/>
    <w:rsid w:val="30DA612E"/>
    <w:rsid w:val="30E374CB"/>
    <w:rsid w:val="30F1206F"/>
    <w:rsid w:val="30FD276C"/>
    <w:rsid w:val="310D0795"/>
    <w:rsid w:val="31110384"/>
    <w:rsid w:val="3118530D"/>
    <w:rsid w:val="311B0B83"/>
    <w:rsid w:val="31263704"/>
    <w:rsid w:val="31335015"/>
    <w:rsid w:val="313444DA"/>
    <w:rsid w:val="313A00D6"/>
    <w:rsid w:val="31404CBC"/>
    <w:rsid w:val="314164B9"/>
    <w:rsid w:val="31423588"/>
    <w:rsid w:val="31432D80"/>
    <w:rsid w:val="31694EA5"/>
    <w:rsid w:val="317C26E2"/>
    <w:rsid w:val="317E3B33"/>
    <w:rsid w:val="31822EA3"/>
    <w:rsid w:val="318823B5"/>
    <w:rsid w:val="318C25B5"/>
    <w:rsid w:val="31A812DD"/>
    <w:rsid w:val="31AD70B0"/>
    <w:rsid w:val="31B70201"/>
    <w:rsid w:val="31BB6A54"/>
    <w:rsid w:val="31C25655"/>
    <w:rsid w:val="31CC3AAB"/>
    <w:rsid w:val="31EE325B"/>
    <w:rsid w:val="31F3202A"/>
    <w:rsid w:val="31F640E2"/>
    <w:rsid w:val="31F73384"/>
    <w:rsid w:val="31F76F67"/>
    <w:rsid w:val="31FC732C"/>
    <w:rsid w:val="31FD75EA"/>
    <w:rsid w:val="32000D9E"/>
    <w:rsid w:val="32172A89"/>
    <w:rsid w:val="322A206E"/>
    <w:rsid w:val="323A19FB"/>
    <w:rsid w:val="32523BD2"/>
    <w:rsid w:val="325C1B21"/>
    <w:rsid w:val="325E4907"/>
    <w:rsid w:val="325F7AD4"/>
    <w:rsid w:val="326E1DA8"/>
    <w:rsid w:val="32764A43"/>
    <w:rsid w:val="328C5A1F"/>
    <w:rsid w:val="32AF1D2D"/>
    <w:rsid w:val="32B422A2"/>
    <w:rsid w:val="32DA5FD2"/>
    <w:rsid w:val="32FB6D75"/>
    <w:rsid w:val="33140D5C"/>
    <w:rsid w:val="33221CE9"/>
    <w:rsid w:val="3326250F"/>
    <w:rsid w:val="33286253"/>
    <w:rsid w:val="332D20BB"/>
    <w:rsid w:val="3338632C"/>
    <w:rsid w:val="334838B5"/>
    <w:rsid w:val="335552A8"/>
    <w:rsid w:val="335E0C09"/>
    <w:rsid w:val="335E76DA"/>
    <w:rsid w:val="33622FBD"/>
    <w:rsid w:val="336B6A5B"/>
    <w:rsid w:val="336D29BB"/>
    <w:rsid w:val="33777BDF"/>
    <w:rsid w:val="338226BF"/>
    <w:rsid w:val="338426A8"/>
    <w:rsid w:val="3393405E"/>
    <w:rsid w:val="339B7B9C"/>
    <w:rsid w:val="33B41642"/>
    <w:rsid w:val="33D47CD3"/>
    <w:rsid w:val="33DF628F"/>
    <w:rsid w:val="33E22740"/>
    <w:rsid w:val="33E33DAA"/>
    <w:rsid w:val="33E66E0D"/>
    <w:rsid w:val="33F12CF5"/>
    <w:rsid w:val="33F472F4"/>
    <w:rsid w:val="341A465E"/>
    <w:rsid w:val="342509B8"/>
    <w:rsid w:val="342564A7"/>
    <w:rsid w:val="342B2C4B"/>
    <w:rsid w:val="34413930"/>
    <w:rsid w:val="34490D4E"/>
    <w:rsid w:val="344C0107"/>
    <w:rsid w:val="344D5A5A"/>
    <w:rsid w:val="345075D7"/>
    <w:rsid w:val="34632C0E"/>
    <w:rsid w:val="346D3315"/>
    <w:rsid w:val="347131C9"/>
    <w:rsid w:val="34794F36"/>
    <w:rsid w:val="348D1BAC"/>
    <w:rsid w:val="348E197A"/>
    <w:rsid w:val="348E7897"/>
    <w:rsid w:val="349139E8"/>
    <w:rsid w:val="34917AD8"/>
    <w:rsid w:val="34A12D86"/>
    <w:rsid w:val="34B45B0C"/>
    <w:rsid w:val="34C83166"/>
    <w:rsid w:val="34CA5019"/>
    <w:rsid w:val="34D00650"/>
    <w:rsid w:val="34D060C8"/>
    <w:rsid w:val="34E06416"/>
    <w:rsid w:val="34E7235B"/>
    <w:rsid w:val="34EF15FB"/>
    <w:rsid w:val="34FB3A20"/>
    <w:rsid w:val="35004F11"/>
    <w:rsid w:val="35065BC1"/>
    <w:rsid w:val="35431E02"/>
    <w:rsid w:val="354F2DD5"/>
    <w:rsid w:val="35587F57"/>
    <w:rsid w:val="355D31B2"/>
    <w:rsid w:val="35647C4D"/>
    <w:rsid w:val="357165DC"/>
    <w:rsid w:val="357F318C"/>
    <w:rsid w:val="358523F6"/>
    <w:rsid w:val="35AD088D"/>
    <w:rsid w:val="35BE3D11"/>
    <w:rsid w:val="35BF424F"/>
    <w:rsid w:val="35BF4F22"/>
    <w:rsid w:val="35C12DFA"/>
    <w:rsid w:val="35CE3DA4"/>
    <w:rsid w:val="35D001C3"/>
    <w:rsid w:val="35D94F86"/>
    <w:rsid w:val="35E337E3"/>
    <w:rsid w:val="35FA3CC9"/>
    <w:rsid w:val="360025EB"/>
    <w:rsid w:val="36067AA5"/>
    <w:rsid w:val="360B70C5"/>
    <w:rsid w:val="3616641F"/>
    <w:rsid w:val="361F3660"/>
    <w:rsid w:val="36204F48"/>
    <w:rsid w:val="3624559D"/>
    <w:rsid w:val="36334828"/>
    <w:rsid w:val="36403771"/>
    <w:rsid w:val="364B0D9A"/>
    <w:rsid w:val="36564B4E"/>
    <w:rsid w:val="36670D84"/>
    <w:rsid w:val="366C2F77"/>
    <w:rsid w:val="367C65ED"/>
    <w:rsid w:val="369342FF"/>
    <w:rsid w:val="369938DF"/>
    <w:rsid w:val="369A7FB2"/>
    <w:rsid w:val="36A0394F"/>
    <w:rsid w:val="36A76F6E"/>
    <w:rsid w:val="36AD17CD"/>
    <w:rsid w:val="36B77429"/>
    <w:rsid w:val="36BA2220"/>
    <w:rsid w:val="36BC6E5A"/>
    <w:rsid w:val="36D14A8D"/>
    <w:rsid w:val="36E125D1"/>
    <w:rsid w:val="36EC6E1D"/>
    <w:rsid w:val="36FF44B6"/>
    <w:rsid w:val="3730436B"/>
    <w:rsid w:val="37307DA0"/>
    <w:rsid w:val="373959B7"/>
    <w:rsid w:val="373D3C1A"/>
    <w:rsid w:val="374807F2"/>
    <w:rsid w:val="374B166A"/>
    <w:rsid w:val="37504905"/>
    <w:rsid w:val="37510F5F"/>
    <w:rsid w:val="37554A14"/>
    <w:rsid w:val="375579C6"/>
    <w:rsid w:val="376240B8"/>
    <w:rsid w:val="37667F69"/>
    <w:rsid w:val="376F50D9"/>
    <w:rsid w:val="377140A7"/>
    <w:rsid w:val="378E39D6"/>
    <w:rsid w:val="37970350"/>
    <w:rsid w:val="379C0F3E"/>
    <w:rsid w:val="37AC55F4"/>
    <w:rsid w:val="37AF78BF"/>
    <w:rsid w:val="37B84450"/>
    <w:rsid w:val="37B94CCF"/>
    <w:rsid w:val="37BD3052"/>
    <w:rsid w:val="37CA1552"/>
    <w:rsid w:val="37CB3525"/>
    <w:rsid w:val="37CC06C5"/>
    <w:rsid w:val="37CF0A57"/>
    <w:rsid w:val="37DA3CA8"/>
    <w:rsid w:val="37DE2A14"/>
    <w:rsid w:val="37F70866"/>
    <w:rsid w:val="38053E16"/>
    <w:rsid w:val="380D50A3"/>
    <w:rsid w:val="38165566"/>
    <w:rsid w:val="381A63C3"/>
    <w:rsid w:val="382B1C7F"/>
    <w:rsid w:val="383158C3"/>
    <w:rsid w:val="38367687"/>
    <w:rsid w:val="3844340B"/>
    <w:rsid w:val="384856EC"/>
    <w:rsid w:val="38600ED0"/>
    <w:rsid w:val="386369C6"/>
    <w:rsid w:val="386A3C6A"/>
    <w:rsid w:val="386C72CC"/>
    <w:rsid w:val="38712169"/>
    <w:rsid w:val="3871488F"/>
    <w:rsid w:val="38785394"/>
    <w:rsid w:val="387E3452"/>
    <w:rsid w:val="387F712F"/>
    <w:rsid w:val="38952351"/>
    <w:rsid w:val="38A02D03"/>
    <w:rsid w:val="38A102EE"/>
    <w:rsid w:val="38AF0F10"/>
    <w:rsid w:val="38B06938"/>
    <w:rsid w:val="38B44711"/>
    <w:rsid w:val="38CA305E"/>
    <w:rsid w:val="38D338D2"/>
    <w:rsid w:val="38D63B6F"/>
    <w:rsid w:val="38D6748E"/>
    <w:rsid w:val="38EB284C"/>
    <w:rsid w:val="38F4048C"/>
    <w:rsid w:val="38F51392"/>
    <w:rsid w:val="38FC0535"/>
    <w:rsid w:val="39095982"/>
    <w:rsid w:val="390D4873"/>
    <w:rsid w:val="39111E53"/>
    <w:rsid w:val="3914252C"/>
    <w:rsid w:val="39180046"/>
    <w:rsid w:val="3938031F"/>
    <w:rsid w:val="393C5818"/>
    <w:rsid w:val="394025D1"/>
    <w:rsid w:val="3954469F"/>
    <w:rsid w:val="39637D05"/>
    <w:rsid w:val="397A0296"/>
    <w:rsid w:val="397A552F"/>
    <w:rsid w:val="397A73CA"/>
    <w:rsid w:val="397C05A0"/>
    <w:rsid w:val="398460CE"/>
    <w:rsid w:val="399600AF"/>
    <w:rsid w:val="399B0A74"/>
    <w:rsid w:val="399D1283"/>
    <w:rsid w:val="39A548AC"/>
    <w:rsid w:val="39B13840"/>
    <w:rsid w:val="39B5614E"/>
    <w:rsid w:val="39C07FB5"/>
    <w:rsid w:val="39CA36BC"/>
    <w:rsid w:val="39CB005B"/>
    <w:rsid w:val="39D80F44"/>
    <w:rsid w:val="39E266A7"/>
    <w:rsid w:val="39F9367E"/>
    <w:rsid w:val="3A0E1B3F"/>
    <w:rsid w:val="3A1D6F67"/>
    <w:rsid w:val="3A2520A5"/>
    <w:rsid w:val="3A2F1B73"/>
    <w:rsid w:val="3A460EF8"/>
    <w:rsid w:val="3A4D1B7C"/>
    <w:rsid w:val="3A4D7DEE"/>
    <w:rsid w:val="3A507E2F"/>
    <w:rsid w:val="3A511AA0"/>
    <w:rsid w:val="3A626ADF"/>
    <w:rsid w:val="3A671B38"/>
    <w:rsid w:val="3A6A171C"/>
    <w:rsid w:val="3A820764"/>
    <w:rsid w:val="3A8240A1"/>
    <w:rsid w:val="3A894FD4"/>
    <w:rsid w:val="3A8A0380"/>
    <w:rsid w:val="3AAA084D"/>
    <w:rsid w:val="3ACA0059"/>
    <w:rsid w:val="3ACE19FE"/>
    <w:rsid w:val="3ADA31A7"/>
    <w:rsid w:val="3ADA7C0A"/>
    <w:rsid w:val="3AE1146A"/>
    <w:rsid w:val="3AE70633"/>
    <w:rsid w:val="3AEE4A2D"/>
    <w:rsid w:val="3AEE56B5"/>
    <w:rsid w:val="3AF125D8"/>
    <w:rsid w:val="3AF54EC0"/>
    <w:rsid w:val="3AF67AF9"/>
    <w:rsid w:val="3AFF6407"/>
    <w:rsid w:val="3B05685A"/>
    <w:rsid w:val="3B320CB9"/>
    <w:rsid w:val="3B33106A"/>
    <w:rsid w:val="3B3A6E0E"/>
    <w:rsid w:val="3B421B19"/>
    <w:rsid w:val="3B5270C4"/>
    <w:rsid w:val="3B736C72"/>
    <w:rsid w:val="3B7C1C32"/>
    <w:rsid w:val="3B7D32FB"/>
    <w:rsid w:val="3B8464BD"/>
    <w:rsid w:val="3B8B7DB7"/>
    <w:rsid w:val="3BA21B40"/>
    <w:rsid w:val="3BB77C3E"/>
    <w:rsid w:val="3BB96571"/>
    <w:rsid w:val="3BBA154B"/>
    <w:rsid w:val="3BBB5003"/>
    <w:rsid w:val="3BC3571A"/>
    <w:rsid w:val="3BC73AF2"/>
    <w:rsid w:val="3BE621CD"/>
    <w:rsid w:val="3BE97EC8"/>
    <w:rsid w:val="3BF02D89"/>
    <w:rsid w:val="3BF673A9"/>
    <w:rsid w:val="3BFD589A"/>
    <w:rsid w:val="3C072A91"/>
    <w:rsid w:val="3C15708C"/>
    <w:rsid w:val="3C1B2A8E"/>
    <w:rsid w:val="3C325E91"/>
    <w:rsid w:val="3C3465E6"/>
    <w:rsid w:val="3C3F04A5"/>
    <w:rsid w:val="3C4302B4"/>
    <w:rsid w:val="3C471327"/>
    <w:rsid w:val="3C592F9C"/>
    <w:rsid w:val="3C614BF0"/>
    <w:rsid w:val="3C677840"/>
    <w:rsid w:val="3C6B39F6"/>
    <w:rsid w:val="3C6E0204"/>
    <w:rsid w:val="3C7D18AC"/>
    <w:rsid w:val="3C883CFE"/>
    <w:rsid w:val="3C8855BC"/>
    <w:rsid w:val="3C8C1B6D"/>
    <w:rsid w:val="3C93589D"/>
    <w:rsid w:val="3C9A4D13"/>
    <w:rsid w:val="3CA518D0"/>
    <w:rsid w:val="3CBB184E"/>
    <w:rsid w:val="3CD07617"/>
    <w:rsid w:val="3CDB5382"/>
    <w:rsid w:val="3CEE2215"/>
    <w:rsid w:val="3CEF56BC"/>
    <w:rsid w:val="3D050E9F"/>
    <w:rsid w:val="3D1316F3"/>
    <w:rsid w:val="3D143125"/>
    <w:rsid w:val="3D2A56DD"/>
    <w:rsid w:val="3D326F37"/>
    <w:rsid w:val="3D3343E1"/>
    <w:rsid w:val="3D3B3BAE"/>
    <w:rsid w:val="3D5E027A"/>
    <w:rsid w:val="3D5F6226"/>
    <w:rsid w:val="3D61514B"/>
    <w:rsid w:val="3D62649B"/>
    <w:rsid w:val="3D732D45"/>
    <w:rsid w:val="3D7715A0"/>
    <w:rsid w:val="3D787873"/>
    <w:rsid w:val="3D7F67DA"/>
    <w:rsid w:val="3D9A637B"/>
    <w:rsid w:val="3D9B5E1C"/>
    <w:rsid w:val="3DAC2E6E"/>
    <w:rsid w:val="3DB042A9"/>
    <w:rsid w:val="3DBA5AB5"/>
    <w:rsid w:val="3DBB47A3"/>
    <w:rsid w:val="3DBF4515"/>
    <w:rsid w:val="3DC350E9"/>
    <w:rsid w:val="3DC56D18"/>
    <w:rsid w:val="3DCF0412"/>
    <w:rsid w:val="3DE6285D"/>
    <w:rsid w:val="3DED3675"/>
    <w:rsid w:val="3DF0659A"/>
    <w:rsid w:val="3DF71413"/>
    <w:rsid w:val="3E003037"/>
    <w:rsid w:val="3E115D8B"/>
    <w:rsid w:val="3E12113F"/>
    <w:rsid w:val="3E345123"/>
    <w:rsid w:val="3E362773"/>
    <w:rsid w:val="3E390C6C"/>
    <w:rsid w:val="3E391AB1"/>
    <w:rsid w:val="3E396547"/>
    <w:rsid w:val="3E3B4703"/>
    <w:rsid w:val="3E652C97"/>
    <w:rsid w:val="3E6A5D96"/>
    <w:rsid w:val="3E7B4D39"/>
    <w:rsid w:val="3E7E06A8"/>
    <w:rsid w:val="3E8A61B0"/>
    <w:rsid w:val="3EA13564"/>
    <w:rsid w:val="3EBA4BC0"/>
    <w:rsid w:val="3EC37D6A"/>
    <w:rsid w:val="3EC675CD"/>
    <w:rsid w:val="3ECD214D"/>
    <w:rsid w:val="3ED2712A"/>
    <w:rsid w:val="3EDC3CCF"/>
    <w:rsid w:val="3EE02DA1"/>
    <w:rsid w:val="3EE410C1"/>
    <w:rsid w:val="3EE62144"/>
    <w:rsid w:val="3EE7519C"/>
    <w:rsid w:val="3EEE66E1"/>
    <w:rsid w:val="3EF85C99"/>
    <w:rsid w:val="3EFD43E0"/>
    <w:rsid w:val="3F0244FD"/>
    <w:rsid w:val="3F0B6169"/>
    <w:rsid w:val="3F0D33E8"/>
    <w:rsid w:val="3F0D6B4E"/>
    <w:rsid w:val="3F105DD2"/>
    <w:rsid w:val="3F1E7077"/>
    <w:rsid w:val="3F2226C4"/>
    <w:rsid w:val="3F2C6B41"/>
    <w:rsid w:val="3F3642F8"/>
    <w:rsid w:val="3F3C4CE2"/>
    <w:rsid w:val="3F3F2D4F"/>
    <w:rsid w:val="3F49568D"/>
    <w:rsid w:val="3F4A0AD2"/>
    <w:rsid w:val="3F5A5C63"/>
    <w:rsid w:val="3F680DB8"/>
    <w:rsid w:val="3F6C3497"/>
    <w:rsid w:val="3F6F51DD"/>
    <w:rsid w:val="3F7214AB"/>
    <w:rsid w:val="3F7B50F8"/>
    <w:rsid w:val="3F7E56B2"/>
    <w:rsid w:val="3F8E0862"/>
    <w:rsid w:val="3F914907"/>
    <w:rsid w:val="3F9F7964"/>
    <w:rsid w:val="3FA72A28"/>
    <w:rsid w:val="3FAA44A3"/>
    <w:rsid w:val="3FB9370F"/>
    <w:rsid w:val="3FBD4EAF"/>
    <w:rsid w:val="3FC10999"/>
    <w:rsid w:val="3FC43E7E"/>
    <w:rsid w:val="3FC54E26"/>
    <w:rsid w:val="3FC904BA"/>
    <w:rsid w:val="3FD316C4"/>
    <w:rsid w:val="3FD66687"/>
    <w:rsid w:val="3FEF42B0"/>
    <w:rsid w:val="3FFB24A8"/>
    <w:rsid w:val="40071335"/>
    <w:rsid w:val="401B1D89"/>
    <w:rsid w:val="401B1E80"/>
    <w:rsid w:val="40233E13"/>
    <w:rsid w:val="40371AEB"/>
    <w:rsid w:val="403A34BF"/>
    <w:rsid w:val="403E135E"/>
    <w:rsid w:val="40461BE8"/>
    <w:rsid w:val="404D1B35"/>
    <w:rsid w:val="40572B80"/>
    <w:rsid w:val="405C5CD8"/>
    <w:rsid w:val="406A442D"/>
    <w:rsid w:val="406B2131"/>
    <w:rsid w:val="407B55AF"/>
    <w:rsid w:val="40817C2B"/>
    <w:rsid w:val="408C4C35"/>
    <w:rsid w:val="408C741E"/>
    <w:rsid w:val="40956645"/>
    <w:rsid w:val="40A47871"/>
    <w:rsid w:val="40AA096A"/>
    <w:rsid w:val="40BE47BF"/>
    <w:rsid w:val="40C755C3"/>
    <w:rsid w:val="40D12960"/>
    <w:rsid w:val="40D94A2F"/>
    <w:rsid w:val="40EF2F6F"/>
    <w:rsid w:val="40F30ABF"/>
    <w:rsid w:val="40F35563"/>
    <w:rsid w:val="40F46241"/>
    <w:rsid w:val="40FB2F96"/>
    <w:rsid w:val="41053EE9"/>
    <w:rsid w:val="41162815"/>
    <w:rsid w:val="41287D39"/>
    <w:rsid w:val="414328DC"/>
    <w:rsid w:val="41462226"/>
    <w:rsid w:val="414F1ABD"/>
    <w:rsid w:val="414F3663"/>
    <w:rsid w:val="415A33F1"/>
    <w:rsid w:val="416C6814"/>
    <w:rsid w:val="41714A20"/>
    <w:rsid w:val="419458BB"/>
    <w:rsid w:val="41A353BD"/>
    <w:rsid w:val="41A41AB2"/>
    <w:rsid w:val="41B44EBA"/>
    <w:rsid w:val="41B6778D"/>
    <w:rsid w:val="41C61C6E"/>
    <w:rsid w:val="41C76ECA"/>
    <w:rsid w:val="41CC2A17"/>
    <w:rsid w:val="41D968F7"/>
    <w:rsid w:val="41E46F0B"/>
    <w:rsid w:val="41EF54AD"/>
    <w:rsid w:val="41F81A75"/>
    <w:rsid w:val="41FA4CBA"/>
    <w:rsid w:val="41FD2111"/>
    <w:rsid w:val="420B2393"/>
    <w:rsid w:val="420D72F7"/>
    <w:rsid w:val="421C5640"/>
    <w:rsid w:val="422449A5"/>
    <w:rsid w:val="423106E9"/>
    <w:rsid w:val="42367C1A"/>
    <w:rsid w:val="424A2E47"/>
    <w:rsid w:val="425A2E6B"/>
    <w:rsid w:val="425A4050"/>
    <w:rsid w:val="425B7825"/>
    <w:rsid w:val="425C3B94"/>
    <w:rsid w:val="425E65DA"/>
    <w:rsid w:val="426715B0"/>
    <w:rsid w:val="42675F01"/>
    <w:rsid w:val="42713088"/>
    <w:rsid w:val="428C754F"/>
    <w:rsid w:val="429A29C7"/>
    <w:rsid w:val="42A70B56"/>
    <w:rsid w:val="42A81E82"/>
    <w:rsid w:val="42AB17DA"/>
    <w:rsid w:val="42AE4310"/>
    <w:rsid w:val="42B67A0E"/>
    <w:rsid w:val="42C13FA2"/>
    <w:rsid w:val="42C15438"/>
    <w:rsid w:val="42C26733"/>
    <w:rsid w:val="42D454C4"/>
    <w:rsid w:val="42E54FAE"/>
    <w:rsid w:val="42E859D2"/>
    <w:rsid w:val="42ED5DAB"/>
    <w:rsid w:val="43064505"/>
    <w:rsid w:val="430725C2"/>
    <w:rsid w:val="431B4859"/>
    <w:rsid w:val="4321249B"/>
    <w:rsid w:val="43273FCD"/>
    <w:rsid w:val="432D5657"/>
    <w:rsid w:val="43316874"/>
    <w:rsid w:val="434265C0"/>
    <w:rsid w:val="4342748A"/>
    <w:rsid w:val="43456981"/>
    <w:rsid w:val="434F15AD"/>
    <w:rsid w:val="434F3B8C"/>
    <w:rsid w:val="435F7498"/>
    <w:rsid w:val="4361330E"/>
    <w:rsid w:val="43673395"/>
    <w:rsid w:val="437065D8"/>
    <w:rsid w:val="437635B8"/>
    <w:rsid w:val="437B41DA"/>
    <w:rsid w:val="437D2A29"/>
    <w:rsid w:val="43803ABF"/>
    <w:rsid w:val="43854516"/>
    <w:rsid w:val="439B346E"/>
    <w:rsid w:val="439B3D19"/>
    <w:rsid w:val="439D53BA"/>
    <w:rsid w:val="439F2770"/>
    <w:rsid w:val="43AD4574"/>
    <w:rsid w:val="43AD48DB"/>
    <w:rsid w:val="43B24A85"/>
    <w:rsid w:val="43B67D4C"/>
    <w:rsid w:val="43BA2967"/>
    <w:rsid w:val="43CA0C1A"/>
    <w:rsid w:val="43CB50BF"/>
    <w:rsid w:val="43E35FA8"/>
    <w:rsid w:val="43EA577A"/>
    <w:rsid w:val="43F53D3D"/>
    <w:rsid w:val="43F61E18"/>
    <w:rsid w:val="43F90375"/>
    <w:rsid w:val="43FA4398"/>
    <w:rsid w:val="44011308"/>
    <w:rsid w:val="44017F61"/>
    <w:rsid w:val="44034C7C"/>
    <w:rsid w:val="440B1558"/>
    <w:rsid w:val="440F38B6"/>
    <w:rsid w:val="441A3DB6"/>
    <w:rsid w:val="442B5606"/>
    <w:rsid w:val="44327555"/>
    <w:rsid w:val="44450CE1"/>
    <w:rsid w:val="444D3A8D"/>
    <w:rsid w:val="44527B3F"/>
    <w:rsid w:val="44543D0D"/>
    <w:rsid w:val="445A055B"/>
    <w:rsid w:val="445F6C80"/>
    <w:rsid w:val="4478552E"/>
    <w:rsid w:val="447A7C07"/>
    <w:rsid w:val="449C51DE"/>
    <w:rsid w:val="449D0A3E"/>
    <w:rsid w:val="44A04FC0"/>
    <w:rsid w:val="44AA69A8"/>
    <w:rsid w:val="44AB14EB"/>
    <w:rsid w:val="44C0687D"/>
    <w:rsid w:val="44C942B1"/>
    <w:rsid w:val="44D32419"/>
    <w:rsid w:val="44D955AA"/>
    <w:rsid w:val="44DD05B7"/>
    <w:rsid w:val="44E328F5"/>
    <w:rsid w:val="44F21DB6"/>
    <w:rsid w:val="44FD7B79"/>
    <w:rsid w:val="45046514"/>
    <w:rsid w:val="45060392"/>
    <w:rsid w:val="450C1BDF"/>
    <w:rsid w:val="4529261A"/>
    <w:rsid w:val="452B604A"/>
    <w:rsid w:val="453058F8"/>
    <w:rsid w:val="45371298"/>
    <w:rsid w:val="45411E4E"/>
    <w:rsid w:val="4543014A"/>
    <w:rsid w:val="454C2B7E"/>
    <w:rsid w:val="455761C5"/>
    <w:rsid w:val="45631570"/>
    <w:rsid w:val="45774754"/>
    <w:rsid w:val="457C3051"/>
    <w:rsid w:val="458D0812"/>
    <w:rsid w:val="4594003E"/>
    <w:rsid w:val="4596214C"/>
    <w:rsid w:val="45976F38"/>
    <w:rsid w:val="45A37DC6"/>
    <w:rsid w:val="45A91D20"/>
    <w:rsid w:val="45C252AC"/>
    <w:rsid w:val="45D37115"/>
    <w:rsid w:val="45D83DC7"/>
    <w:rsid w:val="45DA3AAF"/>
    <w:rsid w:val="45EB3C6C"/>
    <w:rsid w:val="45FE69DA"/>
    <w:rsid w:val="460A157C"/>
    <w:rsid w:val="460D33B2"/>
    <w:rsid w:val="462E7473"/>
    <w:rsid w:val="463D05A7"/>
    <w:rsid w:val="464249B5"/>
    <w:rsid w:val="46493FDA"/>
    <w:rsid w:val="464A682A"/>
    <w:rsid w:val="465C7E62"/>
    <w:rsid w:val="4663669D"/>
    <w:rsid w:val="46770578"/>
    <w:rsid w:val="467C01A8"/>
    <w:rsid w:val="467D71D5"/>
    <w:rsid w:val="46820B96"/>
    <w:rsid w:val="46937A3A"/>
    <w:rsid w:val="46953F72"/>
    <w:rsid w:val="46A0383F"/>
    <w:rsid w:val="46BF53C5"/>
    <w:rsid w:val="46C72EB6"/>
    <w:rsid w:val="46C8277D"/>
    <w:rsid w:val="46CC107B"/>
    <w:rsid w:val="46DB0CE0"/>
    <w:rsid w:val="46DC6B8B"/>
    <w:rsid w:val="46DF6945"/>
    <w:rsid w:val="46E44D25"/>
    <w:rsid w:val="46E82023"/>
    <w:rsid w:val="471324B2"/>
    <w:rsid w:val="471E6D3E"/>
    <w:rsid w:val="4724784C"/>
    <w:rsid w:val="47325008"/>
    <w:rsid w:val="47354A7D"/>
    <w:rsid w:val="473C009B"/>
    <w:rsid w:val="47462CC6"/>
    <w:rsid w:val="475317BA"/>
    <w:rsid w:val="47536FE6"/>
    <w:rsid w:val="47552C0E"/>
    <w:rsid w:val="4759182B"/>
    <w:rsid w:val="475D2027"/>
    <w:rsid w:val="476617A9"/>
    <w:rsid w:val="477A22B2"/>
    <w:rsid w:val="478E562C"/>
    <w:rsid w:val="478E7050"/>
    <w:rsid w:val="47A035AA"/>
    <w:rsid w:val="47A23541"/>
    <w:rsid w:val="47A45631"/>
    <w:rsid w:val="47AE3FB6"/>
    <w:rsid w:val="47B108FB"/>
    <w:rsid w:val="47B25A3D"/>
    <w:rsid w:val="47BD2631"/>
    <w:rsid w:val="47BF3B5B"/>
    <w:rsid w:val="47C4141A"/>
    <w:rsid w:val="47C45FDA"/>
    <w:rsid w:val="47C55DFE"/>
    <w:rsid w:val="47C84AD9"/>
    <w:rsid w:val="47CE127A"/>
    <w:rsid w:val="47D03D41"/>
    <w:rsid w:val="47DD12A6"/>
    <w:rsid w:val="47EA097B"/>
    <w:rsid w:val="47FA15C3"/>
    <w:rsid w:val="47FA55C2"/>
    <w:rsid w:val="480A1457"/>
    <w:rsid w:val="480B4FD7"/>
    <w:rsid w:val="4824504F"/>
    <w:rsid w:val="483E0C21"/>
    <w:rsid w:val="48402C26"/>
    <w:rsid w:val="48547582"/>
    <w:rsid w:val="48555CFE"/>
    <w:rsid w:val="485665CF"/>
    <w:rsid w:val="489E6510"/>
    <w:rsid w:val="48A1287E"/>
    <w:rsid w:val="48AF7747"/>
    <w:rsid w:val="48BA179B"/>
    <w:rsid w:val="48BF5C2C"/>
    <w:rsid w:val="48C1357C"/>
    <w:rsid w:val="48C21FD4"/>
    <w:rsid w:val="48C56BC7"/>
    <w:rsid w:val="48D323C4"/>
    <w:rsid w:val="48DE6ABF"/>
    <w:rsid w:val="48EE462B"/>
    <w:rsid w:val="48F724D3"/>
    <w:rsid w:val="48F97907"/>
    <w:rsid w:val="48FD4D2E"/>
    <w:rsid w:val="48FE4037"/>
    <w:rsid w:val="49140543"/>
    <w:rsid w:val="49164112"/>
    <w:rsid w:val="491E54BA"/>
    <w:rsid w:val="491F6A3B"/>
    <w:rsid w:val="493C78B3"/>
    <w:rsid w:val="494264BE"/>
    <w:rsid w:val="49477EDB"/>
    <w:rsid w:val="49557CAA"/>
    <w:rsid w:val="495B2DE4"/>
    <w:rsid w:val="49720363"/>
    <w:rsid w:val="497B57A3"/>
    <w:rsid w:val="497D512C"/>
    <w:rsid w:val="499524B9"/>
    <w:rsid w:val="49A563CB"/>
    <w:rsid w:val="49B642D0"/>
    <w:rsid w:val="49B6500C"/>
    <w:rsid w:val="49C66632"/>
    <w:rsid w:val="49D6446A"/>
    <w:rsid w:val="49DC79EE"/>
    <w:rsid w:val="49EF020F"/>
    <w:rsid w:val="4A012529"/>
    <w:rsid w:val="4A055753"/>
    <w:rsid w:val="4A1A1322"/>
    <w:rsid w:val="4A1C72A3"/>
    <w:rsid w:val="4A262478"/>
    <w:rsid w:val="4A4A4CD1"/>
    <w:rsid w:val="4A4C7DD3"/>
    <w:rsid w:val="4A5B6017"/>
    <w:rsid w:val="4A5E5BBD"/>
    <w:rsid w:val="4A614A94"/>
    <w:rsid w:val="4A6F17D6"/>
    <w:rsid w:val="4A753EB0"/>
    <w:rsid w:val="4A7A516A"/>
    <w:rsid w:val="4A8B2045"/>
    <w:rsid w:val="4A8D1057"/>
    <w:rsid w:val="4A9A25BE"/>
    <w:rsid w:val="4A9B3474"/>
    <w:rsid w:val="4AA845AF"/>
    <w:rsid w:val="4AAA4AEF"/>
    <w:rsid w:val="4AAD72E9"/>
    <w:rsid w:val="4AB12B4E"/>
    <w:rsid w:val="4AB12E60"/>
    <w:rsid w:val="4AB471D9"/>
    <w:rsid w:val="4AC35C25"/>
    <w:rsid w:val="4AC523D0"/>
    <w:rsid w:val="4AD37E71"/>
    <w:rsid w:val="4ADD4F2D"/>
    <w:rsid w:val="4AE42F23"/>
    <w:rsid w:val="4AEA5D44"/>
    <w:rsid w:val="4AF62C56"/>
    <w:rsid w:val="4AF74563"/>
    <w:rsid w:val="4AFE1B71"/>
    <w:rsid w:val="4B077824"/>
    <w:rsid w:val="4B097EB7"/>
    <w:rsid w:val="4B0E3E9D"/>
    <w:rsid w:val="4B3E4236"/>
    <w:rsid w:val="4B4060CC"/>
    <w:rsid w:val="4B4D1904"/>
    <w:rsid w:val="4B502B4B"/>
    <w:rsid w:val="4B546595"/>
    <w:rsid w:val="4B605694"/>
    <w:rsid w:val="4B932314"/>
    <w:rsid w:val="4B95261A"/>
    <w:rsid w:val="4BA243DA"/>
    <w:rsid w:val="4BA271CA"/>
    <w:rsid w:val="4BAA697F"/>
    <w:rsid w:val="4BB9621F"/>
    <w:rsid w:val="4BC97FF3"/>
    <w:rsid w:val="4BCB0439"/>
    <w:rsid w:val="4BCD2D2D"/>
    <w:rsid w:val="4BD45177"/>
    <w:rsid w:val="4BDD4D44"/>
    <w:rsid w:val="4BF34DC4"/>
    <w:rsid w:val="4BF45F8E"/>
    <w:rsid w:val="4BFB5EBC"/>
    <w:rsid w:val="4BFE6267"/>
    <w:rsid w:val="4C130386"/>
    <w:rsid w:val="4C147CC8"/>
    <w:rsid w:val="4C291DCA"/>
    <w:rsid w:val="4C2A37E5"/>
    <w:rsid w:val="4C317AFA"/>
    <w:rsid w:val="4C4355C5"/>
    <w:rsid w:val="4C4E6BA2"/>
    <w:rsid w:val="4C527974"/>
    <w:rsid w:val="4C547DA9"/>
    <w:rsid w:val="4C5C48CE"/>
    <w:rsid w:val="4C656166"/>
    <w:rsid w:val="4C6F6B69"/>
    <w:rsid w:val="4C743D39"/>
    <w:rsid w:val="4C8F131B"/>
    <w:rsid w:val="4C997D3D"/>
    <w:rsid w:val="4C9B4631"/>
    <w:rsid w:val="4CB15EB1"/>
    <w:rsid w:val="4CB35B6F"/>
    <w:rsid w:val="4CBA5263"/>
    <w:rsid w:val="4CBD2F9E"/>
    <w:rsid w:val="4CC50B32"/>
    <w:rsid w:val="4CE14642"/>
    <w:rsid w:val="4CEE6B59"/>
    <w:rsid w:val="4CF82D3A"/>
    <w:rsid w:val="4CFD28E4"/>
    <w:rsid w:val="4D017A79"/>
    <w:rsid w:val="4D085BA5"/>
    <w:rsid w:val="4D090490"/>
    <w:rsid w:val="4D0B6312"/>
    <w:rsid w:val="4D0E6C43"/>
    <w:rsid w:val="4D2836C3"/>
    <w:rsid w:val="4D354E05"/>
    <w:rsid w:val="4D3A1DD2"/>
    <w:rsid w:val="4D464FC6"/>
    <w:rsid w:val="4D4F3BF5"/>
    <w:rsid w:val="4D5747E4"/>
    <w:rsid w:val="4D601D52"/>
    <w:rsid w:val="4D6638B8"/>
    <w:rsid w:val="4D695DB1"/>
    <w:rsid w:val="4D706CF0"/>
    <w:rsid w:val="4D735628"/>
    <w:rsid w:val="4D744710"/>
    <w:rsid w:val="4D7C7509"/>
    <w:rsid w:val="4D804193"/>
    <w:rsid w:val="4D834C75"/>
    <w:rsid w:val="4D84644B"/>
    <w:rsid w:val="4D934FB2"/>
    <w:rsid w:val="4D943890"/>
    <w:rsid w:val="4DB676F3"/>
    <w:rsid w:val="4DB72016"/>
    <w:rsid w:val="4DD138EE"/>
    <w:rsid w:val="4DD81A3B"/>
    <w:rsid w:val="4DDE6E33"/>
    <w:rsid w:val="4DE734E0"/>
    <w:rsid w:val="4DF1027D"/>
    <w:rsid w:val="4E1753BE"/>
    <w:rsid w:val="4E23635A"/>
    <w:rsid w:val="4E4B32B9"/>
    <w:rsid w:val="4E550154"/>
    <w:rsid w:val="4E570232"/>
    <w:rsid w:val="4E621680"/>
    <w:rsid w:val="4E6C14C4"/>
    <w:rsid w:val="4E6C43D6"/>
    <w:rsid w:val="4E715FCB"/>
    <w:rsid w:val="4E7D5085"/>
    <w:rsid w:val="4E89387B"/>
    <w:rsid w:val="4E97232A"/>
    <w:rsid w:val="4EAC0A02"/>
    <w:rsid w:val="4EB541E6"/>
    <w:rsid w:val="4EB571B2"/>
    <w:rsid w:val="4EB725CA"/>
    <w:rsid w:val="4EB970B4"/>
    <w:rsid w:val="4ECE3A40"/>
    <w:rsid w:val="4EDC636B"/>
    <w:rsid w:val="4EDC7B20"/>
    <w:rsid w:val="4EDE0CE6"/>
    <w:rsid w:val="4EDE69B6"/>
    <w:rsid w:val="4EE17E41"/>
    <w:rsid w:val="4EF402C4"/>
    <w:rsid w:val="4EF70D4B"/>
    <w:rsid w:val="4EFD0A8F"/>
    <w:rsid w:val="4EFD7C09"/>
    <w:rsid w:val="4F027E1C"/>
    <w:rsid w:val="4F0A6CD0"/>
    <w:rsid w:val="4F0E67C1"/>
    <w:rsid w:val="4F134725"/>
    <w:rsid w:val="4F151F39"/>
    <w:rsid w:val="4F184CAA"/>
    <w:rsid w:val="4F1C2962"/>
    <w:rsid w:val="4F222004"/>
    <w:rsid w:val="4F363F69"/>
    <w:rsid w:val="4F3C21A6"/>
    <w:rsid w:val="4F5C3AF9"/>
    <w:rsid w:val="4F826223"/>
    <w:rsid w:val="4F8D0DCB"/>
    <w:rsid w:val="4F8E160A"/>
    <w:rsid w:val="4F9C088A"/>
    <w:rsid w:val="4F9E057C"/>
    <w:rsid w:val="4FA53FD1"/>
    <w:rsid w:val="4FBA6882"/>
    <w:rsid w:val="4FC14750"/>
    <w:rsid w:val="4FDE7EC3"/>
    <w:rsid w:val="4FE2028E"/>
    <w:rsid w:val="4FE21219"/>
    <w:rsid w:val="4FE96449"/>
    <w:rsid w:val="4FEB5EF5"/>
    <w:rsid w:val="4FF10859"/>
    <w:rsid w:val="4FF859FC"/>
    <w:rsid w:val="4FFB5296"/>
    <w:rsid w:val="50033B60"/>
    <w:rsid w:val="500D280C"/>
    <w:rsid w:val="500E00AE"/>
    <w:rsid w:val="5019461F"/>
    <w:rsid w:val="501A590B"/>
    <w:rsid w:val="502C0328"/>
    <w:rsid w:val="504D681D"/>
    <w:rsid w:val="504E5EFC"/>
    <w:rsid w:val="50591CBD"/>
    <w:rsid w:val="505A18BD"/>
    <w:rsid w:val="505A3B38"/>
    <w:rsid w:val="505C08D9"/>
    <w:rsid w:val="505F5281"/>
    <w:rsid w:val="50692B8F"/>
    <w:rsid w:val="506F2605"/>
    <w:rsid w:val="506F5D79"/>
    <w:rsid w:val="50747106"/>
    <w:rsid w:val="50796695"/>
    <w:rsid w:val="50895FD3"/>
    <w:rsid w:val="50990893"/>
    <w:rsid w:val="50A85462"/>
    <w:rsid w:val="50B71D65"/>
    <w:rsid w:val="50BB2A09"/>
    <w:rsid w:val="50BF6EFA"/>
    <w:rsid w:val="50D310B0"/>
    <w:rsid w:val="50D32246"/>
    <w:rsid w:val="50D47D58"/>
    <w:rsid w:val="50E2094C"/>
    <w:rsid w:val="510559A1"/>
    <w:rsid w:val="51164A27"/>
    <w:rsid w:val="51242B67"/>
    <w:rsid w:val="51254F47"/>
    <w:rsid w:val="51412E32"/>
    <w:rsid w:val="516721B8"/>
    <w:rsid w:val="51691BB2"/>
    <w:rsid w:val="51707CD5"/>
    <w:rsid w:val="517D75B6"/>
    <w:rsid w:val="519430D3"/>
    <w:rsid w:val="519A6BD3"/>
    <w:rsid w:val="519E15B5"/>
    <w:rsid w:val="51A006F9"/>
    <w:rsid w:val="51AE6039"/>
    <w:rsid w:val="51B318A1"/>
    <w:rsid w:val="51B36077"/>
    <w:rsid w:val="51B5312E"/>
    <w:rsid w:val="51C0039E"/>
    <w:rsid w:val="51D8611F"/>
    <w:rsid w:val="51F07D24"/>
    <w:rsid w:val="52062065"/>
    <w:rsid w:val="522C0980"/>
    <w:rsid w:val="523569AA"/>
    <w:rsid w:val="52390EFF"/>
    <w:rsid w:val="52396EDA"/>
    <w:rsid w:val="523B5586"/>
    <w:rsid w:val="523E560F"/>
    <w:rsid w:val="525062A1"/>
    <w:rsid w:val="5277471F"/>
    <w:rsid w:val="52782598"/>
    <w:rsid w:val="527A0862"/>
    <w:rsid w:val="527A7415"/>
    <w:rsid w:val="528D6B9E"/>
    <w:rsid w:val="5290473E"/>
    <w:rsid w:val="529707AE"/>
    <w:rsid w:val="529B2076"/>
    <w:rsid w:val="52A949D3"/>
    <w:rsid w:val="52C30EA7"/>
    <w:rsid w:val="52EE2AB3"/>
    <w:rsid w:val="52EF2204"/>
    <w:rsid w:val="52EF49DD"/>
    <w:rsid w:val="52F80BF4"/>
    <w:rsid w:val="52FF2524"/>
    <w:rsid w:val="530F5DF3"/>
    <w:rsid w:val="53145364"/>
    <w:rsid w:val="5315378B"/>
    <w:rsid w:val="53232CD3"/>
    <w:rsid w:val="53251DCF"/>
    <w:rsid w:val="53274625"/>
    <w:rsid w:val="5328294B"/>
    <w:rsid w:val="532904C6"/>
    <w:rsid w:val="53332F09"/>
    <w:rsid w:val="53381791"/>
    <w:rsid w:val="53422C0C"/>
    <w:rsid w:val="5357136E"/>
    <w:rsid w:val="5357543C"/>
    <w:rsid w:val="535F4011"/>
    <w:rsid w:val="537A2A68"/>
    <w:rsid w:val="537F1FF3"/>
    <w:rsid w:val="538237B0"/>
    <w:rsid w:val="53894FAB"/>
    <w:rsid w:val="53897AEB"/>
    <w:rsid w:val="538D0238"/>
    <w:rsid w:val="53900B19"/>
    <w:rsid w:val="53973C36"/>
    <w:rsid w:val="539D2273"/>
    <w:rsid w:val="539E1245"/>
    <w:rsid w:val="53A07C03"/>
    <w:rsid w:val="53A96D8B"/>
    <w:rsid w:val="53AB33A5"/>
    <w:rsid w:val="53AB6894"/>
    <w:rsid w:val="53B229BC"/>
    <w:rsid w:val="53B56046"/>
    <w:rsid w:val="53B93BF0"/>
    <w:rsid w:val="53DE1E7C"/>
    <w:rsid w:val="53E40D09"/>
    <w:rsid w:val="53E421E6"/>
    <w:rsid w:val="53F561E2"/>
    <w:rsid w:val="53FA7975"/>
    <w:rsid w:val="53FB38B8"/>
    <w:rsid w:val="540A21A8"/>
    <w:rsid w:val="540D705C"/>
    <w:rsid w:val="540F2816"/>
    <w:rsid w:val="541937DA"/>
    <w:rsid w:val="541C7A5F"/>
    <w:rsid w:val="541D7CD6"/>
    <w:rsid w:val="54226432"/>
    <w:rsid w:val="54232D99"/>
    <w:rsid w:val="54362CFA"/>
    <w:rsid w:val="54487482"/>
    <w:rsid w:val="544F1170"/>
    <w:rsid w:val="545F186C"/>
    <w:rsid w:val="545F47F8"/>
    <w:rsid w:val="546D12BF"/>
    <w:rsid w:val="546E2206"/>
    <w:rsid w:val="547F7462"/>
    <w:rsid w:val="54833F20"/>
    <w:rsid w:val="54953448"/>
    <w:rsid w:val="54984C61"/>
    <w:rsid w:val="54A0765A"/>
    <w:rsid w:val="54AF0829"/>
    <w:rsid w:val="54CB0CB0"/>
    <w:rsid w:val="54DF27E5"/>
    <w:rsid w:val="54EA4089"/>
    <w:rsid w:val="54FB5E9E"/>
    <w:rsid w:val="55062CE3"/>
    <w:rsid w:val="5506588F"/>
    <w:rsid w:val="55097A97"/>
    <w:rsid w:val="551F7398"/>
    <w:rsid w:val="553A5AF3"/>
    <w:rsid w:val="55417558"/>
    <w:rsid w:val="55490BEE"/>
    <w:rsid w:val="554E37CB"/>
    <w:rsid w:val="555F1631"/>
    <w:rsid w:val="55605992"/>
    <w:rsid w:val="55620F49"/>
    <w:rsid w:val="55694EF7"/>
    <w:rsid w:val="556B3ECC"/>
    <w:rsid w:val="55741FDC"/>
    <w:rsid w:val="557B2298"/>
    <w:rsid w:val="55842E58"/>
    <w:rsid w:val="55947A03"/>
    <w:rsid w:val="5595757B"/>
    <w:rsid w:val="559F4ECF"/>
    <w:rsid w:val="55B34CA2"/>
    <w:rsid w:val="55BF695A"/>
    <w:rsid w:val="55C107FF"/>
    <w:rsid w:val="55CE0E60"/>
    <w:rsid w:val="55CF3699"/>
    <w:rsid w:val="55E652A4"/>
    <w:rsid w:val="55E9164C"/>
    <w:rsid w:val="55FA184D"/>
    <w:rsid w:val="56196C97"/>
    <w:rsid w:val="5622307F"/>
    <w:rsid w:val="56284A85"/>
    <w:rsid w:val="562F0670"/>
    <w:rsid w:val="5631056A"/>
    <w:rsid w:val="56387B6B"/>
    <w:rsid w:val="56582A17"/>
    <w:rsid w:val="565D160F"/>
    <w:rsid w:val="5663082B"/>
    <w:rsid w:val="56724F0F"/>
    <w:rsid w:val="56777EC0"/>
    <w:rsid w:val="56792EFC"/>
    <w:rsid w:val="567C04E6"/>
    <w:rsid w:val="56821F70"/>
    <w:rsid w:val="5695486E"/>
    <w:rsid w:val="569C6DC5"/>
    <w:rsid w:val="56A02570"/>
    <w:rsid w:val="56A81F26"/>
    <w:rsid w:val="56BB50F1"/>
    <w:rsid w:val="56C212E9"/>
    <w:rsid w:val="56C31F98"/>
    <w:rsid w:val="56D62EE9"/>
    <w:rsid w:val="56D73747"/>
    <w:rsid w:val="56D95D0D"/>
    <w:rsid w:val="56F9582A"/>
    <w:rsid w:val="5711403B"/>
    <w:rsid w:val="571C4455"/>
    <w:rsid w:val="571C4CE8"/>
    <w:rsid w:val="5720760C"/>
    <w:rsid w:val="57281DFC"/>
    <w:rsid w:val="5751574E"/>
    <w:rsid w:val="576266D7"/>
    <w:rsid w:val="576E1390"/>
    <w:rsid w:val="577067CF"/>
    <w:rsid w:val="57725DB1"/>
    <w:rsid w:val="577F73F4"/>
    <w:rsid w:val="578C5A6B"/>
    <w:rsid w:val="57911B24"/>
    <w:rsid w:val="579241C9"/>
    <w:rsid w:val="579371A0"/>
    <w:rsid w:val="57A756B9"/>
    <w:rsid w:val="57AB09F6"/>
    <w:rsid w:val="57AB183C"/>
    <w:rsid w:val="57AC2A6B"/>
    <w:rsid w:val="57BE20C8"/>
    <w:rsid w:val="57C92468"/>
    <w:rsid w:val="57CC1DF8"/>
    <w:rsid w:val="57DD5915"/>
    <w:rsid w:val="57EE7A0C"/>
    <w:rsid w:val="57FE4E71"/>
    <w:rsid w:val="58122873"/>
    <w:rsid w:val="582B3764"/>
    <w:rsid w:val="582E2DEC"/>
    <w:rsid w:val="582E442D"/>
    <w:rsid w:val="58314541"/>
    <w:rsid w:val="583207A1"/>
    <w:rsid w:val="58334E3C"/>
    <w:rsid w:val="58440EE7"/>
    <w:rsid w:val="584C7061"/>
    <w:rsid w:val="58517425"/>
    <w:rsid w:val="58587C37"/>
    <w:rsid w:val="585C5E97"/>
    <w:rsid w:val="586305A3"/>
    <w:rsid w:val="58764853"/>
    <w:rsid w:val="587F5BEE"/>
    <w:rsid w:val="5881492E"/>
    <w:rsid w:val="58B40A7E"/>
    <w:rsid w:val="58B605D2"/>
    <w:rsid w:val="58BE37F0"/>
    <w:rsid w:val="58BE7D4E"/>
    <w:rsid w:val="58CD4DF9"/>
    <w:rsid w:val="58D56089"/>
    <w:rsid w:val="58D77EC8"/>
    <w:rsid w:val="58D81BED"/>
    <w:rsid w:val="58DD38AC"/>
    <w:rsid w:val="58F37EB3"/>
    <w:rsid w:val="58F85DAB"/>
    <w:rsid w:val="58FE7B92"/>
    <w:rsid w:val="590F53CD"/>
    <w:rsid w:val="59123351"/>
    <w:rsid w:val="591C0864"/>
    <w:rsid w:val="591F526F"/>
    <w:rsid w:val="59224AE0"/>
    <w:rsid w:val="592B495A"/>
    <w:rsid w:val="593343F9"/>
    <w:rsid w:val="59337669"/>
    <w:rsid w:val="59413C73"/>
    <w:rsid w:val="5960578A"/>
    <w:rsid w:val="59695AE1"/>
    <w:rsid w:val="596A791F"/>
    <w:rsid w:val="597510DD"/>
    <w:rsid w:val="597A222F"/>
    <w:rsid w:val="598047FD"/>
    <w:rsid w:val="59892FD4"/>
    <w:rsid w:val="598D62E4"/>
    <w:rsid w:val="59980435"/>
    <w:rsid w:val="599E4F02"/>
    <w:rsid w:val="599F2205"/>
    <w:rsid w:val="59A23A2D"/>
    <w:rsid w:val="59B73BDD"/>
    <w:rsid w:val="59C37532"/>
    <w:rsid w:val="59D03D4A"/>
    <w:rsid w:val="59D10B16"/>
    <w:rsid w:val="59D82A6A"/>
    <w:rsid w:val="59E16615"/>
    <w:rsid w:val="59EB45C7"/>
    <w:rsid w:val="59F50E7B"/>
    <w:rsid w:val="59F541BD"/>
    <w:rsid w:val="5A0A7DDC"/>
    <w:rsid w:val="5A174603"/>
    <w:rsid w:val="5A1C477D"/>
    <w:rsid w:val="5A2D57CE"/>
    <w:rsid w:val="5A2F3295"/>
    <w:rsid w:val="5A5E5516"/>
    <w:rsid w:val="5A6836C2"/>
    <w:rsid w:val="5A782C02"/>
    <w:rsid w:val="5A8C0DEA"/>
    <w:rsid w:val="5A9B2715"/>
    <w:rsid w:val="5A9D30EE"/>
    <w:rsid w:val="5AA17BA3"/>
    <w:rsid w:val="5AAC03C0"/>
    <w:rsid w:val="5AAF12B5"/>
    <w:rsid w:val="5ABD6880"/>
    <w:rsid w:val="5AC2719A"/>
    <w:rsid w:val="5AC8156C"/>
    <w:rsid w:val="5AE34FFF"/>
    <w:rsid w:val="5AE46AF8"/>
    <w:rsid w:val="5AF54639"/>
    <w:rsid w:val="5AF608C2"/>
    <w:rsid w:val="5AFE121E"/>
    <w:rsid w:val="5AFE4837"/>
    <w:rsid w:val="5B13057C"/>
    <w:rsid w:val="5B157129"/>
    <w:rsid w:val="5B160A48"/>
    <w:rsid w:val="5B2343F2"/>
    <w:rsid w:val="5B3C5E57"/>
    <w:rsid w:val="5B415E00"/>
    <w:rsid w:val="5B5878BB"/>
    <w:rsid w:val="5B59302B"/>
    <w:rsid w:val="5B6D223C"/>
    <w:rsid w:val="5B7A09DC"/>
    <w:rsid w:val="5B7C46CC"/>
    <w:rsid w:val="5B8019B4"/>
    <w:rsid w:val="5B8023FB"/>
    <w:rsid w:val="5B8932B4"/>
    <w:rsid w:val="5B8C5246"/>
    <w:rsid w:val="5BA0092A"/>
    <w:rsid w:val="5BA150F8"/>
    <w:rsid w:val="5BA2436D"/>
    <w:rsid w:val="5BA63AC8"/>
    <w:rsid w:val="5BB3592B"/>
    <w:rsid w:val="5BB90563"/>
    <w:rsid w:val="5BCB5845"/>
    <w:rsid w:val="5BCF7D1A"/>
    <w:rsid w:val="5BD3019C"/>
    <w:rsid w:val="5BD31895"/>
    <w:rsid w:val="5BD45A90"/>
    <w:rsid w:val="5BEE1070"/>
    <w:rsid w:val="5BF373BE"/>
    <w:rsid w:val="5BF4588C"/>
    <w:rsid w:val="5C294BBA"/>
    <w:rsid w:val="5C2F64FC"/>
    <w:rsid w:val="5C314FF5"/>
    <w:rsid w:val="5C414F8B"/>
    <w:rsid w:val="5C4D2F4E"/>
    <w:rsid w:val="5C580DF6"/>
    <w:rsid w:val="5C600D7A"/>
    <w:rsid w:val="5C620BE5"/>
    <w:rsid w:val="5C635F9D"/>
    <w:rsid w:val="5C861D4D"/>
    <w:rsid w:val="5C8E67BC"/>
    <w:rsid w:val="5CA2624C"/>
    <w:rsid w:val="5CA73BD4"/>
    <w:rsid w:val="5CBC5377"/>
    <w:rsid w:val="5CC31F65"/>
    <w:rsid w:val="5CC70305"/>
    <w:rsid w:val="5CD46AF0"/>
    <w:rsid w:val="5CDB57BD"/>
    <w:rsid w:val="5CDE61B0"/>
    <w:rsid w:val="5CEA1C0F"/>
    <w:rsid w:val="5D0056CD"/>
    <w:rsid w:val="5D045320"/>
    <w:rsid w:val="5D10697C"/>
    <w:rsid w:val="5D1B23B6"/>
    <w:rsid w:val="5D241C82"/>
    <w:rsid w:val="5D2500B2"/>
    <w:rsid w:val="5D272186"/>
    <w:rsid w:val="5D4D3BC9"/>
    <w:rsid w:val="5D5201C0"/>
    <w:rsid w:val="5D54605F"/>
    <w:rsid w:val="5D5F63FA"/>
    <w:rsid w:val="5D622C51"/>
    <w:rsid w:val="5D6B1CDE"/>
    <w:rsid w:val="5D6C5B9F"/>
    <w:rsid w:val="5D750E10"/>
    <w:rsid w:val="5D7A1F44"/>
    <w:rsid w:val="5D9769B9"/>
    <w:rsid w:val="5D9957CE"/>
    <w:rsid w:val="5DA57385"/>
    <w:rsid w:val="5DA84D5A"/>
    <w:rsid w:val="5DAD596C"/>
    <w:rsid w:val="5DBF3804"/>
    <w:rsid w:val="5DD54C37"/>
    <w:rsid w:val="5DD92690"/>
    <w:rsid w:val="5DE02421"/>
    <w:rsid w:val="5DE50ADE"/>
    <w:rsid w:val="5DEB193E"/>
    <w:rsid w:val="5DEB1A8A"/>
    <w:rsid w:val="5DF105F4"/>
    <w:rsid w:val="5DF9547D"/>
    <w:rsid w:val="5DFD0546"/>
    <w:rsid w:val="5E10433C"/>
    <w:rsid w:val="5E1761E2"/>
    <w:rsid w:val="5E1D4494"/>
    <w:rsid w:val="5E2558D5"/>
    <w:rsid w:val="5E2F761F"/>
    <w:rsid w:val="5E363E88"/>
    <w:rsid w:val="5E3702E9"/>
    <w:rsid w:val="5E3F1828"/>
    <w:rsid w:val="5E776E19"/>
    <w:rsid w:val="5E781EA8"/>
    <w:rsid w:val="5E8220B8"/>
    <w:rsid w:val="5E8B72E9"/>
    <w:rsid w:val="5EA131BB"/>
    <w:rsid w:val="5EB35A52"/>
    <w:rsid w:val="5EBB44CF"/>
    <w:rsid w:val="5EC46D4B"/>
    <w:rsid w:val="5EC92CF9"/>
    <w:rsid w:val="5ECA193D"/>
    <w:rsid w:val="5ECC7AFE"/>
    <w:rsid w:val="5ED6237A"/>
    <w:rsid w:val="5EE07C8C"/>
    <w:rsid w:val="5EEC2C65"/>
    <w:rsid w:val="5EF84B46"/>
    <w:rsid w:val="5F0E2632"/>
    <w:rsid w:val="5F1E0954"/>
    <w:rsid w:val="5F1E54B3"/>
    <w:rsid w:val="5F27742B"/>
    <w:rsid w:val="5F391D7D"/>
    <w:rsid w:val="5F3C5E8C"/>
    <w:rsid w:val="5F442273"/>
    <w:rsid w:val="5F4C4CD8"/>
    <w:rsid w:val="5F4E1153"/>
    <w:rsid w:val="5F5F1052"/>
    <w:rsid w:val="5F6F17C0"/>
    <w:rsid w:val="5F916F21"/>
    <w:rsid w:val="5F922DB6"/>
    <w:rsid w:val="5FAD37D0"/>
    <w:rsid w:val="5FB61BF9"/>
    <w:rsid w:val="5FBF1B9D"/>
    <w:rsid w:val="5FC6296C"/>
    <w:rsid w:val="5FDF775B"/>
    <w:rsid w:val="5FE05567"/>
    <w:rsid w:val="5FEE28F2"/>
    <w:rsid w:val="5FF74090"/>
    <w:rsid w:val="600078F2"/>
    <w:rsid w:val="602558DD"/>
    <w:rsid w:val="60356E75"/>
    <w:rsid w:val="603622D4"/>
    <w:rsid w:val="603749F0"/>
    <w:rsid w:val="60436B6E"/>
    <w:rsid w:val="60471B32"/>
    <w:rsid w:val="60555918"/>
    <w:rsid w:val="605B228F"/>
    <w:rsid w:val="606A35EC"/>
    <w:rsid w:val="608F79BB"/>
    <w:rsid w:val="60921A56"/>
    <w:rsid w:val="6093558F"/>
    <w:rsid w:val="60971021"/>
    <w:rsid w:val="609A5FD4"/>
    <w:rsid w:val="609F420A"/>
    <w:rsid w:val="60DD6293"/>
    <w:rsid w:val="60E71AAD"/>
    <w:rsid w:val="60EA0BB5"/>
    <w:rsid w:val="60EF63C3"/>
    <w:rsid w:val="60FD5070"/>
    <w:rsid w:val="61021797"/>
    <w:rsid w:val="610A2125"/>
    <w:rsid w:val="611148A3"/>
    <w:rsid w:val="61177686"/>
    <w:rsid w:val="612024AA"/>
    <w:rsid w:val="61233D0D"/>
    <w:rsid w:val="612E3E49"/>
    <w:rsid w:val="61301CA4"/>
    <w:rsid w:val="61354081"/>
    <w:rsid w:val="6135571D"/>
    <w:rsid w:val="61376B98"/>
    <w:rsid w:val="61456EA0"/>
    <w:rsid w:val="6146579B"/>
    <w:rsid w:val="614A476E"/>
    <w:rsid w:val="6151078F"/>
    <w:rsid w:val="615D5214"/>
    <w:rsid w:val="616E5A44"/>
    <w:rsid w:val="61793339"/>
    <w:rsid w:val="617C00A0"/>
    <w:rsid w:val="618115B3"/>
    <w:rsid w:val="619678E3"/>
    <w:rsid w:val="61A201C7"/>
    <w:rsid w:val="61A34C21"/>
    <w:rsid w:val="61AC2934"/>
    <w:rsid w:val="61AF276B"/>
    <w:rsid w:val="61B34EB5"/>
    <w:rsid w:val="61C711F0"/>
    <w:rsid w:val="61D074A0"/>
    <w:rsid w:val="61E35160"/>
    <w:rsid w:val="61E54796"/>
    <w:rsid w:val="6200438B"/>
    <w:rsid w:val="62032E0E"/>
    <w:rsid w:val="62081925"/>
    <w:rsid w:val="62116CA6"/>
    <w:rsid w:val="62131948"/>
    <w:rsid w:val="621E1289"/>
    <w:rsid w:val="622638C5"/>
    <w:rsid w:val="62556286"/>
    <w:rsid w:val="625D5730"/>
    <w:rsid w:val="626824CE"/>
    <w:rsid w:val="626C108A"/>
    <w:rsid w:val="626E0C0D"/>
    <w:rsid w:val="6285135B"/>
    <w:rsid w:val="62896443"/>
    <w:rsid w:val="628B3AD1"/>
    <w:rsid w:val="628C54F2"/>
    <w:rsid w:val="62935859"/>
    <w:rsid w:val="629D18B9"/>
    <w:rsid w:val="62A011D4"/>
    <w:rsid w:val="62A35796"/>
    <w:rsid w:val="62B166A5"/>
    <w:rsid w:val="62BB0FC2"/>
    <w:rsid w:val="62BC0026"/>
    <w:rsid w:val="62CE32CD"/>
    <w:rsid w:val="62D63483"/>
    <w:rsid w:val="62DA12FD"/>
    <w:rsid w:val="62E721B9"/>
    <w:rsid w:val="63061893"/>
    <w:rsid w:val="630D6E01"/>
    <w:rsid w:val="631837A9"/>
    <w:rsid w:val="631A1AEB"/>
    <w:rsid w:val="6324186F"/>
    <w:rsid w:val="632B573B"/>
    <w:rsid w:val="632F4D0D"/>
    <w:rsid w:val="6334585C"/>
    <w:rsid w:val="633F404A"/>
    <w:rsid w:val="63421625"/>
    <w:rsid w:val="63442D0E"/>
    <w:rsid w:val="634B50FF"/>
    <w:rsid w:val="635C2F2F"/>
    <w:rsid w:val="637B7465"/>
    <w:rsid w:val="638E0307"/>
    <w:rsid w:val="63907DD8"/>
    <w:rsid w:val="63A31C47"/>
    <w:rsid w:val="63A54528"/>
    <w:rsid w:val="63AA1C7A"/>
    <w:rsid w:val="63BC7B19"/>
    <w:rsid w:val="63D064F0"/>
    <w:rsid w:val="63DC133C"/>
    <w:rsid w:val="63DF1EC5"/>
    <w:rsid w:val="63E257C3"/>
    <w:rsid w:val="63E907F7"/>
    <w:rsid w:val="63EE55CF"/>
    <w:rsid w:val="63EF5FB3"/>
    <w:rsid w:val="63F52B5E"/>
    <w:rsid w:val="64024C1C"/>
    <w:rsid w:val="640908E2"/>
    <w:rsid w:val="64370CD0"/>
    <w:rsid w:val="64495226"/>
    <w:rsid w:val="64496CE5"/>
    <w:rsid w:val="646376FD"/>
    <w:rsid w:val="646457EE"/>
    <w:rsid w:val="646D6238"/>
    <w:rsid w:val="64755EBF"/>
    <w:rsid w:val="648621F1"/>
    <w:rsid w:val="648C045C"/>
    <w:rsid w:val="648E7946"/>
    <w:rsid w:val="64A456D3"/>
    <w:rsid w:val="64A62BA0"/>
    <w:rsid w:val="64B451F5"/>
    <w:rsid w:val="64BD6665"/>
    <w:rsid w:val="64C57979"/>
    <w:rsid w:val="64CE781A"/>
    <w:rsid w:val="64D26883"/>
    <w:rsid w:val="64E413C7"/>
    <w:rsid w:val="64E7797E"/>
    <w:rsid w:val="64F05702"/>
    <w:rsid w:val="64F52238"/>
    <w:rsid w:val="64FC1398"/>
    <w:rsid w:val="65055FFA"/>
    <w:rsid w:val="650A7B0E"/>
    <w:rsid w:val="652152B4"/>
    <w:rsid w:val="65362E2C"/>
    <w:rsid w:val="65443D45"/>
    <w:rsid w:val="654B0EB1"/>
    <w:rsid w:val="655936EB"/>
    <w:rsid w:val="65617FE8"/>
    <w:rsid w:val="656767D3"/>
    <w:rsid w:val="656F7B2B"/>
    <w:rsid w:val="65714CDF"/>
    <w:rsid w:val="65757142"/>
    <w:rsid w:val="65782A35"/>
    <w:rsid w:val="657B2A6C"/>
    <w:rsid w:val="6581405E"/>
    <w:rsid w:val="659208A9"/>
    <w:rsid w:val="65942AEC"/>
    <w:rsid w:val="659860C0"/>
    <w:rsid w:val="65993368"/>
    <w:rsid w:val="65A84F87"/>
    <w:rsid w:val="65A929C4"/>
    <w:rsid w:val="65AC784E"/>
    <w:rsid w:val="65D00EF4"/>
    <w:rsid w:val="65DA3048"/>
    <w:rsid w:val="65EA5545"/>
    <w:rsid w:val="65F45EE6"/>
    <w:rsid w:val="65F675A1"/>
    <w:rsid w:val="65F93BDD"/>
    <w:rsid w:val="65FB7BAC"/>
    <w:rsid w:val="65FF3D02"/>
    <w:rsid w:val="66001A13"/>
    <w:rsid w:val="66034465"/>
    <w:rsid w:val="660525FF"/>
    <w:rsid w:val="660A0DF2"/>
    <w:rsid w:val="6618187B"/>
    <w:rsid w:val="66192061"/>
    <w:rsid w:val="661D20BA"/>
    <w:rsid w:val="66217636"/>
    <w:rsid w:val="662D61DD"/>
    <w:rsid w:val="663010CC"/>
    <w:rsid w:val="66417024"/>
    <w:rsid w:val="66475617"/>
    <w:rsid w:val="664B4641"/>
    <w:rsid w:val="665E1C36"/>
    <w:rsid w:val="665E7B8E"/>
    <w:rsid w:val="665F228F"/>
    <w:rsid w:val="666F6FDA"/>
    <w:rsid w:val="66710825"/>
    <w:rsid w:val="667460A7"/>
    <w:rsid w:val="667915FC"/>
    <w:rsid w:val="668D0F48"/>
    <w:rsid w:val="66A33553"/>
    <w:rsid w:val="66BC6C7E"/>
    <w:rsid w:val="66BF59A6"/>
    <w:rsid w:val="66C27E6B"/>
    <w:rsid w:val="66C52F98"/>
    <w:rsid w:val="66C809EF"/>
    <w:rsid w:val="66CD207A"/>
    <w:rsid w:val="670562A3"/>
    <w:rsid w:val="670E6313"/>
    <w:rsid w:val="67135AD0"/>
    <w:rsid w:val="67155318"/>
    <w:rsid w:val="672E01F9"/>
    <w:rsid w:val="6739419F"/>
    <w:rsid w:val="67525C25"/>
    <w:rsid w:val="675F7ABA"/>
    <w:rsid w:val="67693BEF"/>
    <w:rsid w:val="677953B3"/>
    <w:rsid w:val="677D0067"/>
    <w:rsid w:val="6787323E"/>
    <w:rsid w:val="67947C24"/>
    <w:rsid w:val="679C1DEE"/>
    <w:rsid w:val="67AA16B3"/>
    <w:rsid w:val="67B0406A"/>
    <w:rsid w:val="67B82027"/>
    <w:rsid w:val="67D313D6"/>
    <w:rsid w:val="67E17781"/>
    <w:rsid w:val="67E822F7"/>
    <w:rsid w:val="67EC4C3D"/>
    <w:rsid w:val="67F24A7A"/>
    <w:rsid w:val="67F24E79"/>
    <w:rsid w:val="67FC6B6F"/>
    <w:rsid w:val="68070443"/>
    <w:rsid w:val="680A1475"/>
    <w:rsid w:val="680F3CBA"/>
    <w:rsid w:val="6811390E"/>
    <w:rsid w:val="68124BFE"/>
    <w:rsid w:val="68130AA5"/>
    <w:rsid w:val="68141568"/>
    <w:rsid w:val="6818307E"/>
    <w:rsid w:val="682C4A4D"/>
    <w:rsid w:val="682D5D57"/>
    <w:rsid w:val="68321C9E"/>
    <w:rsid w:val="68324AFE"/>
    <w:rsid w:val="68503216"/>
    <w:rsid w:val="68513BE5"/>
    <w:rsid w:val="6855616D"/>
    <w:rsid w:val="68594AF9"/>
    <w:rsid w:val="685B430F"/>
    <w:rsid w:val="68664B20"/>
    <w:rsid w:val="687719CE"/>
    <w:rsid w:val="687C25C6"/>
    <w:rsid w:val="68827AD1"/>
    <w:rsid w:val="68987E78"/>
    <w:rsid w:val="689929A6"/>
    <w:rsid w:val="68B35172"/>
    <w:rsid w:val="68B84324"/>
    <w:rsid w:val="68BA11A9"/>
    <w:rsid w:val="68DF602F"/>
    <w:rsid w:val="68E411E6"/>
    <w:rsid w:val="68E8128C"/>
    <w:rsid w:val="68F8657C"/>
    <w:rsid w:val="690F6CC1"/>
    <w:rsid w:val="6911644D"/>
    <w:rsid w:val="69243F59"/>
    <w:rsid w:val="692C280C"/>
    <w:rsid w:val="69343594"/>
    <w:rsid w:val="693C6439"/>
    <w:rsid w:val="69476619"/>
    <w:rsid w:val="6954431B"/>
    <w:rsid w:val="69557699"/>
    <w:rsid w:val="695B0099"/>
    <w:rsid w:val="695E3090"/>
    <w:rsid w:val="69623B75"/>
    <w:rsid w:val="6991096C"/>
    <w:rsid w:val="699A0060"/>
    <w:rsid w:val="69BA5167"/>
    <w:rsid w:val="69D254C3"/>
    <w:rsid w:val="69EB10D7"/>
    <w:rsid w:val="69F25029"/>
    <w:rsid w:val="6A011CD3"/>
    <w:rsid w:val="6A204534"/>
    <w:rsid w:val="6A216A07"/>
    <w:rsid w:val="6A2A2138"/>
    <w:rsid w:val="6A2C7448"/>
    <w:rsid w:val="6A2F7BA7"/>
    <w:rsid w:val="6A4D3BB3"/>
    <w:rsid w:val="6A4F7275"/>
    <w:rsid w:val="6A51692D"/>
    <w:rsid w:val="6A557984"/>
    <w:rsid w:val="6A5F30D4"/>
    <w:rsid w:val="6A68486C"/>
    <w:rsid w:val="6A6C650F"/>
    <w:rsid w:val="6A6D4AD7"/>
    <w:rsid w:val="6A6D758A"/>
    <w:rsid w:val="6A6E1250"/>
    <w:rsid w:val="6A797B0B"/>
    <w:rsid w:val="6A7A05A3"/>
    <w:rsid w:val="6A8A197E"/>
    <w:rsid w:val="6A9177B5"/>
    <w:rsid w:val="6A925C52"/>
    <w:rsid w:val="6A995AD4"/>
    <w:rsid w:val="6A9F1D50"/>
    <w:rsid w:val="6ABC7B2A"/>
    <w:rsid w:val="6ADB1386"/>
    <w:rsid w:val="6ADD4AD7"/>
    <w:rsid w:val="6AE02CCC"/>
    <w:rsid w:val="6AFC66C1"/>
    <w:rsid w:val="6B017182"/>
    <w:rsid w:val="6B070C84"/>
    <w:rsid w:val="6B072469"/>
    <w:rsid w:val="6B14490F"/>
    <w:rsid w:val="6B1E07BA"/>
    <w:rsid w:val="6B255F96"/>
    <w:rsid w:val="6B303A85"/>
    <w:rsid w:val="6B3415C6"/>
    <w:rsid w:val="6B4A5E54"/>
    <w:rsid w:val="6B4F7CE4"/>
    <w:rsid w:val="6B52286F"/>
    <w:rsid w:val="6B612C93"/>
    <w:rsid w:val="6B686DC6"/>
    <w:rsid w:val="6B7172A8"/>
    <w:rsid w:val="6B755376"/>
    <w:rsid w:val="6B783903"/>
    <w:rsid w:val="6B841928"/>
    <w:rsid w:val="6B8942B5"/>
    <w:rsid w:val="6B894480"/>
    <w:rsid w:val="6B8D7C01"/>
    <w:rsid w:val="6B900E95"/>
    <w:rsid w:val="6B947F73"/>
    <w:rsid w:val="6B9A1DCD"/>
    <w:rsid w:val="6BAE26A6"/>
    <w:rsid w:val="6BB17167"/>
    <w:rsid w:val="6BBA45DD"/>
    <w:rsid w:val="6BC8454D"/>
    <w:rsid w:val="6BCA055B"/>
    <w:rsid w:val="6BCB7B8C"/>
    <w:rsid w:val="6BD9385B"/>
    <w:rsid w:val="6BDA72DD"/>
    <w:rsid w:val="6BDB0AC2"/>
    <w:rsid w:val="6BDB763C"/>
    <w:rsid w:val="6BE061B4"/>
    <w:rsid w:val="6BF04B87"/>
    <w:rsid w:val="6C083042"/>
    <w:rsid w:val="6C0C2E9F"/>
    <w:rsid w:val="6C1671F2"/>
    <w:rsid w:val="6C176282"/>
    <w:rsid w:val="6C1C7D54"/>
    <w:rsid w:val="6C1E17E7"/>
    <w:rsid w:val="6C23212A"/>
    <w:rsid w:val="6C2C7894"/>
    <w:rsid w:val="6C2F7834"/>
    <w:rsid w:val="6C352974"/>
    <w:rsid w:val="6C3A1E4E"/>
    <w:rsid w:val="6C466D49"/>
    <w:rsid w:val="6C4B3E5B"/>
    <w:rsid w:val="6C50257D"/>
    <w:rsid w:val="6C534AD0"/>
    <w:rsid w:val="6C5A0C9C"/>
    <w:rsid w:val="6C6C4E70"/>
    <w:rsid w:val="6C7266A9"/>
    <w:rsid w:val="6C7843BD"/>
    <w:rsid w:val="6C7A789B"/>
    <w:rsid w:val="6C7E119C"/>
    <w:rsid w:val="6C8D4150"/>
    <w:rsid w:val="6C8D4D71"/>
    <w:rsid w:val="6C8D7839"/>
    <w:rsid w:val="6C9C76A9"/>
    <w:rsid w:val="6CA23A8D"/>
    <w:rsid w:val="6CB31ED9"/>
    <w:rsid w:val="6CB34EF7"/>
    <w:rsid w:val="6CCB63F7"/>
    <w:rsid w:val="6CD67DF1"/>
    <w:rsid w:val="6CE15B4A"/>
    <w:rsid w:val="6CE54A74"/>
    <w:rsid w:val="6CE82FB5"/>
    <w:rsid w:val="6CEC1137"/>
    <w:rsid w:val="6CEC294A"/>
    <w:rsid w:val="6CF23902"/>
    <w:rsid w:val="6CF23F51"/>
    <w:rsid w:val="6CF33735"/>
    <w:rsid w:val="6CF739F8"/>
    <w:rsid w:val="6CFE3DFE"/>
    <w:rsid w:val="6D0559C0"/>
    <w:rsid w:val="6D0D1874"/>
    <w:rsid w:val="6D201287"/>
    <w:rsid w:val="6D2A2E3C"/>
    <w:rsid w:val="6D331C10"/>
    <w:rsid w:val="6D3E4550"/>
    <w:rsid w:val="6D4B673B"/>
    <w:rsid w:val="6D58316F"/>
    <w:rsid w:val="6D5B1B17"/>
    <w:rsid w:val="6D5C7E93"/>
    <w:rsid w:val="6D7C48D9"/>
    <w:rsid w:val="6D837A6B"/>
    <w:rsid w:val="6D8D471B"/>
    <w:rsid w:val="6D9A31AF"/>
    <w:rsid w:val="6DA2439B"/>
    <w:rsid w:val="6DA4572A"/>
    <w:rsid w:val="6DA61278"/>
    <w:rsid w:val="6DB10D65"/>
    <w:rsid w:val="6DC44499"/>
    <w:rsid w:val="6DC5642E"/>
    <w:rsid w:val="6DCC2744"/>
    <w:rsid w:val="6DCC7106"/>
    <w:rsid w:val="6DD0652B"/>
    <w:rsid w:val="6DDD0F4C"/>
    <w:rsid w:val="6DF02D11"/>
    <w:rsid w:val="6DF646D1"/>
    <w:rsid w:val="6DFF511C"/>
    <w:rsid w:val="6E012008"/>
    <w:rsid w:val="6E0D5F6A"/>
    <w:rsid w:val="6E12434B"/>
    <w:rsid w:val="6E1B2A45"/>
    <w:rsid w:val="6E1D7995"/>
    <w:rsid w:val="6E2A51AC"/>
    <w:rsid w:val="6E443CD7"/>
    <w:rsid w:val="6E695BDB"/>
    <w:rsid w:val="6E712D65"/>
    <w:rsid w:val="6E7F4DEC"/>
    <w:rsid w:val="6E8807A0"/>
    <w:rsid w:val="6E901E0F"/>
    <w:rsid w:val="6E9C0054"/>
    <w:rsid w:val="6E9E25C0"/>
    <w:rsid w:val="6EAA7AC5"/>
    <w:rsid w:val="6EB269D8"/>
    <w:rsid w:val="6EB600AC"/>
    <w:rsid w:val="6EB62AE8"/>
    <w:rsid w:val="6EB925AC"/>
    <w:rsid w:val="6EBE0BFC"/>
    <w:rsid w:val="6EC151A6"/>
    <w:rsid w:val="6ECD6FE0"/>
    <w:rsid w:val="6ED21D20"/>
    <w:rsid w:val="6ED24F66"/>
    <w:rsid w:val="6EE06794"/>
    <w:rsid w:val="6EE66BAA"/>
    <w:rsid w:val="6EE66E76"/>
    <w:rsid w:val="6EED6B4D"/>
    <w:rsid w:val="6F065FEF"/>
    <w:rsid w:val="6F181D9D"/>
    <w:rsid w:val="6F235279"/>
    <w:rsid w:val="6F2B42A3"/>
    <w:rsid w:val="6F3865CE"/>
    <w:rsid w:val="6F4C21C9"/>
    <w:rsid w:val="6F53364E"/>
    <w:rsid w:val="6F6A3B53"/>
    <w:rsid w:val="6F7279A2"/>
    <w:rsid w:val="6F811E42"/>
    <w:rsid w:val="6F8F0DF9"/>
    <w:rsid w:val="6FA054EF"/>
    <w:rsid w:val="6FA10B33"/>
    <w:rsid w:val="6FA47581"/>
    <w:rsid w:val="6FC80644"/>
    <w:rsid w:val="6FC84312"/>
    <w:rsid w:val="6FCA6558"/>
    <w:rsid w:val="6FD52029"/>
    <w:rsid w:val="6FD862E1"/>
    <w:rsid w:val="6FDF2472"/>
    <w:rsid w:val="6FE07854"/>
    <w:rsid w:val="6FE13686"/>
    <w:rsid w:val="6FE6767D"/>
    <w:rsid w:val="6FE824C7"/>
    <w:rsid w:val="6FF70137"/>
    <w:rsid w:val="6FFC1FA7"/>
    <w:rsid w:val="6FFC228A"/>
    <w:rsid w:val="6FFF198A"/>
    <w:rsid w:val="7014255E"/>
    <w:rsid w:val="70152337"/>
    <w:rsid w:val="70175CAC"/>
    <w:rsid w:val="701E14FE"/>
    <w:rsid w:val="702151A8"/>
    <w:rsid w:val="7031017D"/>
    <w:rsid w:val="703A6638"/>
    <w:rsid w:val="70465F6B"/>
    <w:rsid w:val="70622E8F"/>
    <w:rsid w:val="70635E14"/>
    <w:rsid w:val="706738E0"/>
    <w:rsid w:val="706B4852"/>
    <w:rsid w:val="70704441"/>
    <w:rsid w:val="70785B41"/>
    <w:rsid w:val="70863E07"/>
    <w:rsid w:val="70871756"/>
    <w:rsid w:val="70907913"/>
    <w:rsid w:val="70A47449"/>
    <w:rsid w:val="70A92069"/>
    <w:rsid w:val="70AF66B5"/>
    <w:rsid w:val="70B13C51"/>
    <w:rsid w:val="70D96C94"/>
    <w:rsid w:val="70DC6045"/>
    <w:rsid w:val="70E308EE"/>
    <w:rsid w:val="70F645EB"/>
    <w:rsid w:val="71150E3B"/>
    <w:rsid w:val="711558FA"/>
    <w:rsid w:val="711C4313"/>
    <w:rsid w:val="71286B1C"/>
    <w:rsid w:val="712C6C0B"/>
    <w:rsid w:val="713E411F"/>
    <w:rsid w:val="714333C7"/>
    <w:rsid w:val="714C3BDE"/>
    <w:rsid w:val="714E032A"/>
    <w:rsid w:val="71502C18"/>
    <w:rsid w:val="7158313C"/>
    <w:rsid w:val="7159744B"/>
    <w:rsid w:val="716A518C"/>
    <w:rsid w:val="71852CFD"/>
    <w:rsid w:val="71900970"/>
    <w:rsid w:val="719978E3"/>
    <w:rsid w:val="71997B68"/>
    <w:rsid w:val="719A7175"/>
    <w:rsid w:val="719F556D"/>
    <w:rsid w:val="71B53266"/>
    <w:rsid w:val="71B95053"/>
    <w:rsid w:val="71BE5983"/>
    <w:rsid w:val="71D05A87"/>
    <w:rsid w:val="71E5291A"/>
    <w:rsid w:val="71FF6314"/>
    <w:rsid w:val="72035651"/>
    <w:rsid w:val="721775E0"/>
    <w:rsid w:val="721B5781"/>
    <w:rsid w:val="72213B22"/>
    <w:rsid w:val="72256AA4"/>
    <w:rsid w:val="723B4C62"/>
    <w:rsid w:val="72404763"/>
    <w:rsid w:val="724375B8"/>
    <w:rsid w:val="724F3A5F"/>
    <w:rsid w:val="72514892"/>
    <w:rsid w:val="72556331"/>
    <w:rsid w:val="725A3FB8"/>
    <w:rsid w:val="72754258"/>
    <w:rsid w:val="727F4C9F"/>
    <w:rsid w:val="72816119"/>
    <w:rsid w:val="72876A2D"/>
    <w:rsid w:val="72955E51"/>
    <w:rsid w:val="72B7586B"/>
    <w:rsid w:val="72BD7A32"/>
    <w:rsid w:val="72C80408"/>
    <w:rsid w:val="72CB7876"/>
    <w:rsid w:val="72CE1C45"/>
    <w:rsid w:val="72CF410F"/>
    <w:rsid w:val="72D40328"/>
    <w:rsid w:val="72E41644"/>
    <w:rsid w:val="72F7056D"/>
    <w:rsid w:val="72FC4C0D"/>
    <w:rsid w:val="73010E2E"/>
    <w:rsid w:val="731052D4"/>
    <w:rsid w:val="732C1710"/>
    <w:rsid w:val="73311E40"/>
    <w:rsid w:val="73351CBE"/>
    <w:rsid w:val="733E4294"/>
    <w:rsid w:val="73427030"/>
    <w:rsid w:val="734D4427"/>
    <w:rsid w:val="73523587"/>
    <w:rsid w:val="736F1674"/>
    <w:rsid w:val="73793984"/>
    <w:rsid w:val="737C100A"/>
    <w:rsid w:val="737C78D5"/>
    <w:rsid w:val="737D69CE"/>
    <w:rsid w:val="73815342"/>
    <w:rsid w:val="73873A47"/>
    <w:rsid w:val="739A6031"/>
    <w:rsid w:val="73AB79CE"/>
    <w:rsid w:val="73B02BD1"/>
    <w:rsid w:val="73BA5752"/>
    <w:rsid w:val="73CB2D9D"/>
    <w:rsid w:val="73D22747"/>
    <w:rsid w:val="73EA0D3A"/>
    <w:rsid w:val="73EC232B"/>
    <w:rsid w:val="74064B2B"/>
    <w:rsid w:val="740C3A61"/>
    <w:rsid w:val="740F06A1"/>
    <w:rsid w:val="741622EE"/>
    <w:rsid w:val="741D5FB8"/>
    <w:rsid w:val="7420032F"/>
    <w:rsid w:val="742645FB"/>
    <w:rsid w:val="743E1BA0"/>
    <w:rsid w:val="744C0418"/>
    <w:rsid w:val="74582192"/>
    <w:rsid w:val="745D743D"/>
    <w:rsid w:val="74634609"/>
    <w:rsid w:val="746A26E7"/>
    <w:rsid w:val="746F19DF"/>
    <w:rsid w:val="748603D9"/>
    <w:rsid w:val="748E2B68"/>
    <w:rsid w:val="749F594D"/>
    <w:rsid w:val="74C3107B"/>
    <w:rsid w:val="74CF7BC9"/>
    <w:rsid w:val="74F666F1"/>
    <w:rsid w:val="74FA2D76"/>
    <w:rsid w:val="751D6BFA"/>
    <w:rsid w:val="751E2CEF"/>
    <w:rsid w:val="75222556"/>
    <w:rsid w:val="75267743"/>
    <w:rsid w:val="752C1F57"/>
    <w:rsid w:val="754F5996"/>
    <w:rsid w:val="75556324"/>
    <w:rsid w:val="75584126"/>
    <w:rsid w:val="755F606D"/>
    <w:rsid w:val="757600CE"/>
    <w:rsid w:val="757A79CC"/>
    <w:rsid w:val="75802C86"/>
    <w:rsid w:val="758C14FE"/>
    <w:rsid w:val="758C688C"/>
    <w:rsid w:val="75A43E0A"/>
    <w:rsid w:val="75A83179"/>
    <w:rsid w:val="75AB2E4F"/>
    <w:rsid w:val="75AF569C"/>
    <w:rsid w:val="75BB0461"/>
    <w:rsid w:val="75C02DFE"/>
    <w:rsid w:val="75C45BFF"/>
    <w:rsid w:val="75CC38F0"/>
    <w:rsid w:val="75D72A5B"/>
    <w:rsid w:val="75D824C3"/>
    <w:rsid w:val="75DD72EB"/>
    <w:rsid w:val="75DE749D"/>
    <w:rsid w:val="75E67B1E"/>
    <w:rsid w:val="75EB5CB7"/>
    <w:rsid w:val="75ED63E9"/>
    <w:rsid w:val="76017DCE"/>
    <w:rsid w:val="76161B99"/>
    <w:rsid w:val="76226641"/>
    <w:rsid w:val="763440A7"/>
    <w:rsid w:val="7634769B"/>
    <w:rsid w:val="76427FB3"/>
    <w:rsid w:val="76476C13"/>
    <w:rsid w:val="7668109F"/>
    <w:rsid w:val="76712F80"/>
    <w:rsid w:val="76731C3C"/>
    <w:rsid w:val="76751F2B"/>
    <w:rsid w:val="767D03B4"/>
    <w:rsid w:val="76984C91"/>
    <w:rsid w:val="769D215A"/>
    <w:rsid w:val="76A05BF4"/>
    <w:rsid w:val="76A20E9F"/>
    <w:rsid w:val="76A92DB6"/>
    <w:rsid w:val="76C94FEF"/>
    <w:rsid w:val="76D04A99"/>
    <w:rsid w:val="7706286C"/>
    <w:rsid w:val="7713180C"/>
    <w:rsid w:val="77155F9A"/>
    <w:rsid w:val="771A786E"/>
    <w:rsid w:val="771D1184"/>
    <w:rsid w:val="7720788B"/>
    <w:rsid w:val="77270CEE"/>
    <w:rsid w:val="77467C70"/>
    <w:rsid w:val="77502B5C"/>
    <w:rsid w:val="77504ED9"/>
    <w:rsid w:val="77767B29"/>
    <w:rsid w:val="77866F48"/>
    <w:rsid w:val="77881196"/>
    <w:rsid w:val="778925D9"/>
    <w:rsid w:val="779613BC"/>
    <w:rsid w:val="77B86BF8"/>
    <w:rsid w:val="77CA6AE8"/>
    <w:rsid w:val="77D83625"/>
    <w:rsid w:val="77DC1B80"/>
    <w:rsid w:val="77F32FFC"/>
    <w:rsid w:val="78000C02"/>
    <w:rsid w:val="78011453"/>
    <w:rsid w:val="78181CEF"/>
    <w:rsid w:val="78247EA7"/>
    <w:rsid w:val="78323765"/>
    <w:rsid w:val="783B5B4B"/>
    <w:rsid w:val="78410F0D"/>
    <w:rsid w:val="7841443E"/>
    <w:rsid w:val="784155A1"/>
    <w:rsid w:val="784213C6"/>
    <w:rsid w:val="784616B8"/>
    <w:rsid w:val="78490DEE"/>
    <w:rsid w:val="78496C6A"/>
    <w:rsid w:val="784C420E"/>
    <w:rsid w:val="78544C53"/>
    <w:rsid w:val="78701594"/>
    <w:rsid w:val="78737DA2"/>
    <w:rsid w:val="78793FB6"/>
    <w:rsid w:val="78867281"/>
    <w:rsid w:val="788E4F7A"/>
    <w:rsid w:val="78A10A47"/>
    <w:rsid w:val="78B72354"/>
    <w:rsid w:val="78B742EB"/>
    <w:rsid w:val="78BE6BCD"/>
    <w:rsid w:val="78CD22CE"/>
    <w:rsid w:val="78D15018"/>
    <w:rsid w:val="78DB0655"/>
    <w:rsid w:val="78DC4674"/>
    <w:rsid w:val="78DF6517"/>
    <w:rsid w:val="78E9565C"/>
    <w:rsid w:val="79034D12"/>
    <w:rsid w:val="79185978"/>
    <w:rsid w:val="791E5C05"/>
    <w:rsid w:val="7928792B"/>
    <w:rsid w:val="793B7903"/>
    <w:rsid w:val="79460F09"/>
    <w:rsid w:val="794B7083"/>
    <w:rsid w:val="796534DC"/>
    <w:rsid w:val="79674FAC"/>
    <w:rsid w:val="79684157"/>
    <w:rsid w:val="796D3CE8"/>
    <w:rsid w:val="797572B9"/>
    <w:rsid w:val="798948A0"/>
    <w:rsid w:val="7997682F"/>
    <w:rsid w:val="799C3CC6"/>
    <w:rsid w:val="79B61365"/>
    <w:rsid w:val="79B96153"/>
    <w:rsid w:val="79CC194F"/>
    <w:rsid w:val="79F3642F"/>
    <w:rsid w:val="7A0D756F"/>
    <w:rsid w:val="7A106FE1"/>
    <w:rsid w:val="7A49023D"/>
    <w:rsid w:val="7A4A3C70"/>
    <w:rsid w:val="7A5A2142"/>
    <w:rsid w:val="7A6F1F5A"/>
    <w:rsid w:val="7A76326F"/>
    <w:rsid w:val="7A8253E2"/>
    <w:rsid w:val="7A83205A"/>
    <w:rsid w:val="7A835818"/>
    <w:rsid w:val="7A837BE7"/>
    <w:rsid w:val="7A883DFD"/>
    <w:rsid w:val="7A9163C1"/>
    <w:rsid w:val="7AAA4A36"/>
    <w:rsid w:val="7AAC28A6"/>
    <w:rsid w:val="7AB27FC1"/>
    <w:rsid w:val="7ACC65AC"/>
    <w:rsid w:val="7ACD25E3"/>
    <w:rsid w:val="7AD11BB4"/>
    <w:rsid w:val="7ADB5B96"/>
    <w:rsid w:val="7AE808DE"/>
    <w:rsid w:val="7AED3989"/>
    <w:rsid w:val="7AF97C10"/>
    <w:rsid w:val="7AFC5E63"/>
    <w:rsid w:val="7AFF44C8"/>
    <w:rsid w:val="7B02494F"/>
    <w:rsid w:val="7B0B297B"/>
    <w:rsid w:val="7B1948B1"/>
    <w:rsid w:val="7B211B0D"/>
    <w:rsid w:val="7B2E6A17"/>
    <w:rsid w:val="7B325DCD"/>
    <w:rsid w:val="7B390021"/>
    <w:rsid w:val="7B3D3646"/>
    <w:rsid w:val="7B6B1BA7"/>
    <w:rsid w:val="7B70592A"/>
    <w:rsid w:val="7B81599F"/>
    <w:rsid w:val="7B8716FF"/>
    <w:rsid w:val="7B881327"/>
    <w:rsid w:val="7B94741F"/>
    <w:rsid w:val="7B9639E2"/>
    <w:rsid w:val="7BA22012"/>
    <w:rsid w:val="7BC22C77"/>
    <w:rsid w:val="7BC6204D"/>
    <w:rsid w:val="7BF30832"/>
    <w:rsid w:val="7BFD0638"/>
    <w:rsid w:val="7C0B28F5"/>
    <w:rsid w:val="7C102CFC"/>
    <w:rsid w:val="7C1640B9"/>
    <w:rsid w:val="7C19711E"/>
    <w:rsid w:val="7C1C7FDF"/>
    <w:rsid w:val="7C2021AE"/>
    <w:rsid w:val="7C294DA3"/>
    <w:rsid w:val="7C297B7B"/>
    <w:rsid w:val="7C2A65E0"/>
    <w:rsid w:val="7C2D7612"/>
    <w:rsid w:val="7C353A58"/>
    <w:rsid w:val="7C5A783B"/>
    <w:rsid w:val="7C5F272E"/>
    <w:rsid w:val="7C626297"/>
    <w:rsid w:val="7C6D3C2C"/>
    <w:rsid w:val="7C7F5F4F"/>
    <w:rsid w:val="7C830697"/>
    <w:rsid w:val="7C835849"/>
    <w:rsid w:val="7C854E91"/>
    <w:rsid w:val="7C85534F"/>
    <w:rsid w:val="7C877190"/>
    <w:rsid w:val="7CA81342"/>
    <w:rsid w:val="7CB72A5B"/>
    <w:rsid w:val="7CBA50DB"/>
    <w:rsid w:val="7CBD1203"/>
    <w:rsid w:val="7CBF6866"/>
    <w:rsid w:val="7CD05A39"/>
    <w:rsid w:val="7CD92609"/>
    <w:rsid w:val="7CDF7E46"/>
    <w:rsid w:val="7CE26752"/>
    <w:rsid w:val="7CF7436D"/>
    <w:rsid w:val="7CFF29C7"/>
    <w:rsid w:val="7D0475D9"/>
    <w:rsid w:val="7D0666A3"/>
    <w:rsid w:val="7D0D7A83"/>
    <w:rsid w:val="7D150A4C"/>
    <w:rsid w:val="7D2539DD"/>
    <w:rsid w:val="7D3C1A03"/>
    <w:rsid w:val="7D4A0D82"/>
    <w:rsid w:val="7D5135AD"/>
    <w:rsid w:val="7D541054"/>
    <w:rsid w:val="7D57165F"/>
    <w:rsid w:val="7D57594E"/>
    <w:rsid w:val="7D59001A"/>
    <w:rsid w:val="7D6000EB"/>
    <w:rsid w:val="7D633ACE"/>
    <w:rsid w:val="7D674A92"/>
    <w:rsid w:val="7D6A51A2"/>
    <w:rsid w:val="7D6D0ED6"/>
    <w:rsid w:val="7D77395A"/>
    <w:rsid w:val="7D781988"/>
    <w:rsid w:val="7D7A2D61"/>
    <w:rsid w:val="7D8776DE"/>
    <w:rsid w:val="7D8C275D"/>
    <w:rsid w:val="7DA15785"/>
    <w:rsid w:val="7DA7291C"/>
    <w:rsid w:val="7DC4225F"/>
    <w:rsid w:val="7DE24AF3"/>
    <w:rsid w:val="7DE279FD"/>
    <w:rsid w:val="7DE71A39"/>
    <w:rsid w:val="7DFC55DA"/>
    <w:rsid w:val="7DFF1D34"/>
    <w:rsid w:val="7E0D2F31"/>
    <w:rsid w:val="7E3E60EE"/>
    <w:rsid w:val="7E4802CA"/>
    <w:rsid w:val="7E4C2D9B"/>
    <w:rsid w:val="7E60516D"/>
    <w:rsid w:val="7E6051FC"/>
    <w:rsid w:val="7E7E0938"/>
    <w:rsid w:val="7E7F2F4D"/>
    <w:rsid w:val="7E816E1E"/>
    <w:rsid w:val="7E8806EE"/>
    <w:rsid w:val="7E885D74"/>
    <w:rsid w:val="7E9056BC"/>
    <w:rsid w:val="7E9763E6"/>
    <w:rsid w:val="7E9B5030"/>
    <w:rsid w:val="7EB657EC"/>
    <w:rsid w:val="7EB94268"/>
    <w:rsid w:val="7ECB353E"/>
    <w:rsid w:val="7ECE15DA"/>
    <w:rsid w:val="7ECE34E5"/>
    <w:rsid w:val="7ED35E7B"/>
    <w:rsid w:val="7ED72892"/>
    <w:rsid w:val="7EE20724"/>
    <w:rsid w:val="7EE2367A"/>
    <w:rsid w:val="7EED5281"/>
    <w:rsid w:val="7EF738B9"/>
    <w:rsid w:val="7EF96296"/>
    <w:rsid w:val="7EFB0406"/>
    <w:rsid w:val="7F021615"/>
    <w:rsid w:val="7F04649C"/>
    <w:rsid w:val="7F087281"/>
    <w:rsid w:val="7F1A4150"/>
    <w:rsid w:val="7F1D4BD4"/>
    <w:rsid w:val="7F2116BD"/>
    <w:rsid w:val="7F2879FB"/>
    <w:rsid w:val="7F2B1F2B"/>
    <w:rsid w:val="7F3D21A0"/>
    <w:rsid w:val="7F556989"/>
    <w:rsid w:val="7F721EBB"/>
    <w:rsid w:val="7F740000"/>
    <w:rsid w:val="7F773EC5"/>
    <w:rsid w:val="7F7A405C"/>
    <w:rsid w:val="7F8F09A8"/>
    <w:rsid w:val="7F901560"/>
    <w:rsid w:val="7F9E0690"/>
    <w:rsid w:val="7F9E74CE"/>
    <w:rsid w:val="7FC16CA6"/>
    <w:rsid w:val="7FC315D0"/>
    <w:rsid w:val="7FC429FD"/>
    <w:rsid w:val="7FCB73B0"/>
    <w:rsid w:val="7FCC29E7"/>
    <w:rsid w:val="7FCF7426"/>
    <w:rsid w:val="7FD0007F"/>
    <w:rsid w:val="7FD81418"/>
    <w:rsid w:val="7FD9666D"/>
    <w:rsid w:val="7FE5487E"/>
    <w:rsid w:val="7FE929F3"/>
    <w:rsid w:val="7FF20755"/>
    <w:rsid w:val="7FF41362"/>
    <w:rsid w:val="7FF46ED3"/>
    <w:rsid w:val="7FF61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2">
    <w:name w:val="heading 1"/>
    <w:basedOn w:val="1"/>
    <w:next w:val="1"/>
    <w:autoRedefine/>
    <w:qFormat/>
    <w:uiPriority w:val="0"/>
    <w:pPr>
      <w:spacing w:before="100" w:beforeAutospacing="1" w:after="100" w:afterAutospacing="1"/>
      <w:jc w:val="left"/>
      <w:outlineLvl w:val="0"/>
    </w:pPr>
    <w:rPr>
      <w:rFonts w:hint="eastAsia" w:hAnsi="宋体"/>
      <w:b/>
      <w:kern w:val="44"/>
      <w:sz w:val="48"/>
      <w:szCs w:val="48"/>
    </w:rPr>
  </w:style>
  <w:style w:type="paragraph" w:styleId="3">
    <w:name w:val="heading 2"/>
    <w:basedOn w:val="1"/>
    <w:next w:val="1"/>
    <w:autoRedefine/>
    <w:qFormat/>
    <w:uiPriority w:val="0"/>
    <w:pPr>
      <w:keepNext/>
      <w:keepLines/>
      <w:widowControl/>
      <w:tabs>
        <w:tab w:val="left" w:pos="720"/>
      </w:tabs>
      <w:jc w:val="center"/>
      <w:outlineLvl w:val="1"/>
    </w:pPr>
    <w:rPr>
      <w:rFonts w:hAnsi="宋体"/>
      <w:b/>
      <w:color w:val="000000"/>
      <w:sz w:val="30"/>
      <w:szCs w:val="30"/>
    </w:rPr>
  </w:style>
  <w:style w:type="paragraph" w:styleId="4">
    <w:name w:val="heading 3"/>
    <w:basedOn w:val="1"/>
    <w:next w:val="5"/>
    <w:autoRedefine/>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9"/>
    <w:pPr>
      <w:keepNext/>
      <w:keepLines/>
      <w:jc w:val="left"/>
      <w:outlineLvl w:val="3"/>
    </w:pPr>
    <w:rPr>
      <w:rFonts w:hint="eastAsia" w:ascii="Arial" w:hAnsi="Arial"/>
      <w:b/>
      <w:sz w:val="32"/>
    </w:rPr>
  </w:style>
  <w:style w:type="paragraph" w:styleId="7">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customStyle="1" w:styleId="5">
    <w:name w:val="正文陈思"/>
    <w:basedOn w:val="1"/>
    <w:autoRedefine/>
    <w:qFormat/>
    <w:uiPriority w:val="0"/>
    <w:pPr>
      <w:ind w:firstLine="200" w:firstLineChars="200"/>
      <w:jc w:val="both"/>
    </w:pPr>
    <w:rPr>
      <w:rFonts w:ascii="宋体" w:hAnsi="宋体"/>
    </w:rPr>
  </w:style>
  <w:style w:type="paragraph" w:styleId="8">
    <w:name w:val="Normal Indent"/>
    <w:basedOn w:val="1"/>
    <w:link w:val="43"/>
    <w:autoRedefine/>
    <w:qFormat/>
    <w:uiPriority w:val="0"/>
    <w:pPr>
      <w:adjustRightInd/>
      <w:spacing w:line="240" w:lineRule="auto"/>
      <w:ind w:firstLine="420"/>
      <w:textAlignment w:val="auto"/>
    </w:pPr>
    <w:rPr>
      <w:rFonts w:ascii="Times New Roman" w:hAnsi="Times New Roman"/>
      <w:sz w:val="20"/>
      <w:szCs w:val="20"/>
    </w:rPr>
  </w:style>
  <w:style w:type="paragraph" w:styleId="9">
    <w:name w:val="annotation text"/>
    <w:basedOn w:val="1"/>
    <w:qFormat/>
    <w:uiPriority w:val="0"/>
    <w:pPr>
      <w:jc w:val="left"/>
    </w:pPr>
  </w:style>
  <w:style w:type="paragraph" w:styleId="10">
    <w:name w:val="Body Text"/>
    <w:basedOn w:val="1"/>
    <w:link w:val="44"/>
    <w:autoRedefine/>
    <w:qFormat/>
    <w:uiPriority w:val="0"/>
    <w:pPr>
      <w:spacing w:after="120"/>
    </w:pPr>
    <w:rPr>
      <w:sz w:val="20"/>
    </w:rPr>
  </w:style>
  <w:style w:type="paragraph" w:styleId="11">
    <w:name w:val="Body Text Indent"/>
    <w:basedOn w:val="1"/>
    <w:next w:val="12"/>
    <w:autoRedefine/>
    <w:qFormat/>
    <w:uiPriority w:val="0"/>
    <w:pPr>
      <w:spacing w:after="120"/>
      <w:ind w:left="420" w:leftChars="200"/>
    </w:pPr>
    <w:rPr>
      <w:rFonts w:ascii="Times New Roman" w:hAnsi="Times New Roman"/>
      <w:szCs w:val="24"/>
    </w:rPr>
  </w:style>
  <w:style w:type="paragraph" w:styleId="12">
    <w:name w:val="Body Text First Indent 2"/>
    <w:basedOn w:val="11"/>
    <w:next w:val="1"/>
    <w:autoRedefine/>
    <w:unhideWhenUsed/>
    <w:qFormat/>
    <w:uiPriority w:val="99"/>
    <w:pPr>
      <w:tabs>
        <w:tab w:val="left" w:pos="1050"/>
      </w:tabs>
      <w:ind w:firstLine="420" w:firstLineChars="200"/>
    </w:pPr>
    <w:rPr>
      <w:sz w:val="21"/>
    </w:rPr>
  </w:style>
  <w:style w:type="paragraph" w:styleId="13">
    <w:name w:val="Block Text"/>
    <w:basedOn w:val="1"/>
    <w:next w:val="1"/>
    <w:autoRedefine/>
    <w:semiHidden/>
    <w:unhideWhenUsed/>
    <w:qFormat/>
    <w:uiPriority w:val="99"/>
    <w:pPr>
      <w:ind w:left="1440" w:leftChars="700" w:right="700" w:rightChars="700"/>
    </w:pPr>
  </w:style>
  <w:style w:type="paragraph" w:styleId="14">
    <w:name w:val="index 4"/>
    <w:basedOn w:val="1"/>
    <w:next w:val="1"/>
    <w:qFormat/>
    <w:uiPriority w:val="0"/>
    <w:pPr>
      <w:ind w:left="840" w:hanging="210"/>
      <w:jc w:val="left"/>
    </w:pPr>
    <w:rPr>
      <w:sz w:val="20"/>
      <w:szCs w:val="20"/>
    </w:rPr>
  </w:style>
  <w:style w:type="paragraph" w:styleId="15">
    <w:name w:val="Plain Text"/>
    <w:basedOn w:val="1"/>
    <w:autoRedefine/>
    <w:qFormat/>
    <w:uiPriority w:val="0"/>
    <w:pPr>
      <w:adjustRightInd/>
      <w:spacing w:line="240" w:lineRule="auto"/>
      <w:textAlignment w:val="auto"/>
    </w:pPr>
    <w:rPr>
      <w:rFonts w:hAnsi="Courier New" w:cs="Courier New"/>
      <w:kern w:val="2"/>
      <w:sz w:val="21"/>
      <w:szCs w:val="21"/>
    </w:rPr>
  </w:style>
  <w:style w:type="paragraph" w:styleId="16">
    <w:name w:val="Balloon Text"/>
    <w:basedOn w:val="1"/>
    <w:link w:val="45"/>
    <w:autoRedefine/>
    <w:qFormat/>
    <w:uiPriority w:val="0"/>
    <w:pPr>
      <w:spacing w:line="240" w:lineRule="auto"/>
    </w:pPr>
    <w:rPr>
      <w:sz w:val="18"/>
      <w:szCs w:val="18"/>
    </w:rPr>
  </w:style>
  <w:style w:type="paragraph" w:styleId="17">
    <w:name w:val="footer"/>
    <w:basedOn w:val="1"/>
    <w:link w:val="46"/>
    <w:autoRedefine/>
    <w:qFormat/>
    <w:uiPriority w:val="0"/>
    <w:pPr>
      <w:tabs>
        <w:tab w:val="center" w:pos="4153"/>
        <w:tab w:val="right" w:pos="8306"/>
      </w:tabs>
      <w:snapToGrid w:val="0"/>
      <w:jc w:val="left"/>
    </w:pPr>
    <w:rPr>
      <w:sz w:val="18"/>
      <w:szCs w:val="18"/>
    </w:rPr>
  </w:style>
  <w:style w:type="paragraph" w:styleId="18">
    <w:name w:val="header"/>
    <w:basedOn w:val="1"/>
    <w:link w:val="47"/>
    <w:autoRedefine/>
    <w:qFormat/>
    <w:uiPriority w:val="0"/>
    <w:pPr>
      <w:widowControl/>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0"/>
    <w:rPr>
      <w:rFonts w:ascii="Times New Roman"/>
      <w:kern w:val="2"/>
      <w:sz w:val="21"/>
      <w:szCs w:val="24"/>
    </w:rPr>
  </w:style>
  <w:style w:type="paragraph" w:styleId="20">
    <w:name w:val="Subtitle"/>
    <w:basedOn w:val="1"/>
    <w:next w:val="1"/>
    <w:autoRedefine/>
    <w:qFormat/>
    <w:uiPriority w:val="0"/>
    <w:pPr>
      <w:spacing w:before="240" w:after="60" w:line="312" w:lineRule="auto"/>
      <w:jc w:val="center"/>
      <w:outlineLvl w:val="1"/>
    </w:pPr>
    <w:rPr>
      <w:rFonts w:ascii="Arial" w:hAnsi="Arial" w:cs="Arial"/>
      <w:b/>
      <w:bCs/>
      <w:kern w:val="28"/>
      <w:sz w:val="32"/>
      <w:szCs w:val="32"/>
    </w:rPr>
  </w:style>
  <w:style w:type="paragraph" w:styleId="21">
    <w:name w:val="Body Text Indent 3"/>
    <w:basedOn w:val="1"/>
    <w:autoRedefine/>
    <w:qFormat/>
    <w:uiPriority w:val="0"/>
    <w:pPr>
      <w:autoSpaceDE w:val="0"/>
      <w:autoSpaceDN w:val="0"/>
      <w:snapToGrid w:val="0"/>
      <w:spacing w:line="360" w:lineRule="auto"/>
      <w:ind w:firstLine="524" w:firstLineChars="187"/>
    </w:pPr>
    <w:rPr>
      <w:rFonts w:eastAsia="仿宋_GB2312"/>
      <w:color w:val="000000"/>
      <w:sz w:val="28"/>
      <w:szCs w:val="28"/>
      <w:lang w:val="zh-CN"/>
    </w:rPr>
  </w:style>
  <w:style w:type="paragraph" w:styleId="22">
    <w:name w:val="HTML Preformatted"/>
    <w:basedOn w:val="1"/>
    <w:link w:val="48"/>
    <w:autoRedefine/>
    <w:qFormat/>
    <w:uiPriority w:val="0"/>
    <w:rPr>
      <w:rFonts w:ascii="Courier New" w:hAnsi="Courier New"/>
      <w:sz w:val="20"/>
      <w:szCs w:val="20"/>
    </w:rPr>
  </w:style>
  <w:style w:type="paragraph" w:styleId="23">
    <w:name w:val="Normal (Web)"/>
    <w:basedOn w:val="1"/>
    <w:autoRedefine/>
    <w:qFormat/>
    <w:uiPriority w:val="0"/>
    <w:pPr>
      <w:widowControl/>
      <w:spacing w:before="100" w:beforeAutospacing="1" w:after="100" w:afterAutospacing="1"/>
      <w:jc w:val="left"/>
    </w:pPr>
    <w:rPr>
      <w:rFonts w:hAnsi="宋体"/>
      <w:sz w:val="24"/>
    </w:rPr>
  </w:style>
  <w:style w:type="paragraph" w:styleId="24">
    <w:name w:val="Title"/>
    <w:basedOn w:val="1"/>
    <w:next w:val="1"/>
    <w:autoRedefine/>
    <w:qFormat/>
    <w:uiPriority w:val="0"/>
    <w:pPr>
      <w:spacing w:before="240" w:after="60"/>
      <w:jc w:val="center"/>
      <w:outlineLvl w:val="0"/>
    </w:pPr>
    <w:rPr>
      <w:rFonts w:hint="eastAsia" w:ascii="Cambria" w:hAnsi="Cambria"/>
      <w:b/>
      <w:sz w:val="32"/>
      <w:szCs w:val="32"/>
    </w:rPr>
  </w:style>
  <w:style w:type="paragraph" w:styleId="25">
    <w:name w:val="Body Text First Indent"/>
    <w:basedOn w:val="10"/>
    <w:next w:val="12"/>
    <w:autoRedefine/>
    <w:qFormat/>
    <w:uiPriority w:val="0"/>
    <w:pPr>
      <w:ind w:firstLine="420" w:firstLineChars="100"/>
    </w:p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uiPriority w:val="0"/>
    <w:rPr>
      <w:rFonts w:cs="Times New Roman"/>
      <w:b/>
    </w:rPr>
  </w:style>
  <w:style w:type="character" w:styleId="30">
    <w:name w:val="page number"/>
    <w:basedOn w:val="28"/>
    <w:autoRedefine/>
    <w:qFormat/>
    <w:uiPriority w:val="0"/>
  </w:style>
  <w:style w:type="character" w:styleId="31">
    <w:name w:val="FollowedHyperlink"/>
    <w:basedOn w:val="28"/>
    <w:autoRedefine/>
    <w:qFormat/>
    <w:uiPriority w:val="0"/>
    <w:rPr>
      <w:color w:val="800080"/>
      <w:u w:val="none"/>
    </w:rPr>
  </w:style>
  <w:style w:type="character" w:styleId="32">
    <w:name w:val="HTML Definition"/>
    <w:basedOn w:val="28"/>
    <w:autoRedefine/>
    <w:qFormat/>
    <w:uiPriority w:val="0"/>
  </w:style>
  <w:style w:type="character" w:styleId="33">
    <w:name w:val="HTML Typewriter"/>
    <w:basedOn w:val="28"/>
    <w:autoRedefine/>
    <w:qFormat/>
    <w:uiPriority w:val="0"/>
    <w:rPr>
      <w:rFonts w:ascii="monospace" w:hAnsi="monospace" w:eastAsia="monospace" w:cs="monospace"/>
      <w:sz w:val="20"/>
    </w:rPr>
  </w:style>
  <w:style w:type="character" w:styleId="34">
    <w:name w:val="HTML Acronym"/>
    <w:basedOn w:val="28"/>
    <w:autoRedefine/>
    <w:qFormat/>
    <w:uiPriority w:val="0"/>
  </w:style>
  <w:style w:type="character" w:styleId="35">
    <w:name w:val="HTML Variable"/>
    <w:basedOn w:val="28"/>
    <w:autoRedefine/>
    <w:qFormat/>
    <w:uiPriority w:val="0"/>
  </w:style>
  <w:style w:type="character" w:styleId="36">
    <w:name w:val="Hyperlink"/>
    <w:basedOn w:val="28"/>
    <w:autoRedefine/>
    <w:qFormat/>
    <w:uiPriority w:val="0"/>
    <w:rPr>
      <w:rFonts w:cs="Times New Roman"/>
      <w:color w:val="0000FF"/>
      <w:u w:val="single"/>
    </w:rPr>
  </w:style>
  <w:style w:type="character" w:styleId="37">
    <w:name w:val="HTML Code"/>
    <w:basedOn w:val="28"/>
    <w:autoRedefine/>
    <w:qFormat/>
    <w:uiPriority w:val="0"/>
    <w:rPr>
      <w:rFonts w:hint="default" w:ascii="monospace" w:hAnsi="monospace" w:eastAsia="monospace" w:cs="monospace"/>
      <w:sz w:val="20"/>
    </w:rPr>
  </w:style>
  <w:style w:type="character" w:styleId="38">
    <w:name w:val="HTML Cite"/>
    <w:basedOn w:val="28"/>
    <w:autoRedefine/>
    <w:qFormat/>
    <w:uiPriority w:val="0"/>
  </w:style>
  <w:style w:type="character" w:styleId="39">
    <w:name w:val="HTML Keyboard"/>
    <w:basedOn w:val="28"/>
    <w:autoRedefine/>
    <w:qFormat/>
    <w:uiPriority w:val="0"/>
    <w:rPr>
      <w:rFonts w:hint="default" w:ascii="monospace" w:hAnsi="monospace" w:eastAsia="monospace" w:cs="monospace"/>
      <w:sz w:val="20"/>
    </w:rPr>
  </w:style>
  <w:style w:type="character" w:styleId="40">
    <w:name w:val="HTML Sample"/>
    <w:basedOn w:val="28"/>
    <w:autoRedefine/>
    <w:qFormat/>
    <w:uiPriority w:val="0"/>
    <w:rPr>
      <w:rFonts w:hint="default" w:ascii="monospace" w:hAnsi="monospace" w:eastAsia="monospace" w:cs="monospace"/>
    </w:rPr>
  </w:style>
  <w:style w:type="paragraph" w:customStyle="1" w:styleId="41">
    <w:name w:val="首行缩进"/>
    <w:basedOn w:val="1"/>
    <w:autoRedefine/>
    <w:qFormat/>
    <w:uiPriority w:val="0"/>
    <w:pPr>
      <w:spacing w:line="360" w:lineRule="auto"/>
      <w:ind w:firstLine="420" w:firstLineChars="200"/>
    </w:pPr>
    <w:rPr>
      <w:sz w:val="21"/>
    </w:rPr>
  </w:style>
  <w:style w:type="paragraph" w:customStyle="1" w:styleId="42">
    <w:name w:val="列出段落1"/>
    <w:basedOn w:val="1"/>
    <w:autoRedefine/>
    <w:qFormat/>
    <w:uiPriority w:val="0"/>
    <w:pPr>
      <w:adjustRightInd/>
      <w:spacing w:line="240" w:lineRule="auto"/>
      <w:ind w:firstLine="200" w:firstLineChars="200"/>
      <w:textAlignment w:val="auto"/>
    </w:pPr>
    <w:rPr>
      <w:rFonts w:ascii="Calibri"/>
      <w:kern w:val="2"/>
      <w:sz w:val="21"/>
      <w:szCs w:val="24"/>
    </w:rPr>
  </w:style>
  <w:style w:type="character" w:customStyle="1" w:styleId="43">
    <w:name w:val="正文缩进 Char"/>
    <w:link w:val="8"/>
    <w:autoRedefine/>
    <w:qFormat/>
    <w:locked/>
    <w:uiPriority w:val="0"/>
    <w:rPr>
      <w:rFonts w:eastAsia="宋体"/>
      <w:lang w:bidi="ar-SA"/>
    </w:rPr>
  </w:style>
  <w:style w:type="character" w:customStyle="1" w:styleId="44">
    <w:name w:val="正文文本 Char"/>
    <w:link w:val="10"/>
    <w:autoRedefine/>
    <w:semiHidden/>
    <w:qFormat/>
    <w:locked/>
    <w:uiPriority w:val="0"/>
    <w:rPr>
      <w:rFonts w:ascii="宋体" w:hAnsi="Calibri" w:eastAsia="宋体"/>
      <w:szCs w:val="22"/>
      <w:lang w:val="en-US" w:eastAsia="zh-CN" w:bidi="ar-SA"/>
    </w:rPr>
  </w:style>
  <w:style w:type="character" w:customStyle="1" w:styleId="45">
    <w:name w:val="批注框文本 Char"/>
    <w:link w:val="16"/>
    <w:autoRedefine/>
    <w:qFormat/>
    <w:uiPriority w:val="0"/>
    <w:rPr>
      <w:rFonts w:ascii="宋体" w:hAnsi="Calibri"/>
      <w:sz w:val="18"/>
      <w:szCs w:val="18"/>
    </w:rPr>
  </w:style>
  <w:style w:type="character" w:customStyle="1" w:styleId="46">
    <w:name w:val="页脚 Char"/>
    <w:link w:val="17"/>
    <w:autoRedefine/>
    <w:semiHidden/>
    <w:qFormat/>
    <w:locked/>
    <w:uiPriority w:val="0"/>
    <w:rPr>
      <w:rFonts w:ascii="宋体" w:hAnsi="Calibri" w:eastAsia="宋体"/>
      <w:sz w:val="18"/>
      <w:szCs w:val="18"/>
      <w:lang w:val="en-US" w:eastAsia="zh-CN" w:bidi="ar-SA"/>
    </w:rPr>
  </w:style>
  <w:style w:type="character" w:customStyle="1" w:styleId="47">
    <w:name w:val="页眉 Char"/>
    <w:link w:val="18"/>
    <w:autoRedefine/>
    <w:semiHidden/>
    <w:qFormat/>
    <w:locked/>
    <w:uiPriority w:val="0"/>
    <w:rPr>
      <w:rFonts w:ascii="宋体" w:hAnsi="Calibri" w:eastAsia="宋体"/>
      <w:sz w:val="18"/>
      <w:szCs w:val="18"/>
      <w:lang w:val="en-US" w:eastAsia="zh-CN" w:bidi="ar-SA"/>
    </w:rPr>
  </w:style>
  <w:style w:type="character" w:customStyle="1" w:styleId="48">
    <w:name w:val="HTML 预设格式 Char"/>
    <w:link w:val="22"/>
    <w:autoRedefine/>
    <w:qFormat/>
    <w:uiPriority w:val="0"/>
    <w:rPr>
      <w:rFonts w:ascii="Courier New" w:hAnsi="Courier New" w:cs="Courier New"/>
    </w:rPr>
  </w:style>
  <w:style w:type="character" w:customStyle="1" w:styleId="49">
    <w:name w:val="font101"/>
    <w:basedOn w:val="28"/>
    <w:autoRedefine/>
    <w:qFormat/>
    <w:uiPriority w:val="0"/>
    <w:rPr>
      <w:rFonts w:hint="eastAsia" w:ascii="宋体" w:hAnsi="宋体" w:eastAsia="宋体" w:cs="宋体"/>
      <w:color w:val="000000"/>
      <w:sz w:val="22"/>
      <w:szCs w:val="22"/>
      <w:u w:val="none"/>
    </w:rPr>
  </w:style>
  <w:style w:type="character" w:customStyle="1" w:styleId="50">
    <w:name w:val="Footer Char"/>
    <w:autoRedefine/>
    <w:qFormat/>
    <w:locked/>
    <w:uiPriority w:val="0"/>
    <w:rPr>
      <w:rFonts w:ascii="Calibri" w:hAnsi="Calibri" w:eastAsia="宋体"/>
      <w:kern w:val="2"/>
      <w:sz w:val="18"/>
      <w:szCs w:val="18"/>
      <w:lang w:val="en-US" w:eastAsia="zh-CN" w:bidi="ar-SA"/>
    </w:rPr>
  </w:style>
  <w:style w:type="character" w:customStyle="1" w:styleId="51">
    <w:name w:val="font01"/>
    <w:basedOn w:val="28"/>
    <w:autoRedefine/>
    <w:qFormat/>
    <w:uiPriority w:val="0"/>
    <w:rPr>
      <w:rFonts w:hint="default" w:ascii="Calibri" w:hAnsi="Calibri" w:cs="Calibri"/>
      <w:color w:val="000000"/>
      <w:sz w:val="22"/>
      <w:szCs w:val="22"/>
      <w:u w:val="none"/>
    </w:rPr>
  </w:style>
  <w:style w:type="character" w:customStyle="1" w:styleId="52">
    <w:name w:val="Header Char"/>
    <w:autoRedefine/>
    <w:qFormat/>
    <w:locked/>
    <w:uiPriority w:val="0"/>
    <w:rPr>
      <w:rFonts w:ascii="Calibri" w:hAnsi="Calibri" w:eastAsia="宋体"/>
      <w:kern w:val="2"/>
      <w:sz w:val="18"/>
      <w:szCs w:val="18"/>
      <w:lang w:val="en-US" w:eastAsia="zh-CN" w:bidi="ar-SA"/>
    </w:rPr>
  </w:style>
  <w:style w:type="character" w:customStyle="1" w:styleId="53">
    <w:name w:val="18"/>
    <w:basedOn w:val="28"/>
    <w:autoRedefine/>
    <w:qFormat/>
    <w:uiPriority w:val="0"/>
    <w:rPr>
      <w:rFonts w:hint="default" w:ascii="Times New Roman" w:hAnsi="Times New Roman" w:cs="Times New Roman"/>
      <w:b/>
    </w:rPr>
  </w:style>
  <w:style w:type="character" w:customStyle="1" w:styleId="54">
    <w:name w:val="正文标准 Char"/>
    <w:link w:val="55"/>
    <w:autoRedefine/>
    <w:qFormat/>
    <w:uiPriority w:val="0"/>
    <w:rPr>
      <w:rFonts w:ascii="Calibri"/>
      <w:kern w:val="2"/>
      <w:sz w:val="21"/>
      <w:szCs w:val="24"/>
    </w:rPr>
  </w:style>
  <w:style w:type="paragraph" w:customStyle="1" w:styleId="55">
    <w:name w:val="正文标准"/>
    <w:basedOn w:val="1"/>
    <w:link w:val="54"/>
    <w:autoRedefine/>
    <w:qFormat/>
    <w:uiPriority w:val="0"/>
    <w:pPr>
      <w:adjustRightInd/>
      <w:spacing w:line="240" w:lineRule="auto"/>
      <w:ind w:firstLine="200" w:firstLineChars="200"/>
      <w:jc w:val="left"/>
      <w:textAlignment w:val="auto"/>
    </w:pPr>
    <w:rPr>
      <w:rFonts w:ascii="Calibri" w:hAnsi="Times New Roman"/>
      <w:kern w:val="2"/>
      <w:sz w:val="21"/>
      <w:szCs w:val="24"/>
    </w:rPr>
  </w:style>
  <w:style w:type="character" w:customStyle="1" w:styleId="56">
    <w:name w:val="font11"/>
    <w:basedOn w:val="28"/>
    <w:autoRedefine/>
    <w:qFormat/>
    <w:uiPriority w:val="0"/>
    <w:rPr>
      <w:rFonts w:hint="eastAsia" w:ascii="宋体" w:hAnsi="宋体" w:eastAsia="宋体" w:cs="宋体"/>
      <w:color w:val="000000"/>
      <w:sz w:val="22"/>
      <w:szCs w:val="22"/>
      <w:u w:val="none"/>
    </w:rPr>
  </w:style>
  <w:style w:type="character" w:customStyle="1" w:styleId="57">
    <w:name w:val="样式 正文缩进 + 首行缩进:  2 字符 Char Char"/>
    <w:link w:val="58"/>
    <w:autoRedefine/>
    <w:qFormat/>
    <w:locked/>
    <w:uiPriority w:val="0"/>
    <w:rPr>
      <w:rFonts w:eastAsia="宋体"/>
      <w:sz w:val="24"/>
      <w:lang w:bidi="ar-SA"/>
    </w:rPr>
  </w:style>
  <w:style w:type="paragraph" w:customStyle="1" w:styleId="58">
    <w:name w:val="样式 正文缩进 + 首行缩进:  2 字符"/>
    <w:basedOn w:val="8"/>
    <w:link w:val="57"/>
    <w:autoRedefine/>
    <w:qFormat/>
    <w:uiPriority w:val="0"/>
    <w:pPr>
      <w:spacing w:line="360" w:lineRule="auto"/>
      <w:ind w:firstLine="480" w:firstLineChars="200"/>
    </w:pPr>
    <w:rPr>
      <w:sz w:val="24"/>
    </w:rPr>
  </w:style>
  <w:style w:type="character" w:customStyle="1" w:styleId="59">
    <w:name w:val="font61"/>
    <w:basedOn w:val="28"/>
    <w:autoRedefine/>
    <w:qFormat/>
    <w:uiPriority w:val="0"/>
    <w:rPr>
      <w:rFonts w:hint="eastAsia" w:ascii="宋体" w:hAnsi="宋体" w:eastAsia="宋体" w:cs="宋体"/>
      <w:color w:val="000000"/>
      <w:sz w:val="22"/>
      <w:szCs w:val="22"/>
      <w:u w:val="none"/>
    </w:rPr>
  </w:style>
  <w:style w:type="character" w:customStyle="1" w:styleId="60">
    <w:name w:val="font21"/>
    <w:basedOn w:val="28"/>
    <w:autoRedefine/>
    <w:qFormat/>
    <w:uiPriority w:val="0"/>
    <w:rPr>
      <w:rFonts w:hint="eastAsia" w:ascii="宋体" w:hAnsi="宋体" w:eastAsia="宋体" w:cs="宋体"/>
      <w:color w:val="000000"/>
      <w:sz w:val="22"/>
      <w:szCs w:val="22"/>
      <w:u w:val="none"/>
    </w:rPr>
  </w:style>
  <w:style w:type="character" w:customStyle="1" w:styleId="61">
    <w:name w:val="15"/>
    <w:basedOn w:val="28"/>
    <w:autoRedefine/>
    <w:qFormat/>
    <w:uiPriority w:val="0"/>
    <w:rPr>
      <w:rFonts w:hint="default" w:ascii="Times New Roman" w:hAnsi="Times New Roman" w:cs="Times New Roman"/>
      <w:b/>
    </w:rPr>
  </w:style>
  <w:style w:type="character" w:customStyle="1" w:styleId="62">
    <w:name w:val="17"/>
    <w:basedOn w:val="28"/>
    <w:autoRedefine/>
    <w:qFormat/>
    <w:uiPriority w:val="0"/>
    <w:rPr>
      <w:rFonts w:hint="default" w:ascii="Times New Roman" w:hAnsi="Times New Roman" w:cs="Times New Roman"/>
      <w:b/>
    </w:rPr>
  </w:style>
  <w:style w:type="character" w:customStyle="1" w:styleId="63">
    <w:name w:val="22"/>
    <w:basedOn w:val="28"/>
    <w:autoRedefine/>
    <w:qFormat/>
    <w:uiPriority w:val="0"/>
    <w:rPr>
      <w:rFonts w:hint="default" w:ascii="Times New Roman" w:hAnsi="Times New Roman" w:cs="Times New Roman"/>
      <w:b/>
    </w:rPr>
  </w:style>
  <w:style w:type="character" w:customStyle="1" w:styleId="64">
    <w:name w:val="font51"/>
    <w:basedOn w:val="28"/>
    <w:autoRedefine/>
    <w:qFormat/>
    <w:uiPriority w:val="0"/>
    <w:rPr>
      <w:rFonts w:hint="default" w:ascii="Calibri" w:hAnsi="Calibri" w:cs="Calibri"/>
      <w:color w:val="000000"/>
      <w:sz w:val="22"/>
      <w:szCs w:val="22"/>
      <w:u w:val="none"/>
    </w:rPr>
  </w:style>
  <w:style w:type="character" w:customStyle="1" w:styleId="65">
    <w:name w:val="23"/>
    <w:basedOn w:val="28"/>
    <w:autoRedefine/>
    <w:qFormat/>
    <w:uiPriority w:val="0"/>
    <w:rPr>
      <w:rFonts w:hint="default" w:ascii="Times New Roman" w:hAnsi="Times New Roman" w:cs="Times New Roman"/>
      <w:b/>
    </w:rPr>
  </w:style>
  <w:style w:type="character" w:customStyle="1" w:styleId="66">
    <w:name w:val="21"/>
    <w:basedOn w:val="28"/>
    <w:autoRedefine/>
    <w:qFormat/>
    <w:uiPriority w:val="0"/>
    <w:rPr>
      <w:rFonts w:hint="default" w:ascii="Times New Roman" w:hAnsi="Times New Roman" w:cs="Times New Roman"/>
      <w:b/>
    </w:rPr>
  </w:style>
  <w:style w:type="paragraph" w:customStyle="1" w:styleId="67">
    <w:name w:val="普通(网站) Char"/>
    <w:basedOn w:val="1"/>
    <w:autoRedefine/>
    <w:qFormat/>
    <w:uiPriority w:val="0"/>
    <w:pPr>
      <w:spacing w:before="100" w:beforeAutospacing="1" w:after="100" w:afterAutospacing="1"/>
      <w:jc w:val="left"/>
    </w:pPr>
    <w:rPr>
      <w:rFonts w:hint="eastAsia" w:hAnsi="宋体"/>
      <w:sz w:val="24"/>
      <w:szCs w:val="24"/>
    </w:rPr>
  </w:style>
  <w:style w:type="paragraph" w:customStyle="1" w:styleId="68">
    <w:name w:val="正文缩进1"/>
    <w:basedOn w:val="1"/>
    <w:autoRedefine/>
    <w:qFormat/>
    <w:uiPriority w:val="0"/>
    <w:pPr>
      <w:ind w:firstLine="420" w:firstLineChars="200"/>
    </w:pPr>
  </w:style>
  <w:style w:type="paragraph" w:customStyle="1" w:styleId="69">
    <w:name w:val="招标文件正文"/>
    <w:basedOn w:val="1"/>
    <w:autoRedefine/>
    <w:qFormat/>
    <w:uiPriority w:val="0"/>
    <w:pPr>
      <w:spacing w:line="300" w:lineRule="auto"/>
      <w:ind w:firstLine="200" w:firstLineChars="200"/>
      <w:jc w:val="left"/>
    </w:pPr>
    <w:rPr>
      <w:sz w:val="32"/>
      <w:szCs w:val="32"/>
    </w:rPr>
  </w:style>
  <w:style w:type="paragraph" w:customStyle="1" w:styleId="70">
    <w:name w:val="表注1"/>
    <w:basedOn w:val="1"/>
    <w:autoRedefine/>
    <w:qFormat/>
    <w:uiPriority w:val="0"/>
    <w:pPr>
      <w:snapToGrid w:val="0"/>
      <w:spacing w:beforeLines="50" w:line="300" w:lineRule="auto"/>
      <w:ind w:left="350" w:hanging="350" w:hangingChars="350"/>
    </w:pPr>
    <w:rPr>
      <w:rFonts w:eastAsia="仿宋_GB2312"/>
      <w:bCs/>
      <w:color w:val="000000"/>
      <w:szCs w:val="24"/>
    </w:rPr>
  </w:style>
  <w:style w:type="paragraph" w:customStyle="1" w:styleId="71">
    <w:name w:val="表格文字中"/>
    <w:basedOn w:val="1"/>
    <w:autoRedefine/>
    <w:qFormat/>
    <w:uiPriority w:val="0"/>
    <w:pPr>
      <w:snapToGrid w:val="0"/>
      <w:ind w:left="22" w:leftChars="8"/>
      <w:jc w:val="center"/>
    </w:pPr>
    <w:rPr>
      <w:szCs w:val="24"/>
    </w:rPr>
  </w:style>
  <w:style w:type="paragraph" w:customStyle="1" w:styleId="72">
    <w:name w:val="列出段落2"/>
    <w:basedOn w:val="1"/>
    <w:autoRedefine/>
    <w:qFormat/>
    <w:uiPriority w:val="0"/>
    <w:pPr>
      <w:adjustRightInd/>
      <w:spacing w:line="240" w:lineRule="auto"/>
      <w:ind w:firstLine="420" w:firstLineChars="200"/>
      <w:textAlignment w:val="auto"/>
    </w:pPr>
    <w:rPr>
      <w:rFonts w:ascii="Calibri"/>
      <w:kern w:val="2"/>
      <w:sz w:val="21"/>
    </w:rPr>
  </w:style>
  <w:style w:type="paragraph" w:customStyle="1" w:styleId="73">
    <w:name w:val="title12"/>
    <w:basedOn w:val="1"/>
    <w:autoRedefine/>
    <w:qFormat/>
    <w:uiPriority w:val="0"/>
    <w:pPr>
      <w:spacing w:before="150"/>
      <w:jc w:val="left"/>
    </w:pPr>
    <w:rPr>
      <w:rFonts w:hint="eastAsia" w:hAnsi="宋体"/>
      <w:b/>
      <w:sz w:val="22"/>
    </w:rPr>
  </w:style>
  <w:style w:type="paragraph" w:customStyle="1" w:styleId="74">
    <w:name w:val="title1"/>
    <w:basedOn w:val="1"/>
    <w:autoRedefine/>
    <w:qFormat/>
    <w:uiPriority w:val="0"/>
    <w:pPr>
      <w:spacing w:before="150"/>
      <w:jc w:val="left"/>
    </w:pPr>
    <w:rPr>
      <w:rFonts w:hint="eastAsia" w:hAnsi="宋体"/>
      <w:b/>
      <w:sz w:val="22"/>
    </w:rPr>
  </w:style>
  <w:style w:type="paragraph" w:customStyle="1" w:styleId="75">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Table Paragraph"/>
    <w:basedOn w:val="1"/>
    <w:autoRedefine/>
    <w:qFormat/>
    <w:uiPriority w:val="1"/>
    <w:pPr>
      <w:spacing w:before="106"/>
      <w:jc w:val="center"/>
    </w:pPr>
    <w:rPr>
      <w:rFonts w:ascii="Arial" w:hAnsi="Arial" w:eastAsia="Arial" w:cs="Arial"/>
      <w:lang w:val="zh-CN" w:bidi="zh-CN"/>
    </w:rPr>
  </w:style>
  <w:style w:type="paragraph" w:customStyle="1" w:styleId="77">
    <w:name w:val="样式 WG标题3 + 行距: 固定值 18 磅"/>
    <w:basedOn w:val="1"/>
    <w:autoRedefine/>
    <w:qFormat/>
    <w:uiPriority w:val="0"/>
    <w:pPr>
      <w:autoSpaceDE w:val="0"/>
      <w:autoSpaceDN w:val="0"/>
      <w:spacing w:line="360" w:lineRule="exact"/>
      <w:ind w:firstLine="200" w:firstLineChars="200"/>
      <w:outlineLvl w:val="2"/>
    </w:pPr>
    <w:rPr>
      <w:rFonts w:cs="宋体"/>
      <w:b/>
      <w:bCs/>
      <w:color w:val="000000"/>
      <w:kern w:val="20"/>
      <w:sz w:val="24"/>
    </w:rPr>
  </w:style>
  <w:style w:type="paragraph" w:customStyle="1" w:styleId="78">
    <w:name w:val="项目列表"/>
    <w:autoRedefine/>
    <w:qFormat/>
    <w:uiPriority w:val="0"/>
    <w:pPr>
      <w:tabs>
        <w:tab w:val="left" w:pos="0"/>
      </w:tabs>
      <w:spacing w:line="300" w:lineRule="auto"/>
    </w:pPr>
    <w:rPr>
      <w:rFonts w:ascii="Arial" w:hAnsi="Arial" w:eastAsia="宋体" w:cs="Times New Roman"/>
      <w:sz w:val="21"/>
      <w:szCs w:val="21"/>
      <w:lang w:val="en-US" w:eastAsia="zh-CN" w:bidi="ar-SA"/>
    </w:rPr>
  </w:style>
  <w:style w:type="paragraph" w:customStyle="1" w:styleId="79">
    <w:name w:val="正文标准样式"/>
    <w:basedOn w:val="1"/>
    <w:autoRedefine/>
    <w:qFormat/>
    <w:uiPriority w:val="0"/>
    <w:pPr>
      <w:adjustRightInd/>
      <w:spacing w:line="300" w:lineRule="auto"/>
      <w:ind w:firstLine="420" w:firstLineChars="200"/>
      <w:textAlignment w:val="auto"/>
    </w:pPr>
    <w:rPr>
      <w:rFonts w:ascii="微软雅黑" w:hAnsi="微软雅黑"/>
      <w:color w:val="000000"/>
      <w:sz w:val="21"/>
      <w:szCs w:val="21"/>
    </w:rPr>
  </w:style>
  <w:style w:type="paragraph" w:customStyle="1" w:styleId="80">
    <w:name w:val="正文文本 21"/>
    <w:basedOn w:val="1"/>
    <w:autoRedefine/>
    <w:qFormat/>
    <w:uiPriority w:val="0"/>
    <w:pPr>
      <w:spacing w:line="480" w:lineRule="auto"/>
    </w:pPr>
    <w:rPr>
      <w:sz w:val="20"/>
    </w:rPr>
  </w:style>
  <w:style w:type="character" w:customStyle="1" w:styleId="81">
    <w:name w:val="font31"/>
    <w:basedOn w:val="28"/>
    <w:autoRedefine/>
    <w:qFormat/>
    <w:uiPriority w:val="0"/>
    <w:rPr>
      <w:rFonts w:hint="eastAsia" w:ascii="宋体" w:hAnsi="宋体" w:eastAsia="宋体" w:cs="宋体"/>
      <w:color w:val="000000"/>
      <w:sz w:val="18"/>
      <w:szCs w:val="18"/>
      <w:u w:val="none"/>
    </w:rPr>
  </w:style>
  <w:style w:type="character" w:customStyle="1" w:styleId="82">
    <w:name w:val="font41"/>
    <w:basedOn w:val="28"/>
    <w:autoRedefine/>
    <w:qFormat/>
    <w:uiPriority w:val="0"/>
    <w:rPr>
      <w:rFonts w:hint="default" w:ascii="Wingdings 2" w:hAnsi="Wingdings 2" w:eastAsia="Wingdings 2" w:cs="Wingdings 2"/>
      <w:color w:val="000000"/>
      <w:sz w:val="18"/>
      <w:szCs w:val="18"/>
      <w:u w:val="none"/>
    </w:rPr>
  </w:style>
  <w:style w:type="character" w:customStyle="1" w:styleId="83">
    <w:name w:val="16"/>
    <w:basedOn w:val="28"/>
    <w:autoRedefine/>
    <w:qFormat/>
    <w:uiPriority w:val="0"/>
    <w:rPr>
      <w:rFonts w:hint="default" w:ascii="Times New Roman" w:hAnsi="Times New Roman" w:cs="Times New Roman"/>
      <w:b/>
    </w:rPr>
  </w:style>
  <w:style w:type="paragraph" w:customStyle="1" w:styleId="84">
    <w:name w:val="正文2"/>
    <w:basedOn w:val="1"/>
    <w:autoRedefine/>
    <w:qFormat/>
    <w:uiPriority w:val="0"/>
    <w:pPr>
      <w:spacing w:before="156"/>
      <w:ind w:firstLine="510" w:firstLineChars="200"/>
    </w:pPr>
    <w:rPr>
      <w:rFonts w:ascii="Calibri" w:cs="Calibri"/>
      <w:szCs w:val="20"/>
    </w:rPr>
  </w:style>
  <w:style w:type="paragraph" w:customStyle="1" w:styleId="85">
    <w:name w:val="Other|1"/>
    <w:basedOn w:val="1"/>
    <w:autoRedefine/>
    <w:qFormat/>
    <w:uiPriority w:val="0"/>
    <w:pPr>
      <w:spacing w:line="439" w:lineRule="auto"/>
      <w:ind w:firstLine="400"/>
    </w:pPr>
    <w:rPr>
      <w:rFonts w:hAnsi="宋体" w:cs="宋体"/>
      <w:sz w:val="30"/>
      <w:szCs w:val="30"/>
      <w:lang w:val="zh-TW" w:eastAsia="zh-TW" w:bidi="zh-TW"/>
    </w:rPr>
  </w:style>
  <w:style w:type="paragraph" w:customStyle="1" w:styleId="86">
    <w:name w:val="公文正文"/>
    <w:basedOn w:val="1"/>
    <w:autoRedefine/>
    <w:qFormat/>
    <w:uiPriority w:val="99"/>
    <w:pPr>
      <w:widowControl/>
      <w:spacing w:line="360" w:lineRule="auto"/>
      <w:ind w:firstLine="200" w:firstLineChars="200"/>
    </w:pPr>
    <w:rPr>
      <w:rFonts w:ascii="仿宋" w:hAnsi="仿宋" w:eastAsia="仿宋" w:cs="仿宋"/>
      <w:sz w:val="32"/>
      <w:szCs w:val="32"/>
    </w:rPr>
  </w:style>
  <w:style w:type="character" w:customStyle="1" w:styleId="87">
    <w:name w:val="first-child"/>
    <w:basedOn w:val="28"/>
    <w:autoRedefine/>
    <w:qFormat/>
    <w:uiPriority w:val="0"/>
  </w:style>
  <w:style w:type="character" w:customStyle="1" w:styleId="88">
    <w:name w:val="layui-layer-tabnow"/>
    <w:basedOn w:val="28"/>
    <w:autoRedefine/>
    <w:qFormat/>
    <w:uiPriority w:val="0"/>
    <w:rPr>
      <w:bdr w:val="single" w:color="CCCCCC" w:sz="6" w:space="0"/>
      <w:shd w:val="clear" w:color="auto" w:fill="FFFFFF"/>
    </w:rPr>
  </w:style>
  <w:style w:type="paragraph" w:customStyle="1" w:styleId="89">
    <w:name w:val="正文（首行缩进2字符）"/>
    <w:basedOn w:val="1"/>
    <w:autoRedefine/>
    <w:qFormat/>
    <w:uiPriority w:val="0"/>
    <w:pPr>
      <w:spacing w:line="360" w:lineRule="auto"/>
      <w:ind w:firstLine="420" w:firstLineChars="200"/>
    </w:pPr>
    <w:rPr>
      <w:szCs w:val="21"/>
    </w:rPr>
  </w:style>
  <w:style w:type="paragraph" w:customStyle="1" w:styleId="90">
    <w:name w:val="表格格式陈"/>
    <w:basedOn w:val="1"/>
    <w:autoRedefine/>
    <w:qFormat/>
    <w:uiPriority w:val="0"/>
    <w:pPr>
      <w:adjustRightInd w:val="0"/>
      <w:snapToGrid w:val="0"/>
      <w:ind w:left="10" w:leftChars="10" w:right="10" w:rightChars="10"/>
      <w:jc w:val="center"/>
    </w:pPr>
    <w:rPr>
      <w:rFonts w:ascii="宋体" w:hAnsi="宋体"/>
      <w:color w:val="000000" w:themeColor="text1"/>
      <w:sz w:val="21"/>
      <w14:textFill>
        <w14:solidFill>
          <w14:schemeClr w14:val="tx1"/>
        </w14:solidFill>
      </w14:textFill>
    </w:rPr>
  </w:style>
  <w:style w:type="paragraph" w:customStyle="1" w:styleId="91">
    <w:name w:val="列表段落"/>
    <w:basedOn w:val="1"/>
    <w:autoRedefine/>
    <w:qFormat/>
    <w:uiPriority w:val="34"/>
    <w:pPr>
      <w:spacing w:line="360" w:lineRule="auto"/>
      <w:ind w:firstLine="420" w:firstLineChars="200"/>
    </w:pPr>
    <w:rPr>
      <w:rFonts w:ascii="Times New Roman" w:hAnsi="Times New Roman" w:eastAsia="宋体" w:cs="Times New Roman"/>
      <w:sz w:val="24"/>
    </w:rPr>
  </w:style>
  <w:style w:type="paragraph" w:styleId="92">
    <w:name w:val="List Paragraph"/>
    <w:basedOn w:val="1"/>
    <w:qFormat/>
    <w:uiPriority w:val="99"/>
    <w:pPr>
      <w:ind w:firstLine="420" w:firstLineChars="200"/>
    </w:pPr>
  </w:style>
  <w:style w:type="paragraph" w:customStyle="1" w:styleId="93">
    <w:name w:val="null3"/>
    <w:hidden/>
    <w:qFormat/>
    <w:uiPriority w:val="0"/>
    <w:rPr>
      <w:rFonts w:hint="eastAsia" w:asciiTheme="minorHAnsi" w:hAnsiTheme="minorHAnsi" w:eastAsiaTheme="minorEastAsia" w:cstheme="minorBidi"/>
      <w:lang w:val="en-US" w:eastAsia="zh-Hans" w:bidi="ar-SA"/>
    </w:rPr>
  </w:style>
  <w:style w:type="paragraph" w:customStyle="1" w:styleId="94">
    <w:name w:val="Table Text"/>
    <w:basedOn w:val="1"/>
    <w:semiHidden/>
    <w:qFormat/>
    <w:uiPriority w:val="0"/>
    <w:rPr>
      <w:rFonts w:ascii="宋体" w:hAnsi="宋体" w:eastAsia="宋体" w:cs="宋体"/>
      <w:sz w:val="24"/>
      <w:szCs w:val="24"/>
      <w:lang w:val="en-US" w:eastAsia="en-US" w:bidi="ar-SA"/>
    </w:rPr>
  </w:style>
  <w:style w:type="table" w:customStyle="1" w:styleId="9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9452</Words>
  <Characters>10722</Characters>
  <Lines>213</Lines>
  <Paragraphs>60</Paragraphs>
  <TotalTime>11</TotalTime>
  <ScaleCrop>false</ScaleCrop>
  <LinksUpToDate>false</LinksUpToDate>
  <CharactersWithSpaces>10902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2020-09-03T09:31:00Z</dcterms:created>
  <dc:creator>微软中国</dc:creator>
  <cp:lastModifiedBy>抱抱熊</cp:lastModifiedBy>
  <cp:lastPrinted>2025-08-11T11:10:00Z</cp:lastPrinted>
  <dcterms:modified xsi:type="dcterms:W3CDTF">2026-08-21T12:21:56Z</dcterms:modified>
  <dc:title>项目编号：AXCGSJ2018018                             陕西安信</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E07409861E9945E58774EEEC5CDBF683_13</vt:lpwstr>
  </property>
  <property fmtid="{D5CDD505-2E9C-101B-9397-08002B2CF9AE}" pid="4" name="KSOTemplateDocerSaveRecord">
    <vt:lpwstr>eyJoZGlkIjoiZTQ0MjI3Nzg2MmZlNzliYzRjMTk2YjY5OWE0NWE5ODMiLCJ1c2VySWQiOiIxMDUwNzYyMjY1In0=</vt:lpwstr>
  </property>
</Properties>
</file>