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版本号：HYDZB202602820260820001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西泉街道麦王村道路建设工程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HYDZB2026028</w:t>
      </w:r>
      <w:r>
        <w:br/>
      </w:r>
      <w:r>
        <w:br/>
      </w:r>
      <w:r>
        <w:br/>
      </w:r>
    </w:p>
    <w:p>
      <w:pPr>
        <w:pStyle w:val="null3"/>
        <w:jc w:val="center"/>
        <w:outlineLvl w:val="2"/>
      </w:pPr>
      <w:r>
        <w:rPr>
          <w:rFonts w:ascii="仿宋_GB2312" w:hAnsi="仿宋_GB2312" w:cs="仿宋_GB2312" w:eastAsia="仿宋_GB2312"/>
          <w:sz w:val="28"/>
          <w:b/>
        </w:rPr>
        <w:t>临潼区西泉街道办事处</w:t>
      </w:r>
    </w:p>
    <w:p>
      <w:pPr>
        <w:pStyle w:val="null3"/>
        <w:jc w:val="center"/>
        <w:outlineLvl w:val="2"/>
      </w:pPr>
      <w:r>
        <w:rPr>
          <w:rFonts w:ascii="仿宋_GB2312" w:hAnsi="仿宋_GB2312" w:cs="仿宋_GB2312" w:eastAsia="仿宋_GB2312"/>
          <w:sz w:val="28"/>
          <w:b/>
        </w:rPr>
        <w:t>陕西恒益鼎工程项目管理有限公司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陕西恒益鼎工程项目管理有限公司</w:t>
      </w:r>
      <w:r>
        <w:rPr>
          <w:rFonts w:ascii="仿宋_GB2312" w:hAnsi="仿宋_GB2312" w:cs="仿宋_GB2312" w:eastAsia="仿宋_GB2312"/>
        </w:rPr>
        <w:t>（以下简称“代理机构”）受</w:t>
      </w:r>
      <w:r>
        <w:rPr>
          <w:rFonts w:ascii="仿宋_GB2312" w:hAnsi="仿宋_GB2312" w:cs="仿宋_GB2312" w:eastAsia="仿宋_GB2312"/>
        </w:rPr>
        <w:t>临潼区西泉街道办事处</w:t>
      </w:r>
      <w:r>
        <w:rPr>
          <w:rFonts w:ascii="仿宋_GB2312" w:hAnsi="仿宋_GB2312" w:cs="仿宋_GB2312" w:eastAsia="仿宋_GB2312"/>
        </w:rPr>
        <w:t>委托，拟对</w:t>
      </w:r>
      <w:r>
        <w:rPr>
          <w:rFonts w:ascii="仿宋_GB2312" w:hAnsi="仿宋_GB2312" w:cs="仿宋_GB2312" w:eastAsia="仿宋_GB2312"/>
        </w:rPr>
        <w:t>西泉街道麦王村道路建设工程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HYDZB2026028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西泉街道麦王村道路建设工程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本工程为西泉街道麦王村道路建设工程，工程内容为包括污水管道敷设、既有混凝土路面拆除清运、新建及修补水泥混凝土道路、既有污水井井筒抬升改造等，详见工程量清单。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采购包1（西泉街道麦王村道路建设工程）：属于专门面向中小企业采购。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1、营业执照：供应商应是合法注册的法人或其他组织,并出具合法有效的营业执照；</w:t>
      </w:r>
    </w:p>
    <w:p>
      <w:pPr>
        <w:pStyle w:val="null3"/>
      </w:pPr>
      <w:r>
        <w:rPr>
          <w:rFonts w:ascii="仿宋_GB2312" w:hAnsi="仿宋_GB2312" w:cs="仿宋_GB2312" w:eastAsia="仿宋_GB2312"/>
        </w:rPr>
        <w:t>2、法人代表证明书或法人授权委托书：法人代表证明书或法人授权委托书，后附法人及被委托人身份证（法定代表人直接参加开标的只需提供法定代表人身份证）；</w:t>
      </w:r>
    </w:p>
    <w:p>
      <w:pPr>
        <w:pStyle w:val="null3"/>
      </w:pPr>
      <w:r>
        <w:rPr>
          <w:rFonts w:ascii="仿宋_GB2312" w:hAnsi="仿宋_GB2312" w:cs="仿宋_GB2312" w:eastAsia="仿宋_GB2312"/>
        </w:rPr>
        <w:t>3、供应商资质：供应商须具市政公用工程施工总承包三级及以上资质，且具有有效的安全生产许可证；</w:t>
      </w:r>
    </w:p>
    <w:p>
      <w:pPr>
        <w:pStyle w:val="null3"/>
      </w:pPr>
      <w:r>
        <w:rPr>
          <w:rFonts w:ascii="仿宋_GB2312" w:hAnsi="仿宋_GB2312" w:cs="仿宋_GB2312" w:eastAsia="仿宋_GB2312"/>
        </w:rPr>
        <w:t>4、拟派项目经理：拟派项目经理须具备市政公用工程二级及以上注册建造师证书和有效的安全生产考核合格B证，在本单位注册，且未担任其他在建工程的项目经理；</w:t>
      </w:r>
    </w:p>
    <w:p>
      <w:pPr>
        <w:pStyle w:val="null3"/>
      </w:pPr>
      <w:r>
        <w:rPr>
          <w:rFonts w:ascii="仿宋_GB2312" w:hAnsi="仿宋_GB2312" w:cs="仿宋_GB2312" w:eastAsia="仿宋_GB2312"/>
        </w:rPr>
        <w:t>5、基本资格条件承诺函：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如不提供《基本资格条件承诺函》的供应商需提交以下资格证明文件: ①财务状况报告：提供具有财务审计资质单位出具的2025年度的财务审计报告（成立时间不到一年的可提供成立后任意时段的资产负债表）或响应文件递截止时间前六个月内其基本账户银行出具的资信证明（附基本账户证明）或政府采购信用担保机构出具的磋商担保函；②税收缴纳证明：提供投标截止日前6个月内已缴纳的至少一个月的纳税证明或完税证明（任意税种），依法免税的单位应提供相关证明材料；③社会保障资金缴纳证明：提供投标截止日前6个月内已缴存的至少一个月的社会保障资金缴存单据或社保机构开具的社会保险参保缴费情况证明，依法不需要缴纳社会保障资金的单位应提供相关证明材料；④提供具有履行本合同所必需的设备和专业技术能力的说明及承诺；⑤参加政府采购活动前3年内经营活动中无重大违法记录声明；⑥ 供应商未被“信用中国”网站(www.sr&amp;mtchin8.gov.&amp;)列入失信被执行人和重大税收违法失信主体，未被中国政府采购网(www.cc.gov.sn)列入政府采购严重违法失信行为记录名单；</w:t>
      </w:r>
    </w:p>
    <w:p>
      <w:pPr>
        <w:pStyle w:val="null3"/>
      </w:pPr>
      <w:r>
        <w:rPr>
          <w:rFonts w:ascii="仿宋_GB2312" w:hAnsi="仿宋_GB2312" w:cs="仿宋_GB2312" w:eastAsia="仿宋_GB2312"/>
        </w:rPr>
        <w:t>6、关联关系：单位负责人为同一人或者存在直接控股、管理关系的不同供应商，不得参加同一合同项下的投标活动；</w:t>
      </w:r>
    </w:p>
    <w:p>
      <w:pPr>
        <w:pStyle w:val="null3"/>
      </w:pPr>
      <w:r>
        <w:rPr>
          <w:rFonts w:ascii="仿宋_GB2312" w:hAnsi="仿宋_GB2312" w:cs="仿宋_GB2312" w:eastAsia="仿宋_GB2312"/>
        </w:rPr>
        <w:t>7、非联合体投标承诺函：本项目不接受联合体投标。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临潼区西泉街道办事处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西泉街道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王晓飞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13720400062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陕西恒益鼎工程项目管理有限公司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陕西省西安市临潼区秦陵南路20号新华书店二楼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邓钰春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029-83942263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 号）、《国家发展和改革委员会办公厅关于招标代理服务收费有关问题的通知》（发改办价格〔2003〕857 号）规定的费率标准计算招标代理服务费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临潼区西泉街道办事处</w:t>
      </w:r>
      <w:r>
        <w:rPr>
          <w:rFonts w:ascii="仿宋_GB2312" w:hAnsi="仿宋_GB2312" w:cs="仿宋_GB2312" w:eastAsia="仿宋_GB2312"/>
        </w:rPr>
        <w:t>和</w:t>
      </w:r>
      <w:r>
        <w:rPr>
          <w:rFonts w:ascii="仿宋_GB2312" w:hAnsi="仿宋_GB2312" w:cs="仿宋_GB2312" w:eastAsia="仿宋_GB2312"/>
        </w:rPr>
        <w:t>陕西恒益鼎工程项目管理有限公司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临潼区西泉街道办事处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陕西恒益鼎工程项目管理有限公司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临潼区西泉街道办事处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陕西恒益鼎工程项目管理有限公司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甲方对本合同履行期间产生的成果（包括乙方交付的全部成果以及本合同履行过程中产生的技术文件）拥有全部权利，包括知识产权、所有权及相应利益。乙方保证甲方在使用合同服务时，不承担任何涉及知识产权法律诉讼的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达到国家现行施工质量验收规范“合格”标准。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联系人：邓钰春</w:t>
      </w:r>
    </w:p>
    <w:p>
      <w:pPr>
        <w:pStyle w:val="null3"/>
      </w:pPr>
      <w:r>
        <w:rPr>
          <w:rFonts w:ascii="仿宋_GB2312" w:hAnsi="仿宋_GB2312" w:cs="仿宋_GB2312" w:eastAsia="仿宋_GB2312"/>
        </w:rPr>
        <w:t>联系电话：029-83942263</w:t>
      </w:r>
    </w:p>
    <w:p>
      <w:pPr>
        <w:pStyle w:val="null3"/>
      </w:pPr>
      <w:r>
        <w:rPr>
          <w:rFonts w:ascii="仿宋_GB2312" w:hAnsi="仿宋_GB2312" w:cs="仿宋_GB2312" w:eastAsia="仿宋_GB2312"/>
        </w:rPr>
        <w:t>地址：西安市临潼区秦陵南路20号新华书店二楼</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1,499,287.30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西泉街道麦王村道路建设工程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标的名称：西泉街道麦王村道路建设工程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、项目概况</w:t>
            </w:r>
          </w:p>
          <w:p>
            <w:pPr>
              <w:pStyle w:val="null3"/>
              <w:ind w:firstLine="480"/>
              <w:jc w:val="left"/>
            </w:pPr>
            <w:r>
              <w:rPr>
                <w:rFonts w:ascii="仿宋_GB2312" w:hAnsi="仿宋_GB2312" w:cs="仿宋_GB2312" w:eastAsia="仿宋_GB2312"/>
                <w:sz w:val="24"/>
                <w:color w:val="000000"/>
              </w:rPr>
              <w:t>本工程为西泉街道麦王村道路建设工程，工程内容为</w:t>
            </w:r>
            <w:r>
              <w:rPr>
                <w:rFonts w:ascii="仿宋_GB2312" w:hAnsi="仿宋_GB2312" w:cs="仿宋_GB2312" w:eastAsia="仿宋_GB2312"/>
                <w:sz w:val="24"/>
                <w:color w:val="000000"/>
              </w:rPr>
              <w:t>包括污水管道敷设、既有混凝土路面拆除清运、新建及修补水泥混凝土道路、既有污水井井筒抬升改造等</w:t>
            </w:r>
            <w:r>
              <w:rPr>
                <w:rFonts w:ascii="仿宋_GB2312" w:hAnsi="仿宋_GB2312" w:cs="仿宋_GB2312" w:eastAsia="仿宋_GB2312"/>
                <w:sz w:val="24"/>
                <w:color w:val="000000"/>
              </w:rPr>
              <w:t>，详见工程量清单。</w:t>
            </w:r>
          </w:p>
          <w:p>
            <w:pPr>
              <w:pStyle w:val="null3"/>
              <w:jc w:val="left"/>
            </w:pPr>
            <w:r>
              <w:rPr>
                <w:rFonts w:ascii="仿宋_GB2312" w:hAnsi="仿宋_GB2312" w:cs="仿宋_GB2312" w:eastAsia="仿宋_GB2312"/>
                <w:sz w:val="24"/>
                <w:b/>
                <w:color w:val="000000"/>
              </w:rPr>
              <w:t>二、工程内容和施工地点、计划工期、缺陷责任期、质量保修期</w:t>
            </w:r>
          </w:p>
          <w:p>
            <w:pPr>
              <w:pStyle w:val="null3"/>
              <w:ind w:firstLine="480"/>
              <w:jc w:val="left"/>
            </w:pPr>
            <w:r>
              <w:rPr>
                <w:rFonts w:ascii="仿宋_GB2312" w:hAnsi="仿宋_GB2312" w:cs="仿宋_GB2312" w:eastAsia="仿宋_GB2312"/>
                <w:sz w:val="24"/>
                <w:color w:val="000000"/>
              </w:rPr>
              <w:t>（一）工程内容：</w:t>
            </w:r>
            <w:r>
              <w:rPr>
                <w:rFonts w:ascii="仿宋_GB2312" w:hAnsi="仿宋_GB2312" w:cs="仿宋_GB2312" w:eastAsia="仿宋_GB2312"/>
                <w:sz w:val="24"/>
                <w:color w:val="000000"/>
              </w:rPr>
              <w:t>西泉街道麦王村道路建设工程</w:t>
            </w:r>
            <w:r>
              <w:rPr>
                <w:rFonts w:ascii="仿宋_GB2312" w:hAnsi="仿宋_GB2312" w:cs="仿宋_GB2312" w:eastAsia="仿宋_GB2312"/>
                <w:sz w:val="24"/>
                <w:color w:val="000000"/>
              </w:rPr>
              <w:t>，具体以工程量清单为准。</w:t>
            </w:r>
          </w:p>
          <w:p>
            <w:pPr>
              <w:pStyle w:val="null3"/>
              <w:ind w:firstLine="480"/>
              <w:jc w:val="left"/>
            </w:pPr>
            <w:r>
              <w:rPr>
                <w:rFonts w:ascii="仿宋_GB2312" w:hAnsi="仿宋_GB2312" w:cs="仿宋_GB2312" w:eastAsia="仿宋_GB2312"/>
                <w:sz w:val="24"/>
                <w:color w:val="000000"/>
              </w:rPr>
              <w:t>（二）建设地点：西安市临潼区西泉街道办事处麦王村</w:t>
            </w:r>
          </w:p>
          <w:p>
            <w:pPr>
              <w:pStyle w:val="null3"/>
              <w:ind w:firstLine="480"/>
              <w:jc w:val="left"/>
            </w:pPr>
            <w:r>
              <w:rPr>
                <w:rFonts w:ascii="仿宋_GB2312" w:hAnsi="仿宋_GB2312" w:cs="仿宋_GB2312" w:eastAsia="仿宋_GB2312"/>
                <w:sz w:val="24"/>
                <w:color w:val="000000"/>
              </w:rPr>
              <w:t>（三）计划工期：</w:t>
            </w:r>
            <w:r>
              <w:rPr>
                <w:rFonts w:ascii="仿宋_GB2312" w:hAnsi="仿宋_GB2312" w:cs="仿宋_GB2312" w:eastAsia="仿宋_GB2312"/>
                <w:sz w:val="24"/>
                <w:color w:val="000000"/>
              </w:rPr>
              <w:t>45日历天。</w:t>
            </w:r>
          </w:p>
          <w:p>
            <w:pPr>
              <w:pStyle w:val="null3"/>
              <w:ind w:firstLine="480"/>
              <w:jc w:val="left"/>
            </w:pPr>
            <w:r>
              <w:rPr>
                <w:rFonts w:ascii="仿宋_GB2312" w:hAnsi="仿宋_GB2312" w:cs="仿宋_GB2312" w:eastAsia="仿宋_GB2312"/>
                <w:sz w:val="24"/>
                <w:color w:val="000000"/>
              </w:rPr>
              <w:t>（四）缺陷责任期：本工程缺陷责任期为</w:t>
            </w:r>
            <w:r>
              <w:rPr>
                <w:rFonts w:ascii="仿宋_GB2312" w:hAnsi="仿宋_GB2312" w:cs="仿宋_GB2312" w:eastAsia="仿宋_GB2312"/>
                <w:sz w:val="24"/>
                <w:color w:val="000000"/>
              </w:rPr>
              <w:t>2年，缺陷责任期自工程竣工验收合格之日起计算。</w:t>
            </w:r>
          </w:p>
          <w:p>
            <w:pPr>
              <w:pStyle w:val="null3"/>
              <w:ind w:firstLine="480"/>
              <w:jc w:val="left"/>
            </w:pPr>
            <w:r>
              <w:rPr>
                <w:rFonts w:ascii="仿宋_GB2312" w:hAnsi="仿宋_GB2312" w:cs="仿宋_GB2312" w:eastAsia="仿宋_GB2312"/>
                <w:sz w:val="24"/>
                <w:color w:val="000000"/>
              </w:rPr>
              <w:t>（五）质量保修期：按照国家相关规定执行。</w:t>
            </w:r>
          </w:p>
          <w:p>
            <w:pPr>
              <w:pStyle w:val="null3"/>
              <w:ind w:firstLine="480"/>
              <w:jc w:val="left"/>
            </w:pPr>
            <w:r>
              <w:rPr>
                <w:rFonts w:ascii="仿宋_GB2312" w:hAnsi="仿宋_GB2312" w:cs="仿宋_GB2312" w:eastAsia="仿宋_GB2312"/>
                <w:sz w:val="24"/>
                <w:color w:val="000000"/>
              </w:rPr>
              <w:t>（六）质量要求：合格。</w:t>
            </w:r>
          </w:p>
          <w:p>
            <w:pPr>
              <w:pStyle w:val="null3"/>
              <w:jc w:val="left"/>
            </w:pPr>
            <w:r>
              <w:rPr>
                <w:rFonts w:ascii="仿宋_GB2312" w:hAnsi="仿宋_GB2312" w:cs="仿宋_GB2312" w:eastAsia="仿宋_GB2312"/>
                <w:sz w:val="24"/>
                <w:b/>
                <w:color w:val="000000"/>
              </w:rPr>
              <w:t>三、工程量清单和编制依据</w:t>
            </w:r>
          </w:p>
          <w:p>
            <w:pPr>
              <w:pStyle w:val="null3"/>
              <w:ind w:firstLine="480"/>
              <w:jc w:val="left"/>
            </w:pPr>
            <w:r>
              <w:rPr>
                <w:rFonts w:ascii="仿宋_GB2312" w:hAnsi="仿宋_GB2312" w:cs="仿宋_GB2312" w:eastAsia="仿宋_GB2312"/>
                <w:sz w:val="24"/>
                <w:color w:val="000000"/>
              </w:rPr>
              <w:t>详见附件</w:t>
            </w:r>
          </w:p>
          <w:p>
            <w:pPr>
              <w:pStyle w:val="null3"/>
              <w:jc w:val="left"/>
            </w:pPr>
            <w:r>
              <w:rPr>
                <w:rFonts w:ascii="仿宋_GB2312" w:hAnsi="仿宋_GB2312" w:cs="仿宋_GB2312" w:eastAsia="仿宋_GB2312"/>
                <w:sz w:val="24"/>
                <w:b/>
                <w:color w:val="000000"/>
              </w:rPr>
              <w:t>四、施工要求</w:t>
            </w:r>
          </w:p>
          <w:p>
            <w:pPr>
              <w:pStyle w:val="null3"/>
              <w:ind w:firstLine="480"/>
              <w:jc w:val="left"/>
            </w:pPr>
            <w:r>
              <w:rPr>
                <w:rFonts w:ascii="仿宋_GB2312" w:hAnsi="仿宋_GB2312" w:cs="仿宋_GB2312" w:eastAsia="仿宋_GB2312"/>
                <w:sz w:val="24"/>
                <w:color w:val="000000"/>
              </w:rPr>
              <w:t>(1)所有施工和材料所涉及的标准规范(如产品标准/规范、工程标准/规范、验收标准/规范等)须完全符合所有中华人民共和国的标准及规范。</w:t>
            </w:r>
          </w:p>
          <w:p>
            <w:pPr>
              <w:pStyle w:val="null3"/>
              <w:ind w:firstLine="480"/>
              <w:jc w:val="left"/>
            </w:pPr>
            <w:r>
              <w:rPr>
                <w:rFonts w:ascii="仿宋_GB2312" w:hAnsi="仿宋_GB2312" w:cs="仿宋_GB2312" w:eastAsia="仿宋_GB2312"/>
                <w:sz w:val="24"/>
                <w:color w:val="000000"/>
              </w:rPr>
              <w:t>(2)在施工期间，中标供应商必须注意人员安全，加强安全措施，并对施工人员进行安全教育。施工人员必须持证上岗。</w:t>
            </w:r>
          </w:p>
          <w:p>
            <w:pPr>
              <w:pStyle w:val="null3"/>
              <w:jc w:val="left"/>
            </w:pPr>
            <w:r>
              <w:rPr>
                <w:rFonts w:ascii="仿宋_GB2312" w:hAnsi="仿宋_GB2312" w:cs="仿宋_GB2312" w:eastAsia="仿宋_GB2312"/>
                <w:sz w:val="24"/>
                <w:b/>
                <w:color w:val="000000"/>
              </w:rPr>
              <w:t>五、商务要求</w:t>
            </w:r>
          </w:p>
          <w:p>
            <w:pPr>
              <w:pStyle w:val="null3"/>
              <w:ind w:firstLine="480"/>
              <w:jc w:val="both"/>
            </w:pPr>
            <w:r>
              <w:rPr>
                <w:rFonts w:ascii="仿宋_GB2312" w:hAnsi="仿宋_GB2312" w:cs="仿宋_GB2312" w:eastAsia="仿宋_GB2312"/>
                <w:sz w:val="24"/>
                <w:color w:val="000000"/>
              </w:rPr>
              <w:t>本工程为政府投资类项目，待区财政资金拨付后，项目竣工验收合格且保洁、清场后，达到付款条件起</w:t>
            </w:r>
            <w:r>
              <w:rPr>
                <w:rFonts w:ascii="仿宋_GB2312" w:hAnsi="仿宋_GB2312" w:cs="仿宋_GB2312" w:eastAsia="仿宋_GB2312"/>
                <w:sz w:val="24"/>
                <w:color w:val="000000"/>
              </w:rPr>
              <w:t>14日内，支付97%；其余3%作为保修金；质保期满无质量问题，发包人14天内无息退还剩余保修金。</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1.（1）达到国家及⾏业现⾏建设⼯程施⼯质量验收规范；（2）符合《建设⼯程安全⽣产管理条例》及建筑施⼯、安全 ⽣产相关管理规定；（3）⼯程验收标准：双⽅约定，在符合采购⽂件中本⼯程项⽬施⼯要求的前提下，以采购⼈和⽤地单位现场验收合格为准；（4）供应商作为验收的责任主体，负责牵头组织本项⽬验收的全部⼯作，承担验收相关全部费⽤（包括 但不限于检测费、专家评审费、资料编制费、现场整改费等），确保本项⽬顺利通过主管部⻔的验收，取得合格的验收意⻅书 或备案凭证等。采购⼈负责配合供应商开展验收⼯作，提供必要的相关资料，协助协调现场验收相关事宜，验收过程中，供应 商需严格遵守西安市验收相关规定，配合验收部⻔及采购⼈的检查⼯作。 2.本项⽬交付竣⼯验收⼯程，须达到国家及⾏业建 设⼯程施⼯合格质量标准，具备完整的⼯程技术资料、⼯程量清单资料、设备材料合格证明、系统调试记录及经签署的⼯程保 修书，并满⾜国家规定的其他竣⼯条件。本⼯程经竣⼯验收合格后⽅可正式交付投⼊使⽤；未组织验收或验收不合格的，严禁交付使⽤、不得投⼊使⽤。 3.验收结果合格的，采购⼈应向成交供应商出具履约验收报告，成交供应商凭验收报告办理相关⼿续。</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供应商需要在线提交所有通过电子化交易平台实施的政府采购项目的响应文件，同时，线下递交纸质版响应文件，正本壹份、副本贰份，电子文件（U盘）壹份（包含盖章版PDF文件及已标价工程量清单），随正本密封。若线上电子响应文件与纸质版响应文件不一致以电子响应文件为准;若正本和副本不一致，以正本为准。 线下递交时间同线上响应文件递交截止时间;线下递交文件地点:陕西省西安市临潼区秦陵南路20号新华书店二楼201室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供应商应是合法注册的法人或其他组织,并出具合法有效的营业执照；</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法人代表证明书或法人授权委托书</w:t>
            </w:r>
          </w:p>
        </w:tc>
        <w:tc>
          <w:tcPr>
            <w:tcW w:type="dxa" w:w="3322"/>
          </w:tcPr>
          <w:p>
            <w:pPr>
              <w:pStyle w:val="null3"/>
            </w:pPr>
            <w:r>
              <w:rPr>
                <w:rFonts w:ascii="仿宋_GB2312" w:hAnsi="仿宋_GB2312" w:cs="仿宋_GB2312" w:eastAsia="仿宋_GB2312"/>
              </w:rPr>
              <w:t>法人代表证明书或法人授权委托书，后附法人及被委托人身份证（法定代表人直接参加开标的只需提供法定代表人身份证）；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供应商须具市政公用工程施工总承包三级及以上资质，且具有有效的安全生产许可证；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拟派项目经理须具备市政公用工程二级及以上注册建造师证书和有效的安全生产考核合格B证，在本单位注册，且未担任其他在建工程的项目经理；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如不提供《基本资格条件承诺函》的供应商需提交以下资格证明文件: ①财务状况报告：提供具有财务审计资质单位出具的2025年度的财务审计报告（成立时间不到一年的可提供成立后任意时段的资产负债表）或响应文件递截止时间前六个月内其基本账户银行出具的资信证明（附基本账户证明）或政府采购信用担保机构出具的磋商担保函；②税收缴纳证明：提供投标截止日前6个月内已缴纳的至少一个月的纳税证明或完税证明（任意税种），依法免税的单位应提供相关证明材料；③社会保障资金缴纳证明：提供投标截止日前6个月内已缴存的至少一个月的社会保障资金缴存单据或社保机构开具的社会保险参保缴费情况证明，依法不需要缴纳社会保障资金的单位应提供相关证明材料；④提供具有履行本合同所必需的设备和专业技术能力的说明及承诺；⑤参加政府采购活动前3年内经营活动中无重大违法记录声明；⑥ 供应商未被“信用中国”网站(www.sr&amp;mtchin8.gov.&amp;)列入失信被执行人和重大税收违法失信主体，未被中国政府采购网(www.cc.gov.sn)列入政府采购严重违法失信行为记录名单；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单位负责人为同一人或者存在直接控股、管理关系的不同供应商，不得参加同一合同项下的投标活动；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非联合体投标承诺函</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签字、盖章符合磋商文件要求，且无遗漏。</w:t>
            </w:r>
          </w:p>
        </w:tc>
        <w:tc>
          <w:tcPr>
            <w:tcW w:type="dxa" w:w="1661"/>
          </w:tcPr>
          <w:p>
            <w:pPr>
              <w:pStyle w:val="null3"/>
            </w:pPr>
            <w:r>
              <w:rPr>
                <w:rFonts w:ascii="仿宋_GB2312" w:hAnsi="仿宋_GB2312" w:cs="仿宋_GB2312" w:eastAsia="仿宋_GB2312"/>
              </w:rPr>
              <w:t>投标方案.docx 已标价工程量清单 中小企业声明函 技术服务合同条款及其他商务要求应答表 强制优先采购产品承诺函 响应文件封面 供应商应提交的相关资格证明材料.docx 项目管理机构组成表 残疾人福利性单位声明函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满足磋商文件的要求</w:t>
            </w:r>
          </w:p>
        </w:tc>
        <w:tc>
          <w:tcPr>
            <w:tcW w:type="dxa" w:w="1661"/>
          </w:tcPr>
          <w:p>
            <w:pPr>
              <w:pStyle w:val="null3"/>
            </w:pPr>
            <w:r>
              <w:rPr>
                <w:rFonts w:ascii="仿宋_GB2312" w:hAnsi="仿宋_GB2312" w:cs="仿宋_GB2312" w:eastAsia="仿宋_GB2312"/>
              </w:rPr>
              <w:t>投标方案.docx 已标价工程量清单 中小企业声明函 技术服务合同条款及其他商务要求应答表 强制优先采购产品承诺函 响应文件封面 供应商应提交的相关资格证明材料.docx 项目管理机构组成表 残疾人福利性单位声明函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响应文件封面 已标价工程量清单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满足磋商文件的要求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施工方案内容至少包括：①施工准备及施工部署；②施工方法；③项⽬实施重点难点分析及解决措施；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上述3项评审内容全部满足评审标准得9分，每有一个评审内容缺项扣3分，每有一项评审内容存在缺陷，扣0.5-2.5分，扣完为止。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一、评审内容：内容至少包括：①工程质量管理目标、体系；②工程质量管理制度；③工程质量保证措施；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上述3项评审内容全部满足评审标准得9分，每有一个评审内容缺项扣3分，每有一项评审内容存在缺陷，扣0.5-2.5分，扣完为止。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一、评审内容：内容至少包括：①安全生产管理制度；②安全生产保障措施；③应急预案 ；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上述3项评审内容全部满足评审标准得9分，每有一个评审内容缺项扣3分，每有一项评审内容存在缺陷，扣0.5-2.5分，扣完为止。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确保文明施工及环境保护组织措施</w:t>
            </w:r>
          </w:p>
        </w:tc>
        <w:tc>
          <w:tcPr>
            <w:tcW w:type="dxa" w:w="2492"/>
          </w:tcPr>
          <w:p>
            <w:pPr>
              <w:pStyle w:val="null3"/>
            </w:pPr>
            <w:r>
              <w:rPr>
                <w:rFonts w:ascii="仿宋_GB2312" w:hAnsi="仿宋_GB2312" w:cs="仿宋_GB2312" w:eastAsia="仿宋_GB2312"/>
              </w:rPr>
              <w:t>一、评审内容：内容至少包括：①⽂明施⼯及环境保护管理制度；②防尘降噪及节能减排措施；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上述2项评审内容全部满足评审标准得6分，每有一个评审内容缺项扣3分，每有一项评审内容存在缺陷，扣0.5-2.5分，扣完为止。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内容至少包括：①施工进度安排、施工进度表或施工网络图； ②工期目标控制和保证措施；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上述2项评审内容全部满足评审标准得6分，每有一个评审内容缺项扣3分，每有一项评审内容存在缺陷，扣0.5-2.5分，扣完为止。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一、评审内容：内容至少包括：①施工机械配置和材料投入计划；②施工组织和劳动力安排；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上述2项评审内容全部满足评审标准得6分，每有一个评审内容缺项扣3分，每有一项评审内容存在缺陷，扣0.5-2.5分，扣完为止。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项⽬管理机构</w:t>
            </w:r>
          </w:p>
        </w:tc>
        <w:tc>
          <w:tcPr>
            <w:tcW w:type="dxa" w:w="2492"/>
          </w:tcPr>
          <w:p>
            <w:pPr>
              <w:pStyle w:val="null3"/>
            </w:pPr>
            <w:r>
              <w:rPr>
                <w:rFonts w:ascii="仿宋_GB2312" w:hAnsi="仿宋_GB2312" w:cs="仿宋_GB2312" w:eastAsia="仿宋_GB2312"/>
              </w:rPr>
              <w:t>根据拟投⼊本项⽬的其他项⽬管理⼈员（包括但不限于：技术负责⼈、施⼯员、质量员、资料员、材料员、安全员、造价员等），每提供⼀项计1分，最⾼计7分；需提供证明材料（⾝份证和岗位证或职称证或职业资格证等）。</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供应商2021年1月1日至今类似项目业绩，每提供1份得3分，最高得18分。 业绩证明（以合同或中标通知书为准，须在投标文件中附合同或中标通知书的扫描件加盖单位公章，原件备查）弄虚作假者，取消其中标资格。</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格分统一采用低价优先法计算，即满足磋商文件要求且投标价格最低的报价为评标基准价，其价格分为满分。其他供应商的价格分统一按照下列公式计算： 投标报价得分=(评标基准价／投标报价)×报价分值 注：1、计算分数时四舍五入取小数点后两位；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