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18C061">
      <w:pPr>
        <w:pStyle w:val="19"/>
        <w:jc w:val="center"/>
        <w:rPr>
          <w:rFonts w:hint="default"/>
          <w:color w:val="auto"/>
          <w:sz w:val="32"/>
          <w:szCs w:val="32"/>
          <w:highlight w:val="none"/>
          <w:lang w:val="en-US" w:eastAsia="zh-CN"/>
        </w:rPr>
      </w:pPr>
      <w:bookmarkStart w:id="0" w:name="_Toc16172"/>
      <w:r>
        <w:rPr>
          <w:rFonts w:hint="eastAsia"/>
          <w:b/>
          <w:bCs/>
          <w:color w:val="auto"/>
          <w:sz w:val="32"/>
          <w:szCs w:val="32"/>
          <w:highlight w:val="none"/>
          <w:lang w:val="en-US" w:eastAsia="zh-CN"/>
        </w:rPr>
        <w:t>合同条款及格式</w:t>
      </w:r>
      <w:bookmarkEnd w:id="0"/>
    </w:p>
    <w:p w14:paraId="0062A5F2">
      <w:pPr>
        <w:pStyle w:val="63"/>
        <w:pageBreakBefore w:val="0"/>
        <w:kinsoku/>
        <w:wordWrap/>
        <w:overflowPunct/>
        <w:topLinePunct w:val="0"/>
        <w:autoSpaceDE/>
        <w:autoSpaceDN/>
        <w:bidi w:val="0"/>
        <w:spacing w:line="360" w:lineRule="auto"/>
        <w:jc w:val="center"/>
        <w:rPr>
          <w:rFonts w:hint="eastAsia" w:ascii="宋体" w:hAnsi="宋体" w:eastAsia="宋体" w:cs="宋体"/>
          <w:b/>
          <w:color w:val="auto"/>
          <w:sz w:val="24"/>
          <w:szCs w:val="24"/>
          <w:highlight w:val="none"/>
          <w:lang w:val="zh-CN"/>
        </w:rPr>
      </w:pPr>
    </w:p>
    <w:p w14:paraId="0A81175E">
      <w:pPr>
        <w:pStyle w:val="63"/>
        <w:pageBreakBefore w:val="0"/>
        <w:kinsoku/>
        <w:wordWrap/>
        <w:overflowPunct/>
        <w:topLinePunct w:val="0"/>
        <w:autoSpaceDE/>
        <w:autoSpaceDN/>
        <w:bidi w:val="0"/>
        <w:spacing w:line="360" w:lineRule="auto"/>
        <w:jc w:val="center"/>
        <w:rPr>
          <w:rFonts w:hint="eastAsia" w:ascii="宋体" w:hAnsi="宋体" w:eastAsia="宋体" w:cs="宋体"/>
          <w:color w:val="auto"/>
          <w:sz w:val="22"/>
          <w:szCs w:val="22"/>
          <w:highlight w:val="none"/>
          <w:lang w:eastAsia="zh-CN"/>
        </w:rPr>
      </w:pPr>
      <w:r>
        <w:rPr>
          <w:rFonts w:hint="eastAsia" w:ascii="宋体" w:hAnsi="宋体" w:eastAsia="宋体" w:cs="宋体"/>
          <w:b/>
          <w:color w:val="auto"/>
          <w:sz w:val="24"/>
          <w:szCs w:val="24"/>
          <w:highlight w:val="none"/>
          <w:lang w:val="zh-CN"/>
        </w:rPr>
        <w:t>（</w:t>
      </w:r>
      <w:r>
        <w:rPr>
          <w:rFonts w:hint="eastAsia" w:ascii="宋体" w:hAnsi="宋体" w:eastAsia="宋体" w:cs="宋体"/>
          <w:b/>
          <w:color w:val="auto"/>
          <w:sz w:val="22"/>
          <w:szCs w:val="22"/>
          <w:highlight w:val="none"/>
          <w:lang w:val="en-US" w:eastAsia="zh-CN"/>
        </w:rPr>
        <w:t>本格式条款供甲乙双方签订合同参考，</w:t>
      </w:r>
      <w:r>
        <w:rPr>
          <w:rFonts w:hint="eastAsia" w:ascii="宋体" w:hAnsi="宋体" w:cs="宋体"/>
          <w:b/>
          <w:color w:val="auto"/>
          <w:sz w:val="22"/>
          <w:szCs w:val="22"/>
          <w:highlight w:val="none"/>
          <w:lang w:val="en-US" w:eastAsia="zh-CN"/>
        </w:rPr>
        <w:t>招标</w:t>
      </w:r>
      <w:r>
        <w:rPr>
          <w:rFonts w:hint="eastAsia" w:ascii="宋体" w:hAnsi="宋体" w:eastAsia="宋体" w:cs="宋体"/>
          <w:b/>
          <w:color w:val="auto"/>
          <w:sz w:val="22"/>
          <w:szCs w:val="22"/>
          <w:highlight w:val="none"/>
          <w:lang w:val="en-US" w:eastAsia="zh-CN"/>
        </w:rPr>
        <w:t>人可根据项目的实际情况增减条款和内容</w:t>
      </w:r>
      <w:r>
        <w:rPr>
          <w:rFonts w:hint="eastAsia" w:ascii="宋体" w:hAnsi="宋体" w:eastAsia="宋体" w:cs="宋体"/>
          <w:b/>
          <w:color w:val="auto"/>
          <w:sz w:val="22"/>
          <w:szCs w:val="22"/>
          <w:highlight w:val="none"/>
          <w:lang w:val="zh-CN"/>
        </w:rPr>
        <w:t>）</w:t>
      </w:r>
    </w:p>
    <w:p w14:paraId="23920E62">
      <w:pPr>
        <w:spacing w:before="100" w:beforeAutospacing="1" w:after="100" w:afterAutospacing="1" w:line="360" w:lineRule="auto"/>
        <w:jc w:val="center"/>
        <w:rPr>
          <w:rFonts w:hint="eastAsia" w:ascii="宋体" w:hAnsi="宋体" w:eastAsia="宋体" w:cs="宋体"/>
          <w:b/>
          <w:color w:val="auto"/>
          <w:sz w:val="48"/>
          <w:szCs w:val="48"/>
          <w:highlight w:val="none"/>
        </w:rPr>
      </w:pPr>
      <w:bookmarkStart w:id="1" w:name="_Toc13895"/>
      <w:r>
        <w:rPr>
          <w:rFonts w:hint="eastAsia" w:ascii="宋体" w:hAnsi="宋体" w:eastAsia="宋体" w:cs="宋体"/>
          <w:b/>
          <w:color w:val="auto"/>
          <w:sz w:val="48"/>
          <w:szCs w:val="48"/>
          <w:highlight w:val="none"/>
          <w:lang w:eastAsia="zh-CN"/>
        </w:rPr>
        <w:t>（</w:t>
      </w:r>
      <w:r>
        <w:rPr>
          <w:rFonts w:hint="eastAsia" w:ascii="宋体" w:hAnsi="宋体" w:eastAsia="宋体" w:cs="宋体"/>
          <w:b/>
          <w:color w:val="auto"/>
          <w:sz w:val="48"/>
          <w:szCs w:val="48"/>
          <w:highlight w:val="none"/>
          <w:lang w:val="en-US" w:eastAsia="zh-CN"/>
        </w:rPr>
        <w:t>项目名称</w:t>
      </w:r>
      <w:r>
        <w:rPr>
          <w:rFonts w:hint="eastAsia" w:ascii="宋体" w:hAnsi="宋体" w:eastAsia="宋体" w:cs="宋体"/>
          <w:b/>
          <w:color w:val="auto"/>
          <w:sz w:val="48"/>
          <w:szCs w:val="48"/>
          <w:highlight w:val="none"/>
          <w:lang w:eastAsia="zh-CN"/>
        </w:rPr>
        <w:t>）</w:t>
      </w:r>
    </w:p>
    <w:p w14:paraId="54A0C39F">
      <w:pPr>
        <w:spacing w:line="336" w:lineRule="auto"/>
        <w:jc w:val="center"/>
        <w:rPr>
          <w:rFonts w:hint="eastAsia" w:ascii="宋体" w:hAnsi="宋体" w:eastAsia="宋体" w:cs="宋体"/>
          <w:b/>
          <w:color w:val="auto"/>
          <w:sz w:val="36"/>
          <w:szCs w:val="36"/>
          <w:highlight w:val="none"/>
        </w:rPr>
      </w:pPr>
    </w:p>
    <w:p w14:paraId="5A309195">
      <w:pPr>
        <w:spacing w:line="336" w:lineRule="auto"/>
        <w:jc w:val="center"/>
        <w:rPr>
          <w:rFonts w:hint="eastAsia" w:ascii="宋体" w:hAnsi="宋体" w:eastAsia="宋体" w:cs="宋体"/>
          <w:b/>
          <w:color w:val="auto"/>
          <w:sz w:val="44"/>
          <w:szCs w:val="44"/>
          <w:highlight w:val="none"/>
        </w:rPr>
      </w:pPr>
    </w:p>
    <w:p w14:paraId="0DB46E93">
      <w:pPr>
        <w:spacing w:line="336" w:lineRule="auto"/>
        <w:rPr>
          <w:rFonts w:hint="eastAsia" w:ascii="宋体" w:hAnsi="宋体" w:eastAsia="宋体" w:cs="宋体"/>
          <w:b/>
          <w:color w:val="auto"/>
          <w:sz w:val="36"/>
          <w:szCs w:val="36"/>
          <w:highlight w:val="none"/>
        </w:rPr>
      </w:pPr>
    </w:p>
    <w:p w14:paraId="5E91D567">
      <w:pPr>
        <w:spacing w:line="336" w:lineRule="auto"/>
        <w:jc w:val="center"/>
        <w:rPr>
          <w:rFonts w:hint="eastAsia" w:ascii="宋体" w:hAnsi="宋体" w:eastAsia="宋体" w:cs="宋体"/>
          <w:b/>
          <w:color w:val="auto"/>
          <w:sz w:val="36"/>
          <w:szCs w:val="36"/>
          <w:highlight w:val="none"/>
        </w:rPr>
      </w:pPr>
    </w:p>
    <w:p w14:paraId="35F38FCC">
      <w:pPr>
        <w:spacing w:line="336" w:lineRule="auto"/>
        <w:jc w:val="center"/>
        <w:rPr>
          <w:rFonts w:hint="eastAsia" w:ascii="宋体" w:hAnsi="宋体" w:eastAsia="宋体" w:cs="宋体"/>
          <w:b/>
          <w:color w:val="auto"/>
          <w:sz w:val="36"/>
          <w:szCs w:val="36"/>
          <w:highlight w:val="none"/>
        </w:rPr>
      </w:pPr>
    </w:p>
    <w:p w14:paraId="60BFDFA4">
      <w:pPr>
        <w:spacing w:line="336" w:lineRule="auto"/>
        <w:jc w:val="center"/>
        <w:rPr>
          <w:rFonts w:hint="eastAsia" w:ascii="宋体" w:hAnsi="宋体" w:eastAsia="宋体" w:cs="宋体"/>
          <w:b/>
          <w:color w:val="auto"/>
          <w:sz w:val="36"/>
          <w:szCs w:val="36"/>
          <w:highlight w:val="none"/>
        </w:rPr>
      </w:pPr>
    </w:p>
    <w:p w14:paraId="240DAE94">
      <w:pPr>
        <w:pStyle w:val="16"/>
        <w:tabs>
          <w:tab w:val="right" w:leader="dot" w:pos="9345"/>
        </w:tabs>
        <w:rPr>
          <w:rFonts w:hint="eastAsia" w:ascii="宋体" w:hAnsi="宋体" w:eastAsia="宋体" w:cs="宋体"/>
          <w:color w:val="auto"/>
          <w:highlight w:val="none"/>
        </w:rPr>
      </w:pPr>
    </w:p>
    <w:p w14:paraId="1304D4F9">
      <w:pPr>
        <w:pStyle w:val="9"/>
        <w:rPr>
          <w:rFonts w:hint="eastAsia" w:ascii="宋体" w:hAnsi="宋体" w:eastAsia="宋体" w:cs="宋体"/>
          <w:color w:val="auto"/>
          <w:highlight w:val="none"/>
        </w:rPr>
      </w:pPr>
    </w:p>
    <w:p w14:paraId="5525ED6D">
      <w:pPr>
        <w:rPr>
          <w:rFonts w:hint="eastAsia" w:ascii="宋体" w:hAnsi="宋体" w:eastAsia="宋体" w:cs="宋体"/>
          <w:color w:val="auto"/>
          <w:highlight w:val="none"/>
        </w:rPr>
      </w:pPr>
    </w:p>
    <w:p w14:paraId="516C9A5F">
      <w:pPr>
        <w:rPr>
          <w:rFonts w:hint="eastAsia" w:ascii="宋体" w:hAnsi="宋体" w:eastAsia="宋体" w:cs="宋体"/>
          <w:color w:val="auto"/>
          <w:highlight w:val="none"/>
        </w:rPr>
      </w:pPr>
    </w:p>
    <w:p w14:paraId="54E7262E">
      <w:pPr>
        <w:rPr>
          <w:rFonts w:hint="eastAsia" w:ascii="宋体" w:hAnsi="宋体" w:eastAsia="宋体" w:cs="宋体"/>
          <w:color w:val="auto"/>
          <w:highlight w:val="none"/>
        </w:rPr>
      </w:pPr>
    </w:p>
    <w:p w14:paraId="514AC76A">
      <w:pPr>
        <w:rPr>
          <w:rFonts w:hint="eastAsia" w:ascii="宋体" w:hAnsi="宋体" w:eastAsia="宋体" w:cs="宋体"/>
          <w:color w:val="auto"/>
          <w:highlight w:val="none"/>
        </w:rPr>
      </w:pPr>
    </w:p>
    <w:p w14:paraId="02FE0272">
      <w:pPr>
        <w:rPr>
          <w:rFonts w:hint="eastAsia" w:ascii="宋体" w:hAnsi="宋体" w:eastAsia="宋体" w:cs="宋体"/>
          <w:color w:val="auto"/>
          <w:highlight w:val="none"/>
        </w:rPr>
      </w:pPr>
    </w:p>
    <w:p w14:paraId="3F1C9A76">
      <w:pPr>
        <w:rPr>
          <w:rFonts w:hint="eastAsia" w:ascii="宋体" w:hAnsi="宋体" w:eastAsia="宋体" w:cs="宋体"/>
          <w:color w:val="auto"/>
          <w:highlight w:val="none"/>
        </w:rPr>
      </w:pPr>
    </w:p>
    <w:p w14:paraId="32B8B4CD">
      <w:pPr>
        <w:rPr>
          <w:rFonts w:hint="eastAsia" w:ascii="宋体" w:hAnsi="宋体" w:eastAsia="宋体" w:cs="宋体"/>
          <w:color w:val="auto"/>
          <w:highlight w:val="none"/>
        </w:rPr>
      </w:pPr>
    </w:p>
    <w:p w14:paraId="1C34D446">
      <w:pPr>
        <w:rPr>
          <w:rFonts w:hint="eastAsia" w:ascii="宋体" w:hAnsi="宋体" w:eastAsia="宋体" w:cs="宋体"/>
          <w:color w:val="auto"/>
          <w:highlight w:val="none"/>
        </w:rPr>
      </w:pPr>
    </w:p>
    <w:p w14:paraId="2F8D6F56">
      <w:pPr>
        <w:rPr>
          <w:rFonts w:hint="eastAsia" w:ascii="宋体" w:hAnsi="宋体" w:eastAsia="宋体" w:cs="宋体"/>
          <w:color w:val="auto"/>
          <w:highlight w:val="none"/>
        </w:rPr>
      </w:pPr>
    </w:p>
    <w:p w14:paraId="41BDBC87">
      <w:pPr>
        <w:rPr>
          <w:rFonts w:hint="eastAsia" w:ascii="宋体" w:hAnsi="宋体" w:eastAsia="宋体" w:cs="宋体"/>
          <w:color w:val="auto"/>
          <w:highlight w:val="none"/>
        </w:rPr>
      </w:pPr>
    </w:p>
    <w:p w14:paraId="034E47D9">
      <w:pPr>
        <w:pStyle w:val="9"/>
        <w:rPr>
          <w:rFonts w:hint="eastAsia" w:ascii="宋体" w:hAnsi="宋体" w:eastAsia="宋体" w:cs="宋体"/>
          <w:color w:val="auto"/>
          <w:highlight w:val="none"/>
        </w:rPr>
      </w:pPr>
    </w:p>
    <w:p w14:paraId="73063611">
      <w:pPr>
        <w:pStyle w:val="9"/>
        <w:rPr>
          <w:rFonts w:hint="eastAsia" w:ascii="宋体" w:hAnsi="宋体" w:eastAsia="宋体" w:cs="宋体"/>
          <w:color w:val="auto"/>
          <w:highlight w:val="none"/>
        </w:rPr>
      </w:pPr>
    </w:p>
    <w:p w14:paraId="70B938C2">
      <w:pPr>
        <w:spacing w:line="360" w:lineRule="auto"/>
        <w:ind w:firstLine="1820" w:firstLineChars="65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委托方：</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 xml:space="preserve"> </w:t>
      </w:r>
    </w:p>
    <w:p w14:paraId="0D175C9B">
      <w:pPr>
        <w:spacing w:line="360" w:lineRule="auto"/>
        <w:ind w:firstLine="1820" w:firstLineChars="650"/>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rPr>
        <w:t>受托方：</w:t>
      </w:r>
      <w:r>
        <w:rPr>
          <w:rFonts w:hint="eastAsia" w:ascii="宋体" w:hAnsi="宋体" w:eastAsia="宋体" w:cs="宋体"/>
          <w:color w:val="auto"/>
          <w:sz w:val="28"/>
          <w:szCs w:val="28"/>
          <w:highlight w:val="none"/>
          <w:u w:val="single"/>
          <w:lang w:val="en-US" w:eastAsia="zh-CN"/>
        </w:rPr>
        <w:t xml:space="preserve">                       </w:t>
      </w:r>
    </w:p>
    <w:p w14:paraId="0E043149">
      <w:pPr>
        <w:spacing w:line="360" w:lineRule="auto"/>
        <w:ind w:firstLine="1820" w:firstLineChars="65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签约时间：年  月  日</w:t>
      </w:r>
    </w:p>
    <w:p w14:paraId="3A3A257A">
      <w:pPr>
        <w:spacing w:before="120" w:beforeLines="50" w:line="360" w:lineRule="auto"/>
        <w:jc w:val="center"/>
        <w:rPr>
          <w:rFonts w:hint="eastAsia" w:ascii="宋体" w:hAnsi="宋体" w:eastAsia="宋体" w:cs="宋体"/>
          <w:b/>
          <w:bCs/>
          <w:color w:val="auto"/>
          <w:sz w:val="36"/>
          <w:szCs w:val="36"/>
          <w:highlight w:val="none"/>
        </w:rPr>
      </w:pPr>
    </w:p>
    <w:p w14:paraId="13CDE3AE">
      <w:pPr>
        <w:spacing w:before="281" w:line="227" w:lineRule="auto"/>
        <w:ind w:left="549"/>
        <w:rPr>
          <w:rFonts w:hint="eastAsia" w:ascii="宋体" w:hAnsi="宋体" w:eastAsia="宋体" w:cs="宋体"/>
          <w:color w:val="auto"/>
          <w:spacing w:val="10"/>
          <w:sz w:val="21"/>
          <w:szCs w:val="21"/>
          <w:highlight w:val="none"/>
        </w:rPr>
      </w:pPr>
      <w:bookmarkStart w:id="2" w:name="_GoBack"/>
      <w:bookmarkEnd w:id="2"/>
    </w:p>
    <w:p w14:paraId="70F9EC4E">
      <w:pPr>
        <w:spacing w:line="360" w:lineRule="auto"/>
        <w:ind w:left="0" w:leftChars="0" w:firstLine="350" w:firstLineChars="175"/>
        <w:rPr>
          <w:rFonts w:hint="eastAsia" w:ascii="仿宋" w:hAnsi="仿宋" w:eastAsia="仿宋" w:cs="仿宋"/>
          <w:color w:val="auto"/>
          <w:spacing w:val="0"/>
          <w:kern w:val="2"/>
          <w:sz w:val="20"/>
          <w:szCs w:val="20"/>
          <w:highlight w:val="none"/>
          <w:lang w:val="zh-CN"/>
        </w:rPr>
      </w:pPr>
      <w:r>
        <w:rPr>
          <w:rFonts w:hint="eastAsia" w:ascii="仿宋" w:hAnsi="仿宋" w:eastAsia="仿宋" w:cs="仿宋"/>
          <w:color w:val="auto"/>
          <w:spacing w:val="0"/>
          <w:kern w:val="2"/>
          <w:sz w:val="20"/>
          <w:szCs w:val="20"/>
          <w:highlight w:val="none"/>
          <w:lang w:val="en-US" w:eastAsia="zh-CN"/>
        </w:rPr>
        <w:t>委托方</w:t>
      </w:r>
      <w:r>
        <w:rPr>
          <w:rFonts w:hint="eastAsia" w:ascii="仿宋" w:hAnsi="仿宋" w:eastAsia="仿宋" w:cs="仿宋"/>
          <w:color w:val="auto"/>
          <w:spacing w:val="0"/>
          <w:kern w:val="2"/>
          <w:sz w:val="20"/>
          <w:szCs w:val="20"/>
          <w:highlight w:val="none"/>
          <w:lang w:val="zh-CN"/>
        </w:rPr>
        <w:t>：</w:t>
      </w:r>
      <w:r>
        <w:rPr>
          <w:rFonts w:hint="eastAsia" w:ascii="仿宋" w:hAnsi="仿宋" w:eastAsia="仿宋" w:cs="仿宋"/>
          <w:color w:val="auto"/>
          <w:spacing w:val="0"/>
          <w:kern w:val="2"/>
          <w:sz w:val="20"/>
          <w:szCs w:val="20"/>
          <w:highlight w:val="none"/>
          <w:u w:val="single"/>
          <w:lang w:val="zh-CN"/>
        </w:rPr>
        <w:t xml:space="preserve">                               </w:t>
      </w:r>
      <w:r>
        <w:rPr>
          <w:rFonts w:hint="eastAsia" w:ascii="仿宋" w:hAnsi="仿宋" w:eastAsia="仿宋" w:cs="仿宋"/>
          <w:color w:val="auto"/>
          <w:spacing w:val="0"/>
          <w:kern w:val="2"/>
          <w:sz w:val="20"/>
          <w:szCs w:val="20"/>
          <w:highlight w:val="none"/>
          <w:lang w:val="zh-CN"/>
        </w:rPr>
        <w:t>，（以下简称甲方）</w:t>
      </w:r>
    </w:p>
    <w:p w14:paraId="1D1F35BF">
      <w:pPr>
        <w:spacing w:line="360" w:lineRule="auto"/>
        <w:ind w:left="0" w:leftChars="0" w:firstLine="350" w:firstLineChars="175"/>
        <w:rPr>
          <w:rFonts w:hint="eastAsia" w:ascii="仿宋" w:hAnsi="仿宋" w:eastAsia="仿宋" w:cs="仿宋"/>
          <w:color w:val="auto"/>
          <w:spacing w:val="0"/>
          <w:kern w:val="2"/>
          <w:sz w:val="20"/>
          <w:szCs w:val="20"/>
          <w:highlight w:val="none"/>
          <w:lang w:val="zh-CN"/>
        </w:rPr>
      </w:pPr>
      <w:r>
        <w:rPr>
          <w:rFonts w:hint="eastAsia" w:ascii="仿宋" w:hAnsi="仿宋" w:eastAsia="仿宋" w:cs="仿宋"/>
          <w:color w:val="auto"/>
          <w:spacing w:val="0"/>
          <w:kern w:val="2"/>
          <w:sz w:val="20"/>
          <w:szCs w:val="20"/>
          <w:highlight w:val="none"/>
          <w:lang w:val="en-US" w:eastAsia="zh-CN"/>
        </w:rPr>
        <w:t>受托方</w:t>
      </w:r>
      <w:r>
        <w:rPr>
          <w:rFonts w:hint="eastAsia" w:ascii="仿宋" w:hAnsi="仿宋" w:eastAsia="仿宋" w:cs="仿宋"/>
          <w:color w:val="auto"/>
          <w:spacing w:val="0"/>
          <w:kern w:val="2"/>
          <w:sz w:val="20"/>
          <w:szCs w:val="20"/>
          <w:highlight w:val="none"/>
          <w:lang w:val="zh-CN"/>
        </w:rPr>
        <w:t>：</w:t>
      </w:r>
      <w:r>
        <w:rPr>
          <w:rFonts w:hint="eastAsia" w:ascii="仿宋" w:hAnsi="仿宋" w:eastAsia="仿宋" w:cs="仿宋"/>
          <w:color w:val="auto"/>
          <w:spacing w:val="0"/>
          <w:kern w:val="2"/>
          <w:sz w:val="20"/>
          <w:szCs w:val="20"/>
          <w:highlight w:val="none"/>
          <w:u w:val="single"/>
          <w:lang w:val="zh-CN"/>
        </w:rPr>
        <w:t xml:space="preserve">                               </w:t>
      </w:r>
      <w:r>
        <w:rPr>
          <w:rFonts w:hint="eastAsia" w:ascii="仿宋" w:hAnsi="仿宋" w:eastAsia="仿宋" w:cs="仿宋"/>
          <w:color w:val="auto"/>
          <w:spacing w:val="0"/>
          <w:kern w:val="2"/>
          <w:sz w:val="20"/>
          <w:szCs w:val="20"/>
          <w:highlight w:val="none"/>
          <w:lang w:val="zh-CN"/>
        </w:rPr>
        <w:t>，（以下简称乙方）</w:t>
      </w:r>
    </w:p>
    <w:p w14:paraId="5282082C">
      <w:pPr>
        <w:spacing w:line="360" w:lineRule="auto"/>
        <w:ind w:left="0" w:leftChars="0" w:firstLine="350" w:firstLineChars="175"/>
        <w:rPr>
          <w:rFonts w:hint="eastAsia" w:ascii="仿宋" w:hAnsi="仿宋" w:eastAsia="仿宋" w:cs="仿宋"/>
          <w:color w:val="auto"/>
          <w:spacing w:val="0"/>
          <w:kern w:val="2"/>
          <w:sz w:val="20"/>
          <w:szCs w:val="20"/>
          <w:highlight w:val="none"/>
          <w:lang w:val="en-US" w:eastAsia="zh-CN"/>
        </w:rPr>
      </w:pPr>
      <w:r>
        <w:rPr>
          <w:rFonts w:hint="eastAsia" w:ascii="仿宋" w:hAnsi="仿宋" w:eastAsia="仿宋" w:cs="仿宋"/>
          <w:color w:val="auto"/>
          <w:spacing w:val="0"/>
          <w:kern w:val="2"/>
          <w:sz w:val="20"/>
          <w:szCs w:val="20"/>
          <w:highlight w:val="none"/>
          <w:lang w:val="en-US" w:eastAsia="zh-CN"/>
        </w:rPr>
        <w:t>甲方与乙方就</w:t>
      </w:r>
      <w:r>
        <w:rPr>
          <w:rFonts w:hint="eastAsia" w:ascii="仿宋" w:hAnsi="仿宋" w:eastAsia="仿宋" w:cs="仿宋"/>
          <w:color w:val="auto"/>
          <w:spacing w:val="0"/>
          <w:kern w:val="2"/>
          <w:sz w:val="20"/>
          <w:szCs w:val="20"/>
          <w:highlight w:val="none"/>
          <w:u w:val="single"/>
          <w:lang w:val="zh-CN"/>
        </w:rPr>
        <w:t xml:space="preserve">                               </w:t>
      </w:r>
      <w:r>
        <w:rPr>
          <w:rFonts w:hint="eastAsia" w:ascii="仿宋" w:hAnsi="仿宋" w:eastAsia="仿宋" w:cs="仿宋"/>
          <w:color w:val="auto"/>
          <w:spacing w:val="0"/>
          <w:kern w:val="2"/>
          <w:sz w:val="20"/>
          <w:szCs w:val="20"/>
          <w:highlight w:val="none"/>
          <w:lang w:val="en-US" w:eastAsia="zh-CN"/>
        </w:rPr>
        <w:t>（项目名称）在平等的基础上依照《中华人民共和国民法典》及相关法律法规规定，订立本合同。</w:t>
      </w:r>
    </w:p>
    <w:p w14:paraId="1955AB2E">
      <w:pPr>
        <w:spacing w:before="155" w:line="226" w:lineRule="auto"/>
        <w:ind w:left="0" w:leftChars="0" w:firstLine="331" w:firstLineChars="165"/>
        <w:rPr>
          <w:rFonts w:hint="eastAsia" w:ascii="仿宋" w:hAnsi="仿宋" w:eastAsia="仿宋" w:cs="仿宋"/>
          <w:color w:val="auto"/>
          <w:spacing w:val="0"/>
          <w:kern w:val="2"/>
          <w:sz w:val="20"/>
          <w:szCs w:val="20"/>
          <w:highlight w:val="none"/>
          <w:lang w:eastAsia="zh-CN"/>
        </w:rPr>
      </w:pPr>
      <w:r>
        <w:rPr>
          <w:rFonts w:hint="eastAsia" w:ascii="仿宋" w:hAnsi="仿宋" w:eastAsia="仿宋" w:cs="仿宋"/>
          <w:b/>
          <w:bCs/>
          <w:color w:val="auto"/>
          <w:spacing w:val="0"/>
          <w:kern w:val="2"/>
          <w:sz w:val="20"/>
          <w:szCs w:val="20"/>
          <w:highlight w:val="none"/>
        </w:rPr>
        <w:t>第一条</w:t>
      </w:r>
      <w:r>
        <w:rPr>
          <w:rFonts w:hint="eastAsia" w:ascii="仿宋" w:hAnsi="仿宋" w:eastAsia="仿宋" w:cs="仿宋"/>
          <w:color w:val="auto"/>
          <w:spacing w:val="0"/>
          <w:kern w:val="2"/>
          <w:sz w:val="20"/>
          <w:szCs w:val="20"/>
          <w:highlight w:val="none"/>
        </w:rPr>
        <w:t xml:space="preserve"> </w:t>
      </w:r>
      <w:r>
        <w:rPr>
          <w:rFonts w:hint="eastAsia" w:ascii="仿宋" w:hAnsi="仿宋" w:eastAsia="仿宋" w:cs="仿宋"/>
          <w:b/>
          <w:bCs/>
          <w:color w:val="auto"/>
          <w:spacing w:val="0"/>
          <w:kern w:val="2"/>
          <w:sz w:val="20"/>
          <w:szCs w:val="20"/>
          <w:highlight w:val="none"/>
          <w:lang w:val="en-US" w:eastAsia="zh-CN"/>
        </w:rPr>
        <w:t>项目概况</w:t>
      </w:r>
    </w:p>
    <w:p w14:paraId="5EAC043E">
      <w:pPr>
        <w:keepNext w:val="0"/>
        <w:keepLines w:val="0"/>
        <w:pageBreakBefore w:val="0"/>
        <w:widowControl w:val="0"/>
        <w:kinsoku/>
        <w:wordWrap/>
        <w:overflowPunct/>
        <w:topLinePunct w:val="0"/>
        <w:autoSpaceDE/>
        <w:autoSpaceDN/>
        <w:bidi w:val="0"/>
        <w:adjustRightInd/>
        <w:snapToGrid/>
        <w:spacing w:before="267" w:line="460" w:lineRule="exact"/>
        <w:ind w:firstLine="480" w:firstLineChars="200"/>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为全面保障公安民辅警日常执勤、值班备勤及应急勤务工作有序开展，稳定队伍后勤保障水平，规范警官餐厅日常三餐食材供应管理工作，采购服务内容包含新鲜蔬菜、畜禽肉类、水产、粮油干货、调料副食品等物资按每日实际就餐需求量，分时段定点配送，保障日常就餐、加班备勤及节假日用餐主副食品食材供应，严控食品安全风险，合理管控采购成本。</w:t>
      </w:r>
    </w:p>
    <w:p w14:paraId="545AC4AF">
      <w:pPr>
        <w:keepNext w:val="0"/>
        <w:keepLines w:val="0"/>
        <w:pageBreakBefore w:val="0"/>
        <w:widowControl w:val="0"/>
        <w:kinsoku/>
        <w:wordWrap/>
        <w:overflowPunct/>
        <w:topLinePunct w:val="0"/>
        <w:autoSpaceDE/>
        <w:autoSpaceDN/>
        <w:bidi w:val="0"/>
        <w:adjustRightInd/>
        <w:snapToGrid/>
        <w:spacing w:before="267" w:line="460" w:lineRule="exact"/>
        <w:ind w:firstLine="402" w:firstLineChars="200"/>
        <w:textAlignment w:val="auto"/>
        <w:rPr>
          <w:rFonts w:hint="eastAsia" w:ascii="仿宋" w:hAnsi="仿宋" w:eastAsia="仿宋" w:cs="仿宋"/>
          <w:color w:val="auto"/>
          <w:spacing w:val="0"/>
          <w:kern w:val="2"/>
          <w:sz w:val="20"/>
          <w:szCs w:val="20"/>
          <w:highlight w:val="none"/>
        </w:rPr>
      </w:pPr>
      <w:r>
        <w:rPr>
          <w:rFonts w:hint="eastAsia" w:ascii="仿宋" w:hAnsi="仿宋" w:eastAsia="仿宋" w:cs="仿宋"/>
          <w:b/>
          <w:bCs/>
          <w:color w:val="auto"/>
          <w:spacing w:val="0"/>
          <w:kern w:val="2"/>
          <w:sz w:val="20"/>
          <w:szCs w:val="20"/>
          <w:highlight w:val="none"/>
        </w:rPr>
        <w:t>第二条</w:t>
      </w:r>
      <w:r>
        <w:rPr>
          <w:rFonts w:hint="eastAsia" w:ascii="仿宋" w:hAnsi="仿宋" w:eastAsia="仿宋" w:cs="仿宋"/>
          <w:color w:val="auto"/>
          <w:spacing w:val="0"/>
          <w:kern w:val="2"/>
          <w:sz w:val="20"/>
          <w:szCs w:val="20"/>
          <w:highlight w:val="none"/>
        </w:rPr>
        <w:t xml:space="preserve"> </w:t>
      </w:r>
      <w:r>
        <w:rPr>
          <w:rFonts w:hint="eastAsia" w:ascii="仿宋" w:hAnsi="仿宋" w:eastAsia="仿宋" w:cs="仿宋"/>
          <w:b/>
          <w:bCs/>
          <w:color w:val="auto"/>
          <w:spacing w:val="0"/>
          <w:kern w:val="2"/>
          <w:sz w:val="20"/>
          <w:szCs w:val="20"/>
          <w:highlight w:val="none"/>
          <w:lang w:val="en-US" w:eastAsia="zh-CN"/>
        </w:rPr>
        <w:t>服务</w:t>
      </w:r>
      <w:r>
        <w:rPr>
          <w:rFonts w:hint="eastAsia" w:ascii="仿宋" w:hAnsi="仿宋" w:eastAsia="仿宋" w:cs="仿宋"/>
          <w:b/>
          <w:bCs/>
          <w:color w:val="auto"/>
          <w:spacing w:val="0"/>
          <w:kern w:val="2"/>
          <w:sz w:val="20"/>
          <w:szCs w:val="20"/>
          <w:highlight w:val="none"/>
        </w:rPr>
        <w:t>地点、</w:t>
      </w:r>
      <w:r>
        <w:rPr>
          <w:rFonts w:hint="eastAsia" w:ascii="仿宋" w:hAnsi="仿宋" w:eastAsia="仿宋" w:cs="仿宋"/>
          <w:b/>
          <w:bCs/>
          <w:color w:val="auto"/>
          <w:spacing w:val="0"/>
          <w:kern w:val="2"/>
          <w:sz w:val="20"/>
          <w:szCs w:val="20"/>
          <w:highlight w:val="none"/>
          <w:lang w:val="en-US" w:eastAsia="zh-CN"/>
        </w:rPr>
        <w:t>服务</w:t>
      </w:r>
      <w:r>
        <w:rPr>
          <w:rFonts w:hint="eastAsia" w:ascii="仿宋" w:hAnsi="仿宋" w:eastAsia="仿宋" w:cs="仿宋"/>
          <w:b/>
          <w:bCs/>
          <w:color w:val="auto"/>
          <w:spacing w:val="0"/>
          <w:kern w:val="2"/>
          <w:sz w:val="20"/>
          <w:szCs w:val="20"/>
          <w:highlight w:val="none"/>
        </w:rPr>
        <w:t>期：</w:t>
      </w:r>
    </w:p>
    <w:p w14:paraId="16CE7FBB">
      <w:pPr>
        <w:keepNext w:val="0"/>
        <w:keepLines w:val="0"/>
        <w:pageBreakBefore w:val="0"/>
        <w:widowControl w:val="0"/>
        <w:kinsoku/>
        <w:wordWrap/>
        <w:overflowPunct/>
        <w:topLinePunct w:val="0"/>
        <w:autoSpaceDE/>
        <w:autoSpaceDN/>
        <w:bidi w:val="0"/>
        <w:adjustRightInd/>
        <w:snapToGrid/>
        <w:spacing w:before="65" w:line="460" w:lineRule="exact"/>
        <w:ind w:firstLine="400" w:firstLineChars="200"/>
        <w:textAlignment w:val="auto"/>
        <w:rPr>
          <w:rFonts w:hint="eastAsia" w:ascii="仿宋" w:hAnsi="仿宋" w:eastAsia="仿宋" w:cs="仿宋"/>
          <w:color w:val="auto"/>
          <w:spacing w:val="0"/>
          <w:kern w:val="2"/>
          <w:sz w:val="20"/>
          <w:szCs w:val="20"/>
          <w:highlight w:val="none"/>
          <w:u w:val="single"/>
          <w:lang w:val="en-US" w:eastAsia="zh-CN"/>
        </w:rPr>
      </w:pPr>
      <w:r>
        <w:rPr>
          <w:rFonts w:hint="eastAsia" w:ascii="仿宋" w:hAnsi="仿宋" w:eastAsia="仿宋" w:cs="仿宋"/>
          <w:color w:val="auto"/>
          <w:spacing w:val="0"/>
          <w:kern w:val="2"/>
          <w:sz w:val="20"/>
          <w:szCs w:val="20"/>
          <w:highlight w:val="none"/>
        </w:rPr>
        <w:t>1.</w:t>
      </w:r>
      <w:r>
        <w:rPr>
          <w:rFonts w:hint="eastAsia" w:ascii="仿宋" w:hAnsi="仿宋" w:eastAsia="仿宋" w:cs="仿宋"/>
          <w:color w:val="auto"/>
          <w:spacing w:val="0"/>
          <w:kern w:val="2"/>
          <w:sz w:val="20"/>
          <w:szCs w:val="20"/>
          <w:highlight w:val="none"/>
          <w:lang w:val="en-US" w:eastAsia="zh-CN"/>
        </w:rPr>
        <w:t>服务地点</w:t>
      </w:r>
      <w:r>
        <w:rPr>
          <w:rFonts w:hint="eastAsia" w:ascii="仿宋" w:hAnsi="仿宋" w:eastAsia="仿宋" w:cs="仿宋"/>
          <w:color w:val="auto"/>
          <w:spacing w:val="0"/>
          <w:kern w:val="2"/>
          <w:sz w:val="20"/>
          <w:szCs w:val="20"/>
          <w:highlight w:val="none"/>
        </w:rPr>
        <w:t>：</w:t>
      </w:r>
      <w:r>
        <w:rPr>
          <w:rFonts w:hint="eastAsia" w:ascii="仿宋" w:hAnsi="仿宋" w:eastAsia="仿宋" w:cs="仿宋"/>
          <w:color w:val="auto"/>
          <w:spacing w:val="0"/>
          <w:kern w:val="2"/>
          <w:sz w:val="20"/>
          <w:szCs w:val="20"/>
          <w:highlight w:val="none"/>
          <w:u w:val="single"/>
          <w:lang w:val="en-US" w:eastAsia="zh-CN"/>
        </w:rPr>
        <w:t xml:space="preserve">                </w:t>
      </w:r>
    </w:p>
    <w:p w14:paraId="20B68D2E">
      <w:pPr>
        <w:keepNext w:val="0"/>
        <w:keepLines w:val="0"/>
        <w:pageBreakBefore w:val="0"/>
        <w:widowControl w:val="0"/>
        <w:kinsoku/>
        <w:wordWrap/>
        <w:overflowPunct/>
        <w:topLinePunct w:val="0"/>
        <w:autoSpaceDE/>
        <w:autoSpaceDN/>
        <w:bidi w:val="0"/>
        <w:adjustRightInd/>
        <w:snapToGrid/>
        <w:spacing w:before="65" w:line="460" w:lineRule="exact"/>
        <w:ind w:firstLine="400" w:firstLineChars="200"/>
        <w:textAlignment w:val="auto"/>
        <w:rPr>
          <w:rFonts w:hint="eastAsia" w:ascii="仿宋" w:hAnsi="仿宋" w:eastAsia="仿宋" w:cs="仿宋"/>
          <w:color w:val="auto"/>
          <w:spacing w:val="0"/>
          <w:kern w:val="2"/>
          <w:sz w:val="20"/>
          <w:szCs w:val="20"/>
          <w:highlight w:val="none"/>
          <w:u w:val="single"/>
          <w:lang w:val="en-US" w:eastAsia="zh-CN"/>
        </w:rPr>
      </w:pPr>
      <w:r>
        <w:rPr>
          <w:rFonts w:hint="eastAsia" w:ascii="仿宋" w:hAnsi="仿宋" w:eastAsia="仿宋" w:cs="仿宋"/>
          <w:color w:val="auto"/>
          <w:spacing w:val="0"/>
          <w:kern w:val="2"/>
          <w:sz w:val="20"/>
          <w:szCs w:val="20"/>
          <w:highlight w:val="none"/>
        </w:rPr>
        <w:t>2.</w:t>
      </w:r>
      <w:r>
        <w:rPr>
          <w:rFonts w:hint="eastAsia" w:ascii="仿宋" w:hAnsi="仿宋" w:eastAsia="仿宋" w:cs="仿宋"/>
          <w:color w:val="auto"/>
          <w:spacing w:val="0"/>
          <w:kern w:val="2"/>
          <w:sz w:val="20"/>
          <w:szCs w:val="20"/>
          <w:highlight w:val="none"/>
          <w:lang w:val="en-US" w:eastAsia="zh-CN"/>
        </w:rPr>
        <w:t>服务期</w:t>
      </w:r>
      <w:r>
        <w:rPr>
          <w:rFonts w:hint="eastAsia" w:ascii="仿宋" w:hAnsi="仿宋" w:eastAsia="仿宋" w:cs="仿宋"/>
          <w:color w:val="auto"/>
          <w:spacing w:val="0"/>
          <w:kern w:val="2"/>
          <w:sz w:val="20"/>
          <w:szCs w:val="20"/>
          <w:highlight w:val="none"/>
        </w:rPr>
        <w:t>：</w:t>
      </w:r>
      <w:r>
        <w:rPr>
          <w:rFonts w:hint="eastAsia" w:ascii="仿宋" w:hAnsi="仿宋" w:eastAsia="仿宋" w:cs="仿宋"/>
          <w:color w:val="auto"/>
          <w:spacing w:val="0"/>
          <w:kern w:val="2"/>
          <w:sz w:val="20"/>
          <w:szCs w:val="20"/>
          <w:highlight w:val="none"/>
          <w:u w:val="single"/>
          <w:lang w:val="en-US" w:eastAsia="zh-CN"/>
        </w:rPr>
        <w:t xml:space="preserve">                  </w:t>
      </w:r>
    </w:p>
    <w:p w14:paraId="3211AB25">
      <w:pPr>
        <w:keepNext w:val="0"/>
        <w:keepLines w:val="0"/>
        <w:pageBreakBefore w:val="0"/>
        <w:widowControl w:val="0"/>
        <w:kinsoku/>
        <w:wordWrap/>
        <w:overflowPunct/>
        <w:topLinePunct w:val="0"/>
        <w:autoSpaceDE/>
        <w:autoSpaceDN/>
        <w:bidi w:val="0"/>
        <w:adjustRightInd/>
        <w:snapToGrid/>
        <w:spacing w:before="65" w:line="460" w:lineRule="exact"/>
        <w:ind w:firstLine="402" w:firstLineChars="200"/>
        <w:textAlignment w:val="auto"/>
        <w:rPr>
          <w:rFonts w:hint="eastAsia" w:ascii="仿宋" w:hAnsi="仿宋" w:eastAsia="仿宋" w:cs="仿宋"/>
          <w:color w:val="auto"/>
          <w:spacing w:val="0"/>
          <w:kern w:val="2"/>
          <w:sz w:val="20"/>
          <w:szCs w:val="20"/>
          <w:highlight w:val="none"/>
        </w:rPr>
      </w:pPr>
      <w:r>
        <w:rPr>
          <w:rFonts w:hint="eastAsia" w:ascii="仿宋" w:hAnsi="仿宋" w:eastAsia="仿宋" w:cs="仿宋"/>
          <w:b/>
          <w:bCs/>
          <w:color w:val="auto"/>
          <w:spacing w:val="0"/>
          <w:kern w:val="2"/>
          <w:sz w:val="20"/>
          <w:szCs w:val="20"/>
          <w:highlight w:val="none"/>
        </w:rPr>
        <w:t>第三条</w:t>
      </w:r>
      <w:r>
        <w:rPr>
          <w:rFonts w:hint="eastAsia" w:ascii="仿宋" w:hAnsi="仿宋" w:eastAsia="仿宋" w:cs="仿宋"/>
          <w:color w:val="auto"/>
          <w:spacing w:val="0"/>
          <w:kern w:val="2"/>
          <w:sz w:val="20"/>
          <w:szCs w:val="20"/>
          <w:highlight w:val="none"/>
        </w:rPr>
        <w:t xml:space="preserve"> </w:t>
      </w:r>
      <w:r>
        <w:rPr>
          <w:rFonts w:hint="eastAsia" w:ascii="仿宋" w:hAnsi="仿宋" w:eastAsia="仿宋" w:cs="仿宋"/>
          <w:b/>
          <w:bCs/>
          <w:color w:val="auto"/>
          <w:spacing w:val="0"/>
          <w:kern w:val="2"/>
          <w:sz w:val="20"/>
          <w:szCs w:val="20"/>
          <w:highlight w:val="none"/>
          <w:lang w:val="en-US" w:eastAsia="zh-Hans"/>
        </w:rPr>
        <w:t>结算与付款方式</w:t>
      </w:r>
    </w:p>
    <w:p w14:paraId="676E523B">
      <w:pPr>
        <w:keepNext w:val="0"/>
        <w:keepLines w:val="0"/>
        <w:pageBreakBefore w:val="0"/>
        <w:widowControl w:val="0"/>
        <w:kinsoku/>
        <w:wordWrap/>
        <w:overflowPunct/>
        <w:topLinePunct w:val="0"/>
        <w:autoSpaceDE/>
        <w:autoSpaceDN/>
        <w:bidi w:val="0"/>
        <w:adjustRightInd/>
        <w:snapToGrid/>
        <w:spacing w:before="35" w:line="460" w:lineRule="exact"/>
        <w:ind w:firstLine="400" w:firstLineChars="200"/>
        <w:textAlignment w:val="auto"/>
        <w:rPr>
          <w:rFonts w:hint="eastAsia" w:ascii="仿宋" w:hAnsi="仿宋" w:eastAsia="仿宋" w:cs="仿宋"/>
          <w:b w:val="0"/>
          <w:bCs w:val="0"/>
          <w:color w:val="auto"/>
          <w:spacing w:val="0"/>
          <w:kern w:val="2"/>
          <w:sz w:val="20"/>
          <w:szCs w:val="20"/>
          <w:highlight w:val="none"/>
        </w:rPr>
      </w:pPr>
      <w:r>
        <w:rPr>
          <w:rFonts w:hint="eastAsia" w:ascii="仿宋" w:hAnsi="仿宋" w:eastAsia="仿宋" w:cs="仿宋"/>
          <w:b w:val="0"/>
          <w:bCs w:val="0"/>
          <w:color w:val="auto"/>
          <w:spacing w:val="0"/>
          <w:kern w:val="2"/>
          <w:sz w:val="20"/>
          <w:szCs w:val="20"/>
          <w:highlight w:val="none"/>
        </w:rPr>
        <w:t>（一）价格：</w:t>
      </w:r>
      <w:r>
        <w:rPr>
          <w:rFonts w:hint="eastAsia" w:ascii="仿宋" w:hAnsi="仿宋" w:eastAsia="仿宋" w:cs="仿宋"/>
          <w:b w:val="0"/>
          <w:bCs w:val="0"/>
          <w:color w:val="auto"/>
          <w:spacing w:val="0"/>
          <w:kern w:val="2"/>
          <w:sz w:val="20"/>
          <w:szCs w:val="20"/>
          <w:highlight w:val="none"/>
          <w:lang w:val="en-US" w:eastAsia="zh-CN"/>
        </w:rPr>
        <w:t>项目报价为含税全包总价，包含食材采购、分拣、包装、冷链运输、装卸、检测、税费、售后、应急保障、人员设备运维等项目全部费用，合同履行期内甲方无需额外支付任何费用，乙方自主承担所有运营成本及风险。</w:t>
      </w:r>
    </w:p>
    <w:p w14:paraId="18F87D2F">
      <w:pPr>
        <w:keepNext w:val="0"/>
        <w:keepLines w:val="0"/>
        <w:pageBreakBefore w:val="0"/>
        <w:widowControl w:val="0"/>
        <w:kinsoku/>
        <w:wordWrap/>
        <w:overflowPunct/>
        <w:topLinePunct w:val="0"/>
        <w:autoSpaceDE/>
        <w:autoSpaceDN/>
        <w:bidi w:val="0"/>
        <w:adjustRightInd/>
        <w:snapToGrid/>
        <w:spacing w:before="35" w:line="460" w:lineRule="exact"/>
        <w:ind w:firstLine="400" w:firstLineChars="200"/>
        <w:textAlignment w:val="auto"/>
        <w:rPr>
          <w:rFonts w:hint="eastAsia" w:ascii="仿宋" w:hAnsi="仿宋" w:eastAsia="仿宋" w:cs="仿宋"/>
          <w:b w:val="0"/>
          <w:bCs w:val="0"/>
          <w:color w:val="auto"/>
          <w:spacing w:val="0"/>
          <w:kern w:val="2"/>
          <w:sz w:val="20"/>
          <w:szCs w:val="20"/>
          <w:highlight w:val="none"/>
        </w:rPr>
      </w:pPr>
      <w:r>
        <w:rPr>
          <w:rFonts w:hint="eastAsia" w:ascii="仿宋" w:hAnsi="仿宋" w:eastAsia="仿宋" w:cs="仿宋"/>
          <w:b w:val="0"/>
          <w:bCs w:val="0"/>
          <w:color w:val="auto"/>
          <w:spacing w:val="0"/>
          <w:kern w:val="2"/>
          <w:sz w:val="20"/>
          <w:szCs w:val="20"/>
          <w:highlight w:val="none"/>
        </w:rPr>
        <w:t>（二）付款方式： 甲方采用</w:t>
      </w:r>
      <w:r>
        <w:rPr>
          <w:rFonts w:hint="eastAsia" w:ascii="仿宋" w:hAnsi="仿宋" w:eastAsia="仿宋" w:cs="仿宋"/>
          <w:b w:val="0"/>
          <w:bCs w:val="0"/>
          <w:color w:val="auto"/>
          <w:spacing w:val="0"/>
          <w:kern w:val="2"/>
          <w:sz w:val="20"/>
          <w:szCs w:val="20"/>
          <w:highlight w:val="none"/>
          <w:u w:val="single"/>
        </w:rPr>
        <w:t xml:space="preserve">  转账  </w:t>
      </w:r>
      <w:r>
        <w:rPr>
          <w:rFonts w:hint="eastAsia" w:ascii="仿宋" w:hAnsi="仿宋" w:eastAsia="仿宋" w:cs="仿宋"/>
          <w:b w:val="0"/>
          <w:bCs w:val="0"/>
          <w:color w:val="auto"/>
          <w:spacing w:val="0"/>
          <w:kern w:val="2"/>
          <w:sz w:val="20"/>
          <w:szCs w:val="20"/>
          <w:highlight w:val="none"/>
        </w:rPr>
        <w:t xml:space="preserve"> 方式付款</w:t>
      </w:r>
      <w:r>
        <w:rPr>
          <w:rFonts w:hint="eastAsia" w:ascii="仿宋" w:hAnsi="仿宋" w:eastAsia="仿宋" w:cs="仿宋"/>
          <w:b w:val="0"/>
          <w:bCs w:val="0"/>
          <w:color w:val="auto"/>
          <w:spacing w:val="0"/>
          <w:kern w:val="2"/>
          <w:sz w:val="20"/>
          <w:szCs w:val="20"/>
          <w:highlight w:val="none"/>
          <w:lang w:eastAsia="zh-CN"/>
        </w:rPr>
        <w:t>；</w:t>
      </w:r>
    </w:p>
    <w:p w14:paraId="262C1B7E">
      <w:pPr>
        <w:keepNext w:val="0"/>
        <w:keepLines w:val="0"/>
        <w:pageBreakBefore w:val="0"/>
        <w:widowControl w:val="0"/>
        <w:numPr>
          <w:ilvl w:val="0"/>
          <w:numId w:val="0"/>
        </w:numPr>
        <w:kinsoku/>
        <w:wordWrap/>
        <w:overflowPunct/>
        <w:topLinePunct w:val="0"/>
        <w:autoSpaceDE/>
        <w:autoSpaceDN/>
        <w:bidi w:val="0"/>
        <w:adjustRightInd/>
        <w:snapToGrid/>
        <w:spacing w:before="35" w:line="460" w:lineRule="exact"/>
        <w:ind w:firstLine="400" w:firstLineChars="200"/>
        <w:textAlignment w:val="auto"/>
        <w:rPr>
          <w:rFonts w:hint="eastAsia" w:ascii="仿宋" w:hAnsi="仿宋" w:eastAsia="仿宋" w:cs="仿宋"/>
          <w:b w:val="0"/>
          <w:bCs w:val="0"/>
          <w:color w:val="auto"/>
          <w:spacing w:val="0"/>
          <w:kern w:val="2"/>
          <w:sz w:val="20"/>
          <w:szCs w:val="20"/>
          <w:highlight w:val="none"/>
        </w:rPr>
      </w:pPr>
      <w:r>
        <w:rPr>
          <w:rFonts w:hint="eastAsia" w:ascii="仿宋" w:hAnsi="仿宋" w:eastAsia="仿宋" w:cs="仿宋"/>
          <w:b w:val="0"/>
          <w:bCs w:val="0"/>
          <w:color w:val="auto"/>
          <w:spacing w:val="0"/>
          <w:kern w:val="2"/>
          <w:sz w:val="20"/>
          <w:szCs w:val="20"/>
          <w:lang w:val="en-US" w:eastAsia="zh-CN" w:bidi="ar-SA"/>
        </w:rPr>
        <w:t>1.</w:t>
      </w:r>
      <w:r>
        <w:rPr>
          <w:rFonts w:hint="eastAsia" w:ascii="仿宋" w:hAnsi="仿宋" w:eastAsia="仿宋" w:cs="仿宋"/>
          <w:b w:val="0"/>
          <w:bCs w:val="0"/>
          <w:color w:val="auto"/>
          <w:spacing w:val="0"/>
          <w:kern w:val="2"/>
          <w:sz w:val="20"/>
          <w:szCs w:val="20"/>
          <w:highlight w:val="none"/>
        </w:rPr>
        <w:t>支付方式：采用按</w:t>
      </w:r>
      <w:r>
        <w:rPr>
          <w:rFonts w:hint="eastAsia" w:ascii="仿宋" w:hAnsi="仿宋" w:eastAsia="仿宋" w:cs="仿宋"/>
          <w:b w:val="0"/>
          <w:bCs w:val="0"/>
          <w:color w:val="auto"/>
          <w:spacing w:val="0"/>
          <w:kern w:val="2"/>
          <w:sz w:val="20"/>
          <w:szCs w:val="20"/>
          <w:highlight w:val="none"/>
          <w:u w:val="single"/>
        </w:rPr>
        <w:t xml:space="preserve"> </w:t>
      </w:r>
      <w:r>
        <w:rPr>
          <w:rFonts w:hint="eastAsia" w:ascii="仿宋" w:hAnsi="仿宋" w:eastAsia="仿宋" w:cs="仿宋"/>
          <w:b w:val="0"/>
          <w:bCs w:val="0"/>
          <w:color w:val="auto"/>
          <w:spacing w:val="0"/>
          <w:kern w:val="2"/>
          <w:sz w:val="20"/>
          <w:szCs w:val="20"/>
          <w:highlight w:val="none"/>
          <w:u w:val="single"/>
          <w:lang w:val="en-US" w:eastAsia="zh-CN"/>
        </w:rPr>
        <w:t>月付</w:t>
      </w:r>
      <w:r>
        <w:rPr>
          <w:rFonts w:hint="eastAsia" w:ascii="仿宋" w:hAnsi="仿宋" w:eastAsia="仿宋" w:cs="仿宋"/>
          <w:b w:val="0"/>
          <w:bCs w:val="0"/>
          <w:color w:val="auto"/>
          <w:spacing w:val="0"/>
          <w:kern w:val="2"/>
          <w:sz w:val="20"/>
          <w:szCs w:val="20"/>
          <w:highlight w:val="none"/>
          <w:u w:val="single"/>
        </w:rPr>
        <w:t xml:space="preserve"> </w:t>
      </w:r>
      <w:r>
        <w:rPr>
          <w:rFonts w:hint="eastAsia" w:ascii="仿宋" w:hAnsi="仿宋" w:eastAsia="仿宋" w:cs="仿宋"/>
          <w:b w:val="0"/>
          <w:bCs w:val="0"/>
          <w:color w:val="auto"/>
          <w:spacing w:val="0"/>
          <w:kern w:val="2"/>
          <w:sz w:val="20"/>
          <w:szCs w:val="20"/>
          <w:highlight w:val="none"/>
        </w:rPr>
        <w:t>方式支付（自合同签订之日起，每</w:t>
      </w:r>
      <w:r>
        <w:rPr>
          <w:rFonts w:hint="eastAsia" w:ascii="仿宋" w:hAnsi="仿宋" w:eastAsia="仿宋" w:cs="仿宋"/>
          <w:b w:val="0"/>
          <w:bCs w:val="0"/>
          <w:color w:val="auto"/>
          <w:spacing w:val="0"/>
          <w:kern w:val="2"/>
          <w:sz w:val="20"/>
          <w:szCs w:val="20"/>
          <w:highlight w:val="none"/>
          <w:lang w:val="en-US" w:eastAsia="zh-CN"/>
        </w:rPr>
        <w:t>个</w:t>
      </w:r>
      <w:r>
        <w:rPr>
          <w:rFonts w:hint="eastAsia" w:ascii="仿宋" w:hAnsi="仿宋" w:eastAsia="仿宋" w:cs="仿宋"/>
          <w:b w:val="0"/>
          <w:bCs w:val="0"/>
          <w:color w:val="auto"/>
          <w:spacing w:val="0"/>
          <w:kern w:val="2"/>
          <w:sz w:val="20"/>
          <w:szCs w:val="20"/>
          <w:highlight w:val="none"/>
        </w:rPr>
        <w:t>月），每阶段费用支付周期末乙方向甲方提交当</w:t>
      </w:r>
      <w:r>
        <w:rPr>
          <w:rFonts w:hint="eastAsia" w:ascii="仿宋" w:hAnsi="仿宋" w:eastAsia="仿宋" w:cs="仿宋"/>
          <w:b w:val="0"/>
          <w:bCs w:val="0"/>
          <w:color w:val="auto"/>
          <w:spacing w:val="0"/>
          <w:kern w:val="2"/>
          <w:sz w:val="20"/>
          <w:szCs w:val="20"/>
          <w:highlight w:val="none"/>
          <w:lang w:val="en-US" w:eastAsia="zh-CN"/>
        </w:rPr>
        <w:t>月</w:t>
      </w:r>
      <w:r>
        <w:rPr>
          <w:rFonts w:hint="eastAsia" w:ascii="仿宋" w:hAnsi="仿宋" w:eastAsia="仿宋" w:cs="仿宋"/>
          <w:b w:val="0"/>
          <w:bCs w:val="0"/>
          <w:color w:val="auto"/>
          <w:spacing w:val="0"/>
          <w:kern w:val="2"/>
          <w:sz w:val="20"/>
          <w:szCs w:val="20"/>
          <w:highlight w:val="none"/>
        </w:rPr>
        <w:t>费用计量资料，并报甲方进行确认，甲方于 14 个工作日内完成审核。</w:t>
      </w:r>
    </w:p>
    <w:p w14:paraId="684046AF">
      <w:pPr>
        <w:keepNext w:val="0"/>
        <w:keepLines w:val="0"/>
        <w:pageBreakBefore w:val="0"/>
        <w:widowControl w:val="0"/>
        <w:numPr>
          <w:ilvl w:val="0"/>
          <w:numId w:val="0"/>
        </w:numPr>
        <w:kinsoku/>
        <w:wordWrap/>
        <w:overflowPunct/>
        <w:topLinePunct w:val="0"/>
        <w:autoSpaceDE/>
        <w:autoSpaceDN/>
        <w:bidi w:val="0"/>
        <w:adjustRightInd/>
        <w:snapToGrid/>
        <w:spacing w:before="35" w:line="460" w:lineRule="exact"/>
        <w:textAlignment w:val="auto"/>
        <w:rPr>
          <w:rFonts w:hint="eastAsia" w:ascii="仿宋" w:hAnsi="仿宋" w:eastAsia="仿宋" w:cs="仿宋"/>
          <w:b w:val="0"/>
          <w:bCs w:val="0"/>
          <w:color w:val="auto"/>
          <w:spacing w:val="0"/>
          <w:kern w:val="2"/>
          <w:sz w:val="20"/>
          <w:szCs w:val="20"/>
          <w:highlight w:val="none"/>
        </w:rPr>
      </w:pPr>
      <w:r>
        <w:rPr>
          <w:rFonts w:hint="eastAsia" w:ascii="仿宋" w:hAnsi="仿宋" w:eastAsia="仿宋" w:cs="仿宋"/>
          <w:b/>
          <w:bCs/>
          <w:color w:val="auto"/>
          <w:spacing w:val="0"/>
          <w:kern w:val="2"/>
          <w:sz w:val="20"/>
          <w:szCs w:val="20"/>
          <w:highlight w:val="none"/>
        </w:rPr>
        <w:t>所有原材料不得高于根据市场行情价格。采购方每月不定期考察附近三家大型超市并作价格比较，发现同等货物同等质量价格高于市场价，供应方需作出两个考察期内所有天数差价赔偿（如10天*当天差价），连续发现两次以上或者累计发现三次以上采购方有权单方终止合同。</w:t>
      </w:r>
      <w:r>
        <w:rPr>
          <w:rFonts w:hint="eastAsia" w:ascii="仿宋" w:hAnsi="仿宋" w:eastAsia="仿宋" w:cs="仿宋"/>
          <w:b/>
          <w:bCs/>
          <w:color w:val="auto"/>
          <w:spacing w:val="0"/>
          <w:kern w:val="2"/>
          <w:sz w:val="20"/>
          <w:szCs w:val="20"/>
          <w:highlight w:val="none"/>
          <w:lang w:eastAsia="zh-CN"/>
        </w:rPr>
        <w:t>）</w:t>
      </w:r>
    </w:p>
    <w:p w14:paraId="766C9551">
      <w:pPr>
        <w:keepNext w:val="0"/>
        <w:keepLines w:val="0"/>
        <w:pageBreakBefore w:val="0"/>
        <w:widowControl w:val="0"/>
        <w:kinsoku/>
        <w:wordWrap/>
        <w:overflowPunct/>
        <w:topLinePunct w:val="0"/>
        <w:autoSpaceDE/>
        <w:autoSpaceDN/>
        <w:bidi w:val="0"/>
        <w:adjustRightInd/>
        <w:snapToGrid/>
        <w:spacing w:before="35" w:line="460" w:lineRule="exact"/>
        <w:ind w:firstLine="400" w:firstLineChars="200"/>
        <w:textAlignment w:val="auto"/>
        <w:rPr>
          <w:rFonts w:hint="eastAsia" w:ascii="仿宋" w:hAnsi="仿宋" w:eastAsia="仿宋" w:cs="仿宋"/>
          <w:color w:val="auto"/>
          <w:spacing w:val="0"/>
          <w:kern w:val="2"/>
          <w:sz w:val="20"/>
          <w:szCs w:val="20"/>
          <w:highlight w:val="none"/>
        </w:rPr>
      </w:pPr>
      <w:r>
        <w:rPr>
          <w:rFonts w:hint="eastAsia" w:ascii="仿宋" w:hAnsi="仿宋" w:eastAsia="仿宋" w:cs="仿宋"/>
          <w:b w:val="0"/>
          <w:bCs w:val="0"/>
          <w:color w:val="auto"/>
          <w:spacing w:val="0"/>
          <w:kern w:val="2"/>
          <w:sz w:val="20"/>
          <w:szCs w:val="20"/>
          <w:highlight w:val="none"/>
          <w:lang w:val="en-US" w:eastAsia="zh-CN"/>
        </w:rPr>
        <w:t>2</w:t>
      </w:r>
      <w:r>
        <w:rPr>
          <w:rFonts w:hint="eastAsia" w:ascii="仿宋" w:hAnsi="仿宋" w:eastAsia="仿宋" w:cs="仿宋"/>
          <w:b w:val="0"/>
          <w:bCs w:val="0"/>
          <w:color w:val="auto"/>
          <w:spacing w:val="0"/>
          <w:kern w:val="2"/>
          <w:sz w:val="20"/>
          <w:szCs w:val="20"/>
          <w:highlight w:val="none"/>
        </w:rPr>
        <w:t>.每阶段费用支付周期末，经甲方审核完成后5日内，乙方应按甲方要求在甲方付款前出具并送达合法有效的增值税普通发票及食材采购清单，因乙方延迟送达、开票信息错误等导致提供的增值税普通发票不能通过税务部门认证的，甲方有权拒绝接收，由此造成的付款延期由乙方自行负责</w:t>
      </w:r>
      <w:r>
        <w:rPr>
          <w:rFonts w:hint="eastAsia" w:ascii="仿宋" w:hAnsi="仿宋" w:eastAsia="仿宋" w:cs="仿宋"/>
          <w:color w:val="auto"/>
          <w:spacing w:val="0"/>
          <w:kern w:val="2"/>
          <w:sz w:val="20"/>
          <w:szCs w:val="20"/>
          <w:highlight w:val="none"/>
        </w:rPr>
        <w:t>。</w:t>
      </w:r>
    </w:p>
    <w:p w14:paraId="03FE4FDD">
      <w:pPr>
        <w:keepNext w:val="0"/>
        <w:keepLines w:val="0"/>
        <w:pageBreakBefore w:val="0"/>
        <w:widowControl w:val="0"/>
        <w:kinsoku/>
        <w:wordWrap/>
        <w:overflowPunct/>
        <w:topLinePunct w:val="0"/>
        <w:autoSpaceDE/>
        <w:autoSpaceDN/>
        <w:bidi w:val="0"/>
        <w:adjustRightInd/>
        <w:snapToGrid/>
        <w:spacing w:before="35" w:line="460" w:lineRule="exact"/>
        <w:ind w:firstLine="400" w:firstLineChars="200"/>
        <w:textAlignment w:val="auto"/>
        <w:rPr>
          <w:rFonts w:hint="eastAsia" w:ascii="仿宋" w:hAnsi="仿宋" w:eastAsia="仿宋" w:cs="仿宋"/>
          <w:b w:val="0"/>
          <w:bCs w:val="0"/>
          <w:color w:val="auto"/>
          <w:spacing w:val="0"/>
          <w:kern w:val="2"/>
          <w:sz w:val="20"/>
          <w:szCs w:val="20"/>
          <w:highlight w:val="none"/>
        </w:rPr>
      </w:pPr>
      <w:r>
        <w:rPr>
          <w:rFonts w:hint="eastAsia" w:ascii="仿宋" w:hAnsi="仿宋" w:eastAsia="仿宋" w:cs="仿宋"/>
          <w:b w:val="0"/>
          <w:bCs w:val="0"/>
          <w:color w:val="auto"/>
          <w:spacing w:val="0"/>
          <w:kern w:val="2"/>
          <w:sz w:val="20"/>
          <w:szCs w:val="20"/>
          <w:highlight w:val="none"/>
        </w:rPr>
        <w:t>（二）乙方收款信息</w:t>
      </w:r>
    </w:p>
    <w:p w14:paraId="3A48905E">
      <w:pPr>
        <w:keepNext w:val="0"/>
        <w:keepLines w:val="0"/>
        <w:pageBreakBefore w:val="0"/>
        <w:widowControl w:val="0"/>
        <w:kinsoku/>
        <w:wordWrap/>
        <w:overflowPunct/>
        <w:topLinePunct w:val="0"/>
        <w:autoSpaceDE/>
        <w:autoSpaceDN/>
        <w:bidi w:val="0"/>
        <w:adjustRightInd/>
        <w:snapToGrid/>
        <w:spacing w:before="35" w:line="460" w:lineRule="exact"/>
        <w:ind w:firstLine="400" w:firstLineChars="200"/>
        <w:textAlignment w:val="auto"/>
        <w:rPr>
          <w:rFonts w:hint="eastAsia" w:ascii="仿宋" w:hAnsi="仿宋" w:eastAsia="仿宋" w:cs="仿宋"/>
          <w:b w:val="0"/>
          <w:bCs w:val="0"/>
          <w:color w:val="auto"/>
          <w:spacing w:val="0"/>
          <w:kern w:val="2"/>
          <w:sz w:val="20"/>
          <w:szCs w:val="20"/>
          <w:highlight w:val="none"/>
        </w:rPr>
      </w:pPr>
      <w:r>
        <w:rPr>
          <w:rFonts w:hint="eastAsia" w:ascii="仿宋" w:hAnsi="仿宋" w:eastAsia="仿宋" w:cs="仿宋"/>
          <w:b w:val="0"/>
          <w:bCs w:val="0"/>
          <w:color w:val="auto"/>
          <w:spacing w:val="0"/>
          <w:kern w:val="2"/>
          <w:sz w:val="20"/>
          <w:szCs w:val="20"/>
          <w:highlight w:val="none"/>
        </w:rPr>
        <w:t>单位名称：</w:t>
      </w:r>
      <w:r>
        <w:rPr>
          <w:rFonts w:hint="eastAsia" w:ascii="仿宋" w:hAnsi="仿宋" w:eastAsia="仿宋" w:cs="仿宋"/>
          <w:b w:val="0"/>
          <w:bCs w:val="0"/>
          <w:color w:val="auto"/>
          <w:spacing w:val="0"/>
          <w:kern w:val="2"/>
          <w:sz w:val="20"/>
          <w:szCs w:val="20"/>
          <w:highlight w:val="none"/>
          <w:u w:val="single"/>
          <w:lang w:val="en-US" w:eastAsia="zh-CN"/>
        </w:rPr>
        <w:t xml:space="preserve">                    </w:t>
      </w:r>
      <w:r>
        <w:rPr>
          <w:rFonts w:hint="eastAsia" w:ascii="仿宋" w:hAnsi="仿宋" w:eastAsia="仿宋" w:cs="仿宋"/>
          <w:b w:val="0"/>
          <w:bCs w:val="0"/>
          <w:color w:val="auto"/>
          <w:spacing w:val="0"/>
          <w:kern w:val="2"/>
          <w:sz w:val="20"/>
          <w:szCs w:val="20"/>
          <w:highlight w:val="none"/>
        </w:rPr>
        <w:t xml:space="preserve">                                     </w:t>
      </w:r>
    </w:p>
    <w:p w14:paraId="11E2E21D">
      <w:pPr>
        <w:keepNext w:val="0"/>
        <w:keepLines w:val="0"/>
        <w:pageBreakBefore w:val="0"/>
        <w:widowControl w:val="0"/>
        <w:kinsoku/>
        <w:wordWrap/>
        <w:overflowPunct/>
        <w:topLinePunct w:val="0"/>
        <w:autoSpaceDE/>
        <w:autoSpaceDN/>
        <w:bidi w:val="0"/>
        <w:adjustRightInd/>
        <w:snapToGrid/>
        <w:spacing w:before="35" w:line="460" w:lineRule="exact"/>
        <w:ind w:firstLine="400" w:firstLineChars="200"/>
        <w:textAlignment w:val="auto"/>
        <w:rPr>
          <w:rFonts w:hint="eastAsia" w:ascii="仿宋" w:hAnsi="仿宋" w:eastAsia="仿宋" w:cs="仿宋"/>
          <w:b w:val="0"/>
          <w:bCs w:val="0"/>
          <w:color w:val="auto"/>
          <w:spacing w:val="0"/>
          <w:kern w:val="2"/>
          <w:sz w:val="20"/>
          <w:szCs w:val="20"/>
          <w:highlight w:val="none"/>
        </w:rPr>
      </w:pPr>
      <w:r>
        <w:rPr>
          <w:rFonts w:hint="eastAsia" w:ascii="仿宋" w:hAnsi="仿宋" w:eastAsia="仿宋" w:cs="仿宋"/>
          <w:b w:val="0"/>
          <w:bCs w:val="0"/>
          <w:color w:val="auto"/>
          <w:spacing w:val="0"/>
          <w:kern w:val="2"/>
          <w:sz w:val="20"/>
          <w:szCs w:val="20"/>
          <w:highlight w:val="none"/>
        </w:rPr>
        <w:t>纳税人识别号：</w:t>
      </w:r>
      <w:r>
        <w:rPr>
          <w:rFonts w:hint="eastAsia" w:ascii="仿宋" w:hAnsi="仿宋" w:eastAsia="仿宋" w:cs="仿宋"/>
          <w:b w:val="0"/>
          <w:bCs w:val="0"/>
          <w:color w:val="auto"/>
          <w:spacing w:val="0"/>
          <w:kern w:val="2"/>
          <w:sz w:val="20"/>
          <w:szCs w:val="20"/>
          <w:highlight w:val="none"/>
          <w:u w:val="single"/>
          <w:lang w:val="en-US" w:eastAsia="zh-CN"/>
        </w:rPr>
        <w:t xml:space="preserve">                </w:t>
      </w:r>
      <w:r>
        <w:rPr>
          <w:rFonts w:hint="eastAsia" w:ascii="仿宋" w:hAnsi="仿宋" w:eastAsia="仿宋" w:cs="仿宋"/>
          <w:b w:val="0"/>
          <w:bCs w:val="0"/>
          <w:color w:val="auto"/>
          <w:spacing w:val="0"/>
          <w:kern w:val="2"/>
          <w:sz w:val="20"/>
          <w:szCs w:val="20"/>
          <w:highlight w:val="none"/>
        </w:rPr>
        <w:t xml:space="preserve">                                                             </w:t>
      </w:r>
    </w:p>
    <w:p w14:paraId="5D3E5526">
      <w:pPr>
        <w:keepNext w:val="0"/>
        <w:keepLines w:val="0"/>
        <w:pageBreakBefore w:val="0"/>
        <w:widowControl w:val="0"/>
        <w:kinsoku/>
        <w:wordWrap/>
        <w:overflowPunct/>
        <w:topLinePunct w:val="0"/>
        <w:autoSpaceDE/>
        <w:autoSpaceDN/>
        <w:bidi w:val="0"/>
        <w:adjustRightInd/>
        <w:snapToGrid/>
        <w:spacing w:before="35" w:line="460" w:lineRule="exact"/>
        <w:ind w:firstLine="400" w:firstLineChars="200"/>
        <w:textAlignment w:val="auto"/>
        <w:rPr>
          <w:rFonts w:hint="eastAsia" w:ascii="仿宋" w:hAnsi="仿宋" w:eastAsia="仿宋" w:cs="仿宋"/>
          <w:b w:val="0"/>
          <w:bCs w:val="0"/>
          <w:color w:val="auto"/>
          <w:spacing w:val="0"/>
          <w:kern w:val="2"/>
          <w:sz w:val="20"/>
          <w:szCs w:val="20"/>
          <w:highlight w:val="none"/>
        </w:rPr>
      </w:pPr>
      <w:r>
        <w:rPr>
          <w:rFonts w:hint="eastAsia" w:ascii="仿宋" w:hAnsi="仿宋" w:eastAsia="仿宋" w:cs="仿宋"/>
          <w:b w:val="0"/>
          <w:bCs w:val="0"/>
          <w:color w:val="auto"/>
          <w:spacing w:val="0"/>
          <w:kern w:val="2"/>
          <w:sz w:val="20"/>
          <w:szCs w:val="20"/>
          <w:highlight w:val="none"/>
        </w:rPr>
        <w:t xml:space="preserve">地  </w:t>
      </w:r>
      <w:r>
        <w:rPr>
          <w:rFonts w:hint="eastAsia" w:ascii="仿宋" w:hAnsi="仿宋" w:eastAsia="仿宋" w:cs="仿宋"/>
          <w:b w:val="0"/>
          <w:bCs w:val="0"/>
          <w:color w:val="auto"/>
          <w:spacing w:val="0"/>
          <w:kern w:val="2"/>
          <w:sz w:val="20"/>
          <w:szCs w:val="20"/>
          <w:highlight w:val="none"/>
          <w:lang w:val="en-US" w:eastAsia="zh-CN"/>
        </w:rPr>
        <w:t xml:space="preserve">  </w:t>
      </w:r>
      <w:r>
        <w:rPr>
          <w:rFonts w:hint="eastAsia" w:ascii="仿宋" w:hAnsi="仿宋" w:eastAsia="仿宋" w:cs="仿宋"/>
          <w:b w:val="0"/>
          <w:bCs w:val="0"/>
          <w:color w:val="auto"/>
          <w:spacing w:val="0"/>
          <w:kern w:val="2"/>
          <w:sz w:val="20"/>
          <w:szCs w:val="20"/>
          <w:highlight w:val="none"/>
        </w:rPr>
        <w:t>址：</w:t>
      </w:r>
      <w:r>
        <w:rPr>
          <w:rFonts w:hint="eastAsia" w:ascii="仿宋" w:hAnsi="仿宋" w:eastAsia="仿宋" w:cs="仿宋"/>
          <w:b w:val="0"/>
          <w:bCs w:val="0"/>
          <w:color w:val="auto"/>
          <w:spacing w:val="0"/>
          <w:kern w:val="2"/>
          <w:sz w:val="20"/>
          <w:szCs w:val="20"/>
          <w:highlight w:val="none"/>
          <w:u w:val="single"/>
          <w:lang w:val="en-US" w:eastAsia="zh-CN"/>
        </w:rPr>
        <w:t xml:space="preserve">                   </w:t>
      </w:r>
      <w:r>
        <w:rPr>
          <w:rFonts w:hint="eastAsia" w:ascii="仿宋" w:hAnsi="仿宋" w:eastAsia="仿宋" w:cs="仿宋"/>
          <w:b w:val="0"/>
          <w:bCs w:val="0"/>
          <w:color w:val="auto"/>
          <w:spacing w:val="0"/>
          <w:kern w:val="2"/>
          <w:sz w:val="20"/>
          <w:szCs w:val="20"/>
          <w:highlight w:val="none"/>
        </w:rPr>
        <w:t xml:space="preserve">                                                                     </w:t>
      </w:r>
    </w:p>
    <w:p w14:paraId="2B337F97">
      <w:pPr>
        <w:keepNext w:val="0"/>
        <w:keepLines w:val="0"/>
        <w:pageBreakBefore w:val="0"/>
        <w:widowControl w:val="0"/>
        <w:kinsoku/>
        <w:wordWrap/>
        <w:overflowPunct/>
        <w:topLinePunct w:val="0"/>
        <w:autoSpaceDE/>
        <w:autoSpaceDN/>
        <w:bidi w:val="0"/>
        <w:adjustRightInd/>
        <w:snapToGrid/>
        <w:spacing w:before="35" w:line="460" w:lineRule="exact"/>
        <w:ind w:firstLine="400" w:firstLineChars="200"/>
        <w:textAlignment w:val="auto"/>
        <w:rPr>
          <w:rFonts w:hint="eastAsia" w:ascii="仿宋" w:hAnsi="仿宋" w:eastAsia="仿宋" w:cs="仿宋"/>
          <w:b w:val="0"/>
          <w:bCs w:val="0"/>
          <w:color w:val="auto"/>
          <w:spacing w:val="0"/>
          <w:kern w:val="2"/>
          <w:sz w:val="20"/>
          <w:szCs w:val="20"/>
          <w:highlight w:val="none"/>
          <w:u w:val="single"/>
          <w:lang w:val="en-US" w:eastAsia="zh-CN"/>
        </w:rPr>
      </w:pPr>
      <w:r>
        <w:rPr>
          <w:rFonts w:hint="eastAsia" w:ascii="仿宋" w:hAnsi="仿宋" w:eastAsia="仿宋" w:cs="仿宋"/>
          <w:b w:val="0"/>
          <w:bCs w:val="0"/>
          <w:color w:val="auto"/>
          <w:spacing w:val="0"/>
          <w:kern w:val="2"/>
          <w:sz w:val="20"/>
          <w:szCs w:val="20"/>
          <w:highlight w:val="none"/>
        </w:rPr>
        <w:t>开户行：</w:t>
      </w:r>
      <w:r>
        <w:rPr>
          <w:rFonts w:hint="eastAsia" w:ascii="仿宋" w:hAnsi="仿宋" w:eastAsia="仿宋" w:cs="仿宋"/>
          <w:b w:val="0"/>
          <w:bCs w:val="0"/>
          <w:color w:val="auto"/>
          <w:spacing w:val="0"/>
          <w:kern w:val="2"/>
          <w:sz w:val="20"/>
          <w:szCs w:val="20"/>
          <w:highlight w:val="none"/>
          <w:u w:val="single"/>
          <w:lang w:val="en-US" w:eastAsia="zh-CN"/>
        </w:rPr>
        <w:t xml:space="preserve">                    </w:t>
      </w:r>
    </w:p>
    <w:p w14:paraId="63447499">
      <w:pPr>
        <w:keepNext w:val="0"/>
        <w:keepLines w:val="0"/>
        <w:pageBreakBefore w:val="0"/>
        <w:widowControl w:val="0"/>
        <w:kinsoku/>
        <w:wordWrap/>
        <w:overflowPunct/>
        <w:topLinePunct w:val="0"/>
        <w:autoSpaceDE/>
        <w:autoSpaceDN/>
        <w:bidi w:val="0"/>
        <w:adjustRightInd/>
        <w:snapToGrid/>
        <w:spacing w:before="35" w:line="460" w:lineRule="exact"/>
        <w:ind w:firstLine="400" w:firstLineChars="200"/>
        <w:textAlignment w:val="auto"/>
        <w:rPr>
          <w:rFonts w:hint="eastAsia" w:ascii="仿宋" w:hAnsi="仿宋" w:eastAsia="仿宋" w:cs="仿宋"/>
          <w:b w:val="0"/>
          <w:bCs w:val="0"/>
          <w:color w:val="auto"/>
          <w:spacing w:val="0"/>
          <w:kern w:val="2"/>
          <w:sz w:val="20"/>
          <w:szCs w:val="20"/>
          <w:highlight w:val="none"/>
        </w:rPr>
      </w:pPr>
      <w:r>
        <w:rPr>
          <w:rFonts w:hint="eastAsia" w:ascii="仿宋" w:hAnsi="仿宋" w:eastAsia="仿宋" w:cs="仿宋"/>
          <w:b w:val="0"/>
          <w:bCs w:val="0"/>
          <w:color w:val="auto"/>
          <w:spacing w:val="0"/>
          <w:kern w:val="2"/>
          <w:sz w:val="20"/>
          <w:szCs w:val="20"/>
          <w:highlight w:val="none"/>
        </w:rPr>
        <w:t>账  号：</w:t>
      </w:r>
      <w:r>
        <w:rPr>
          <w:rFonts w:hint="eastAsia" w:ascii="仿宋" w:hAnsi="仿宋" w:eastAsia="仿宋" w:cs="仿宋"/>
          <w:b w:val="0"/>
          <w:bCs w:val="0"/>
          <w:color w:val="auto"/>
          <w:spacing w:val="0"/>
          <w:kern w:val="2"/>
          <w:sz w:val="20"/>
          <w:szCs w:val="20"/>
          <w:highlight w:val="none"/>
          <w:u w:val="single"/>
          <w:lang w:val="en-US" w:eastAsia="zh-CN"/>
        </w:rPr>
        <w:t xml:space="preserve">                    </w:t>
      </w:r>
    </w:p>
    <w:p w14:paraId="3E1C704C">
      <w:pPr>
        <w:keepNext w:val="0"/>
        <w:keepLines w:val="0"/>
        <w:pageBreakBefore w:val="0"/>
        <w:widowControl w:val="0"/>
        <w:kinsoku/>
        <w:wordWrap/>
        <w:overflowPunct/>
        <w:topLinePunct w:val="0"/>
        <w:autoSpaceDE/>
        <w:autoSpaceDN/>
        <w:bidi w:val="0"/>
        <w:adjustRightInd/>
        <w:snapToGrid/>
        <w:spacing w:before="35" w:line="460" w:lineRule="exact"/>
        <w:ind w:firstLine="400" w:firstLineChars="200"/>
        <w:textAlignment w:val="auto"/>
        <w:rPr>
          <w:rFonts w:hint="eastAsia" w:ascii="仿宋" w:hAnsi="仿宋" w:eastAsia="仿宋" w:cs="仿宋"/>
          <w:b w:val="0"/>
          <w:bCs w:val="0"/>
          <w:color w:val="auto"/>
          <w:spacing w:val="0"/>
          <w:kern w:val="2"/>
          <w:sz w:val="20"/>
          <w:szCs w:val="20"/>
          <w:highlight w:val="none"/>
          <w:u w:val="single"/>
        </w:rPr>
      </w:pPr>
      <w:r>
        <w:rPr>
          <w:rFonts w:hint="eastAsia" w:ascii="仿宋" w:hAnsi="仿宋" w:eastAsia="仿宋" w:cs="仿宋"/>
          <w:b w:val="0"/>
          <w:bCs w:val="0"/>
          <w:color w:val="auto"/>
          <w:spacing w:val="0"/>
          <w:kern w:val="2"/>
          <w:sz w:val="20"/>
          <w:szCs w:val="20"/>
          <w:highlight w:val="none"/>
        </w:rPr>
        <w:t>纳税人身份：</w:t>
      </w:r>
      <w:r>
        <w:rPr>
          <w:rFonts w:hint="eastAsia" w:ascii="仿宋" w:hAnsi="仿宋" w:eastAsia="仿宋" w:cs="仿宋"/>
          <w:b w:val="0"/>
          <w:bCs w:val="0"/>
          <w:color w:val="auto"/>
          <w:spacing w:val="0"/>
          <w:kern w:val="2"/>
          <w:sz w:val="20"/>
          <w:szCs w:val="20"/>
          <w:highlight w:val="none"/>
          <w:u w:val="single"/>
        </w:rPr>
        <w:t>（须填写一般纳税人/小规模纳税人/其他）</w:t>
      </w:r>
    </w:p>
    <w:p w14:paraId="7F68CCF0">
      <w:pPr>
        <w:keepNext w:val="0"/>
        <w:keepLines w:val="0"/>
        <w:pageBreakBefore w:val="0"/>
        <w:widowControl w:val="0"/>
        <w:kinsoku/>
        <w:wordWrap/>
        <w:overflowPunct/>
        <w:topLinePunct w:val="0"/>
        <w:autoSpaceDE/>
        <w:autoSpaceDN/>
        <w:bidi w:val="0"/>
        <w:adjustRightInd/>
        <w:snapToGrid/>
        <w:spacing w:before="35" w:line="460" w:lineRule="exact"/>
        <w:ind w:firstLine="400" w:firstLineChars="200"/>
        <w:textAlignment w:val="auto"/>
        <w:rPr>
          <w:rFonts w:hint="eastAsia" w:ascii="仿宋" w:hAnsi="仿宋" w:eastAsia="仿宋" w:cs="仿宋"/>
          <w:b w:val="0"/>
          <w:bCs w:val="0"/>
          <w:color w:val="auto"/>
          <w:spacing w:val="0"/>
          <w:kern w:val="2"/>
          <w:sz w:val="20"/>
          <w:szCs w:val="20"/>
          <w:highlight w:val="none"/>
          <w:u w:val="single"/>
        </w:rPr>
      </w:pPr>
      <w:r>
        <w:rPr>
          <w:rFonts w:hint="eastAsia" w:ascii="仿宋" w:hAnsi="仿宋" w:eastAsia="仿宋" w:cs="仿宋"/>
          <w:b w:val="0"/>
          <w:bCs w:val="0"/>
          <w:color w:val="auto"/>
          <w:spacing w:val="0"/>
          <w:kern w:val="2"/>
          <w:sz w:val="20"/>
          <w:szCs w:val="20"/>
          <w:highlight w:val="none"/>
        </w:rPr>
        <w:t>（三） 甲方账户信息</w:t>
      </w:r>
      <w:r>
        <w:rPr>
          <w:rFonts w:hint="eastAsia" w:ascii="仿宋" w:hAnsi="仿宋" w:eastAsia="仿宋" w:cs="仿宋"/>
          <w:b w:val="0"/>
          <w:bCs w:val="0"/>
          <w:color w:val="auto"/>
          <w:spacing w:val="0"/>
          <w:kern w:val="2"/>
          <w:sz w:val="20"/>
          <w:szCs w:val="20"/>
          <w:highlight w:val="none"/>
          <w:u w:val="single"/>
        </w:rPr>
        <w:t xml:space="preserve">               </w:t>
      </w:r>
    </w:p>
    <w:p w14:paraId="32BD09E0">
      <w:pPr>
        <w:keepNext w:val="0"/>
        <w:keepLines w:val="0"/>
        <w:pageBreakBefore w:val="0"/>
        <w:widowControl w:val="0"/>
        <w:kinsoku/>
        <w:wordWrap/>
        <w:overflowPunct/>
        <w:topLinePunct w:val="0"/>
        <w:autoSpaceDE/>
        <w:autoSpaceDN/>
        <w:bidi w:val="0"/>
        <w:adjustRightInd/>
        <w:snapToGrid/>
        <w:spacing w:before="35" w:line="460" w:lineRule="exact"/>
        <w:ind w:firstLine="400" w:firstLineChars="200"/>
        <w:textAlignment w:val="auto"/>
        <w:rPr>
          <w:rFonts w:hint="eastAsia" w:ascii="仿宋" w:hAnsi="仿宋" w:eastAsia="仿宋" w:cs="仿宋"/>
          <w:b w:val="0"/>
          <w:bCs w:val="0"/>
          <w:color w:val="auto"/>
          <w:spacing w:val="0"/>
          <w:kern w:val="2"/>
          <w:sz w:val="20"/>
          <w:szCs w:val="20"/>
          <w:highlight w:val="none"/>
          <w:u w:val="single"/>
        </w:rPr>
      </w:pPr>
      <w:r>
        <w:rPr>
          <w:rFonts w:hint="eastAsia" w:ascii="仿宋" w:hAnsi="仿宋" w:eastAsia="仿宋" w:cs="仿宋"/>
          <w:b w:val="0"/>
          <w:bCs w:val="0"/>
          <w:color w:val="auto"/>
          <w:spacing w:val="0"/>
          <w:kern w:val="2"/>
          <w:sz w:val="20"/>
          <w:szCs w:val="20"/>
          <w:highlight w:val="none"/>
        </w:rPr>
        <w:t>单位名称：</w:t>
      </w:r>
      <w:r>
        <w:rPr>
          <w:rFonts w:hint="eastAsia" w:ascii="仿宋" w:hAnsi="仿宋" w:eastAsia="仿宋" w:cs="仿宋"/>
          <w:b w:val="0"/>
          <w:bCs w:val="0"/>
          <w:color w:val="auto"/>
          <w:spacing w:val="0"/>
          <w:kern w:val="2"/>
          <w:sz w:val="20"/>
          <w:szCs w:val="20"/>
          <w:highlight w:val="none"/>
          <w:u w:val="single"/>
        </w:rPr>
        <w:t xml:space="preserve">                       </w:t>
      </w:r>
    </w:p>
    <w:p w14:paraId="0C041C40">
      <w:pPr>
        <w:keepNext w:val="0"/>
        <w:keepLines w:val="0"/>
        <w:pageBreakBefore w:val="0"/>
        <w:widowControl w:val="0"/>
        <w:kinsoku/>
        <w:wordWrap/>
        <w:overflowPunct/>
        <w:topLinePunct w:val="0"/>
        <w:autoSpaceDE/>
        <w:autoSpaceDN/>
        <w:bidi w:val="0"/>
        <w:adjustRightInd/>
        <w:snapToGrid/>
        <w:spacing w:before="35" w:line="460" w:lineRule="exact"/>
        <w:ind w:firstLine="400" w:firstLineChars="200"/>
        <w:textAlignment w:val="auto"/>
        <w:rPr>
          <w:rFonts w:hint="eastAsia" w:ascii="仿宋" w:hAnsi="仿宋" w:eastAsia="仿宋" w:cs="仿宋"/>
          <w:b w:val="0"/>
          <w:bCs w:val="0"/>
          <w:color w:val="auto"/>
          <w:spacing w:val="0"/>
          <w:kern w:val="2"/>
          <w:sz w:val="20"/>
          <w:szCs w:val="20"/>
          <w:highlight w:val="none"/>
          <w:u w:val="single"/>
        </w:rPr>
      </w:pPr>
      <w:r>
        <w:rPr>
          <w:rFonts w:hint="eastAsia" w:ascii="仿宋" w:hAnsi="仿宋" w:eastAsia="仿宋" w:cs="仿宋"/>
          <w:b w:val="0"/>
          <w:bCs w:val="0"/>
          <w:color w:val="auto"/>
          <w:spacing w:val="0"/>
          <w:kern w:val="2"/>
          <w:sz w:val="20"/>
          <w:szCs w:val="20"/>
          <w:highlight w:val="none"/>
        </w:rPr>
        <w:t>纳税人识别号：</w:t>
      </w:r>
      <w:r>
        <w:rPr>
          <w:rFonts w:hint="eastAsia" w:ascii="仿宋" w:hAnsi="仿宋" w:eastAsia="仿宋" w:cs="仿宋"/>
          <w:b w:val="0"/>
          <w:bCs w:val="0"/>
          <w:color w:val="auto"/>
          <w:spacing w:val="0"/>
          <w:kern w:val="2"/>
          <w:sz w:val="20"/>
          <w:szCs w:val="20"/>
          <w:highlight w:val="none"/>
          <w:u w:val="single"/>
        </w:rPr>
        <w:t xml:space="preserve">                   </w:t>
      </w:r>
    </w:p>
    <w:p w14:paraId="7F73F68E">
      <w:pPr>
        <w:keepNext w:val="0"/>
        <w:keepLines w:val="0"/>
        <w:pageBreakBefore w:val="0"/>
        <w:widowControl w:val="0"/>
        <w:kinsoku/>
        <w:wordWrap/>
        <w:overflowPunct/>
        <w:topLinePunct w:val="0"/>
        <w:autoSpaceDE/>
        <w:autoSpaceDN/>
        <w:bidi w:val="0"/>
        <w:adjustRightInd/>
        <w:snapToGrid/>
        <w:spacing w:before="35" w:line="460" w:lineRule="exact"/>
        <w:ind w:firstLine="400" w:firstLineChars="200"/>
        <w:textAlignment w:val="auto"/>
        <w:rPr>
          <w:rFonts w:hint="eastAsia" w:ascii="仿宋" w:hAnsi="仿宋" w:eastAsia="仿宋" w:cs="仿宋"/>
          <w:b w:val="0"/>
          <w:bCs w:val="0"/>
          <w:color w:val="auto"/>
          <w:spacing w:val="0"/>
          <w:kern w:val="2"/>
          <w:sz w:val="20"/>
          <w:szCs w:val="20"/>
          <w:highlight w:val="none"/>
          <w:u w:val="single"/>
        </w:rPr>
      </w:pPr>
      <w:r>
        <w:rPr>
          <w:rFonts w:hint="eastAsia" w:ascii="仿宋" w:hAnsi="仿宋" w:eastAsia="仿宋" w:cs="仿宋"/>
          <w:b w:val="0"/>
          <w:bCs w:val="0"/>
          <w:color w:val="auto"/>
          <w:spacing w:val="0"/>
          <w:kern w:val="2"/>
          <w:sz w:val="20"/>
          <w:szCs w:val="20"/>
          <w:highlight w:val="none"/>
        </w:rPr>
        <w:t>地  址：</w:t>
      </w:r>
      <w:r>
        <w:rPr>
          <w:rFonts w:hint="eastAsia" w:ascii="仿宋" w:hAnsi="仿宋" w:eastAsia="仿宋" w:cs="仿宋"/>
          <w:b w:val="0"/>
          <w:bCs w:val="0"/>
          <w:color w:val="auto"/>
          <w:spacing w:val="0"/>
          <w:kern w:val="2"/>
          <w:sz w:val="20"/>
          <w:szCs w:val="20"/>
          <w:highlight w:val="none"/>
          <w:u w:val="single"/>
        </w:rPr>
        <w:t xml:space="preserve">                        </w:t>
      </w:r>
    </w:p>
    <w:p w14:paraId="17761B7B">
      <w:pPr>
        <w:keepNext w:val="0"/>
        <w:keepLines w:val="0"/>
        <w:pageBreakBefore w:val="0"/>
        <w:widowControl w:val="0"/>
        <w:kinsoku/>
        <w:wordWrap/>
        <w:overflowPunct/>
        <w:topLinePunct w:val="0"/>
        <w:autoSpaceDE/>
        <w:autoSpaceDN/>
        <w:bidi w:val="0"/>
        <w:adjustRightInd/>
        <w:snapToGrid/>
        <w:spacing w:before="35" w:line="460" w:lineRule="exact"/>
        <w:ind w:firstLine="400" w:firstLineChars="200"/>
        <w:textAlignment w:val="auto"/>
        <w:rPr>
          <w:rFonts w:hint="eastAsia" w:ascii="仿宋" w:hAnsi="仿宋" w:eastAsia="仿宋" w:cs="仿宋"/>
          <w:b w:val="0"/>
          <w:bCs w:val="0"/>
          <w:color w:val="auto"/>
          <w:spacing w:val="0"/>
          <w:kern w:val="2"/>
          <w:sz w:val="20"/>
          <w:szCs w:val="20"/>
          <w:highlight w:val="none"/>
          <w:u w:val="single"/>
        </w:rPr>
      </w:pPr>
      <w:r>
        <w:rPr>
          <w:rFonts w:hint="eastAsia" w:ascii="仿宋" w:hAnsi="仿宋" w:eastAsia="仿宋" w:cs="仿宋"/>
          <w:b w:val="0"/>
          <w:bCs w:val="0"/>
          <w:color w:val="auto"/>
          <w:spacing w:val="0"/>
          <w:kern w:val="2"/>
          <w:sz w:val="20"/>
          <w:szCs w:val="20"/>
          <w:highlight w:val="none"/>
        </w:rPr>
        <w:t>开户行：</w:t>
      </w:r>
      <w:r>
        <w:rPr>
          <w:rFonts w:hint="eastAsia" w:ascii="仿宋" w:hAnsi="仿宋" w:eastAsia="仿宋" w:cs="仿宋"/>
          <w:b w:val="0"/>
          <w:bCs w:val="0"/>
          <w:color w:val="auto"/>
          <w:spacing w:val="0"/>
          <w:kern w:val="2"/>
          <w:sz w:val="20"/>
          <w:szCs w:val="20"/>
          <w:highlight w:val="none"/>
          <w:u w:val="single"/>
        </w:rPr>
        <w:t xml:space="preserve">                        </w:t>
      </w:r>
    </w:p>
    <w:p w14:paraId="25BF4910">
      <w:pPr>
        <w:keepNext w:val="0"/>
        <w:keepLines w:val="0"/>
        <w:pageBreakBefore w:val="0"/>
        <w:widowControl w:val="0"/>
        <w:kinsoku/>
        <w:wordWrap/>
        <w:overflowPunct/>
        <w:topLinePunct w:val="0"/>
        <w:autoSpaceDE/>
        <w:autoSpaceDN/>
        <w:bidi w:val="0"/>
        <w:adjustRightInd/>
        <w:snapToGrid/>
        <w:spacing w:before="35" w:line="460" w:lineRule="exact"/>
        <w:ind w:firstLine="400" w:firstLineChars="200"/>
        <w:textAlignment w:val="auto"/>
        <w:rPr>
          <w:rFonts w:hint="eastAsia" w:ascii="仿宋" w:hAnsi="仿宋" w:eastAsia="仿宋" w:cs="仿宋"/>
          <w:b w:val="0"/>
          <w:bCs w:val="0"/>
          <w:color w:val="auto"/>
          <w:spacing w:val="0"/>
          <w:kern w:val="2"/>
          <w:sz w:val="20"/>
          <w:szCs w:val="20"/>
          <w:highlight w:val="none"/>
          <w:u w:val="single"/>
          <w:lang w:val="en-US" w:eastAsia="zh-CN"/>
        </w:rPr>
      </w:pPr>
      <w:r>
        <w:rPr>
          <w:rFonts w:hint="eastAsia" w:ascii="仿宋" w:hAnsi="仿宋" w:eastAsia="仿宋" w:cs="仿宋"/>
          <w:b w:val="0"/>
          <w:bCs w:val="0"/>
          <w:color w:val="auto"/>
          <w:spacing w:val="0"/>
          <w:kern w:val="2"/>
          <w:sz w:val="20"/>
          <w:szCs w:val="20"/>
          <w:highlight w:val="none"/>
        </w:rPr>
        <w:t>账  号：</w:t>
      </w:r>
      <w:r>
        <w:rPr>
          <w:rFonts w:hint="eastAsia" w:ascii="仿宋" w:hAnsi="仿宋" w:eastAsia="仿宋" w:cs="仿宋"/>
          <w:b w:val="0"/>
          <w:bCs w:val="0"/>
          <w:color w:val="auto"/>
          <w:spacing w:val="0"/>
          <w:kern w:val="2"/>
          <w:sz w:val="20"/>
          <w:szCs w:val="20"/>
          <w:highlight w:val="none"/>
          <w:u w:val="single"/>
        </w:rPr>
        <w:t xml:space="preserve">                       </w:t>
      </w:r>
      <w:r>
        <w:rPr>
          <w:rFonts w:hint="eastAsia" w:ascii="仿宋" w:hAnsi="仿宋" w:eastAsia="仿宋" w:cs="仿宋"/>
          <w:b w:val="0"/>
          <w:bCs w:val="0"/>
          <w:color w:val="auto"/>
          <w:spacing w:val="0"/>
          <w:kern w:val="2"/>
          <w:sz w:val="20"/>
          <w:szCs w:val="20"/>
          <w:highlight w:val="none"/>
          <w:u w:val="single"/>
          <w:lang w:val="en-US" w:eastAsia="zh-CN"/>
        </w:rPr>
        <w:t xml:space="preserve"> </w:t>
      </w:r>
    </w:p>
    <w:p w14:paraId="518D52CF">
      <w:pPr>
        <w:keepNext w:val="0"/>
        <w:keepLines w:val="0"/>
        <w:pageBreakBefore w:val="0"/>
        <w:widowControl w:val="0"/>
        <w:kinsoku/>
        <w:wordWrap/>
        <w:overflowPunct/>
        <w:topLinePunct w:val="0"/>
        <w:autoSpaceDE/>
        <w:autoSpaceDN/>
        <w:bidi w:val="0"/>
        <w:adjustRightInd/>
        <w:snapToGrid/>
        <w:spacing w:before="35" w:line="460" w:lineRule="exact"/>
        <w:ind w:firstLine="400" w:firstLineChars="200"/>
        <w:textAlignment w:val="auto"/>
        <w:rPr>
          <w:rFonts w:hint="eastAsia" w:ascii="仿宋" w:hAnsi="仿宋" w:eastAsia="仿宋" w:cs="仿宋"/>
          <w:color w:val="auto"/>
          <w:spacing w:val="0"/>
          <w:kern w:val="2"/>
          <w:sz w:val="20"/>
          <w:szCs w:val="20"/>
          <w:highlight w:val="none"/>
        </w:rPr>
      </w:pPr>
      <w:r>
        <w:rPr>
          <w:rFonts w:hint="eastAsia" w:ascii="仿宋" w:hAnsi="仿宋" w:eastAsia="仿宋" w:cs="仿宋"/>
          <w:b w:val="0"/>
          <w:bCs w:val="0"/>
          <w:color w:val="auto"/>
          <w:spacing w:val="0"/>
          <w:kern w:val="2"/>
          <w:sz w:val="20"/>
          <w:szCs w:val="20"/>
          <w:highlight w:val="none"/>
        </w:rPr>
        <w:t>纳税人身份：（须填写一般纳税人/小规模纳税人/其他）</w:t>
      </w:r>
    </w:p>
    <w:p w14:paraId="05218D75">
      <w:pPr>
        <w:keepNext w:val="0"/>
        <w:keepLines w:val="0"/>
        <w:pageBreakBefore w:val="0"/>
        <w:widowControl w:val="0"/>
        <w:kinsoku/>
        <w:wordWrap/>
        <w:overflowPunct/>
        <w:topLinePunct w:val="0"/>
        <w:autoSpaceDE/>
        <w:autoSpaceDN/>
        <w:bidi w:val="0"/>
        <w:adjustRightInd/>
        <w:snapToGrid/>
        <w:spacing w:before="35" w:line="460" w:lineRule="exact"/>
        <w:ind w:firstLine="400" w:firstLineChars="200"/>
        <w:textAlignment w:val="auto"/>
        <w:rPr>
          <w:rFonts w:hint="eastAsia" w:ascii="仿宋" w:hAnsi="仿宋" w:eastAsia="仿宋" w:cs="仿宋"/>
          <w:b w:val="0"/>
          <w:bCs w:val="0"/>
          <w:color w:val="auto"/>
          <w:spacing w:val="0"/>
          <w:kern w:val="2"/>
          <w:sz w:val="20"/>
          <w:szCs w:val="20"/>
          <w:highlight w:val="none"/>
        </w:rPr>
      </w:pPr>
      <w:r>
        <w:rPr>
          <w:rFonts w:hint="eastAsia" w:ascii="仿宋" w:hAnsi="仿宋" w:eastAsia="仿宋" w:cs="仿宋"/>
          <w:b w:val="0"/>
          <w:bCs w:val="0"/>
          <w:color w:val="auto"/>
          <w:spacing w:val="0"/>
          <w:kern w:val="2"/>
          <w:sz w:val="20"/>
          <w:szCs w:val="20"/>
          <w:highlight w:val="none"/>
        </w:rPr>
        <w:t>（四）发票</w:t>
      </w:r>
    </w:p>
    <w:p w14:paraId="1B5FF5BD">
      <w:pPr>
        <w:keepNext w:val="0"/>
        <w:keepLines w:val="0"/>
        <w:pageBreakBefore w:val="0"/>
        <w:widowControl w:val="0"/>
        <w:kinsoku/>
        <w:wordWrap/>
        <w:overflowPunct/>
        <w:topLinePunct w:val="0"/>
        <w:autoSpaceDE/>
        <w:autoSpaceDN/>
        <w:bidi w:val="0"/>
        <w:adjustRightInd/>
        <w:snapToGrid/>
        <w:spacing w:before="35" w:line="460" w:lineRule="exact"/>
        <w:ind w:firstLine="400" w:firstLineChars="200"/>
        <w:textAlignment w:val="auto"/>
        <w:rPr>
          <w:rFonts w:hint="eastAsia" w:ascii="仿宋" w:hAnsi="仿宋" w:eastAsia="仿宋" w:cs="仿宋"/>
          <w:b w:val="0"/>
          <w:bCs w:val="0"/>
          <w:color w:val="auto"/>
          <w:spacing w:val="0"/>
          <w:kern w:val="2"/>
          <w:sz w:val="20"/>
          <w:szCs w:val="20"/>
          <w:highlight w:val="none"/>
        </w:rPr>
      </w:pPr>
      <w:r>
        <w:rPr>
          <w:rFonts w:hint="eastAsia" w:ascii="仿宋" w:hAnsi="仿宋" w:eastAsia="仿宋" w:cs="仿宋"/>
          <w:b w:val="0"/>
          <w:bCs w:val="0"/>
          <w:color w:val="auto"/>
          <w:spacing w:val="0"/>
          <w:kern w:val="2"/>
          <w:sz w:val="20"/>
          <w:szCs w:val="20"/>
          <w:highlight w:val="none"/>
        </w:rPr>
        <w:t>1.每批食材，经甲方验收合格后 5 日内，乙方应按甲方要求出具合法有效的增值税普通发票及食材采购清单；因乙方延迟送达、开票信息错误等导致提供的增值税普通发票不能通过税务部门认证的，</w:t>
      </w:r>
    </w:p>
    <w:p w14:paraId="1A91E5BF">
      <w:pPr>
        <w:keepNext w:val="0"/>
        <w:keepLines w:val="0"/>
        <w:pageBreakBefore w:val="0"/>
        <w:widowControl w:val="0"/>
        <w:kinsoku/>
        <w:wordWrap/>
        <w:overflowPunct/>
        <w:topLinePunct w:val="0"/>
        <w:autoSpaceDE/>
        <w:autoSpaceDN/>
        <w:bidi w:val="0"/>
        <w:adjustRightInd/>
        <w:snapToGrid/>
        <w:spacing w:before="35" w:line="460" w:lineRule="exact"/>
        <w:ind w:firstLine="400" w:firstLineChars="200"/>
        <w:textAlignment w:val="auto"/>
        <w:rPr>
          <w:rFonts w:hint="eastAsia" w:ascii="仿宋" w:hAnsi="仿宋" w:eastAsia="仿宋" w:cs="仿宋"/>
          <w:b w:val="0"/>
          <w:bCs w:val="0"/>
          <w:color w:val="auto"/>
          <w:spacing w:val="0"/>
          <w:kern w:val="2"/>
          <w:sz w:val="20"/>
          <w:szCs w:val="20"/>
          <w:highlight w:val="none"/>
        </w:rPr>
      </w:pPr>
      <w:r>
        <w:rPr>
          <w:rFonts w:hint="eastAsia" w:ascii="仿宋" w:hAnsi="仿宋" w:eastAsia="仿宋" w:cs="仿宋"/>
          <w:b w:val="0"/>
          <w:bCs w:val="0"/>
          <w:color w:val="auto"/>
          <w:spacing w:val="0"/>
          <w:kern w:val="2"/>
          <w:sz w:val="20"/>
          <w:szCs w:val="20"/>
          <w:highlight w:val="none"/>
        </w:rPr>
        <w:t>甲方有权拒绝接收。由此造成的付款延期由乙方自行负责。</w:t>
      </w:r>
    </w:p>
    <w:p w14:paraId="657E25BC">
      <w:pPr>
        <w:keepNext w:val="0"/>
        <w:keepLines w:val="0"/>
        <w:pageBreakBefore w:val="0"/>
        <w:widowControl w:val="0"/>
        <w:kinsoku/>
        <w:wordWrap/>
        <w:overflowPunct/>
        <w:topLinePunct w:val="0"/>
        <w:autoSpaceDE/>
        <w:autoSpaceDN/>
        <w:bidi w:val="0"/>
        <w:adjustRightInd/>
        <w:snapToGrid/>
        <w:spacing w:before="35" w:line="460" w:lineRule="exact"/>
        <w:ind w:firstLine="400" w:firstLineChars="200"/>
        <w:textAlignment w:val="auto"/>
        <w:rPr>
          <w:rFonts w:hint="eastAsia" w:ascii="仿宋" w:hAnsi="仿宋" w:eastAsia="仿宋" w:cs="仿宋"/>
          <w:b w:val="0"/>
          <w:bCs w:val="0"/>
          <w:color w:val="auto"/>
          <w:spacing w:val="0"/>
          <w:kern w:val="2"/>
          <w:sz w:val="20"/>
          <w:szCs w:val="20"/>
          <w:highlight w:val="none"/>
        </w:rPr>
      </w:pPr>
      <w:r>
        <w:rPr>
          <w:rFonts w:hint="eastAsia" w:ascii="仿宋" w:hAnsi="仿宋" w:eastAsia="仿宋" w:cs="仿宋"/>
          <w:b w:val="0"/>
          <w:bCs w:val="0"/>
          <w:color w:val="auto"/>
          <w:spacing w:val="0"/>
          <w:kern w:val="2"/>
          <w:sz w:val="20"/>
          <w:szCs w:val="20"/>
          <w:highlight w:val="none"/>
        </w:rPr>
        <w:t>2.乙方账户变更、纳税人身份、纳税方式变化等须及时通知甲方，并签订合同变更或补充协议，由此造成甲方付款延期、成本增加、税款损失等责任由乙方承担，甲方有权据此调整乙方的合同总价。</w:t>
      </w:r>
    </w:p>
    <w:p w14:paraId="79C63AD9">
      <w:pPr>
        <w:keepNext w:val="0"/>
        <w:keepLines w:val="0"/>
        <w:pageBreakBefore w:val="0"/>
        <w:widowControl w:val="0"/>
        <w:kinsoku/>
        <w:wordWrap/>
        <w:overflowPunct/>
        <w:topLinePunct w:val="0"/>
        <w:autoSpaceDE/>
        <w:autoSpaceDN/>
        <w:bidi w:val="0"/>
        <w:adjustRightInd/>
        <w:snapToGrid/>
        <w:spacing w:before="35" w:line="460" w:lineRule="exact"/>
        <w:ind w:firstLine="400" w:firstLineChars="200"/>
        <w:textAlignment w:val="auto"/>
        <w:rPr>
          <w:rFonts w:hint="eastAsia" w:ascii="仿宋" w:hAnsi="仿宋" w:eastAsia="仿宋" w:cs="仿宋"/>
          <w:b w:val="0"/>
          <w:bCs w:val="0"/>
          <w:color w:val="auto"/>
          <w:spacing w:val="0"/>
          <w:kern w:val="2"/>
          <w:sz w:val="20"/>
          <w:szCs w:val="20"/>
          <w:highlight w:val="none"/>
        </w:rPr>
      </w:pPr>
      <w:r>
        <w:rPr>
          <w:rFonts w:hint="eastAsia" w:ascii="仿宋" w:hAnsi="仿宋" w:eastAsia="仿宋" w:cs="仿宋"/>
          <w:b w:val="0"/>
          <w:bCs w:val="0"/>
          <w:color w:val="auto"/>
          <w:spacing w:val="0"/>
          <w:kern w:val="2"/>
          <w:sz w:val="20"/>
          <w:szCs w:val="20"/>
          <w:highlight w:val="none"/>
        </w:rPr>
        <w:t>3.甲乙双方应相互履行在发票开具方面的协助义务。合同履行过程中，双方协商变更履行内容或 方式，如涉及价款等增值税普通发票记载项目发生变化的，发票开具方应作废、重开、补开增值税普通发票</w:t>
      </w:r>
      <w:r>
        <w:rPr>
          <w:rFonts w:hint="eastAsia" w:ascii="仿宋" w:hAnsi="仿宋" w:eastAsia="仿宋" w:cs="仿宋"/>
          <w:b w:val="0"/>
          <w:bCs w:val="0"/>
          <w:color w:val="auto"/>
          <w:spacing w:val="0"/>
          <w:kern w:val="2"/>
          <w:sz w:val="20"/>
          <w:szCs w:val="20"/>
          <w:highlight w:val="none"/>
          <w:lang w:eastAsia="zh-CN"/>
        </w:rPr>
        <w:t>；</w:t>
      </w:r>
      <w:r>
        <w:rPr>
          <w:rFonts w:hint="eastAsia" w:ascii="仿宋" w:hAnsi="仿宋" w:eastAsia="仿宋" w:cs="仿宋"/>
          <w:b w:val="0"/>
          <w:bCs w:val="0"/>
          <w:color w:val="auto"/>
          <w:spacing w:val="0"/>
          <w:kern w:val="2"/>
          <w:sz w:val="20"/>
          <w:szCs w:val="20"/>
          <w:highlight w:val="none"/>
        </w:rPr>
        <w:t>如遇一方发票丢失，发票开具方应向合同相对方提供增值税普通发票记账联复印件及主管税务 机关出具的丢失增值税普通发票的《证明单》，协助合同相对方处理好补办手续。</w:t>
      </w:r>
    </w:p>
    <w:p w14:paraId="4D9C32D6">
      <w:pPr>
        <w:keepNext w:val="0"/>
        <w:keepLines w:val="0"/>
        <w:pageBreakBefore w:val="0"/>
        <w:widowControl w:val="0"/>
        <w:kinsoku/>
        <w:wordWrap/>
        <w:overflowPunct/>
        <w:topLinePunct w:val="0"/>
        <w:autoSpaceDE/>
        <w:autoSpaceDN/>
        <w:bidi w:val="0"/>
        <w:adjustRightInd/>
        <w:snapToGrid/>
        <w:spacing w:before="35" w:line="460" w:lineRule="exact"/>
        <w:ind w:firstLine="402" w:firstLineChars="200"/>
        <w:textAlignment w:val="auto"/>
        <w:rPr>
          <w:rFonts w:hint="eastAsia" w:ascii="仿宋" w:hAnsi="仿宋" w:eastAsia="仿宋" w:cs="仿宋"/>
          <w:b w:val="0"/>
          <w:bCs w:val="0"/>
          <w:color w:val="auto"/>
          <w:spacing w:val="0"/>
          <w:kern w:val="2"/>
          <w:sz w:val="20"/>
          <w:szCs w:val="20"/>
          <w:highlight w:val="none"/>
        </w:rPr>
      </w:pPr>
      <w:r>
        <w:rPr>
          <w:rFonts w:hint="eastAsia" w:ascii="仿宋" w:hAnsi="仿宋" w:eastAsia="仿宋" w:cs="仿宋"/>
          <w:b/>
          <w:bCs/>
          <w:color w:val="auto"/>
          <w:spacing w:val="0"/>
          <w:kern w:val="2"/>
          <w:sz w:val="20"/>
          <w:szCs w:val="20"/>
          <w:highlight w:val="none"/>
        </w:rPr>
        <w:t>第四条</w:t>
      </w:r>
      <w:r>
        <w:rPr>
          <w:rFonts w:hint="eastAsia" w:ascii="仿宋" w:hAnsi="仿宋" w:eastAsia="仿宋" w:cs="仿宋"/>
          <w:color w:val="auto"/>
          <w:spacing w:val="0"/>
          <w:kern w:val="2"/>
          <w:sz w:val="20"/>
          <w:szCs w:val="20"/>
          <w:highlight w:val="none"/>
        </w:rPr>
        <w:t xml:space="preserve"> </w:t>
      </w:r>
      <w:r>
        <w:rPr>
          <w:rFonts w:hint="eastAsia" w:ascii="仿宋" w:hAnsi="仿宋" w:eastAsia="仿宋" w:cs="仿宋"/>
          <w:b/>
          <w:bCs/>
          <w:color w:val="auto"/>
          <w:spacing w:val="0"/>
          <w:kern w:val="2"/>
          <w:sz w:val="20"/>
          <w:szCs w:val="20"/>
          <w:highlight w:val="none"/>
          <w:lang w:val="en-US" w:eastAsia="zh-CN"/>
        </w:rPr>
        <w:t>质量保证</w:t>
      </w:r>
      <w:r>
        <w:rPr>
          <w:rFonts w:hint="eastAsia" w:ascii="仿宋" w:hAnsi="仿宋" w:eastAsia="仿宋" w:cs="仿宋"/>
          <w:b/>
          <w:bCs/>
          <w:color w:val="auto"/>
          <w:spacing w:val="0"/>
          <w:kern w:val="2"/>
          <w:sz w:val="20"/>
          <w:szCs w:val="20"/>
          <w:highlight w:val="none"/>
        </w:rPr>
        <w:t>：</w:t>
      </w:r>
    </w:p>
    <w:p w14:paraId="0F98C3DC">
      <w:pPr>
        <w:keepNext w:val="0"/>
        <w:keepLines w:val="0"/>
        <w:pageBreakBefore w:val="0"/>
        <w:widowControl w:val="0"/>
        <w:kinsoku/>
        <w:wordWrap/>
        <w:overflowPunct/>
        <w:topLinePunct w:val="0"/>
        <w:autoSpaceDE/>
        <w:autoSpaceDN/>
        <w:bidi w:val="0"/>
        <w:adjustRightInd/>
        <w:snapToGrid/>
        <w:spacing w:before="66" w:line="460" w:lineRule="exact"/>
        <w:ind w:firstLine="400" w:firstLineChars="200"/>
        <w:textAlignment w:val="auto"/>
        <w:rPr>
          <w:rFonts w:hint="eastAsia" w:ascii="仿宋" w:hAnsi="仿宋" w:eastAsia="仿宋" w:cs="仿宋"/>
          <w:color w:val="auto"/>
          <w:spacing w:val="0"/>
          <w:kern w:val="2"/>
          <w:sz w:val="20"/>
          <w:szCs w:val="20"/>
          <w:highlight w:val="none"/>
          <w:lang w:val="en-US" w:eastAsia="zh-CN"/>
        </w:rPr>
      </w:pPr>
      <w:r>
        <w:rPr>
          <w:rFonts w:hint="eastAsia" w:ascii="仿宋" w:hAnsi="仿宋" w:eastAsia="仿宋" w:cs="仿宋"/>
          <w:color w:val="auto"/>
          <w:spacing w:val="0"/>
          <w:kern w:val="2"/>
          <w:sz w:val="20"/>
          <w:szCs w:val="20"/>
          <w:highlight w:val="none"/>
          <w:lang w:val="en-US" w:eastAsia="zh-CN"/>
        </w:rPr>
        <w:t>所有食材均须符合《中华人民共和国食品安全法》，须具备所配送产品的检测报告或食品检验合格证。</w:t>
      </w:r>
    </w:p>
    <w:p w14:paraId="040B7EE8">
      <w:pPr>
        <w:keepNext w:val="0"/>
        <w:keepLines w:val="0"/>
        <w:pageBreakBefore w:val="0"/>
        <w:widowControl w:val="0"/>
        <w:kinsoku/>
        <w:wordWrap/>
        <w:overflowPunct/>
        <w:topLinePunct w:val="0"/>
        <w:autoSpaceDE/>
        <w:autoSpaceDN/>
        <w:bidi w:val="0"/>
        <w:adjustRightInd/>
        <w:snapToGrid/>
        <w:spacing w:before="66" w:line="460" w:lineRule="exact"/>
        <w:ind w:firstLine="400" w:firstLineChars="200"/>
        <w:textAlignment w:val="auto"/>
        <w:rPr>
          <w:rFonts w:hint="eastAsia" w:ascii="仿宋" w:hAnsi="仿宋" w:eastAsia="仿宋" w:cs="仿宋"/>
          <w:color w:val="auto"/>
          <w:spacing w:val="0"/>
          <w:kern w:val="2"/>
          <w:sz w:val="20"/>
          <w:szCs w:val="20"/>
          <w:highlight w:val="none"/>
          <w:lang w:val="en-US" w:eastAsia="zh-CN"/>
        </w:rPr>
      </w:pPr>
      <w:r>
        <w:rPr>
          <w:rFonts w:hint="eastAsia" w:ascii="仿宋" w:hAnsi="仿宋" w:eastAsia="仿宋" w:cs="仿宋"/>
          <w:color w:val="auto"/>
          <w:spacing w:val="0"/>
          <w:kern w:val="2"/>
          <w:sz w:val="20"/>
          <w:szCs w:val="20"/>
          <w:highlight w:val="none"/>
          <w:lang w:val="en-US" w:eastAsia="zh-CN"/>
        </w:rPr>
        <w:t>1、大米必须符合GB/T 1354-2018《大米》标准中大米粳米一级要求，具有“SC”食品生产许可证。</w:t>
      </w:r>
    </w:p>
    <w:p w14:paraId="4BFCF8C1">
      <w:pPr>
        <w:keepNext w:val="0"/>
        <w:keepLines w:val="0"/>
        <w:pageBreakBefore w:val="0"/>
        <w:widowControl w:val="0"/>
        <w:kinsoku/>
        <w:wordWrap/>
        <w:overflowPunct/>
        <w:topLinePunct w:val="0"/>
        <w:autoSpaceDE/>
        <w:autoSpaceDN/>
        <w:bidi w:val="0"/>
        <w:adjustRightInd/>
        <w:snapToGrid/>
        <w:spacing w:before="66" w:line="460" w:lineRule="exact"/>
        <w:ind w:firstLine="400" w:firstLineChars="200"/>
        <w:textAlignment w:val="auto"/>
        <w:rPr>
          <w:rFonts w:hint="eastAsia" w:ascii="仿宋" w:hAnsi="仿宋" w:eastAsia="仿宋" w:cs="仿宋"/>
          <w:color w:val="auto"/>
          <w:spacing w:val="0"/>
          <w:kern w:val="2"/>
          <w:sz w:val="20"/>
          <w:szCs w:val="20"/>
          <w:highlight w:val="none"/>
          <w:lang w:val="en-US" w:eastAsia="zh-CN"/>
        </w:rPr>
      </w:pPr>
      <w:r>
        <w:rPr>
          <w:rFonts w:hint="eastAsia" w:ascii="仿宋" w:hAnsi="仿宋" w:eastAsia="仿宋" w:cs="仿宋"/>
          <w:color w:val="auto"/>
          <w:spacing w:val="0"/>
          <w:kern w:val="2"/>
          <w:sz w:val="20"/>
          <w:szCs w:val="20"/>
          <w:highlight w:val="none"/>
          <w:lang w:val="en-US" w:eastAsia="zh-CN"/>
        </w:rPr>
        <w:t>2、食用油必须符合GB/T 1536-2021《菜籽油》标准中压榨菜籽油一级要求，具有“SC”食品生产许可证。</w:t>
      </w:r>
    </w:p>
    <w:p w14:paraId="789DE514">
      <w:pPr>
        <w:keepNext w:val="0"/>
        <w:keepLines w:val="0"/>
        <w:pageBreakBefore w:val="0"/>
        <w:widowControl w:val="0"/>
        <w:kinsoku/>
        <w:wordWrap/>
        <w:overflowPunct/>
        <w:topLinePunct w:val="0"/>
        <w:autoSpaceDE/>
        <w:autoSpaceDN/>
        <w:bidi w:val="0"/>
        <w:adjustRightInd/>
        <w:snapToGrid/>
        <w:spacing w:before="66" w:line="460" w:lineRule="exact"/>
        <w:ind w:firstLine="400" w:firstLineChars="200"/>
        <w:textAlignment w:val="auto"/>
        <w:rPr>
          <w:rFonts w:hint="eastAsia" w:ascii="仿宋" w:hAnsi="仿宋" w:eastAsia="仿宋" w:cs="仿宋"/>
          <w:color w:val="auto"/>
          <w:spacing w:val="0"/>
          <w:kern w:val="2"/>
          <w:sz w:val="20"/>
          <w:szCs w:val="20"/>
          <w:highlight w:val="none"/>
          <w:lang w:val="en-US" w:eastAsia="zh-CN"/>
        </w:rPr>
      </w:pPr>
      <w:r>
        <w:rPr>
          <w:rFonts w:hint="eastAsia" w:ascii="仿宋" w:hAnsi="仿宋" w:eastAsia="仿宋" w:cs="仿宋"/>
          <w:color w:val="auto"/>
          <w:spacing w:val="0"/>
          <w:kern w:val="2"/>
          <w:sz w:val="20"/>
          <w:szCs w:val="20"/>
          <w:highlight w:val="none"/>
          <w:lang w:val="en-US" w:eastAsia="zh-CN"/>
        </w:rPr>
        <w:t>3、面粉必须符合GB/T 1355-2021《小麦粉》标准中特制一等要求，具有“SC”食品生产许可证。</w:t>
      </w:r>
    </w:p>
    <w:p w14:paraId="445B819C">
      <w:pPr>
        <w:keepNext w:val="0"/>
        <w:keepLines w:val="0"/>
        <w:pageBreakBefore w:val="0"/>
        <w:widowControl w:val="0"/>
        <w:kinsoku/>
        <w:wordWrap/>
        <w:overflowPunct/>
        <w:topLinePunct w:val="0"/>
        <w:autoSpaceDE/>
        <w:autoSpaceDN/>
        <w:bidi w:val="0"/>
        <w:adjustRightInd/>
        <w:snapToGrid/>
        <w:spacing w:before="66" w:line="460" w:lineRule="exact"/>
        <w:ind w:firstLine="400" w:firstLineChars="200"/>
        <w:textAlignment w:val="auto"/>
        <w:rPr>
          <w:rFonts w:hint="eastAsia" w:ascii="仿宋" w:hAnsi="仿宋" w:eastAsia="仿宋" w:cs="仿宋"/>
          <w:color w:val="auto"/>
          <w:spacing w:val="0"/>
          <w:kern w:val="2"/>
          <w:sz w:val="20"/>
          <w:szCs w:val="20"/>
          <w:highlight w:val="none"/>
          <w:lang w:val="en-US" w:eastAsia="zh-CN"/>
        </w:rPr>
      </w:pPr>
      <w:r>
        <w:rPr>
          <w:rFonts w:hint="eastAsia" w:ascii="仿宋" w:hAnsi="仿宋" w:eastAsia="仿宋" w:cs="仿宋"/>
          <w:color w:val="auto"/>
          <w:spacing w:val="0"/>
          <w:kern w:val="2"/>
          <w:sz w:val="20"/>
          <w:szCs w:val="20"/>
          <w:highlight w:val="none"/>
          <w:lang w:val="en-US" w:eastAsia="zh-CN"/>
        </w:rPr>
        <w:t>4、杂粮及调味品要品质好，无霉变、无杂质。</w:t>
      </w:r>
    </w:p>
    <w:p w14:paraId="2850EDF7">
      <w:pPr>
        <w:keepNext w:val="0"/>
        <w:keepLines w:val="0"/>
        <w:pageBreakBefore w:val="0"/>
        <w:widowControl w:val="0"/>
        <w:kinsoku/>
        <w:wordWrap/>
        <w:overflowPunct/>
        <w:topLinePunct w:val="0"/>
        <w:autoSpaceDE/>
        <w:autoSpaceDN/>
        <w:bidi w:val="0"/>
        <w:adjustRightInd/>
        <w:snapToGrid/>
        <w:spacing w:before="66" w:line="460" w:lineRule="exact"/>
        <w:ind w:firstLine="400" w:firstLineChars="200"/>
        <w:textAlignment w:val="auto"/>
        <w:rPr>
          <w:rFonts w:hint="eastAsia" w:ascii="仿宋" w:hAnsi="仿宋" w:eastAsia="仿宋" w:cs="仿宋"/>
          <w:color w:val="auto"/>
          <w:spacing w:val="0"/>
          <w:kern w:val="2"/>
          <w:sz w:val="20"/>
          <w:szCs w:val="20"/>
          <w:highlight w:val="none"/>
          <w:lang w:val="en-US" w:eastAsia="zh-CN"/>
        </w:rPr>
      </w:pPr>
      <w:r>
        <w:rPr>
          <w:rFonts w:hint="eastAsia" w:ascii="仿宋" w:hAnsi="仿宋" w:eastAsia="仿宋" w:cs="仿宋"/>
          <w:color w:val="auto"/>
          <w:spacing w:val="0"/>
          <w:kern w:val="2"/>
          <w:sz w:val="20"/>
          <w:szCs w:val="20"/>
          <w:highlight w:val="none"/>
          <w:lang w:val="en-US" w:eastAsia="zh-CN"/>
        </w:rPr>
        <w:t>5、乳制品及其他半成品送货当日时间不得超过保质期的1/3时长。</w:t>
      </w:r>
    </w:p>
    <w:p w14:paraId="1C1F0E4F">
      <w:pPr>
        <w:keepNext w:val="0"/>
        <w:keepLines w:val="0"/>
        <w:pageBreakBefore w:val="0"/>
        <w:widowControl w:val="0"/>
        <w:kinsoku/>
        <w:wordWrap/>
        <w:overflowPunct/>
        <w:topLinePunct w:val="0"/>
        <w:autoSpaceDE/>
        <w:autoSpaceDN/>
        <w:bidi w:val="0"/>
        <w:adjustRightInd/>
        <w:snapToGrid/>
        <w:spacing w:before="66" w:line="460" w:lineRule="exact"/>
        <w:ind w:firstLine="400" w:firstLineChars="200"/>
        <w:textAlignment w:val="auto"/>
        <w:rPr>
          <w:rFonts w:hint="eastAsia" w:ascii="仿宋" w:hAnsi="仿宋" w:eastAsia="仿宋" w:cs="仿宋"/>
          <w:color w:val="auto"/>
          <w:spacing w:val="0"/>
          <w:kern w:val="2"/>
          <w:sz w:val="20"/>
          <w:szCs w:val="20"/>
          <w:highlight w:val="none"/>
          <w:lang w:val="en-US" w:eastAsia="zh-CN"/>
        </w:rPr>
      </w:pPr>
      <w:r>
        <w:rPr>
          <w:rFonts w:hint="eastAsia" w:ascii="仿宋" w:hAnsi="仿宋" w:eastAsia="仿宋" w:cs="仿宋"/>
          <w:color w:val="auto"/>
          <w:spacing w:val="0"/>
          <w:kern w:val="2"/>
          <w:sz w:val="20"/>
          <w:szCs w:val="20"/>
          <w:highlight w:val="none"/>
          <w:lang w:val="en-US" w:eastAsia="zh-CN"/>
        </w:rPr>
        <w:t xml:space="preserve">6、蔬菜、水果、禽蛋必须保证新鲜，果蔬必须符合GB 2763-2021《食品安全国家标准食品中农药最大残留量》标准要求并具有农药残留检验记录。 </w:t>
      </w:r>
    </w:p>
    <w:p w14:paraId="67471A25">
      <w:pPr>
        <w:keepNext w:val="0"/>
        <w:keepLines w:val="0"/>
        <w:pageBreakBefore w:val="0"/>
        <w:widowControl w:val="0"/>
        <w:kinsoku/>
        <w:wordWrap/>
        <w:overflowPunct/>
        <w:topLinePunct w:val="0"/>
        <w:autoSpaceDE/>
        <w:autoSpaceDN/>
        <w:bidi w:val="0"/>
        <w:adjustRightInd/>
        <w:snapToGrid/>
        <w:spacing w:before="66" w:line="460" w:lineRule="exact"/>
        <w:ind w:firstLine="400" w:firstLineChars="200"/>
        <w:textAlignment w:val="auto"/>
        <w:rPr>
          <w:rFonts w:hint="eastAsia" w:ascii="仿宋" w:hAnsi="仿宋" w:eastAsia="仿宋" w:cs="仿宋"/>
          <w:color w:val="auto"/>
          <w:spacing w:val="0"/>
          <w:kern w:val="2"/>
          <w:sz w:val="20"/>
          <w:szCs w:val="20"/>
          <w:highlight w:val="none"/>
          <w:lang w:val="en-US" w:eastAsia="zh-CN"/>
        </w:rPr>
      </w:pPr>
      <w:r>
        <w:rPr>
          <w:rFonts w:hint="eastAsia" w:ascii="仿宋" w:hAnsi="仿宋" w:eastAsia="仿宋" w:cs="仿宋"/>
          <w:color w:val="auto"/>
          <w:spacing w:val="0"/>
          <w:kern w:val="2"/>
          <w:sz w:val="20"/>
          <w:szCs w:val="20"/>
          <w:highlight w:val="none"/>
          <w:lang w:val="en-US" w:eastAsia="zh-CN"/>
        </w:rPr>
        <w:t>7、肉类、冷冻产品必须保证质量，应具有相关动物检验检疫合格证明，供应商应设有固定的经营场所，并具有符合卫生防疫监督部门要求的肉类食材屠宰厂的经营授权书，含水（冰）率符合标准；</w:t>
      </w:r>
    </w:p>
    <w:p w14:paraId="6F7B609C">
      <w:pPr>
        <w:keepNext w:val="0"/>
        <w:keepLines w:val="0"/>
        <w:pageBreakBefore w:val="0"/>
        <w:widowControl w:val="0"/>
        <w:kinsoku/>
        <w:wordWrap/>
        <w:overflowPunct/>
        <w:topLinePunct w:val="0"/>
        <w:autoSpaceDE/>
        <w:autoSpaceDN/>
        <w:bidi w:val="0"/>
        <w:adjustRightInd/>
        <w:snapToGrid/>
        <w:spacing w:before="66" w:line="460" w:lineRule="exact"/>
        <w:ind w:firstLine="400" w:firstLineChars="200"/>
        <w:textAlignment w:val="auto"/>
        <w:rPr>
          <w:rFonts w:hint="eastAsia" w:ascii="仿宋" w:hAnsi="仿宋" w:eastAsia="仿宋" w:cs="仿宋"/>
          <w:color w:val="auto"/>
          <w:spacing w:val="0"/>
          <w:kern w:val="2"/>
          <w:sz w:val="20"/>
          <w:szCs w:val="20"/>
          <w:highlight w:val="none"/>
          <w:lang w:val="en-US" w:eastAsia="zh-CN"/>
        </w:rPr>
      </w:pPr>
      <w:r>
        <w:rPr>
          <w:rFonts w:hint="eastAsia" w:ascii="仿宋" w:hAnsi="仿宋" w:eastAsia="仿宋" w:cs="仿宋"/>
          <w:color w:val="auto"/>
          <w:spacing w:val="0"/>
          <w:kern w:val="2"/>
          <w:sz w:val="20"/>
          <w:szCs w:val="20"/>
          <w:highlight w:val="none"/>
          <w:lang w:val="en-US" w:eastAsia="zh-CN"/>
        </w:rPr>
        <w:t>8、豆制品当日时间不得超过保质期的1/3时长。</w:t>
      </w:r>
    </w:p>
    <w:p w14:paraId="6684C752">
      <w:pPr>
        <w:keepNext w:val="0"/>
        <w:keepLines w:val="0"/>
        <w:pageBreakBefore w:val="0"/>
        <w:widowControl w:val="0"/>
        <w:kinsoku/>
        <w:wordWrap/>
        <w:overflowPunct/>
        <w:topLinePunct w:val="0"/>
        <w:autoSpaceDE/>
        <w:autoSpaceDN/>
        <w:bidi w:val="0"/>
        <w:adjustRightInd/>
        <w:snapToGrid/>
        <w:spacing w:before="35" w:line="460" w:lineRule="exact"/>
        <w:ind w:firstLine="402" w:firstLineChars="200"/>
        <w:textAlignment w:val="auto"/>
        <w:rPr>
          <w:rFonts w:hint="eastAsia" w:ascii="仿宋" w:hAnsi="仿宋" w:eastAsia="仿宋" w:cs="仿宋"/>
          <w:color w:val="auto"/>
          <w:spacing w:val="0"/>
          <w:kern w:val="2"/>
          <w:sz w:val="20"/>
          <w:szCs w:val="20"/>
          <w:highlight w:val="none"/>
        </w:rPr>
      </w:pPr>
      <w:r>
        <w:rPr>
          <w:rFonts w:hint="eastAsia" w:ascii="仿宋" w:hAnsi="仿宋" w:eastAsia="仿宋" w:cs="仿宋"/>
          <w:b/>
          <w:bCs/>
          <w:color w:val="auto"/>
          <w:spacing w:val="0"/>
          <w:kern w:val="2"/>
          <w:sz w:val="20"/>
          <w:szCs w:val="20"/>
          <w:highlight w:val="none"/>
        </w:rPr>
        <w:t>第七条</w:t>
      </w:r>
      <w:r>
        <w:rPr>
          <w:rFonts w:hint="eastAsia" w:ascii="仿宋" w:hAnsi="仿宋" w:eastAsia="仿宋" w:cs="仿宋"/>
          <w:color w:val="auto"/>
          <w:spacing w:val="0"/>
          <w:kern w:val="2"/>
          <w:sz w:val="20"/>
          <w:szCs w:val="20"/>
          <w:highlight w:val="none"/>
        </w:rPr>
        <w:t xml:space="preserve"> </w:t>
      </w:r>
      <w:r>
        <w:rPr>
          <w:rFonts w:hint="eastAsia" w:ascii="仿宋" w:hAnsi="仿宋" w:eastAsia="仿宋" w:cs="仿宋"/>
          <w:b/>
          <w:bCs/>
          <w:color w:val="auto"/>
          <w:spacing w:val="0"/>
          <w:kern w:val="2"/>
          <w:sz w:val="20"/>
          <w:szCs w:val="20"/>
          <w:highlight w:val="none"/>
        </w:rPr>
        <w:t>配送及验收标准</w:t>
      </w:r>
    </w:p>
    <w:p w14:paraId="168CD7B2">
      <w:pPr>
        <w:keepNext w:val="0"/>
        <w:keepLines w:val="0"/>
        <w:pageBreakBefore w:val="0"/>
        <w:widowControl w:val="0"/>
        <w:kinsoku/>
        <w:wordWrap/>
        <w:overflowPunct/>
        <w:topLinePunct w:val="0"/>
        <w:autoSpaceDE/>
        <w:autoSpaceDN/>
        <w:bidi w:val="0"/>
        <w:adjustRightInd/>
        <w:snapToGrid/>
        <w:spacing w:before="66" w:line="460" w:lineRule="exact"/>
        <w:ind w:firstLine="400" w:firstLineChars="200"/>
        <w:textAlignment w:val="auto"/>
        <w:rPr>
          <w:rFonts w:hint="eastAsia" w:ascii="仿宋" w:hAnsi="仿宋" w:eastAsia="仿宋" w:cs="仿宋"/>
          <w:color w:val="auto"/>
          <w:spacing w:val="0"/>
          <w:kern w:val="2"/>
          <w:sz w:val="20"/>
          <w:szCs w:val="20"/>
          <w:highlight w:val="none"/>
          <w:lang w:val="en-US" w:eastAsia="zh-CN"/>
        </w:rPr>
      </w:pPr>
      <w:r>
        <w:rPr>
          <w:rFonts w:hint="eastAsia" w:ascii="仿宋" w:hAnsi="仿宋" w:eastAsia="仿宋" w:cs="仿宋"/>
          <w:color w:val="auto"/>
          <w:spacing w:val="0"/>
          <w:kern w:val="2"/>
          <w:sz w:val="20"/>
          <w:szCs w:val="20"/>
          <w:highlight w:val="none"/>
          <w:lang w:val="en-US" w:eastAsia="zh-CN"/>
        </w:rPr>
        <w:t>1、配送方法</w:t>
      </w:r>
    </w:p>
    <w:p w14:paraId="3DB360BA">
      <w:pPr>
        <w:keepNext w:val="0"/>
        <w:keepLines w:val="0"/>
        <w:pageBreakBefore w:val="0"/>
        <w:widowControl w:val="0"/>
        <w:kinsoku/>
        <w:wordWrap/>
        <w:overflowPunct/>
        <w:topLinePunct w:val="0"/>
        <w:autoSpaceDE/>
        <w:autoSpaceDN/>
        <w:bidi w:val="0"/>
        <w:adjustRightInd/>
        <w:snapToGrid/>
        <w:spacing w:before="66" w:line="460" w:lineRule="exact"/>
        <w:ind w:firstLine="400" w:firstLineChars="200"/>
        <w:textAlignment w:val="auto"/>
        <w:rPr>
          <w:rFonts w:hint="eastAsia" w:ascii="仿宋" w:hAnsi="仿宋" w:eastAsia="仿宋" w:cs="仿宋"/>
          <w:color w:val="auto"/>
          <w:spacing w:val="0"/>
          <w:kern w:val="2"/>
          <w:sz w:val="20"/>
          <w:szCs w:val="20"/>
          <w:highlight w:val="none"/>
          <w:lang w:val="en-US" w:eastAsia="zh-CN"/>
        </w:rPr>
      </w:pPr>
      <w:r>
        <w:rPr>
          <w:rFonts w:hint="eastAsia" w:ascii="仿宋" w:hAnsi="仿宋" w:eastAsia="仿宋" w:cs="仿宋"/>
          <w:color w:val="auto"/>
          <w:spacing w:val="0"/>
          <w:kern w:val="2"/>
          <w:sz w:val="20"/>
          <w:szCs w:val="20"/>
          <w:highlight w:val="none"/>
          <w:lang w:val="en-US" w:eastAsia="zh-CN"/>
        </w:rPr>
        <w:t>（1）在与乙方签订采购合同中，由乙方和甲方共同拟订《食材配送质量标准书》；</w:t>
      </w:r>
    </w:p>
    <w:p w14:paraId="44746B19">
      <w:pPr>
        <w:keepNext w:val="0"/>
        <w:keepLines w:val="0"/>
        <w:pageBreakBefore w:val="0"/>
        <w:widowControl w:val="0"/>
        <w:kinsoku/>
        <w:wordWrap/>
        <w:overflowPunct/>
        <w:topLinePunct w:val="0"/>
        <w:autoSpaceDE/>
        <w:autoSpaceDN/>
        <w:bidi w:val="0"/>
        <w:adjustRightInd/>
        <w:snapToGrid/>
        <w:spacing w:before="66" w:line="460" w:lineRule="exact"/>
        <w:ind w:firstLine="400" w:firstLineChars="200"/>
        <w:textAlignment w:val="auto"/>
        <w:rPr>
          <w:rFonts w:hint="eastAsia" w:ascii="仿宋" w:hAnsi="仿宋" w:eastAsia="仿宋" w:cs="仿宋"/>
          <w:color w:val="auto"/>
          <w:spacing w:val="0"/>
          <w:kern w:val="2"/>
          <w:sz w:val="20"/>
          <w:szCs w:val="20"/>
          <w:highlight w:val="none"/>
          <w:lang w:val="en-US" w:eastAsia="zh-CN"/>
        </w:rPr>
      </w:pPr>
      <w:r>
        <w:rPr>
          <w:rFonts w:hint="eastAsia" w:ascii="仿宋" w:hAnsi="仿宋" w:eastAsia="仿宋" w:cs="仿宋"/>
          <w:color w:val="auto"/>
          <w:spacing w:val="0"/>
          <w:kern w:val="2"/>
          <w:sz w:val="20"/>
          <w:szCs w:val="20"/>
          <w:highlight w:val="none"/>
          <w:lang w:val="en-US" w:eastAsia="zh-CN"/>
        </w:rPr>
        <w:t>（2）乙方接到配送定单后，将组织的蔬菜由分拣人员按《蔬菜配送质量标准书》分拣包装入筐，专人负责配送，保证检验合格；</w:t>
      </w:r>
    </w:p>
    <w:p w14:paraId="4596FB7F">
      <w:pPr>
        <w:keepNext w:val="0"/>
        <w:keepLines w:val="0"/>
        <w:pageBreakBefore w:val="0"/>
        <w:widowControl w:val="0"/>
        <w:kinsoku/>
        <w:wordWrap/>
        <w:overflowPunct/>
        <w:topLinePunct w:val="0"/>
        <w:autoSpaceDE/>
        <w:autoSpaceDN/>
        <w:bidi w:val="0"/>
        <w:adjustRightInd/>
        <w:snapToGrid/>
        <w:spacing w:before="66" w:line="460" w:lineRule="exact"/>
        <w:ind w:firstLine="400" w:firstLineChars="200"/>
        <w:textAlignment w:val="auto"/>
        <w:rPr>
          <w:rFonts w:hint="eastAsia" w:ascii="仿宋" w:hAnsi="仿宋" w:eastAsia="仿宋" w:cs="仿宋"/>
          <w:color w:val="auto"/>
          <w:spacing w:val="0"/>
          <w:kern w:val="2"/>
          <w:sz w:val="20"/>
          <w:szCs w:val="20"/>
          <w:highlight w:val="none"/>
          <w:lang w:val="en-US" w:eastAsia="zh-CN"/>
        </w:rPr>
      </w:pPr>
      <w:r>
        <w:rPr>
          <w:rFonts w:hint="eastAsia" w:ascii="仿宋" w:hAnsi="仿宋" w:eastAsia="仿宋" w:cs="仿宋"/>
          <w:color w:val="auto"/>
          <w:spacing w:val="0"/>
          <w:kern w:val="2"/>
          <w:sz w:val="20"/>
          <w:szCs w:val="20"/>
          <w:highlight w:val="none"/>
          <w:lang w:val="en-US" w:eastAsia="zh-CN"/>
        </w:rPr>
        <w:t>（3）配送的食材由甲方的质量监督员验收。</w:t>
      </w:r>
    </w:p>
    <w:p w14:paraId="4DE3F247">
      <w:pPr>
        <w:keepNext w:val="0"/>
        <w:keepLines w:val="0"/>
        <w:pageBreakBefore w:val="0"/>
        <w:widowControl w:val="0"/>
        <w:kinsoku/>
        <w:wordWrap/>
        <w:overflowPunct/>
        <w:topLinePunct w:val="0"/>
        <w:autoSpaceDE/>
        <w:autoSpaceDN/>
        <w:bidi w:val="0"/>
        <w:adjustRightInd/>
        <w:snapToGrid/>
        <w:spacing w:before="66" w:line="460" w:lineRule="exact"/>
        <w:ind w:firstLine="400" w:firstLineChars="200"/>
        <w:textAlignment w:val="auto"/>
        <w:rPr>
          <w:rFonts w:hint="eastAsia" w:ascii="仿宋" w:hAnsi="仿宋" w:eastAsia="仿宋" w:cs="仿宋"/>
          <w:color w:val="auto"/>
          <w:spacing w:val="0"/>
          <w:kern w:val="2"/>
          <w:sz w:val="20"/>
          <w:szCs w:val="20"/>
          <w:highlight w:val="none"/>
          <w:lang w:val="en-US" w:eastAsia="zh-CN"/>
        </w:rPr>
      </w:pPr>
      <w:r>
        <w:rPr>
          <w:rFonts w:hint="eastAsia" w:ascii="仿宋" w:hAnsi="仿宋" w:eastAsia="仿宋" w:cs="仿宋"/>
          <w:color w:val="auto"/>
          <w:spacing w:val="0"/>
          <w:kern w:val="2"/>
          <w:sz w:val="20"/>
          <w:szCs w:val="20"/>
          <w:highlight w:val="none"/>
          <w:lang w:val="en-US" w:eastAsia="zh-CN"/>
        </w:rPr>
        <w:t>（4）所有食材供应商必须按照甲方要求的种类、规格进行供货，满足甲方使用需求。所有食材采购均以甲方通知为准，甲方有权根据实际需求量随时调整采购计划及供货时间段。</w:t>
      </w:r>
    </w:p>
    <w:p w14:paraId="74382B9C">
      <w:pPr>
        <w:keepNext w:val="0"/>
        <w:keepLines w:val="0"/>
        <w:pageBreakBefore w:val="0"/>
        <w:widowControl w:val="0"/>
        <w:kinsoku/>
        <w:wordWrap/>
        <w:overflowPunct/>
        <w:topLinePunct w:val="0"/>
        <w:autoSpaceDE/>
        <w:autoSpaceDN/>
        <w:bidi w:val="0"/>
        <w:adjustRightInd/>
        <w:snapToGrid/>
        <w:spacing w:before="66" w:line="460" w:lineRule="exact"/>
        <w:ind w:firstLine="400" w:firstLineChars="200"/>
        <w:textAlignment w:val="auto"/>
        <w:rPr>
          <w:rFonts w:hint="eastAsia" w:ascii="仿宋" w:hAnsi="仿宋" w:eastAsia="仿宋" w:cs="仿宋"/>
          <w:color w:val="auto"/>
          <w:spacing w:val="0"/>
          <w:kern w:val="2"/>
          <w:sz w:val="20"/>
          <w:szCs w:val="20"/>
          <w:highlight w:val="none"/>
          <w:lang w:val="en-US" w:eastAsia="zh-CN"/>
        </w:rPr>
      </w:pPr>
      <w:r>
        <w:rPr>
          <w:rFonts w:hint="eastAsia" w:ascii="仿宋" w:hAnsi="仿宋" w:eastAsia="仿宋" w:cs="仿宋"/>
          <w:color w:val="auto"/>
          <w:spacing w:val="0"/>
          <w:kern w:val="2"/>
          <w:sz w:val="20"/>
          <w:szCs w:val="20"/>
          <w:highlight w:val="none"/>
          <w:lang w:val="en-US" w:eastAsia="zh-CN"/>
        </w:rPr>
        <w:t>2、车辆配送服务</w:t>
      </w:r>
    </w:p>
    <w:p w14:paraId="47F3A114">
      <w:pPr>
        <w:keepNext w:val="0"/>
        <w:keepLines w:val="0"/>
        <w:pageBreakBefore w:val="0"/>
        <w:widowControl w:val="0"/>
        <w:kinsoku/>
        <w:wordWrap/>
        <w:overflowPunct/>
        <w:topLinePunct w:val="0"/>
        <w:autoSpaceDE/>
        <w:autoSpaceDN/>
        <w:bidi w:val="0"/>
        <w:adjustRightInd/>
        <w:snapToGrid/>
        <w:spacing w:before="66" w:line="460" w:lineRule="exact"/>
        <w:ind w:firstLine="400" w:firstLineChars="200"/>
        <w:textAlignment w:val="auto"/>
        <w:rPr>
          <w:rFonts w:hint="eastAsia" w:ascii="仿宋" w:hAnsi="仿宋" w:eastAsia="仿宋" w:cs="仿宋"/>
          <w:color w:val="auto"/>
          <w:spacing w:val="0"/>
          <w:kern w:val="2"/>
          <w:sz w:val="20"/>
          <w:szCs w:val="20"/>
          <w:highlight w:val="none"/>
          <w:lang w:val="en-US" w:eastAsia="zh-CN"/>
        </w:rPr>
      </w:pPr>
      <w:r>
        <w:rPr>
          <w:rFonts w:hint="eastAsia" w:ascii="仿宋" w:hAnsi="仿宋" w:eastAsia="仿宋" w:cs="仿宋"/>
          <w:color w:val="auto"/>
          <w:spacing w:val="0"/>
          <w:kern w:val="2"/>
          <w:sz w:val="20"/>
          <w:szCs w:val="20"/>
          <w:highlight w:val="none"/>
          <w:lang w:val="en-US" w:eastAsia="zh-CN"/>
        </w:rPr>
        <w:t>（1）乙方自备送货车（冷藏或恒温），安排专人及时供货，装卸费、送货费用及运输安全由乙方承担；</w:t>
      </w:r>
    </w:p>
    <w:p w14:paraId="78857BF0">
      <w:pPr>
        <w:keepNext w:val="0"/>
        <w:keepLines w:val="0"/>
        <w:pageBreakBefore w:val="0"/>
        <w:widowControl w:val="0"/>
        <w:kinsoku/>
        <w:wordWrap/>
        <w:overflowPunct/>
        <w:topLinePunct w:val="0"/>
        <w:autoSpaceDE/>
        <w:autoSpaceDN/>
        <w:bidi w:val="0"/>
        <w:adjustRightInd/>
        <w:snapToGrid/>
        <w:spacing w:before="66" w:line="460" w:lineRule="exact"/>
        <w:ind w:firstLine="400" w:firstLineChars="200"/>
        <w:textAlignment w:val="auto"/>
        <w:rPr>
          <w:rFonts w:hint="eastAsia" w:ascii="仿宋" w:hAnsi="仿宋" w:eastAsia="仿宋" w:cs="仿宋"/>
          <w:color w:val="auto"/>
          <w:spacing w:val="0"/>
          <w:kern w:val="2"/>
          <w:sz w:val="20"/>
          <w:szCs w:val="20"/>
          <w:highlight w:val="none"/>
          <w:lang w:val="en-US" w:eastAsia="zh-CN"/>
        </w:rPr>
      </w:pPr>
      <w:r>
        <w:rPr>
          <w:rFonts w:hint="eastAsia" w:ascii="仿宋" w:hAnsi="仿宋" w:eastAsia="仿宋" w:cs="仿宋"/>
          <w:color w:val="auto"/>
          <w:spacing w:val="0"/>
          <w:kern w:val="2"/>
          <w:sz w:val="20"/>
          <w:szCs w:val="20"/>
          <w:highlight w:val="none"/>
          <w:lang w:val="en-US" w:eastAsia="zh-CN"/>
        </w:rPr>
        <w:t>（2）特殊情况下，甲方需要的小批量的急用物资，乙方应予以满足解决；</w:t>
      </w:r>
    </w:p>
    <w:p w14:paraId="6EB0D73D">
      <w:pPr>
        <w:keepNext w:val="0"/>
        <w:keepLines w:val="0"/>
        <w:pageBreakBefore w:val="0"/>
        <w:widowControl w:val="0"/>
        <w:kinsoku/>
        <w:wordWrap/>
        <w:overflowPunct/>
        <w:topLinePunct w:val="0"/>
        <w:autoSpaceDE/>
        <w:autoSpaceDN/>
        <w:bidi w:val="0"/>
        <w:adjustRightInd/>
        <w:snapToGrid/>
        <w:spacing w:before="66" w:line="460" w:lineRule="exact"/>
        <w:ind w:firstLine="400" w:firstLineChars="200"/>
        <w:textAlignment w:val="auto"/>
        <w:rPr>
          <w:rFonts w:hint="eastAsia" w:ascii="仿宋" w:hAnsi="仿宋" w:eastAsia="仿宋" w:cs="仿宋"/>
          <w:color w:val="auto"/>
          <w:spacing w:val="0"/>
          <w:kern w:val="2"/>
          <w:sz w:val="20"/>
          <w:szCs w:val="20"/>
          <w:highlight w:val="none"/>
          <w:lang w:val="en-US" w:eastAsia="zh-CN"/>
        </w:rPr>
      </w:pPr>
      <w:r>
        <w:rPr>
          <w:rFonts w:hint="eastAsia" w:ascii="仿宋" w:hAnsi="仿宋" w:eastAsia="仿宋" w:cs="仿宋"/>
          <w:color w:val="auto"/>
          <w:spacing w:val="0"/>
          <w:kern w:val="2"/>
          <w:sz w:val="20"/>
          <w:szCs w:val="20"/>
          <w:highlight w:val="none"/>
          <w:lang w:val="en-US" w:eastAsia="zh-CN"/>
        </w:rPr>
        <w:t>3、配送时间及地点</w:t>
      </w:r>
    </w:p>
    <w:p w14:paraId="624658EA">
      <w:pPr>
        <w:keepNext w:val="0"/>
        <w:keepLines w:val="0"/>
        <w:pageBreakBefore w:val="0"/>
        <w:widowControl w:val="0"/>
        <w:kinsoku/>
        <w:wordWrap/>
        <w:overflowPunct/>
        <w:topLinePunct w:val="0"/>
        <w:autoSpaceDE/>
        <w:autoSpaceDN/>
        <w:bidi w:val="0"/>
        <w:adjustRightInd/>
        <w:snapToGrid/>
        <w:spacing w:before="66" w:line="460" w:lineRule="exact"/>
        <w:ind w:firstLine="400" w:firstLineChars="200"/>
        <w:textAlignment w:val="auto"/>
        <w:rPr>
          <w:rFonts w:hint="eastAsia" w:ascii="仿宋" w:hAnsi="仿宋" w:eastAsia="仿宋" w:cs="仿宋"/>
          <w:color w:val="auto"/>
          <w:spacing w:val="0"/>
          <w:kern w:val="2"/>
          <w:sz w:val="20"/>
          <w:szCs w:val="20"/>
          <w:highlight w:val="none"/>
          <w:lang w:val="en-US" w:eastAsia="zh-CN"/>
        </w:rPr>
      </w:pPr>
      <w:r>
        <w:rPr>
          <w:rFonts w:hint="eastAsia" w:ascii="仿宋" w:hAnsi="仿宋" w:eastAsia="仿宋" w:cs="仿宋"/>
          <w:color w:val="auto"/>
          <w:spacing w:val="0"/>
          <w:kern w:val="2"/>
          <w:sz w:val="20"/>
          <w:szCs w:val="20"/>
          <w:highlight w:val="none"/>
          <w:lang w:val="en-US" w:eastAsia="zh-CN"/>
        </w:rPr>
        <w:t>（1）乙方应按购买方所定时间进行配送。</w:t>
      </w:r>
    </w:p>
    <w:p w14:paraId="0080D63A">
      <w:pPr>
        <w:keepNext w:val="0"/>
        <w:keepLines w:val="0"/>
        <w:pageBreakBefore w:val="0"/>
        <w:widowControl w:val="0"/>
        <w:kinsoku/>
        <w:wordWrap/>
        <w:overflowPunct/>
        <w:topLinePunct w:val="0"/>
        <w:autoSpaceDE/>
        <w:autoSpaceDN/>
        <w:bidi w:val="0"/>
        <w:adjustRightInd/>
        <w:snapToGrid/>
        <w:spacing w:before="66" w:line="460" w:lineRule="exact"/>
        <w:ind w:firstLine="400" w:firstLineChars="200"/>
        <w:textAlignment w:val="auto"/>
        <w:rPr>
          <w:rFonts w:hint="eastAsia" w:ascii="仿宋" w:hAnsi="仿宋" w:eastAsia="仿宋" w:cs="仿宋"/>
          <w:color w:val="auto"/>
          <w:spacing w:val="0"/>
          <w:kern w:val="2"/>
          <w:sz w:val="20"/>
          <w:szCs w:val="20"/>
          <w:highlight w:val="none"/>
          <w:lang w:val="en-US" w:eastAsia="zh-CN"/>
        </w:rPr>
      </w:pPr>
      <w:r>
        <w:rPr>
          <w:rFonts w:hint="eastAsia" w:ascii="仿宋" w:hAnsi="仿宋" w:eastAsia="仿宋" w:cs="仿宋"/>
          <w:color w:val="auto"/>
          <w:spacing w:val="0"/>
          <w:kern w:val="2"/>
          <w:sz w:val="20"/>
          <w:szCs w:val="20"/>
          <w:highlight w:val="none"/>
          <w:lang w:val="en-US" w:eastAsia="zh-CN"/>
        </w:rPr>
        <w:t>（2）乙方应按购买方指定地点进行配送。</w:t>
      </w:r>
    </w:p>
    <w:p w14:paraId="48059D69">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Cs/>
          <w:color w:val="auto"/>
          <w:spacing w:val="0"/>
          <w:kern w:val="2"/>
          <w:sz w:val="20"/>
          <w:szCs w:val="20"/>
          <w:highlight w:val="none"/>
        </w:rPr>
        <w:t>（二）验收标准</w:t>
      </w:r>
    </w:p>
    <w:p w14:paraId="67D31BF9">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Cs/>
          <w:color w:val="auto"/>
          <w:spacing w:val="0"/>
          <w:kern w:val="2"/>
          <w:sz w:val="20"/>
          <w:szCs w:val="20"/>
          <w:highlight w:val="none"/>
        </w:rPr>
        <w:t>乙方采购人员与甲方共同负责入库食材种类及数量清点，值班厨师负责质量验收，食材验收要求 双方签字确认，验收标准如下：</w:t>
      </w:r>
    </w:p>
    <w:p w14:paraId="74F9E1BE">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Cs/>
          <w:color w:val="auto"/>
          <w:spacing w:val="0"/>
          <w:kern w:val="2"/>
          <w:sz w:val="20"/>
          <w:szCs w:val="20"/>
          <w:highlight w:val="none"/>
        </w:rPr>
        <w:t>1.产品供应渠道正常、稳定且质量有保障并提供相应产品的检验报告等证明材料。</w:t>
      </w:r>
    </w:p>
    <w:p w14:paraId="1A65BB91">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Cs/>
          <w:color w:val="auto"/>
          <w:spacing w:val="0"/>
          <w:kern w:val="2"/>
          <w:sz w:val="20"/>
          <w:szCs w:val="20"/>
          <w:highlight w:val="none"/>
          <w:lang w:val="en-US" w:eastAsia="zh-CN"/>
        </w:rPr>
        <w:t>2</w:t>
      </w:r>
      <w:r>
        <w:rPr>
          <w:rFonts w:hint="eastAsia" w:ascii="仿宋" w:hAnsi="仿宋" w:eastAsia="仿宋" w:cs="仿宋"/>
          <w:bCs/>
          <w:color w:val="auto"/>
          <w:spacing w:val="0"/>
          <w:kern w:val="2"/>
          <w:sz w:val="20"/>
          <w:szCs w:val="20"/>
          <w:highlight w:val="none"/>
        </w:rPr>
        <w:t>.主要食材中的定型包装食材，如米面油类，乙方需要提供三证，即生产厂家的食材生产许可证 （若非从厂家直接采购的，还需同时提供供货单位的食材经营许可证及生产厂家的食材生产许可证） 复印件、批次产品第三方出具的检验报告、送货人员的健康证明。</w:t>
      </w:r>
    </w:p>
    <w:p w14:paraId="3CF221C9">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Cs/>
          <w:color w:val="auto"/>
          <w:spacing w:val="0"/>
          <w:kern w:val="2"/>
          <w:sz w:val="20"/>
          <w:szCs w:val="20"/>
          <w:highlight w:val="none"/>
          <w:lang w:val="en-US" w:eastAsia="zh-CN"/>
        </w:rPr>
        <w:t>3</w:t>
      </w:r>
      <w:r>
        <w:rPr>
          <w:rFonts w:hint="eastAsia" w:ascii="仿宋" w:hAnsi="仿宋" w:eastAsia="仿宋" w:cs="仿宋"/>
          <w:bCs/>
          <w:color w:val="auto"/>
          <w:spacing w:val="0"/>
          <w:kern w:val="2"/>
          <w:sz w:val="20"/>
          <w:szCs w:val="20"/>
          <w:highlight w:val="none"/>
        </w:rPr>
        <w:t>.定型包装食材，应检验包装标识或者产品说明书是否标有品名、产地、厂名、生产日期、批号 或者代号、规格、配方或者主要</w:t>
      </w:r>
      <w:r>
        <w:rPr>
          <w:rFonts w:hint="eastAsia" w:ascii="仿宋" w:hAnsi="仿宋" w:eastAsia="仿宋" w:cs="仿宋"/>
          <w:bCs/>
          <w:color w:val="auto"/>
          <w:spacing w:val="0"/>
          <w:kern w:val="2"/>
          <w:sz w:val="20"/>
          <w:szCs w:val="20"/>
          <w:highlight w:val="none"/>
          <w:lang w:eastAsia="zh-CN"/>
        </w:rPr>
        <w:t>成分</w:t>
      </w:r>
      <w:r>
        <w:rPr>
          <w:rFonts w:hint="eastAsia" w:ascii="仿宋" w:hAnsi="仿宋" w:eastAsia="仿宋" w:cs="仿宋"/>
          <w:bCs/>
          <w:color w:val="auto"/>
          <w:spacing w:val="0"/>
          <w:kern w:val="2"/>
          <w:sz w:val="20"/>
          <w:szCs w:val="20"/>
          <w:highlight w:val="none"/>
        </w:rPr>
        <w:t>、保质期限、食用或者使用方法等，防止购进假冒伪劣产品，禁止“三无 ”产品进入食堂。</w:t>
      </w:r>
    </w:p>
    <w:p w14:paraId="5AC2E0E5">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Cs/>
          <w:color w:val="auto"/>
          <w:spacing w:val="0"/>
          <w:kern w:val="2"/>
          <w:sz w:val="20"/>
          <w:szCs w:val="20"/>
          <w:highlight w:val="none"/>
          <w:lang w:val="en-US" w:eastAsia="zh-CN"/>
        </w:rPr>
        <w:t>4</w:t>
      </w:r>
      <w:r>
        <w:rPr>
          <w:rFonts w:hint="eastAsia" w:ascii="仿宋" w:hAnsi="仿宋" w:eastAsia="仿宋" w:cs="仿宋"/>
          <w:bCs/>
          <w:color w:val="auto"/>
          <w:spacing w:val="0"/>
          <w:kern w:val="2"/>
          <w:sz w:val="20"/>
          <w:szCs w:val="20"/>
          <w:highlight w:val="none"/>
        </w:rPr>
        <w:t>.非定型包装的食材（或原材料）需进行感官检查：若发现腐败变质、</w:t>
      </w:r>
      <w:r>
        <w:rPr>
          <w:rFonts w:hint="eastAsia" w:ascii="仿宋" w:hAnsi="仿宋" w:eastAsia="仿宋" w:cs="仿宋"/>
          <w:bCs/>
          <w:color w:val="auto"/>
          <w:spacing w:val="0"/>
          <w:kern w:val="2"/>
          <w:sz w:val="20"/>
          <w:szCs w:val="20"/>
          <w:highlight w:val="none"/>
          <w:lang w:eastAsia="zh-CN"/>
        </w:rPr>
        <w:t>油脂酸败</w:t>
      </w:r>
      <w:r>
        <w:rPr>
          <w:rFonts w:hint="eastAsia" w:ascii="仿宋" w:hAnsi="仿宋" w:eastAsia="仿宋" w:cs="仿宋"/>
          <w:bCs/>
          <w:color w:val="auto"/>
          <w:spacing w:val="0"/>
          <w:kern w:val="2"/>
          <w:sz w:val="20"/>
          <w:szCs w:val="20"/>
          <w:highlight w:val="none"/>
        </w:rPr>
        <w:t>、霉变、生虫、不洁、混有异物或者其他感官性状异常现象，不得入库，未经卫生检验部门或者检验不合格的肉类及其制品不得入库，掺假、掺杂、伪造的食材不得入库。</w:t>
      </w:r>
    </w:p>
    <w:p w14:paraId="2D502D0A">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Cs/>
          <w:color w:val="auto"/>
          <w:spacing w:val="0"/>
          <w:kern w:val="2"/>
          <w:sz w:val="20"/>
          <w:szCs w:val="20"/>
          <w:highlight w:val="none"/>
          <w:lang w:val="en-US" w:eastAsia="zh-CN"/>
        </w:rPr>
        <w:t>5</w:t>
      </w:r>
      <w:r>
        <w:rPr>
          <w:rFonts w:hint="eastAsia" w:ascii="仿宋" w:hAnsi="仿宋" w:eastAsia="仿宋" w:cs="仿宋"/>
          <w:bCs/>
          <w:color w:val="auto"/>
          <w:spacing w:val="0"/>
          <w:kern w:val="2"/>
          <w:sz w:val="20"/>
          <w:szCs w:val="20"/>
          <w:highlight w:val="none"/>
        </w:rPr>
        <w:t>.验收合格的食材原辅料及时入库，并在《原料购进验收单》上签字确认。不合格产品应及时退 回乙方，同时做好验收记录。食堂厨师长进行不定时抽查。</w:t>
      </w:r>
    </w:p>
    <w:p w14:paraId="02016085">
      <w:pPr>
        <w:keepNext w:val="0"/>
        <w:keepLines w:val="0"/>
        <w:pageBreakBefore w:val="0"/>
        <w:widowControl w:val="0"/>
        <w:kinsoku/>
        <w:wordWrap/>
        <w:overflowPunct/>
        <w:topLinePunct w:val="0"/>
        <w:autoSpaceDE/>
        <w:autoSpaceDN/>
        <w:bidi w:val="0"/>
        <w:adjustRightInd/>
        <w:snapToGrid/>
        <w:spacing w:line="460" w:lineRule="exact"/>
        <w:ind w:firstLine="402" w:firstLineChars="200"/>
        <w:textAlignment w:val="auto"/>
        <w:rPr>
          <w:rFonts w:hint="eastAsia" w:ascii="仿宋" w:hAnsi="仿宋" w:eastAsia="仿宋" w:cs="仿宋"/>
          <w:b/>
          <w:bCs w:val="0"/>
          <w:color w:val="auto"/>
          <w:spacing w:val="0"/>
          <w:kern w:val="2"/>
          <w:sz w:val="20"/>
          <w:szCs w:val="20"/>
          <w:highlight w:val="none"/>
        </w:rPr>
      </w:pPr>
      <w:r>
        <w:rPr>
          <w:rFonts w:hint="eastAsia" w:ascii="仿宋" w:hAnsi="仿宋" w:eastAsia="仿宋" w:cs="仿宋"/>
          <w:b/>
          <w:bCs w:val="0"/>
          <w:color w:val="auto"/>
          <w:spacing w:val="0"/>
          <w:kern w:val="2"/>
          <w:sz w:val="20"/>
          <w:szCs w:val="20"/>
          <w:highlight w:val="none"/>
        </w:rPr>
        <w:t>第八条 甲方权利和义务</w:t>
      </w:r>
    </w:p>
    <w:p w14:paraId="769FF187">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Cs/>
          <w:color w:val="auto"/>
          <w:spacing w:val="0"/>
          <w:kern w:val="2"/>
          <w:sz w:val="20"/>
          <w:szCs w:val="20"/>
          <w:highlight w:val="none"/>
        </w:rPr>
        <w:t>（一） 甲方权利</w:t>
      </w:r>
    </w:p>
    <w:p w14:paraId="637AA7C0">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Cs/>
          <w:color w:val="auto"/>
          <w:spacing w:val="0"/>
          <w:kern w:val="2"/>
          <w:sz w:val="20"/>
          <w:szCs w:val="20"/>
          <w:highlight w:val="none"/>
        </w:rPr>
        <w:t>1.甲方有权监督乙方工作执行情况并进行评估考核，如：质量、卫生、安全等进行监督，特别是 食物中毒事故预防，一旦发生食物中毒事故， 甲方有权追究乙方的全部责任及经济赔偿。</w:t>
      </w:r>
    </w:p>
    <w:p w14:paraId="19D55A7C">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Cs/>
          <w:color w:val="auto"/>
          <w:spacing w:val="0"/>
          <w:kern w:val="2"/>
          <w:sz w:val="20"/>
          <w:szCs w:val="20"/>
          <w:highlight w:val="none"/>
        </w:rPr>
        <w:t>2.甲方有权向乙方提出合理化建议，乙方应予以采纳。</w:t>
      </w:r>
    </w:p>
    <w:p w14:paraId="1F6FBDA2">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Cs/>
          <w:color w:val="auto"/>
          <w:spacing w:val="0"/>
          <w:kern w:val="2"/>
          <w:sz w:val="20"/>
          <w:szCs w:val="20"/>
          <w:highlight w:val="none"/>
        </w:rPr>
        <w:t>3.甲方有权对乙方食材配送品质、数量、卫生、服务等情况、安全设施有效情况、乙方的设备、器具安全卫生等情况进行安全监督检查，如乙方未达到标准或出现不合格项，甲方有权要求乙方进行整改和完善。逾期未整改的，甲方有权按照甲方相关规定对乙方进行经济处罚。</w:t>
      </w:r>
    </w:p>
    <w:p w14:paraId="32B3EE77">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Cs/>
          <w:color w:val="auto"/>
          <w:spacing w:val="0"/>
          <w:kern w:val="2"/>
          <w:sz w:val="20"/>
          <w:szCs w:val="20"/>
          <w:highlight w:val="none"/>
        </w:rPr>
        <w:t>4.甲方有权根据市场原材料价格调查情况核实乙方供应原材料的价格明细，若经核实乙方供应价格高于市场价格，甲方有权要求乙方进行整改。</w:t>
      </w:r>
    </w:p>
    <w:p w14:paraId="7D07CCC0">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Cs/>
          <w:color w:val="auto"/>
          <w:spacing w:val="0"/>
          <w:kern w:val="2"/>
          <w:sz w:val="20"/>
          <w:szCs w:val="20"/>
          <w:highlight w:val="none"/>
        </w:rPr>
        <w:t>（二）甲方义务</w:t>
      </w:r>
    </w:p>
    <w:p w14:paraId="412929D2">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Cs/>
          <w:color w:val="auto"/>
          <w:spacing w:val="0"/>
          <w:kern w:val="2"/>
          <w:sz w:val="20"/>
          <w:szCs w:val="20"/>
          <w:highlight w:val="none"/>
        </w:rPr>
        <w:t>1.按照乙方提供的发票及时办理付款手续。</w:t>
      </w:r>
    </w:p>
    <w:p w14:paraId="7910FC01">
      <w:pPr>
        <w:keepNext w:val="0"/>
        <w:keepLines w:val="0"/>
        <w:pageBreakBefore w:val="0"/>
        <w:widowControl w:val="0"/>
        <w:kinsoku/>
        <w:wordWrap/>
        <w:overflowPunct/>
        <w:topLinePunct w:val="0"/>
        <w:autoSpaceDE/>
        <w:autoSpaceDN/>
        <w:bidi w:val="0"/>
        <w:adjustRightInd/>
        <w:snapToGrid/>
        <w:spacing w:line="460" w:lineRule="exact"/>
        <w:ind w:firstLine="402"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
          <w:bCs w:val="0"/>
          <w:color w:val="auto"/>
          <w:spacing w:val="0"/>
          <w:kern w:val="2"/>
          <w:sz w:val="20"/>
          <w:szCs w:val="20"/>
          <w:highlight w:val="none"/>
        </w:rPr>
        <w:t>第九条 乙方权利和义务</w:t>
      </w:r>
    </w:p>
    <w:p w14:paraId="5CC5BC67">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Cs/>
          <w:color w:val="auto"/>
          <w:spacing w:val="0"/>
          <w:kern w:val="2"/>
          <w:sz w:val="20"/>
          <w:szCs w:val="20"/>
          <w:highlight w:val="none"/>
        </w:rPr>
        <w:t>（一）乙方权利</w:t>
      </w:r>
    </w:p>
    <w:p w14:paraId="16B659CA">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Cs/>
          <w:color w:val="auto"/>
          <w:spacing w:val="0"/>
          <w:kern w:val="2"/>
          <w:sz w:val="20"/>
          <w:szCs w:val="20"/>
          <w:highlight w:val="none"/>
        </w:rPr>
        <w:t>按照合同约定收取费用。</w:t>
      </w:r>
    </w:p>
    <w:p w14:paraId="0AF2E5A7">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Cs/>
          <w:color w:val="auto"/>
          <w:spacing w:val="0"/>
          <w:kern w:val="2"/>
          <w:sz w:val="20"/>
          <w:szCs w:val="20"/>
          <w:highlight w:val="none"/>
        </w:rPr>
        <w:t>（二）乙方义务</w:t>
      </w:r>
    </w:p>
    <w:p w14:paraId="769CA680">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Cs/>
          <w:color w:val="auto"/>
          <w:spacing w:val="0"/>
          <w:kern w:val="2"/>
          <w:sz w:val="20"/>
          <w:szCs w:val="20"/>
          <w:highlight w:val="none"/>
        </w:rPr>
        <w:t>1.乙方所指派的项目负责人，在合同履行中未经甲方同意不得擅自更换他人。</w:t>
      </w:r>
    </w:p>
    <w:p w14:paraId="15926CE5">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Cs/>
          <w:color w:val="auto"/>
          <w:spacing w:val="0"/>
          <w:kern w:val="2"/>
          <w:sz w:val="20"/>
          <w:szCs w:val="20"/>
          <w:highlight w:val="none"/>
        </w:rPr>
        <w:t>乙方项目负责人：</w:t>
      </w:r>
      <w:r>
        <w:rPr>
          <w:rFonts w:hint="eastAsia" w:ascii="仿宋" w:hAnsi="仿宋" w:eastAsia="仿宋" w:cs="仿宋"/>
          <w:bCs/>
          <w:color w:val="auto"/>
          <w:spacing w:val="0"/>
          <w:kern w:val="2"/>
          <w:sz w:val="20"/>
          <w:szCs w:val="20"/>
          <w:highlight w:val="none"/>
          <w:u w:val="single"/>
        </w:rPr>
        <w:t xml:space="preserve">            </w:t>
      </w:r>
      <w:r>
        <w:rPr>
          <w:rFonts w:hint="eastAsia" w:ascii="仿宋" w:hAnsi="仿宋" w:eastAsia="仿宋" w:cs="仿宋"/>
          <w:bCs/>
          <w:color w:val="auto"/>
          <w:spacing w:val="0"/>
          <w:kern w:val="2"/>
          <w:sz w:val="20"/>
          <w:szCs w:val="20"/>
          <w:highlight w:val="none"/>
        </w:rPr>
        <w:t>，联系电话：</w:t>
      </w:r>
      <w:r>
        <w:rPr>
          <w:rFonts w:hint="eastAsia" w:ascii="仿宋" w:hAnsi="仿宋" w:eastAsia="仿宋" w:cs="仿宋"/>
          <w:bCs/>
          <w:color w:val="auto"/>
          <w:spacing w:val="0"/>
          <w:kern w:val="2"/>
          <w:sz w:val="20"/>
          <w:szCs w:val="20"/>
          <w:highlight w:val="none"/>
          <w:u w:val="single"/>
        </w:rPr>
        <w:t xml:space="preserve">            </w:t>
      </w:r>
      <w:r>
        <w:rPr>
          <w:rFonts w:hint="eastAsia" w:ascii="仿宋" w:hAnsi="仿宋" w:eastAsia="仿宋" w:cs="仿宋"/>
          <w:bCs/>
          <w:color w:val="auto"/>
          <w:spacing w:val="0"/>
          <w:kern w:val="2"/>
          <w:sz w:val="20"/>
          <w:szCs w:val="20"/>
          <w:highlight w:val="none"/>
        </w:rPr>
        <w:t>。</w:t>
      </w:r>
    </w:p>
    <w:p w14:paraId="6DF60685">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Cs/>
          <w:color w:val="auto"/>
          <w:spacing w:val="0"/>
          <w:kern w:val="2"/>
          <w:sz w:val="20"/>
          <w:szCs w:val="20"/>
          <w:highlight w:val="none"/>
        </w:rPr>
        <w:t>2.乙方必须持有有效的食材经营许可证，并按照有效期限及时审验。</w:t>
      </w:r>
    </w:p>
    <w:p w14:paraId="1DD1EA0F">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Cs/>
          <w:color w:val="auto"/>
          <w:spacing w:val="0"/>
          <w:kern w:val="2"/>
          <w:sz w:val="20"/>
          <w:szCs w:val="20"/>
          <w:highlight w:val="none"/>
        </w:rPr>
        <w:t>3.乙方从业人员必须定期体检，持有效的健康证上岗操作。对因乙方未组织所属人员体检，携带传染性疾病上岗操作，导致甲方人员发生传染病事件，乙方负责承担全部责任。</w:t>
      </w:r>
    </w:p>
    <w:p w14:paraId="6F93E23A">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Cs/>
          <w:color w:val="auto"/>
          <w:spacing w:val="0"/>
          <w:kern w:val="2"/>
          <w:sz w:val="20"/>
          <w:szCs w:val="20"/>
          <w:highlight w:val="none"/>
        </w:rPr>
        <w:t>4.乙方必须遵守国家和地方有关安全、环境和食材卫生的标准。严格执行机关厨房的相关安全管理制度、安全操作规程，并认真执行。同时对所属人员进行经常性的职业道德、食材安全卫生、安全 规章等安全知识培训。采取有效措施做好各类事故预防工作。</w:t>
      </w:r>
    </w:p>
    <w:p w14:paraId="4E09B84F">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Cs/>
          <w:color w:val="auto"/>
          <w:spacing w:val="0"/>
          <w:kern w:val="2"/>
          <w:sz w:val="20"/>
          <w:szCs w:val="20"/>
          <w:highlight w:val="none"/>
        </w:rPr>
        <w:t>5.乙方购置主、副食等食用品及调料制品必须保证其产品质量，严禁购置腐烂、变质、过期的产品。特别肉类制品必须向甲方提交合格的卫生检疫证明，以备卫生检疫部门检查。</w:t>
      </w:r>
    </w:p>
    <w:p w14:paraId="3659CBD4">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Cs/>
          <w:color w:val="auto"/>
          <w:spacing w:val="0"/>
          <w:kern w:val="2"/>
          <w:sz w:val="20"/>
          <w:szCs w:val="20"/>
          <w:highlight w:val="none"/>
        </w:rPr>
        <w:t>6.对由于乙方提供不符合食材卫生标准的劣质食材，或出售任何变质和受污染的食材，造成甲方人员食物中毒的，乙方承担全部责任，所产生的费用均由乙方承担。</w:t>
      </w:r>
    </w:p>
    <w:p w14:paraId="33397F90">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Cs/>
          <w:color w:val="auto"/>
          <w:spacing w:val="0"/>
          <w:kern w:val="2"/>
          <w:sz w:val="20"/>
          <w:szCs w:val="20"/>
          <w:highlight w:val="none"/>
        </w:rPr>
        <w:t>7.乙方配送食材原材料，必须规范食材安全卫生管理，严格按照甲方食材质量验收标准配置商品，不得掺杂使假。</w:t>
      </w:r>
    </w:p>
    <w:p w14:paraId="2FDCC5F4">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Cs/>
          <w:color w:val="auto"/>
          <w:spacing w:val="0"/>
          <w:kern w:val="2"/>
          <w:sz w:val="20"/>
          <w:szCs w:val="20"/>
          <w:highlight w:val="none"/>
        </w:rPr>
        <w:t>8.乙方应认真落实防蚊、蝇、鼠害等安全措施，做好防疫工作，避免疾病，传染病的传播。</w:t>
      </w:r>
    </w:p>
    <w:p w14:paraId="4024565B">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Cs/>
          <w:color w:val="auto"/>
          <w:spacing w:val="0"/>
          <w:kern w:val="2"/>
          <w:sz w:val="20"/>
          <w:szCs w:val="20"/>
          <w:highlight w:val="none"/>
        </w:rPr>
        <w:t>9.乙方为甲方供货时，应识别活动场所可能发生的环境因素和危险源，按甲方的要求实施管理、检查和控制。</w:t>
      </w:r>
    </w:p>
    <w:p w14:paraId="6254E433">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Cs/>
          <w:color w:val="auto"/>
          <w:spacing w:val="0"/>
          <w:kern w:val="2"/>
          <w:sz w:val="20"/>
          <w:szCs w:val="20"/>
          <w:highlight w:val="none"/>
        </w:rPr>
        <w:t>10.对乙方的储运人员，乙方应进行必要的环境保护知识和职业健康安全的培训，保证储运人员熟知在工作中，如因工作失误将对环境、职业健康安全</w:t>
      </w:r>
      <w:r>
        <w:rPr>
          <w:rFonts w:hint="eastAsia" w:ascii="仿宋" w:hAnsi="仿宋" w:eastAsia="仿宋" w:cs="仿宋"/>
          <w:bCs/>
          <w:color w:val="auto"/>
          <w:spacing w:val="0"/>
          <w:kern w:val="2"/>
          <w:sz w:val="20"/>
          <w:szCs w:val="20"/>
          <w:highlight w:val="none"/>
          <w:lang w:eastAsia="zh-CN"/>
        </w:rPr>
        <w:t>造成</w:t>
      </w:r>
      <w:r>
        <w:rPr>
          <w:rFonts w:hint="eastAsia" w:ascii="仿宋" w:hAnsi="仿宋" w:eastAsia="仿宋" w:cs="仿宋"/>
          <w:bCs/>
          <w:color w:val="auto"/>
          <w:spacing w:val="0"/>
          <w:kern w:val="2"/>
          <w:sz w:val="20"/>
          <w:szCs w:val="20"/>
          <w:highlight w:val="none"/>
        </w:rPr>
        <w:t>不良影响，以及一旦污染事故发生，如何采取应急措施，减少污染。</w:t>
      </w:r>
    </w:p>
    <w:p w14:paraId="2A90B235">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Cs/>
          <w:color w:val="auto"/>
          <w:spacing w:val="0"/>
          <w:kern w:val="2"/>
          <w:sz w:val="20"/>
          <w:szCs w:val="20"/>
          <w:highlight w:val="none"/>
        </w:rPr>
        <w:t>11.对于甲方的安全监督检查，乙方必须密切配合。</w:t>
      </w:r>
    </w:p>
    <w:p w14:paraId="657D1561">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Cs/>
          <w:color w:val="auto"/>
          <w:spacing w:val="0"/>
          <w:kern w:val="2"/>
          <w:sz w:val="20"/>
          <w:szCs w:val="20"/>
          <w:highlight w:val="none"/>
        </w:rPr>
        <w:t>12.因乙方原因造成的失误、乙方作出违约行为或乙方工作未通过甲方考核的，但并不影响项目的继续进行，每次扣除当期货款的1%，并继续履行本合同。</w:t>
      </w:r>
    </w:p>
    <w:p w14:paraId="6FC16A07">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Cs/>
          <w:color w:val="auto"/>
          <w:spacing w:val="0"/>
          <w:kern w:val="2"/>
          <w:sz w:val="20"/>
          <w:szCs w:val="20"/>
          <w:highlight w:val="none"/>
        </w:rPr>
        <w:t>13.如因乙方原因，对甲方造成经济损失或不良社会影响，乙方负责消除不良影响并自行承担由此发生的费用，甲方有权视情况终止合同，乙方有义务承担赔偿责任。</w:t>
      </w:r>
    </w:p>
    <w:p w14:paraId="3B624870">
      <w:pPr>
        <w:keepNext w:val="0"/>
        <w:keepLines w:val="0"/>
        <w:pageBreakBefore w:val="0"/>
        <w:widowControl w:val="0"/>
        <w:kinsoku/>
        <w:wordWrap/>
        <w:overflowPunct/>
        <w:topLinePunct w:val="0"/>
        <w:autoSpaceDE/>
        <w:autoSpaceDN/>
        <w:bidi w:val="0"/>
        <w:adjustRightInd/>
        <w:snapToGrid/>
        <w:spacing w:line="460" w:lineRule="exact"/>
        <w:ind w:firstLine="402" w:firstLineChars="200"/>
        <w:textAlignment w:val="auto"/>
        <w:rPr>
          <w:rFonts w:hint="eastAsia" w:ascii="仿宋" w:hAnsi="仿宋" w:eastAsia="仿宋" w:cs="仿宋"/>
          <w:b/>
          <w:bCs w:val="0"/>
          <w:color w:val="auto"/>
          <w:spacing w:val="0"/>
          <w:kern w:val="2"/>
          <w:sz w:val="20"/>
          <w:szCs w:val="20"/>
          <w:highlight w:val="none"/>
        </w:rPr>
      </w:pPr>
      <w:r>
        <w:rPr>
          <w:rFonts w:hint="eastAsia" w:ascii="仿宋" w:hAnsi="仿宋" w:eastAsia="仿宋" w:cs="仿宋"/>
          <w:b/>
          <w:bCs w:val="0"/>
          <w:color w:val="auto"/>
          <w:spacing w:val="0"/>
          <w:kern w:val="2"/>
          <w:sz w:val="20"/>
          <w:szCs w:val="20"/>
          <w:highlight w:val="none"/>
        </w:rPr>
        <w:t>第十条 转让、分包的禁止</w:t>
      </w:r>
    </w:p>
    <w:p w14:paraId="663C6D5E">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Cs/>
          <w:color w:val="auto"/>
          <w:spacing w:val="0"/>
          <w:kern w:val="2"/>
          <w:sz w:val="20"/>
          <w:szCs w:val="20"/>
          <w:highlight w:val="none"/>
        </w:rPr>
        <w:t>乙方不得将其在合同中的任何义务全部或部分转让给第三人，否则甲方有权单方解除本合同。</w:t>
      </w:r>
    </w:p>
    <w:p w14:paraId="2846FA16">
      <w:pPr>
        <w:keepNext w:val="0"/>
        <w:keepLines w:val="0"/>
        <w:pageBreakBefore w:val="0"/>
        <w:widowControl w:val="0"/>
        <w:kinsoku/>
        <w:wordWrap/>
        <w:overflowPunct/>
        <w:topLinePunct w:val="0"/>
        <w:autoSpaceDE/>
        <w:autoSpaceDN/>
        <w:bidi w:val="0"/>
        <w:adjustRightInd/>
        <w:snapToGrid/>
        <w:spacing w:line="460" w:lineRule="exact"/>
        <w:ind w:firstLine="402" w:firstLineChars="200"/>
        <w:textAlignment w:val="auto"/>
        <w:rPr>
          <w:rFonts w:hint="eastAsia" w:ascii="仿宋" w:hAnsi="仿宋" w:eastAsia="仿宋" w:cs="仿宋"/>
          <w:b/>
          <w:bCs w:val="0"/>
          <w:color w:val="auto"/>
          <w:spacing w:val="0"/>
          <w:kern w:val="2"/>
          <w:sz w:val="20"/>
          <w:szCs w:val="20"/>
          <w:highlight w:val="none"/>
        </w:rPr>
      </w:pPr>
      <w:r>
        <w:rPr>
          <w:rFonts w:hint="eastAsia" w:ascii="仿宋" w:hAnsi="仿宋" w:eastAsia="仿宋" w:cs="仿宋"/>
          <w:b/>
          <w:bCs w:val="0"/>
          <w:color w:val="auto"/>
          <w:spacing w:val="0"/>
          <w:kern w:val="2"/>
          <w:sz w:val="20"/>
          <w:szCs w:val="20"/>
          <w:highlight w:val="none"/>
        </w:rPr>
        <w:t>第十一条 违约责任</w:t>
      </w:r>
    </w:p>
    <w:p w14:paraId="0B8F4087">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lang w:val="zh-CN" w:eastAsia="zh-CN"/>
        </w:rPr>
      </w:pPr>
      <w:r>
        <w:rPr>
          <w:rFonts w:hint="eastAsia" w:ascii="仿宋" w:hAnsi="仿宋" w:eastAsia="仿宋" w:cs="仿宋"/>
          <w:bCs/>
          <w:color w:val="auto"/>
          <w:spacing w:val="0"/>
          <w:kern w:val="2"/>
          <w:sz w:val="20"/>
          <w:szCs w:val="20"/>
          <w:highlight w:val="none"/>
          <w:lang w:val="zh-CN" w:eastAsia="zh-CN"/>
        </w:rPr>
        <w:t>1.按照《中华人民共和国民法典》中的相关条款执行。</w:t>
      </w:r>
    </w:p>
    <w:p w14:paraId="7F6B6811">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lang w:val="zh-CN" w:eastAsia="zh-CN"/>
        </w:rPr>
      </w:pPr>
      <w:r>
        <w:rPr>
          <w:rFonts w:hint="eastAsia" w:ascii="仿宋" w:hAnsi="仿宋" w:eastAsia="仿宋" w:cs="仿宋"/>
          <w:bCs/>
          <w:color w:val="auto"/>
          <w:spacing w:val="0"/>
          <w:kern w:val="2"/>
          <w:sz w:val="20"/>
          <w:szCs w:val="20"/>
          <w:highlight w:val="none"/>
          <w:lang w:val="zh-CN" w:eastAsia="zh-CN"/>
        </w:rPr>
        <w:t>2.因</w:t>
      </w:r>
      <w:r>
        <w:rPr>
          <w:rFonts w:hint="eastAsia" w:ascii="仿宋" w:hAnsi="仿宋" w:eastAsia="仿宋" w:cs="仿宋"/>
          <w:bCs/>
          <w:color w:val="auto"/>
          <w:spacing w:val="0"/>
          <w:kern w:val="2"/>
          <w:sz w:val="20"/>
          <w:szCs w:val="20"/>
          <w:highlight w:val="none"/>
          <w:lang w:val="en-US" w:eastAsia="zh-CN"/>
        </w:rPr>
        <w:t>中标</w:t>
      </w:r>
      <w:r>
        <w:rPr>
          <w:rFonts w:hint="eastAsia" w:ascii="仿宋" w:hAnsi="仿宋" w:eastAsia="仿宋" w:cs="仿宋"/>
          <w:bCs/>
          <w:color w:val="auto"/>
          <w:spacing w:val="0"/>
          <w:kern w:val="2"/>
          <w:sz w:val="20"/>
          <w:szCs w:val="20"/>
          <w:highlight w:val="none"/>
          <w:lang w:val="zh-CN" w:eastAsia="zh-CN"/>
        </w:rPr>
        <w:t>提供的食材存在食物卫生或质量问题，对</w:t>
      </w:r>
      <w:r>
        <w:rPr>
          <w:rFonts w:hint="eastAsia" w:ascii="仿宋" w:hAnsi="仿宋" w:eastAsia="仿宋" w:cs="仿宋"/>
          <w:bCs/>
          <w:color w:val="auto"/>
          <w:spacing w:val="0"/>
          <w:kern w:val="2"/>
          <w:sz w:val="20"/>
          <w:szCs w:val="20"/>
          <w:highlight w:val="none"/>
          <w:lang w:val="en-US" w:eastAsia="zh-CN"/>
        </w:rPr>
        <w:t>招标人</w:t>
      </w:r>
      <w:r>
        <w:rPr>
          <w:rFonts w:hint="eastAsia" w:ascii="仿宋" w:hAnsi="仿宋" w:eastAsia="仿宋" w:cs="仿宋"/>
          <w:bCs/>
          <w:color w:val="auto"/>
          <w:spacing w:val="0"/>
          <w:kern w:val="2"/>
          <w:sz w:val="20"/>
          <w:szCs w:val="20"/>
          <w:highlight w:val="none"/>
          <w:lang w:val="zh-CN" w:eastAsia="zh-CN"/>
        </w:rPr>
        <w:t>职工身体健康造成不良影响，甚至引发食物中毒的，由</w:t>
      </w:r>
      <w:r>
        <w:rPr>
          <w:rFonts w:hint="eastAsia" w:ascii="仿宋" w:hAnsi="仿宋" w:eastAsia="仿宋" w:cs="仿宋"/>
          <w:bCs/>
          <w:color w:val="auto"/>
          <w:spacing w:val="0"/>
          <w:kern w:val="2"/>
          <w:sz w:val="20"/>
          <w:szCs w:val="20"/>
          <w:highlight w:val="none"/>
          <w:lang w:val="en-US" w:eastAsia="zh-CN"/>
        </w:rPr>
        <w:t>中标单位</w:t>
      </w:r>
      <w:r>
        <w:rPr>
          <w:rFonts w:hint="eastAsia" w:ascii="仿宋" w:hAnsi="仿宋" w:eastAsia="仿宋" w:cs="仿宋"/>
          <w:bCs/>
          <w:color w:val="auto"/>
          <w:spacing w:val="0"/>
          <w:kern w:val="2"/>
          <w:sz w:val="20"/>
          <w:szCs w:val="20"/>
          <w:highlight w:val="none"/>
          <w:lang w:val="zh-CN" w:eastAsia="zh-CN"/>
        </w:rPr>
        <w:t>承担责任并承担赔偿责任，违反《食品安全法》第123条1次的，违反《食品安全法》124条、125条2次的，违反《食品安全法》第126条3次的，</w:t>
      </w:r>
      <w:r>
        <w:rPr>
          <w:rFonts w:hint="eastAsia" w:ascii="仿宋" w:hAnsi="仿宋" w:eastAsia="仿宋" w:cs="仿宋"/>
          <w:bCs/>
          <w:color w:val="auto"/>
          <w:spacing w:val="0"/>
          <w:kern w:val="2"/>
          <w:sz w:val="20"/>
          <w:szCs w:val="20"/>
          <w:highlight w:val="none"/>
          <w:lang w:val="en-US" w:eastAsia="zh-CN"/>
        </w:rPr>
        <w:t>招标人</w:t>
      </w:r>
      <w:r>
        <w:rPr>
          <w:rFonts w:hint="eastAsia" w:ascii="仿宋" w:hAnsi="仿宋" w:eastAsia="仿宋" w:cs="仿宋"/>
          <w:bCs/>
          <w:color w:val="auto"/>
          <w:spacing w:val="0"/>
          <w:kern w:val="2"/>
          <w:sz w:val="20"/>
          <w:szCs w:val="20"/>
          <w:highlight w:val="none"/>
          <w:lang w:val="zh-CN" w:eastAsia="zh-CN"/>
        </w:rPr>
        <w:t>有权单方解除合同并承担相应法律责任和经济赔偿。</w:t>
      </w:r>
    </w:p>
    <w:p w14:paraId="6125F1E0">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lang w:val="en-US" w:eastAsia="zh-Hans"/>
        </w:rPr>
      </w:pPr>
      <w:r>
        <w:rPr>
          <w:rFonts w:hint="eastAsia" w:ascii="仿宋" w:hAnsi="仿宋" w:eastAsia="仿宋" w:cs="仿宋"/>
          <w:bCs/>
          <w:color w:val="auto"/>
          <w:spacing w:val="0"/>
          <w:kern w:val="2"/>
          <w:sz w:val="20"/>
          <w:szCs w:val="20"/>
          <w:highlight w:val="none"/>
          <w:lang w:val="en-US" w:eastAsia="zh-CN"/>
        </w:rPr>
        <w:t>3.食材出现质量不达标、过期变质、农残超标、以次充好等问题，供应商需无条件退换补货，单次扣除对应批次服务费，情节严重的处以违约金，造成食品安全事故的，承担全部经济损失及法律责任。</w:t>
      </w:r>
    </w:p>
    <w:p w14:paraId="2213BB79">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lang w:val="en-US" w:eastAsia="zh-Hans"/>
        </w:rPr>
      </w:pPr>
      <w:r>
        <w:rPr>
          <w:rFonts w:hint="eastAsia" w:ascii="仿宋" w:hAnsi="仿宋" w:eastAsia="仿宋" w:cs="仿宋"/>
          <w:bCs/>
          <w:color w:val="auto"/>
          <w:spacing w:val="0"/>
          <w:kern w:val="2"/>
          <w:sz w:val="20"/>
          <w:szCs w:val="20"/>
          <w:highlight w:val="none"/>
          <w:lang w:val="en-US" w:eastAsia="zh-CN"/>
        </w:rPr>
        <w:t>4.无故延误配送、漏送、错送，影响采购人正常供餐的，每次扣除相应违约金，累计多次违规的，采购人有权终止合同。</w:t>
      </w:r>
    </w:p>
    <w:p w14:paraId="71E7E4A7">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lang w:val="zh-CN" w:eastAsia="zh-CN"/>
        </w:rPr>
      </w:pPr>
      <w:r>
        <w:rPr>
          <w:rFonts w:hint="eastAsia" w:ascii="仿宋" w:hAnsi="仿宋" w:eastAsia="仿宋" w:cs="仿宋"/>
          <w:bCs/>
          <w:color w:val="auto"/>
          <w:spacing w:val="0"/>
          <w:kern w:val="2"/>
          <w:sz w:val="20"/>
          <w:szCs w:val="20"/>
          <w:highlight w:val="none"/>
          <w:lang w:val="en-US" w:eastAsia="zh-CN"/>
        </w:rPr>
        <w:t>5.未按要求建立台账、未及时提供检测检疫资料、拒不配合核查整改的，采购人有权暂缓结算、扣除履约保证金，情节严重的解除合同。</w:t>
      </w:r>
    </w:p>
    <w:p w14:paraId="1B9B8FED">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lang w:val="zh-CN" w:eastAsia="zh-CN"/>
        </w:rPr>
      </w:pPr>
      <w:r>
        <w:rPr>
          <w:rFonts w:hint="eastAsia" w:ascii="仿宋" w:hAnsi="仿宋" w:eastAsia="仿宋" w:cs="仿宋"/>
          <w:bCs/>
          <w:color w:val="auto"/>
          <w:spacing w:val="0"/>
          <w:kern w:val="2"/>
          <w:sz w:val="20"/>
          <w:szCs w:val="20"/>
          <w:highlight w:val="none"/>
          <w:lang w:val="en-US" w:eastAsia="zh-CN"/>
        </w:rPr>
        <w:t>6</w:t>
      </w:r>
      <w:r>
        <w:rPr>
          <w:rFonts w:hint="eastAsia" w:ascii="仿宋" w:hAnsi="仿宋" w:eastAsia="仿宋" w:cs="仿宋"/>
          <w:bCs/>
          <w:color w:val="auto"/>
          <w:spacing w:val="0"/>
          <w:kern w:val="2"/>
          <w:sz w:val="20"/>
          <w:szCs w:val="20"/>
          <w:highlight w:val="none"/>
          <w:lang w:val="zh-CN" w:eastAsia="zh-CN"/>
        </w:rPr>
        <w:t>.若</w:t>
      </w:r>
      <w:r>
        <w:rPr>
          <w:rFonts w:hint="eastAsia" w:ascii="仿宋" w:hAnsi="仿宋" w:eastAsia="仿宋" w:cs="仿宋"/>
          <w:bCs/>
          <w:color w:val="auto"/>
          <w:spacing w:val="0"/>
          <w:kern w:val="2"/>
          <w:sz w:val="20"/>
          <w:szCs w:val="20"/>
          <w:highlight w:val="none"/>
          <w:lang w:val="en-US" w:eastAsia="zh-CN"/>
        </w:rPr>
        <w:t>中标单位</w:t>
      </w:r>
      <w:r>
        <w:rPr>
          <w:rFonts w:hint="eastAsia" w:ascii="仿宋" w:hAnsi="仿宋" w:eastAsia="仿宋" w:cs="仿宋"/>
          <w:bCs/>
          <w:color w:val="auto"/>
          <w:spacing w:val="0"/>
          <w:kern w:val="2"/>
          <w:sz w:val="20"/>
          <w:szCs w:val="20"/>
          <w:highlight w:val="none"/>
          <w:lang w:val="zh-CN" w:eastAsia="zh-CN"/>
        </w:rPr>
        <w:t>未按</w:t>
      </w:r>
      <w:r>
        <w:rPr>
          <w:rFonts w:hint="eastAsia" w:ascii="仿宋" w:hAnsi="仿宋" w:eastAsia="仿宋" w:cs="仿宋"/>
          <w:bCs/>
          <w:color w:val="auto"/>
          <w:spacing w:val="0"/>
          <w:kern w:val="2"/>
          <w:sz w:val="20"/>
          <w:szCs w:val="20"/>
          <w:highlight w:val="none"/>
          <w:lang w:val="en-US" w:eastAsia="zh-CN"/>
        </w:rPr>
        <w:t>招标人</w:t>
      </w:r>
      <w:r>
        <w:rPr>
          <w:rFonts w:hint="eastAsia" w:ascii="仿宋" w:hAnsi="仿宋" w:eastAsia="仿宋" w:cs="仿宋"/>
          <w:bCs/>
          <w:color w:val="auto"/>
          <w:spacing w:val="0"/>
          <w:kern w:val="2"/>
          <w:sz w:val="20"/>
          <w:szCs w:val="20"/>
          <w:highlight w:val="none"/>
          <w:lang w:val="zh-CN" w:eastAsia="zh-CN"/>
        </w:rPr>
        <w:t>要求的时间完成食材供应，</w:t>
      </w:r>
      <w:r>
        <w:rPr>
          <w:rFonts w:hint="eastAsia" w:ascii="仿宋" w:hAnsi="仿宋" w:eastAsia="仿宋" w:cs="仿宋"/>
          <w:bCs/>
          <w:color w:val="auto"/>
          <w:spacing w:val="0"/>
          <w:kern w:val="2"/>
          <w:sz w:val="20"/>
          <w:szCs w:val="20"/>
          <w:highlight w:val="none"/>
          <w:lang w:val="en-US" w:eastAsia="zh-CN"/>
        </w:rPr>
        <w:t>招标人</w:t>
      </w:r>
      <w:r>
        <w:rPr>
          <w:rFonts w:hint="eastAsia" w:ascii="仿宋" w:hAnsi="仿宋" w:eastAsia="仿宋" w:cs="仿宋"/>
          <w:bCs/>
          <w:color w:val="auto"/>
          <w:spacing w:val="0"/>
          <w:kern w:val="2"/>
          <w:sz w:val="20"/>
          <w:szCs w:val="20"/>
          <w:highlight w:val="none"/>
          <w:lang w:val="zh-CN" w:eastAsia="zh-CN"/>
        </w:rPr>
        <w:t>可另行委托他人进行供应，所发生的一切费用及损失在</w:t>
      </w:r>
      <w:r>
        <w:rPr>
          <w:rFonts w:hint="eastAsia" w:ascii="仿宋" w:hAnsi="仿宋" w:eastAsia="仿宋" w:cs="仿宋"/>
          <w:bCs/>
          <w:color w:val="auto"/>
          <w:spacing w:val="0"/>
          <w:kern w:val="2"/>
          <w:sz w:val="20"/>
          <w:szCs w:val="20"/>
          <w:highlight w:val="none"/>
          <w:lang w:val="en-US" w:eastAsia="zh-CN"/>
        </w:rPr>
        <w:t>中标单位</w:t>
      </w:r>
      <w:r>
        <w:rPr>
          <w:rFonts w:hint="eastAsia" w:ascii="仿宋" w:hAnsi="仿宋" w:eastAsia="仿宋" w:cs="仿宋"/>
          <w:bCs/>
          <w:color w:val="auto"/>
          <w:spacing w:val="0"/>
          <w:kern w:val="2"/>
          <w:sz w:val="20"/>
          <w:szCs w:val="20"/>
          <w:highlight w:val="none"/>
          <w:lang w:val="zh-CN" w:eastAsia="zh-CN"/>
        </w:rPr>
        <w:t>货款中扣除。每逾期一天扣除违约金500元，逾期5日以上，</w:t>
      </w:r>
      <w:r>
        <w:rPr>
          <w:rFonts w:hint="eastAsia" w:ascii="仿宋" w:hAnsi="仿宋" w:eastAsia="仿宋" w:cs="仿宋"/>
          <w:bCs/>
          <w:color w:val="auto"/>
          <w:spacing w:val="0"/>
          <w:kern w:val="2"/>
          <w:sz w:val="20"/>
          <w:szCs w:val="20"/>
          <w:highlight w:val="none"/>
          <w:lang w:val="en-US" w:eastAsia="zh-CN"/>
        </w:rPr>
        <w:t>招标人</w:t>
      </w:r>
      <w:r>
        <w:rPr>
          <w:rFonts w:hint="eastAsia" w:ascii="仿宋" w:hAnsi="仿宋" w:eastAsia="仿宋" w:cs="仿宋"/>
          <w:bCs/>
          <w:color w:val="auto"/>
          <w:spacing w:val="0"/>
          <w:kern w:val="2"/>
          <w:sz w:val="20"/>
          <w:szCs w:val="20"/>
          <w:highlight w:val="none"/>
          <w:lang w:val="zh-CN" w:eastAsia="zh-CN"/>
        </w:rPr>
        <w:t>有权解除合同。</w:t>
      </w:r>
    </w:p>
    <w:p w14:paraId="1D763E32">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lang w:val="zh-CN" w:eastAsia="zh-CN"/>
        </w:rPr>
      </w:pPr>
      <w:r>
        <w:rPr>
          <w:rFonts w:hint="eastAsia" w:ascii="仿宋" w:hAnsi="仿宋" w:eastAsia="仿宋" w:cs="仿宋"/>
          <w:bCs/>
          <w:color w:val="auto"/>
          <w:spacing w:val="0"/>
          <w:kern w:val="2"/>
          <w:sz w:val="20"/>
          <w:szCs w:val="20"/>
          <w:highlight w:val="none"/>
          <w:lang w:val="en-US" w:eastAsia="zh-CN"/>
        </w:rPr>
        <w:t>7</w:t>
      </w:r>
      <w:r>
        <w:rPr>
          <w:rFonts w:hint="eastAsia" w:ascii="仿宋" w:hAnsi="仿宋" w:eastAsia="仿宋" w:cs="仿宋"/>
          <w:bCs/>
          <w:color w:val="auto"/>
          <w:spacing w:val="0"/>
          <w:kern w:val="2"/>
          <w:sz w:val="20"/>
          <w:szCs w:val="20"/>
          <w:highlight w:val="none"/>
          <w:lang w:val="zh-CN" w:eastAsia="zh-CN"/>
        </w:rPr>
        <w:t>.除不可抗力及政策因素外，任何一方不得随意变更或终止合同，否则依法承担违约责任及对方的经济损失。</w:t>
      </w:r>
    </w:p>
    <w:p w14:paraId="69B74F33">
      <w:pPr>
        <w:keepNext w:val="0"/>
        <w:keepLines w:val="0"/>
        <w:pageBreakBefore w:val="0"/>
        <w:widowControl w:val="0"/>
        <w:kinsoku/>
        <w:wordWrap/>
        <w:overflowPunct/>
        <w:topLinePunct w:val="0"/>
        <w:autoSpaceDE/>
        <w:autoSpaceDN/>
        <w:bidi w:val="0"/>
        <w:adjustRightInd/>
        <w:snapToGrid/>
        <w:spacing w:line="460" w:lineRule="exact"/>
        <w:ind w:firstLine="402" w:firstLineChars="200"/>
        <w:textAlignment w:val="auto"/>
        <w:rPr>
          <w:rFonts w:hint="eastAsia" w:ascii="仿宋" w:hAnsi="仿宋" w:eastAsia="仿宋" w:cs="仿宋"/>
          <w:b/>
          <w:bCs w:val="0"/>
          <w:color w:val="auto"/>
          <w:spacing w:val="0"/>
          <w:kern w:val="2"/>
          <w:sz w:val="20"/>
          <w:szCs w:val="20"/>
          <w:highlight w:val="none"/>
        </w:rPr>
      </w:pPr>
      <w:r>
        <w:rPr>
          <w:rFonts w:hint="eastAsia" w:ascii="仿宋" w:hAnsi="仿宋" w:eastAsia="仿宋" w:cs="仿宋"/>
          <w:b/>
          <w:bCs w:val="0"/>
          <w:color w:val="auto"/>
          <w:spacing w:val="0"/>
          <w:kern w:val="2"/>
          <w:sz w:val="20"/>
          <w:szCs w:val="20"/>
          <w:highlight w:val="none"/>
        </w:rPr>
        <w:t>第十二条 不可抗力</w:t>
      </w:r>
    </w:p>
    <w:p w14:paraId="4D2079E8">
      <w:pPr>
        <w:keepNext w:val="0"/>
        <w:keepLines w:val="0"/>
        <w:pageBreakBefore w:val="0"/>
        <w:widowControl w:val="0"/>
        <w:kinsoku/>
        <w:wordWrap/>
        <w:overflowPunct/>
        <w:topLinePunct w:val="0"/>
        <w:autoSpaceDE/>
        <w:autoSpaceDN/>
        <w:bidi w:val="0"/>
        <w:adjustRightInd/>
        <w:snapToGrid/>
        <w:spacing w:line="460" w:lineRule="exact"/>
        <w:ind w:firstLine="400"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Cs/>
          <w:color w:val="auto"/>
          <w:spacing w:val="0"/>
          <w:kern w:val="2"/>
          <w:sz w:val="20"/>
          <w:szCs w:val="20"/>
          <w:highlight w:val="none"/>
        </w:rPr>
        <w:t>甲乙双方的任何一方由于不可抗力的原因不能履行合同时，应及时向对方通报不能履行或不能完 全履行的理由， 以减轻可能给对方造成的损失，在取得有关机构证明以后，允许延期履行、部分履行 或者不履行合同，并根据情况可部分或全部免予承担违约责任。</w:t>
      </w:r>
    </w:p>
    <w:p w14:paraId="5B356112">
      <w:pPr>
        <w:keepNext w:val="0"/>
        <w:keepLines w:val="0"/>
        <w:pageBreakBefore w:val="0"/>
        <w:widowControl w:val="0"/>
        <w:kinsoku/>
        <w:wordWrap/>
        <w:overflowPunct/>
        <w:topLinePunct w:val="0"/>
        <w:autoSpaceDE/>
        <w:autoSpaceDN/>
        <w:bidi w:val="0"/>
        <w:adjustRightInd/>
        <w:snapToGrid/>
        <w:spacing w:line="460" w:lineRule="exact"/>
        <w:ind w:firstLine="402"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
          <w:bCs w:val="0"/>
          <w:color w:val="auto"/>
          <w:spacing w:val="0"/>
          <w:kern w:val="2"/>
          <w:sz w:val="20"/>
          <w:szCs w:val="20"/>
          <w:highlight w:val="none"/>
        </w:rPr>
        <w:t>第十三条</w:t>
      </w:r>
      <w:r>
        <w:rPr>
          <w:rFonts w:hint="eastAsia" w:ascii="仿宋" w:hAnsi="仿宋" w:eastAsia="仿宋" w:cs="仿宋"/>
          <w:bCs/>
          <w:color w:val="auto"/>
          <w:spacing w:val="0"/>
          <w:kern w:val="2"/>
          <w:sz w:val="20"/>
          <w:szCs w:val="20"/>
          <w:highlight w:val="none"/>
        </w:rPr>
        <w:t xml:space="preserve"> 未尽事宜，经双方协商达成补充协议，作为合同附件，与本合同具有同等法律效力。</w:t>
      </w:r>
    </w:p>
    <w:p w14:paraId="3EE1CB2E">
      <w:pPr>
        <w:keepNext w:val="0"/>
        <w:keepLines w:val="0"/>
        <w:pageBreakBefore w:val="0"/>
        <w:widowControl w:val="0"/>
        <w:kinsoku/>
        <w:wordWrap/>
        <w:overflowPunct/>
        <w:topLinePunct w:val="0"/>
        <w:autoSpaceDE/>
        <w:autoSpaceDN/>
        <w:bidi w:val="0"/>
        <w:adjustRightInd/>
        <w:snapToGrid/>
        <w:spacing w:line="460" w:lineRule="exact"/>
        <w:ind w:firstLine="402" w:firstLineChars="200"/>
        <w:textAlignment w:val="auto"/>
        <w:rPr>
          <w:rFonts w:hint="eastAsia" w:ascii="仿宋" w:hAnsi="仿宋" w:eastAsia="仿宋" w:cs="仿宋"/>
          <w:bCs/>
          <w:color w:val="auto"/>
          <w:spacing w:val="0"/>
          <w:kern w:val="2"/>
          <w:sz w:val="20"/>
          <w:szCs w:val="20"/>
          <w:highlight w:val="none"/>
        </w:rPr>
      </w:pPr>
      <w:r>
        <w:rPr>
          <w:rFonts w:hint="eastAsia" w:ascii="仿宋" w:hAnsi="仿宋" w:eastAsia="仿宋" w:cs="仿宋"/>
          <w:b/>
          <w:bCs w:val="0"/>
          <w:color w:val="auto"/>
          <w:spacing w:val="0"/>
          <w:kern w:val="2"/>
          <w:sz w:val="20"/>
          <w:szCs w:val="20"/>
          <w:highlight w:val="none"/>
        </w:rPr>
        <w:t>第十四条</w:t>
      </w:r>
      <w:r>
        <w:rPr>
          <w:rFonts w:hint="eastAsia" w:ascii="仿宋" w:hAnsi="仿宋" w:eastAsia="仿宋" w:cs="仿宋"/>
          <w:bCs/>
          <w:color w:val="auto"/>
          <w:spacing w:val="0"/>
          <w:kern w:val="2"/>
          <w:sz w:val="20"/>
          <w:szCs w:val="20"/>
          <w:highlight w:val="none"/>
        </w:rPr>
        <w:t xml:space="preserve"> 合同争议的解决方式：本合同在履行过程中发生的争议，由双方当事人协商解决；也可由有关部门调解；协商或调解不成的，依法向甲方住所地人民法院起诉。</w:t>
      </w:r>
    </w:p>
    <w:p w14:paraId="335DE136">
      <w:pPr>
        <w:keepNext w:val="0"/>
        <w:keepLines w:val="0"/>
        <w:pageBreakBefore w:val="0"/>
        <w:widowControl w:val="0"/>
        <w:kinsoku/>
        <w:wordWrap/>
        <w:overflowPunct/>
        <w:topLinePunct w:val="0"/>
        <w:autoSpaceDE/>
        <w:autoSpaceDN/>
        <w:bidi w:val="0"/>
        <w:adjustRightInd/>
        <w:snapToGrid/>
        <w:spacing w:line="460" w:lineRule="exact"/>
        <w:ind w:firstLine="402"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
          <w:bCs w:val="0"/>
          <w:color w:val="auto"/>
          <w:spacing w:val="0"/>
          <w:kern w:val="2"/>
          <w:sz w:val="20"/>
          <w:szCs w:val="20"/>
          <w:highlight w:val="none"/>
        </w:rPr>
        <w:t>第十</w:t>
      </w:r>
      <w:r>
        <w:rPr>
          <w:rFonts w:hint="eastAsia" w:ascii="仿宋" w:hAnsi="仿宋" w:eastAsia="仿宋" w:cs="仿宋"/>
          <w:b/>
          <w:bCs w:val="0"/>
          <w:color w:val="auto"/>
          <w:spacing w:val="0"/>
          <w:kern w:val="2"/>
          <w:sz w:val="20"/>
          <w:szCs w:val="20"/>
          <w:highlight w:val="none"/>
          <w:lang w:val="en-US" w:eastAsia="zh-CN"/>
        </w:rPr>
        <w:t>五</w:t>
      </w:r>
      <w:r>
        <w:rPr>
          <w:rFonts w:hint="eastAsia" w:ascii="仿宋" w:hAnsi="仿宋" w:eastAsia="仿宋" w:cs="仿宋"/>
          <w:b/>
          <w:bCs w:val="0"/>
          <w:color w:val="auto"/>
          <w:spacing w:val="0"/>
          <w:kern w:val="2"/>
          <w:sz w:val="20"/>
          <w:szCs w:val="20"/>
          <w:highlight w:val="none"/>
        </w:rPr>
        <w:t>条</w:t>
      </w:r>
      <w:r>
        <w:rPr>
          <w:rFonts w:hint="eastAsia" w:ascii="仿宋" w:hAnsi="仿宋" w:eastAsia="仿宋" w:cs="仿宋"/>
          <w:bCs/>
          <w:color w:val="auto"/>
          <w:spacing w:val="0"/>
          <w:kern w:val="2"/>
          <w:sz w:val="20"/>
          <w:szCs w:val="20"/>
          <w:highlight w:val="none"/>
        </w:rPr>
        <w:t xml:space="preserve"> 本合同一式 </w:t>
      </w:r>
      <w:r>
        <w:rPr>
          <w:rFonts w:hint="eastAsia" w:ascii="仿宋" w:hAnsi="仿宋" w:eastAsia="仿宋" w:cs="仿宋"/>
          <w:bCs/>
          <w:color w:val="auto"/>
          <w:spacing w:val="0"/>
          <w:kern w:val="2"/>
          <w:sz w:val="20"/>
          <w:szCs w:val="20"/>
          <w:highlight w:val="none"/>
          <w:u w:val="single"/>
        </w:rPr>
        <w:t xml:space="preserve">      </w:t>
      </w:r>
      <w:r>
        <w:rPr>
          <w:rFonts w:hint="eastAsia" w:ascii="仿宋" w:hAnsi="仿宋" w:eastAsia="仿宋" w:cs="仿宋"/>
          <w:bCs/>
          <w:color w:val="auto"/>
          <w:spacing w:val="0"/>
          <w:kern w:val="2"/>
          <w:sz w:val="20"/>
          <w:szCs w:val="20"/>
          <w:highlight w:val="none"/>
        </w:rPr>
        <w:t>份， 甲方执</w:t>
      </w:r>
      <w:r>
        <w:rPr>
          <w:rFonts w:hint="eastAsia" w:ascii="仿宋" w:hAnsi="仿宋" w:eastAsia="仿宋" w:cs="仿宋"/>
          <w:bCs/>
          <w:color w:val="auto"/>
          <w:spacing w:val="0"/>
          <w:kern w:val="2"/>
          <w:sz w:val="20"/>
          <w:szCs w:val="20"/>
          <w:highlight w:val="none"/>
          <w:u w:val="single"/>
        </w:rPr>
        <w:t xml:space="preserve">       </w:t>
      </w:r>
      <w:r>
        <w:rPr>
          <w:rFonts w:hint="eastAsia" w:ascii="仿宋" w:hAnsi="仿宋" w:eastAsia="仿宋" w:cs="仿宋"/>
          <w:bCs/>
          <w:color w:val="auto"/>
          <w:spacing w:val="0"/>
          <w:kern w:val="2"/>
          <w:sz w:val="20"/>
          <w:szCs w:val="20"/>
          <w:highlight w:val="none"/>
        </w:rPr>
        <w:t xml:space="preserve">份，乙方执 </w:t>
      </w:r>
      <w:r>
        <w:rPr>
          <w:rFonts w:hint="eastAsia" w:ascii="仿宋" w:hAnsi="仿宋" w:eastAsia="仿宋" w:cs="仿宋"/>
          <w:bCs/>
          <w:color w:val="auto"/>
          <w:spacing w:val="0"/>
          <w:kern w:val="2"/>
          <w:sz w:val="20"/>
          <w:szCs w:val="20"/>
          <w:highlight w:val="none"/>
          <w:u w:val="single"/>
        </w:rPr>
        <w:t xml:space="preserve">     </w:t>
      </w:r>
      <w:r>
        <w:rPr>
          <w:rFonts w:hint="eastAsia" w:ascii="仿宋" w:hAnsi="仿宋" w:eastAsia="仿宋" w:cs="仿宋"/>
          <w:bCs/>
          <w:color w:val="auto"/>
          <w:spacing w:val="0"/>
          <w:kern w:val="2"/>
          <w:sz w:val="20"/>
          <w:szCs w:val="20"/>
          <w:highlight w:val="none"/>
        </w:rPr>
        <w:t>份，各具同等法律效力， 自甲、乙 双方签字并盖章之日起生效。</w:t>
      </w:r>
    </w:p>
    <w:p w14:paraId="29A5A21E">
      <w:pPr>
        <w:spacing w:before="153" w:line="228" w:lineRule="auto"/>
        <w:ind w:left="430"/>
        <w:rPr>
          <w:rFonts w:hint="eastAsia" w:ascii="仿宋" w:hAnsi="仿宋" w:eastAsia="仿宋" w:cs="仿宋"/>
          <w:color w:val="auto"/>
          <w:spacing w:val="5"/>
          <w:sz w:val="20"/>
          <w:szCs w:val="20"/>
          <w:highlight w:val="none"/>
        </w:rPr>
      </w:pPr>
    </w:p>
    <w:p w14:paraId="0AF6E9D4">
      <w:pPr>
        <w:spacing w:before="153" w:line="228" w:lineRule="auto"/>
        <w:rPr>
          <w:rFonts w:hint="eastAsia" w:ascii="仿宋" w:hAnsi="仿宋" w:eastAsia="仿宋" w:cs="仿宋"/>
          <w:color w:val="auto"/>
          <w:spacing w:val="5"/>
          <w:sz w:val="20"/>
          <w:szCs w:val="20"/>
          <w:highlight w:val="none"/>
        </w:rPr>
      </w:pPr>
    </w:p>
    <w:p w14:paraId="250D472C">
      <w:pPr>
        <w:spacing w:before="153" w:line="228" w:lineRule="auto"/>
        <w:ind w:left="430"/>
        <w:rPr>
          <w:rFonts w:hint="eastAsia" w:ascii="仿宋" w:hAnsi="仿宋" w:eastAsia="仿宋" w:cs="仿宋"/>
          <w:color w:val="auto"/>
          <w:spacing w:val="5"/>
          <w:sz w:val="20"/>
          <w:szCs w:val="20"/>
          <w:highlight w:val="none"/>
        </w:rPr>
      </w:pPr>
    </w:p>
    <w:p w14:paraId="1DE2D376">
      <w:pPr>
        <w:spacing w:before="153" w:line="228" w:lineRule="auto"/>
        <w:ind w:left="430"/>
        <w:rPr>
          <w:rFonts w:hint="eastAsia" w:ascii="仿宋" w:hAnsi="仿宋" w:eastAsia="仿宋" w:cs="仿宋"/>
          <w:color w:val="auto"/>
          <w:sz w:val="20"/>
          <w:szCs w:val="20"/>
          <w:highlight w:val="none"/>
        </w:rPr>
      </w:pPr>
      <w:r>
        <w:rPr>
          <w:rFonts w:hint="eastAsia" w:ascii="仿宋" w:hAnsi="仿宋" w:eastAsia="仿宋" w:cs="仿宋"/>
          <w:color w:val="auto"/>
          <w:spacing w:val="5"/>
          <w:sz w:val="20"/>
          <w:szCs w:val="20"/>
          <w:highlight w:val="none"/>
        </w:rPr>
        <w:t>（以下无正文）</w:t>
      </w:r>
    </w:p>
    <w:p w14:paraId="24203F8C">
      <w:pPr>
        <w:spacing w:before="281" w:line="227" w:lineRule="auto"/>
        <w:ind w:left="177"/>
        <w:rPr>
          <w:rFonts w:hint="eastAsia" w:ascii="仿宋" w:hAnsi="仿宋" w:eastAsia="仿宋" w:cs="仿宋"/>
          <w:color w:val="auto"/>
          <w:sz w:val="20"/>
          <w:szCs w:val="20"/>
          <w:highlight w:val="none"/>
        </w:rPr>
      </w:pPr>
      <w:r>
        <w:rPr>
          <w:rFonts w:hint="eastAsia" w:ascii="仿宋" w:hAnsi="仿宋" w:eastAsia="仿宋" w:cs="仿宋"/>
          <w:color w:val="auto"/>
          <w:spacing w:val="1"/>
          <w:sz w:val="20"/>
          <w:szCs w:val="20"/>
          <w:highlight w:val="none"/>
        </w:rPr>
        <w:t>甲方（章</w:t>
      </w:r>
      <w:r>
        <w:rPr>
          <w:rFonts w:hint="eastAsia" w:ascii="仿宋" w:hAnsi="仿宋" w:eastAsia="仿宋" w:cs="仿宋"/>
          <w:color w:val="auto"/>
          <w:spacing w:val="4"/>
          <w:sz w:val="20"/>
          <w:szCs w:val="20"/>
          <w:highlight w:val="none"/>
        </w:rPr>
        <w:t>）：</w:t>
      </w:r>
      <w:r>
        <w:rPr>
          <w:rFonts w:hint="eastAsia" w:ascii="仿宋" w:hAnsi="仿宋" w:eastAsia="仿宋" w:cs="仿宋"/>
          <w:color w:val="auto"/>
          <w:spacing w:val="2"/>
          <w:sz w:val="20"/>
          <w:szCs w:val="20"/>
          <w:highlight w:val="none"/>
        </w:rPr>
        <w:t xml:space="preserve">                           </w:t>
      </w:r>
      <w:r>
        <w:rPr>
          <w:rFonts w:hint="eastAsia" w:ascii="仿宋" w:hAnsi="仿宋" w:eastAsia="仿宋" w:cs="仿宋"/>
          <w:color w:val="auto"/>
          <w:spacing w:val="1"/>
          <w:sz w:val="20"/>
          <w:szCs w:val="20"/>
          <w:highlight w:val="none"/>
        </w:rPr>
        <w:t>乙方（章</w:t>
      </w:r>
      <w:r>
        <w:rPr>
          <w:rFonts w:hint="eastAsia" w:ascii="仿宋" w:hAnsi="仿宋" w:eastAsia="仿宋" w:cs="仿宋"/>
          <w:color w:val="auto"/>
          <w:spacing w:val="4"/>
          <w:sz w:val="20"/>
          <w:szCs w:val="20"/>
          <w:highlight w:val="none"/>
        </w:rPr>
        <w:t>）：</w:t>
      </w:r>
    </w:p>
    <w:p w14:paraId="03F6390D">
      <w:pPr>
        <w:pStyle w:val="9"/>
        <w:spacing w:line="368" w:lineRule="auto"/>
        <w:rPr>
          <w:rFonts w:hint="eastAsia" w:ascii="仿宋" w:hAnsi="仿宋" w:eastAsia="仿宋" w:cs="仿宋"/>
          <w:color w:val="auto"/>
          <w:sz w:val="20"/>
          <w:szCs w:val="20"/>
          <w:highlight w:val="none"/>
        </w:rPr>
      </w:pPr>
    </w:p>
    <w:p w14:paraId="5EC03BE5">
      <w:pPr>
        <w:spacing w:before="65" w:line="228" w:lineRule="auto"/>
        <w:ind w:left="177"/>
        <w:rPr>
          <w:rFonts w:hint="eastAsia" w:ascii="仿宋" w:hAnsi="仿宋" w:eastAsia="仿宋" w:cs="仿宋"/>
          <w:color w:val="auto"/>
          <w:sz w:val="20"/>
          <w:szCs w:val="20"/>
          <w:highlight w:val="none"/>
        </w:rPr>
      </w:pPr>
      <w:r>
        <w:rPr>
          <w:rFonts w:hint="eastAsia" w:ascii="仿宋" w:hAnsi="仿宋" w:eastAsia="仿宋" w:cs="仿宋"/>
          <w:color w:val="auto"/>
          <w:spacing w:val="5"/>
          <w:sz w:val="20"/>
          <w:szCs w:val="20"/>
          <w:highlight w:val="none"/>
        </w:rPr>
        <w:t>甲方法定代表人</w:t>
      </w:r>
      <w:r>
        <w:rPr>
          <w:rFonts w:hint="eastAsia" w:ascii="仿宋" w:hAnsi="仿宋" w:eastAsia="仿宋" w:cs="仿宋"/>
          <w:color w:val="auto"/>
          <w:spacing w:val="2"/>
          <w:sz w:val="20"/>
          <w:szCs w:val="20"/>
          <w:highlight w:val="none"/>
        </w:rPr>
        <w:t xml:space="preserve">                        </w:t>
      </w:r>
      <w:r>
        <w:rPr>
          <w:rFonts w:hint="eastAsia" w:ascii="仿宋" w:hAnsi="仿宋" w:eastAsia="仿宋" w:cs="仿宋"/>
          <w:color w:val="auto"/>
          <w:spacing w:val="5"/>
          <w:sz w:val="20"/>
          <w:szCs w:val="20"/>
          <w:highlight w:val="none"/>
        </w:rPr>
        <w:t>乙方法定代表人</w:t>
      </w:r>
    </w:p>
    <w:p w14:paraId="5C5338B9">
      <w:pPr>
        <w:pStyle w:val="9"/>
        <w:spacing w:line="364" w:lineRule="auto"/>
        <w:rPr>
          <w:rFonts w:hint="eastAsia" w:ascii="仿宋" w:hAnsi="仿宋" w:eastAsia="仿宋" w:cs="仿宋"/>
          <w:color w:val="auto"/>
          <w:sz w:val="20"/>
          <w:szCs w:val="20"/>
          <w:highlight w:val="none"/>
        </w:rPr>
      </w:pPr>
    </w:p>
    <w:p w14:paraId="35D2B5D4">
      <w:pPr>
        <w:spacing w:before="65" w:line="228" w:lineRule="auto"/>
        <w:ind w:left="153"/>
        <w:rPr>
          <w:rFonts w:hint="eastAsia" w:ascii="仿宋" w:hAnsi="仿宋" w:eastAsia="仿宋" w:cs="仿宋"/>
          <w:color w:val="auto"/>
          <w:sz w:val="20"/>
          <w:szCs w:val="20"/>
          <w:highlight w:val="none"/>
        </w:rPr>
      </w:pPr>
      <w:r>
        <w:rPr>
          <w:rFonts w:hint="eastAsia" w:ascii="仿宋" w:hAnsi="仿宋" w:eastAsia="仿宋" w:cs="仿宋"/>
          <w:color w:val="auto"/>
          <w:spacing w:val="6"/>
          <w:sz w:val="20"/>
          <w:szCs w:val="20"/>
          <w:highlight w:val="none"/>
        </w:rPr>
        <w:t>或委托代理人：</w:t>
      </w:r>
      <w:r>
        <w:rPr>
          <w:rFonts w:hint="eastAsia" w:ascii="仿宋" w:hAnsi="仿宋" w:eastAsia="仿宋" w:cs="仿宋"/>
          <w:color w:val="auto"/>
          <w:spacing w:val="2"/>
          <w:sz w:val="20"/>
          <w:szCs w:val="20"/>
          <w:highlight w:val="none"/>
        </w:rPr>
        <w:t xml:space="preserve">                      </w:t>
      </w:r>
      <w:r>
        <w:rPr>
          <w:rFonts w:hint="eastAsia" w:ascii="仿宋" w:hAnsi="仿宋" w:eastAsia="仿宋" w:cs="仿宋"/>
          <w:color w:val="auto"/>
          <w:spacing w:val="1"/>
          <w:sz w:val="20"/>
          <w:szCs w:val="20"/>
          <w:highlight w:val="none"/>
        </w:rPr>
        <w:t xml:space="preserve">  </w:t>
      </w:r>
      <w:r>
        <w:rPr>
          <w:rFonts w:hint="eastAsia" w:ascii="仿宋" w:hAnsi="仿宋" w:eastAsia="仿宋" w:cs="仿宋"/>
          <w:color w:val="auto"/>
          <w:spacing w:val="6"/>
          <w:sz w:val="20"/>
          <w:szCs w:val="20"/>
          <w:highlight w:val="none"/>
        </w:rPr>
        <w:t>或委托代理人：</w:t>
      </w:r>
    </w:p>
    <w:p w14:paraId="3DE72281">
      <w:pPr>
        <w:pStyle w:val="9"/>
        <w:spacing w:line="365" w:lineRule="auto"/>
        <w:rPr>
          <w:rFonts w:hint="eastAsia" w:ascii="仿宋" w:hAnsi="仿宋" w:eastAsia="仿宋" w:cs="仿宋"/>
          <w:color w:val="auto"/>
          <w:sz w:val="20"/>
          <w:szCs w:val="20"/>
          <w:highlight w:val="none"/>
        </w:rPr>
      </w:pPr>
    </w:p>
    <w:p w14:paraId="0D9996B8">
      <w:pPr>
        <w:spacing w:before="65" w:line="228" w:lineRule="auto"/>
        <w:ind w:left="150"/>
        <w:rPr>
          <w:rFonts w:hint="eastAsia" w:ascii="宋体" w:hAnsi="宋体" w:eastAsia="宋体" w:cs="宋体"/>
          <w:color w:val="auto"/>
          <w:sz w:val="24"/>
          <w:szCs w:val="24"/>
          <w:highlight w:val="none"/>
        </w:rPr>
      </w:pPr>
      <w:r>
        <w:rPr>
          <w:rFonts w:hint="eastAsia" w:ascii="仿宋" w:hAnsi="仿宋" w:eastAsia="仿宋" w:cs="仿宋"/>
          <w:color w:val="auto"/>
          <w:spacing w:val="5"/>
          <w:sz w:val="20"/>
          <w:szCs w:val="20"/>
          <w:highlight w:val="none"/>
        </w:rPr>
        <w:t>签约日期：</w:t>
      </w:r>
      <w:r>
        <w:rPr>
          <w:rFonts w:hint="eastAsia" w:ascii="仿宋" w:hAnsi="仿宋" w:eastAsia="仿宋" w:cs="仿宋"/>
          <w:color w:val="auto"/>
          <w:spacing w:val="2"/>
          <w:sz w:val="20"/>
          <w:szCs w:val="20"/>
          <w:highlight w:val="none"/>
        </w:rPr>
        <w:t xml:space="preserve">                            </w:t>
      </w:r>
      <w:r>
        <w:rPr>
          <w:rFonts w:hint="eastAsia" w:ascii="仿宋" w:hAnsi="仿宋" w:eastAsia="仿宋" w:cs="仿宋"/>
          <w:color w:val="auto"/>
          <w:spacing w:val="5"/>
          <w:sz w:val="20"/>
          <w:szCs w:val="20"/>
          <w:highlight w:val="none"/>
        </w:rPr>
        <w:t>签约日期：</w:t>
      </w:r>
    </w:p>
    <w:p w14:paraId="1B73258F">
      <w:pPr>
        <w:spacing w:line="480" w:lineRule="auto"/>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  </w:t>
      </w:r>
    </w:p>
    <w:p w14:paraId="229BB3C8">
      <w:pPr>
        <w:jc w:val="center"/>
        <w:rPr>
          <w:rFonts w:hint="eastAsia" w:ascii="宋体" w:hAnsi="宋体" w:eastAsia="宋体" w:cs="宋体"/>
          <w:b/>
          <w:bCs/>
          <w:color w:val="auto"/>
          <w:sz w:val="32"/>
          <w:szCs w:val="32"/>
          <w:highlight w:val="none"/>
        </w:rPr>
      </w:pPr>
      <w:r>
        <w:rPr>
          <w:rFonts w:hint="eastAsia" w:ascii="宋体" w:hAnsi="宋体"/>
          <w:bCs/>
          <w:color w:val="auto"/>
          <w:sz w:val="36"/>
          <w:szCs w:val="36"/>
          <w:highlight w:val="none"/>
          <w:lang w:val="en-US" w:eastAsia="zh-CN"/>
        </w:rPr>
        <w:t xml:space="preserve">             </w:t>
      </w:r>
      <w:r>
        <w:rPr>
          <w:rFonts w:hint="eastAsia" w:ascii="宋体" w:hAnsi="宋体" w:eastAsia="宋体" w:cs="宋体"/>
          <w:color w:val="auto"/>
          <w:sz w:val="28"/>
          <w:szCs w:val="28"/>
          <w:highlight w:val="none"/>
        </w:rPr>
        <w:t xml:space="preserve"> </w:t>
      </w:r>
    </w:p>
    <w:bookmarkEnd w:id="1"/>
    <w:p w14:paraId="28024CC1">
      <w:pPr>
        <w:rPr>
          <w:rFonts w:hint="eastAsia" w:ascii="宋体" w:hAnsi="宋体" w:eastAsia="宋体" w:cs="宋体"/>
          <w:color w:val="auto"/>
          <w:highlight w:val="none"/>
        </w:rPr>
      </w:pPr>
    </w:p>
    <w:sectPr>
      <w:headerReference r:id="rId4" w:type="first"/>
      <w:footerReference r:id="rId5" w:type="first"/>
      <w:headerReference r:id="rId3" w:type="default"/>
      <w:pgSz w:w="11907" w:h="16840"/>
      <w:pgMar w:top="1418" w:right="1219" w:bottom="1418" w:left="1418" w:header="567" w:footer="902" w:gutter="0"/>
      <w:pgBorders>
        <w:top w:val="none" w:sz="0" w:space="0"/>
        <w:left w:val="none" w:sz="0" w:space="0"/>
        <w:bottom w:val="none" w:sz="0" w:space="0"/>
        <w:right w:val="none" w:sz="0" w:space="0"/>
      </w:pgBorders>
      <w:pgNumType w:fmt="decimal"/>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E2B6F">
    <w:pPr>
      <w:framePr w:wrap="around" w:vAnchor="text" w:hAnchor="margin" w:xAlign="center" w:yAlign="top"/>
      <w:rPr>
        <w:b/>
        <w:bCs/>
        <w:sz w:val="21"/>
        <w:szCs w:val="21"/>
      </w:rPr>
    </w:pPr>
    <w:r>
      <w:rPr>
        <w:rStyle w:val="27"/>
        <w:rFonts w:hint="eastAsia"/>
        <w:b/>
        <w:bCs/>
        <w:szCs w:val="21"/>
      </w:rPr>
      <w:fldChar w:fldCharType="begin"/>
    </w:r>
    <w:r>
      <w:rPr>
        <w:rStyle w:val="27"/>
        <w:rFonts w:hint="eastAsia"/>
        <w:b/>
        <w:bCs/>
        <w:szCs w:val="21"/>
      </w:rPr>
      <w:instrText xml:space="preserve"> PAGE  </w:instrText>
    </w:r>
    <w:r>
      <w:rPr>
        <w:rFonts w:hint="eastAsia"/>
        <w:b/>
        <w:bCs/>
        <w:szCs w:val="21"/>
      </w:rPr>
      <w:fldChar w:fldCharType="separate"/>
    </w:r>
    <w:r>
      <w:rPr>
        <w:rStyle w:val="27"/>
        <w:b/>
        <w:bCs/>
        <w:szCs w:val="21"/>
      </w:rPr>
      <w:t>- 37 -</w:t>
    </w:r>
    <w:r>
      <w:rPr>
        <w:rFonts w:hint="eastAsia"/>
        <w:b/>
        <w:bCs/>
        <w:szCs w:val="21"/>
      </w:rPr>
      <w:fldChar w:fldCharType="end"/>
    </w:r>
  </w:p>
  <w:p w14:paraId="2843EDFB">
    <w:pPr>
      <w:spacing w:line="280" w:lineRule="exact"/>
      <w:rPr>
        <w:rStyle w:val="27"/>
        <w:b/>
        <w:sz w:val="21"/>
        <w:szCs w:val="21"/>
      </w:rPr>
    </w:pPr>
    <w:r>
      <w:rPr>
        <w:rFonts w:hint="eastAsia"/>
        <w:b/>
        <w:bCs/>
        <w:sz w:val="21"/>
        <w:szCs w:val="21"/>
      </w:rPr>
      <w:t xml:space="preserve">西安红城建设项目管理有限公司                           电话：029-33550561  </w:t>
    </w:r>
    <w:r>
      <w:rPr>
        <w:rFonts w:ascii="Calibri" w:hAnsi="Calibri" w:eastAsia="宋体" w:cs="Arial"/>
        <w:kern w:val="2"/>
        <w:sz w:val="21"/>
        <w:szCs w:val="22"/>
        <w:lang w:val="en-US" w:eastAsia="zh-CN" w:bidi="ar-SA"/>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46355" cy="186055"/>
              <wp:effectExtent l="0" t="0" r="0" b="0"/>
              <wp:wrapNone/>
              <wp:docPr id="3" name="文本框 28"/>
              <wp:cNvGraphicFramePr/>
              <a:graphic xmlns:a="http://schemas.openxmlformats.org/drawingml/2006/main">
                <a:graphicData uri="http://schemas.microsoft.com/office/word/2010/wordprocessingShape">
                  <wps:wsp>
                    <wps:cNvSpPr/>
                    <wps:spPr>
                      <a:xfrm>
                        <a:off x="0" y="0"/>
                        <a:ext cx="46355" cy="186055"/>
                      </a:xfrm>
                      <a:prstGeom prst="rect">
                        <a:avLst/>
                      </a:prstGeom>
                      <a:noFill/>
                      <a:ln>
                        <a:noFill/>
                      </a:ln>
                      <a:effectLst/>
                    </wps:spPr>
                    <wps:txbx>
                      <w:txbxContent>
                        <w:p w14:paraId="49D13A7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w:t>
                          </w:r>
                          <w:r>
                            <w:rPr>
                              <w:sz w:val="18"/>
                            </w:rPr>
                            <w:t xml:space="preserve"> 37 -</w:t>
                          </w:r>
                          <w:r>
                            <w:rPr>
                              <w:rFonts w:hint="eastAsia"/>
                              <w:sz w:val="18"/>
                            </w:rPr>
                            <w:fldChar w:fldCharType="end"/>
                          </w:r>
                        </w:p>
                      </w:txbxContent>
                    </wps:txbx>
                    <wps:bodyPr vert="horz" wrap="none" lIns="0" tIns="0" rIns="0" bIns="0" anchor="t" anchorCtr="0" upright="1">
                      <a:spAutoFit/>
                    </wps:bodyPr>
                  </wps:wsp>
                </a:graphicData>
              </a:graphic>
            </wp:anchor>
          </w:drawing>
        </mc:Choice>
        <mc:Fallback>
          <w:pict>
            <v:rect id="文本框 28" o:spid="_x0000_s1026" o:spt="1" style="position:absolute;left:0pt;margin-top:0pt;height:14.65pt;width:3.65pt;mso-position-horizontal:right;mso-position-horizontal-relative:margin;mso-wrap-style:none;z-index:251659264;mso-width-relative:page;mso-height-relative:page;" filled="f" stroked="f" coordsize="21600,21600" o:gfxdata="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cm4JLRAAAAAgEAAA8AAAAA&#10;AAAAAQAgAAAAIgAAAGRycy9kb3ducmV2LnhtbFBLAQIUABQAAAAIAIdO4kBbR01Y4gEAAMADAAAO&#10;AAAAAAAAAAEAIAAAACABAABkcnMvZTJvRG9jLnhtbFBLBQYAAAAABgAGAFkBAAB0BQAAAAA=&#10;">
              <v:fill on="f" focussize="0,0"/>
              <v:stroke on="f"/>
              <v:imagedata o:title=""/>
              <o:lock v:ext="edit" aspectratio="f"/>
              <v:textbox inset="0mm,0mm,0mm,0mm" style="mso-fit-shape-to-text:t;">
                <w:txbxContent>
                  <w:p w14:paraId="49D13A7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w:t>
                    </w:r>
                    <w:r>
                      <w:rPr>
                        <w:sz w:val="18"/>
                      </w:rPr>
                      <w:t xml:space="preserve"> 37 -</w:t>
                    </w:r>
                    <w:r>
                      <w:rPr>
                        <w:rFonts w:hint="eastAsia"/>
                        <w:sz w:val="18"/>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8D7FA">
    <w:pPr>
      <w:pStyle w:val="15"/>
      <w:pBdr>
        <w:bottom w:val="none" w:color="auto" w:sz="0" w:space="1"/>
      </w:pBd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3A1A5">
    <w:pPr>
      <w:spacing w:line="460" w:lineRule="exact"/>
      <w:rPr>
        <w:rFonts w:ascii="宋体"/>
        <w:b/>
        <w:sz w:val="21"/>
        <w:szCs w:val="21"/>
        <w:u w:val="single"/>
        <w:shd w:val="pct10" w:color="auto" w:fill="FFFFFF"/>
      </w:rPr>
    </w:pPr>
    <w:r>
      <w:rPr>
        <w:rFonts w:hint="eastAsia" w:ascii="宋体"/>
        <w:b/>
        <w:sz w:val="21"/>
        <w:szCs w:val="21"/>
        <w:u w:val="single"/>
        <w:shd w:val="pct10" w:color="auto" w:fill="FFFFFF"/>
      </w:rPr>
      <w:t>礼泉县2014年财政支持现代农业生产发展资金苹果产业标准化果园建设货物类采购项目招标文件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D24074"/>
    <w:multiLevelType w:val="multilevel"/>
    <w:tmpl w:val="33D24074"/>
    <w:lvl w:ilvl="0" w:tentative="0">
      <w:start w:val="1"/>
      <w:numFmt w:val="decimal"/>
      <w:suff w:val="space"/>
      <w:lvlText w:val="%1."/>
      <w:lvlJc w:val="left"/>
      <w:pPr>
        <w:ind w:left="0" w:firstLine="0"/>
      </w:pPr>
      <w:rPr>
        <w:rFonts w:hint="eastAsia"/>
      </w:rPr>
    </w:lvl>
    <w:lvl w:ilvl="1" w:tentative="0">
      <w:start w:val="1"/>
      <w:numFmt w:val="decimal"/>
      <w:suff w:val="nothing"/>
      <w:lvlText w:val="%1.%2 "/>
      <w:lvlJc w:val="left"/>
      <w:pPr>
        <w:ind w:left="0" w:firstLine="0"/>
      </w:pPr>
      <w:rPr>
        <w:rFonts w:hint="eastAsia"/>
      </w:rPr>
    </w:lvl>
    <w:lvl w:ilvl="2" w:tentative="0">
      <w:start w:val="1"/>
      <w:numFmt w:val="decimal"/>
      <w:pStyle w:val="17"/>
      <w:suff w:val="space"/>
      <w:lvlText w:val="%1.%2.%3 "/>
      <w:lvlJc w:val="left"/>
      <w:pPr>
        <w:ind w:left="0" w:firstLine="0"/>
      </w:pPr>
      <w:rPr>
        <w:rFonts w:hint="eastAsia"/>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UzZWY2MzdiODk0NzU1YmFiZDA2NWRlZjEzYTJkMTgifQ=="/>
  </w:docVars>
  <w:rsids>
    <w:rsidRoot w:val="1B0E65C0"/>
    <w:rsid w:val="00182059"/>
    <w:rsid w:val="002E2035"/>
    <w:rsid w:val="003B643A"/>
    <w:rsid w:val="005261FD"/>
    <w:rsid w:val="009D213F"/>
    <w:rsid w:val="00A52506"/>
    <w:rsid w:val="00BA3803"/>
    <w:rsid w:val="01271B6C"/>
    <w:rsid w:val="018E7169"/>
    <w:rsid w:val="01967DCC"/>
    <w:rsid w:val="01AA74EE"/>
    <w:rsid w:val="01C17756"/>
    <w:rsid w:val="01DD3C4D"/>
    <w:rsid w:val="01EC0334"/>
    <w:rsid w:val="0206507B"/>
    <w:rsid w:val="022C6982"/>
    <w:rsid w:val="025E285F"/>
    <w:rsid w:val="02DA4D94"/>
    <w:rsid w:val="02E45A44"/>
    <w:rsid w:val="03030BB2"/>
    <w:rsid w:val="03525F75"/>
    <w:rsid w:val="03570EA0"/>
    <w:rsid w:val="035E6897"/>
    <w:rsid w:val="03681C3C"/>
    <w:rsid w:val="036A59B4"/>
    <w:rsid w:val="036F681A"/>
    <w:rsid w:val="03B22EB7"/>
    <w:rsid w:val="03B64756"/>
    <w:rsid w:val="03EC0921"/>
    <w:rsid w:val="040F41FA"/>
    <w:rsid w:val="0415231B"/>
    <w:rsid w:val="046D383C"/>
    <w:rsid w:val="04A42800"/>
    <w:rsid w:val="054C5D08"/>
    <w:rsid w:val="05765EBA"/>
    <w:rsid w:val="05924D4E"/>
    <w:rsid w:val="05C56ED2"/>
    <w:rsid w:val="05D875DB"/>
    <w:rsid w:val="060C14BF"/>
    <w:rsid w:val="06233BF8"/>
    <w:rsid w:val="0667442D"/>
    <w:rsid w:val="067D155B"/>
    <w:rsid w:val="06952D48"/>
    <w:rsid w:val="06D3382F"/>
    <w:rsid w:val="06D739C6"/>
    <w:rsid w:val="08055CAB"/>
    <w:rsid w:val="082C3238"/>
    <w:rsid w:val="083848FD"/>
    <w:rsid w:val="086A51DD"/>
    <w:rsid w:val="088306FB"/>
    <w:rsid w:val="08BE02B1"/>
    <w:rsid w:val="08C1493E"/>
    <w:rsid w:val="08E81855"/>
    <w:rsid w:val="09095327"/>
    <w:rsid w:val="095F7188"/>
    <w:rsid w:val="09616F12"/>
    <w:rsid w:val="0970184A"/>
    <w:rsid w:val="09A97B39"/>
    <w:rsid w:val="09AB4CA5"/>
    <w:rsid w:val="09B50689"/>
    <w:rsid w:val="09BC3001"/>
    <w:rsid w:val="09CD45A7"/>
    <w:rsid w:val="09F107EF"/>
    <w:rsid w:val="0A2A37A7"/>
    <w:rsid w:val="0A690281"/>
    <w:rsid w:val="0A742DBC"/>
    <w:rsid w:val="0A851326"/>
    <w:rsid w:val="0A9E4AA9"/>
    <w:rsid w:val="0AE53B72"/>
    <w:rsid w:val="0AF50259"/>
    <w:rsid w:val="0AFD710E"/>
    <w:rsid w:val="0B5A65BB"/>
    <w:rsid w:val="0B970E43"/>
    <w:rsid w:val="0BCF0AAA"/>
    <w:rsid w:val="0BF26547"/>
    <w:rsid w:val="0C5B706F"/>
    <w:rsid w:val="0C6F7B97"/>
    <w:rsid w:val="0C9926B7"/>
    <w:rsid w:val="0CA46E7B"/>
    <w:rsid w:val="0CE257F5"/>
    <w:rsid w:val="0D1D5845"/>
    <w:rsid w:val="0D5877C5"/>
    <w:rsid w:val="0DC26598"/>
    <w:rsid w:val="0DE246BD"/>
    <w:rsid w:val="0DEA5A2D"/>
    <w:rsid w:val="0DEE0F90"/>
    <w:rsid w:val="0E274C11"/>
    <w:rsid w:val="0E5057A7"/>
    <w:rsid w:val="0E625C06"/>
    <w:rsid w:val="0E83792A"/>
    <w:rsid w:val="0E975183"/>
    <w:rsid w:val="0EB83A78"/>
    <w:rsid w:val="0EF82868"/>
    <w:rsid w:val="0F1070B2"/>
    <w:rsid w:val="0F144A26"/>
    <w:rsid w:val="0F4F706C"/>
    <w:rsid w:val="0FED59A3"/>
    <w:rsid w:val="1002041D"/>
    <w:rsid w:val="100B5E29"/>
    <w:rsid w:val="103F1D61"/>
    <w:rsid w:val="106C7CB6"/>
    <w:rsid w:val="10834292"/>
    <w:rsid w:val="10A55A69"/>
    <w:rsid w:val="10C75BED"/>
    <w:rsid w:val="10EA5A3E"/>
    <w:rsid w:val="10F60887"/>
    <w:rsid w:val="11333889"/>
    <w:rsid w:val="113545CF"/>
    <w:rsid w:val="11393235"/>
    <w:rsid w:val="11502F00"/>
    <w:rsid w:val="11951E4E"/>
    <w:rsid w:val="11E502A3"/>
    <w:rsid w:val="11FD6C7B"/>
    <w:rsid w:val="12380A2C"/>
    <w:rsid w:val="124C2848"/>
    <w:rsid w:val="125C471A"/>
    <w:rsid w:val="127F665A"/>
    <w:rsid w:val="12902616"/>
    <w:rsid w:val="12B37EC5"/>
    <w:rsid w:val="12CD463F"/>
    <w:rsid w:val="1306440E"/>
    <w:rsid w:val="130D2041"/>
    <w:rsid w:val="134E7E2F"/>
    <w:rsid w:val="135049C5"/>
    <w:rsid w:val="135663C8"/>
    <w:rsid w:val="13AF2F6F"/>
    <w:rsid w:val="13C20EF5"/>
    <w:rsid w:val="13E708C4"/>
    <w:rsid w:val="13EB044B"/>
    <w:rsid w:val="13F01323"/>
    <w:rsid w:val="13FA68E0"/>
    <w:rsid w:val="141017FF"/>
    <w:rsid w:val="143353E5"/>
    <w:rsid w:val="14704A54"/>
    <w:rsid w:val="148A3E43"/>
    <w:rsid w:val="148B12E6"/>
    <w:rsid w:val="14E37374"/>
    <w:rsid w:val="15392994"/>
    <w:rsid w:val="15545B7C"/>
    <w:rsid w:val="1580525A"/>
    <w:rsid w:val="15967F2F"/>
    <w:rsid w:val="15E66C5B"/>
    <w:rsid w:val="16412E71"/>
    <w:rsid w:val="165A18B8"/>
    <w:rsid w:val="167069E6"/>
    <w:rsid w:val="16A50D85"/>
    <w:rsid w:val="175B20F3"/>
    <w:rsid w:val="175E0F34"/>
    <w:rsid w:val="177C13BA"/>
    <w:rsid w:val="17A50638"/>
    <w:rsid w:val="17CC6EA8"/>
    <w:rsid w:val="18095344"/>
    <w:rsid w:val="182035ED"/>
    <w:rsid w:val="189B292D"/>
    <w:rsid w:val="18BF1EA7"/>
    <w:rsid w:val="18D164CF"/>
    <w:rsid w:val="18DE232D"/>
    <w:rsid w:val="19091A44"/>
    <w:rsid w:val="191072D9"/>
    <w:rsid w:val="195E7D49"/>
    <w:rsid w:val="19650358"/>
    <w:rsid w:val="19A4147B"/>
    <w:rsid w:val="19B93006"/>
    <w:rsid w:val="1A0F5918"/>
    <w:rsid w:val="1A101B23"/>
    <w:rsid w:val="1A471EC7"/>
    <w:rsid w:val="1A5A477B"/>
    <w:rsid w:val="1AC827CD"/>
    <w:rsid w:val="1AE5690E"/>
    <w:rsid w:val="1B0E65C0"/>
    <w:rsid w:val="1B7D054F"/>
    <w:rsid w:val="1B803B6F"/>
    <w:rsid w:val="1BDE0B61"/>
    <w:rsid w:val="1C0C5403"/>
    <w:rsid w:val="1C350E83"/>
    <w:rsid w:val="1C387059"/>
    <w:rsid w:val="1C3E1DDC"/>
    <w:rsid w:val="1C5D4EF3"/>
    <w:rsid w:val="1C935FB9"/>
    <w:rsid w:val="1C9561CD"/>
    <w:rsid w:val="1CAB4C1C"/>
    <w:rsid w:val="1CBD66FD"/>
    <w:rsid w:val="1CEF77DE"/>
    <w:rsid w:val="1D6C348C"/>
    <w:rsid w:val="1D7F224F"/>
    <w:rsid w:val="1DCD790C"/>
    <w:rsid w:val="1DDE4B7D"/>
    <w:rsid w:val="1E0740D4"/>
    <w:rsid w:val="1E0C0467"/>
    <w:rsid w:val="1E197963"/>
    <w:rsid w:val="1E285DF8"/>
    <w:rsid w:val="1E9516DF"/>
    <w:rsid w:val="1EB55657"/>
    <w:rsid w:val="1EF1110F"/>
    <w:rsid w:val="1EF34658"/>
    <w:rsid w:val="1EF6594F"/>
    <w:rsid w:val="1F0D2666"/>
    <w:rsid w:val="1F1D7927"/>
    <w:rsid w:val="1F260856"/>
    <w:rsid w:val="1F2D5993"/>
    <w:rsid w:val="1F4B71D4"/>
    <w:rsid w:val="1F9000F9"/>
    <w:rsid w:val="201B7863"/>
    <w:rsid w:val="20651821"/>
    <w:rsid w:val="207F5BA6"/>
    <w:rsid w:val="20A0062C"/>
    <w:rsid w:val="20CA779D"/>
    <w:rsid w:val="211D0BAA"/>
    <w:rsid w:val="21900110"/>
    <w:rsid w:val="219B190B"/>
    <w:rsid w:val="21BC2411"/>
    <w:rsid w:val="21C57F5B"/>
    <w:rsid w:val="21FF2422"/>
    <w:rsid w:val="22A15F6F"/>
    <w:rsid w:val="22F72BDD"/>
    <w:rsid w:val="231F3C6E"/>
    <w:rsid w:val="234E6301"/>
    <w:rsid w:val="236643F7"/>
    <w:rsid w:val="23AE0B4E"/>
    <w:rsid w:val="23F02D31"/>
    <w:rsid w:val="24133FCB"/>
    <w:rsid w:val="243472A5"/>
    <w:rsid w:val="243D28EC"/>
    <w:rsid w:val="24DA7583"/>
    <w:rsid w:val="252770C5"/>
    <w:rsid w:val="255676EF"/>
    <w:rsid w:val="255A477A"/>
    <w:rsid w:val="256718FC"/>
    <w:rsid w:val="257A077D"/>
    <w:rsid w:val="25E37D02"/>
    <w:rsid w:val="260263CB"/>
    <w:rsid w:val="26417230"/>
    <w:rsid w:val="26431CB9"/>
    <w:rsid w:val="267C59C1"/>
    <w:rsid w:val="2681079B"/>
    <w:rsid w:val="26D41FEC"/>
    <w:rsid w:val="27247AA4"/>
    <w:rsid w:val="272F70CA"/>
    <w:rsid w:val="273E043A"/>
    <w:rsid w:val="27875B91"/>
    <w:rsid w:val="27893DAB"/>
    <w:rsid w:val="278E3170"/>
    <w:rsid w:val="27EE5CFF"/>
    <w:rsid w:val="28FD67FF"/>
    <w:rsid w:val="2949443E"/>
    <w:rsid w:val="296A19BB"/>
    <w:rsid w:val="296E3259"/>
    <w:rsid w:val="29961174"/>
    <w:rsid w:val="29D86924"/>
    <w:rsid w:val="29E9416A"/>
    <w:rsid w:val="2A014ED6"/>
    <w:rsid w:val="2A06441D"/>
    <w:rsid w:val="2A0721CE"/>
    <w:rsid w:val="2A6C52BE"/>
    <w:rsid w:val="2A6D1FBA"/>
    <w:rsid w:val="2A7C0B78"/>
    <w:rsid w:val="2ABD34DD"/>
    <w:rsid w:val="2AFF0FB2"/>
    <w:rsid w:val="2B2838DB"/>
    <w:rsid w:val="2B465E40"/>
    <w:rsid w:val="2B5041D5"/>
    <w:rsid w:val="2B6A6B02"/>
    <w:rsid w:val="2B920D55"/>
    <w:rsid w:val="2B971F94"/>
    <w:rsid w:val="2BE266B2"/>
    <w:rsid w:val="2BF569FF"/>
    <w:rsid w:val="2C0863E0"/>
    <w:rsid w:val="2C307D4C"/>
    <w:rsid w:val="2C3955B7"/>
    <w:rsid w:val="2C482B06"/>
    <w:rsid w:val="2C615581"/>
    <w:rsid w:val="2C7C04FF"/>
    <w:rsid w:val="2CD41577"/>
    <w:rsid w:val="2D335FEA"/>
    <w:rsid w:val="2D5B1872"/>
    <w:rsid w:val="2D6C1689"/>
    <w:rsid w:val="2D880661"/>
    <w:rsid w:val="2DAF0ECA"/>
    <w:rsid w:val="2E273946"/>
    <w:rsid w:val="2E2A302D"/>
    <w:rsid w:val="2ED71D30"/>
    <w:rsid w:val="2EFC7D9A"/>
    <w:rsid w:val="2F2B7FC7"/>
    <w:rsid w:val="2F3E04FF"/>
    <w:rsid w:val="2F4B1946"/>
    <w:rsid w:val="2F61560E"/>
    <w:rsid w:val="2FA35084"/>
    <w:rsid w:val="2FD628C4"/>
    <w:rsid w:val="2FEF2ACF"/>
    <w:rsid w:val="301C7FB8"/>
    <w:rsid w:val="307E28FD"/>
    <w:rsid w:val="30C73A3D"/>
    <w:rsid w:val="30EB1633"/>
    <w:rsid w:val="30FF50DE"/>
    <w:rsid w:val="3102072B"/>
    <w:rsid w:val="311154ED"/>
    <w:rsid w:val="314D4480"/>
    <w:rsid w:val="3151108A"/>
    <w:rsid w:val="31850979"/>
    <w:rsid w:val="31EF5153"/>
    <w:rsid w:val="31F6028F"/>
    <w:rsid w:val="32234DF2"/>
    <w:rsid w:val="32715B68"/>
    <w:rsid w:val="328265F1"/>
    <w:rsid w:val="33201294"/>
    <w:rsid w:val="332F1DAB"/>
    <w:rsid w:val="335D2194"/>
    <w:rsid w:val="3361379C"/>
    <w:rsid w:val="336A3222"/>
    <w:rsid w:val="33AD7074"/>
    <w:rsid w:val="33F14E3F"/>
    <w:rsid w:val="33FF4AE1"/>
    <w:rsid w:val="340F5638"/>
    <w:rsid w:val="342451A2"/>
    <w:rsid w:val="34A45FE9"/>
    <w:rsid w:val="34BB5A49"/>
    <w:rsid w:val="34C2034D"/>
    <w:rsid w:val="34F46D42"/>
    <w:rsid w:val="35044720"/>
    <w:rsid w:val="352703D9"/>
    <w:rsid w:val="353B0B1D"/>
    <w:rsid w:val="355C48AD"/>
    <w:rsid w:val="356239FC"/>
    <w:rsid w:val="35844686"/>
    <w:rsid w:val="358768A1"/>
    <w:rsid w:val="359120FB"/>
    <w:rsid w:val="35AA7B61"/>
    <w:rsid w:val="35CA20BE"/>
    <w:rsid w:val="35DA459E"/>
    <w:rsid w:val="360A35C3"/>
    <w:rsid w:val="360B66E8"/>
    <w:rsid w:val="364B0AFA"/>
    <w:rsid w:val="366003CD"/>
    <w:rsid w:val="3667350A"/>
    <w:rsid w:val="367466AC"/>
    <w:rsid w:val="3683176F"/>
    <w:rsid w:val="36C626B4"/>
    <w:rsid w:val="36D668E1"/>
    <w:rsid w:val="36DD40B2"/>
    <w:rsid w:val="36E654C7"/>
    <w:rsid w:val="373C4996"/>
    <w:rsid w:val="374E099B"/>
    <w:rsid w:val="375170C8"/>
    <w:rsid w:val="3793032E"/>
    <w:rsid w:val="37AD671B"/>
    <w:rsid w:val="37B06CE3"/>
    <w:rsid w:val="37CF3E1D"/>
    <w:rsid w:val="37CF40BA"/>
    <w:rsid w:val="38051CC5"/>
    <w:rsid w:val="38095F3E"/>
    <w:rsid w:val="386473A8"/>
    <w:rsid w:val="3869656B"/>
    <w:rsid w:val="386D5646"/>
    <w:rsid w:val="38730B20"/>
    <w:rsid w:val="39710EEA"/>
    <w:rsid w:val="39717620"/>
    <w:rsid w:val="397D0742"/>
    <w:rsid w:val="398B39B3"/>
    <w:rsid w:val="39987E7E"/>
    <w:rsid w:val="39AB4F3E"/>
    <w:rsid w:val="39B53670"/>
    <w:rsid w:val="39D95CDA"/>
    <w:rsid w:val="3A5532A3"/>
    <w:rsid w:val="3A5E4C26"/>
    <w:rsid w:val="3AB46F81"/>
    <w:rsid w:val="3AB92824"/>
    <w:rsid w:val="3AEC1B77"/>
    <w:rsid w:val="3AF36B67"/>
    <w:rsid w:val="3AFD417E"/>
    <w:rsid w:val="3B283F56"/>
    <w:rsid w:val="3B6D0B1F"/>
    <w:rsid w:val="3B7566C9"/>
    <w:rsid w:val="3BB76081"/>
    <w:rsid w:val="3BC22632"/>
    <w:rsid w:val="3BCD64E2"/>
    <w:rsid w:val="3BDF1ED1"/>
    <w:rsid w:val="3BF515B8"/>
    <w:rsid w:val="3C137C90"/>
    <w:rsid w:val="3C430A13"/>
    <w:rsid w:val="3C756E43"/>
    <w:rsid w:val="3CBA010B"/>
    <w:rsid w:val="3CC61256"/>
    <w:rsid w:val="3CCB51E4"/>
    <w:rsid w:val="3D145A96"/>
    <w:rsid w:val="3D167A38"/>
    <w:rsid w:val="3D485717"/>
    <w:rsid w:val="3D5C2C79"/>
    <w:rsid w:val="3D5D2D84"/>
    <w:rsid w:val="3D820C29"/>
    <w:rsid w:val="3D9A384D"/>
    <w:rsid w:val="3DB05041"/>
    <w:rsid w:val="3E940B72"/>
    <w:rsid w:val="3EA82911"/>
    <w:rsid w:val="3EF618CF"/>
    <w:rsid w:val="3F0D4E6A"/>
    <w:rsid w:val="3F235CAB"/>
    <w:rsid w:val="3F4826BB"/>
    <w:rsid w:val="3F4E4D6C"/>
    <w:rsid w:val="3F834468"/>
    <w:rsid w:val="3F9B1F81"/>
    <w:rsid w:val="3FA52DF7"/>
    <w:rsid w:val="3FF335F9"/>
    <w:rsid w:val="40076ED1"/>
    <w:rsid w:val="403B6471"/>
    <w:rsid w:val="40401D76"/>
    <w:rsid w:val="404C3770"/>
    <w:rsid w:val="404E592A"/>
    <w:rsid w:val="40890521"/>
    <w:rsid w:val="40DA0D7C"/>
    <w:rsid w:val="40DF43E2"/>
    <w:rsid w:val="40E0575B"/>
    <w:rsid w:val="412E6834"/>
    <w:rsid w:val="414552C9"/>
    <w:rsid w:val="415648A7"/>
    <w:rsid w:val="4182744A"/>
    <w:rsid w:val="418F1622"/>
    <w:rsid w:val="41D215D3"/>
    <w:rsid w:val="41F8595E"/>
    <w:rsid w:val="41FC13E0"/>
    <w:rsid w:val="421F3146"/>
    <w:rsid w:val="42426BD9"/>
    <w:rsid w:val="426A0E02"/>
    <w:rsid w:val="42E422B8"/>
    <w:rsid w:val="431351C7"/>
    <w:rsid w:val="433E3844"/>
    <w:rsid w:val="43513AA8"/>
    <w:rsid w:val="438609FB"/>
    <w:rsid w:val="4387343D"/>
    <w:rsid w:val="438F49ED"/>
    <w:rsid w:val="44297E31"/>
    <w:rsid w:val="448F0B45"/>
    <w:rsid w:val="44A973E3"/>
    <w:rsid w:val="44D00A48"/>
    <w:rsid w:val="44FF5223"/>
    <w:rsid w:val="451458F7"/>
    <w:rsid w:val="452B7DF8"/>
    <w:rsid w:val="453E7B2C"/>
    <w:rsid w:val="454B7C9F"/>
    <w:rsid w:val="45ED68FD"/>
    <w:rsid w:val="45F03CF3"/>
    <w:rsid w:val="45FF4E0C"/>
    <w:rsid w:val="46406C9A"/>
    <w:rsid w:val="46EC2FAB"/>
    <w:rsid w:val="473166A4"/>
    <w:rsid w:val="473C009B"/>
    <w:rsid w:val="47615D53"/>
    <w:rsid w:val="476842A4"/>
    <w:rsid w:val="476B5B97"/>
    <w:rsid w:val="47AB17F6"/>
    <w:rsid w:val="47C5528A"/>
    <w:rsid w:val="47E437A7"/>
    <w:rsid w:val="480037BE"/>
    <w:rsid w:val="483A557C"/>
    <w:rsid w:val="485E0100"/>
    <w:rsid w:val="48C8082C"/>
    <w:rsid w:val="490276DB"/>
    <w:rsid w:val="49120556"/>
    <w:rsid w:val="49357497"/>
    <w:rsid w:val="49437E06"/>
    <w:rsid w:val="4981092F"/>
    <w:rsid w:val="49AC177A"/>
    <w:rsid w:val="49C16F7D"/>
    <w:rsid w:val="49D071C0"/>
    <w:rsid w:val="49D820D4"/>
    <w:rsid w:val="4A0E2C84"/>
    <w:rsid w:val="4A3634C7"/>
    <w:rsid w:val="4A6D2F7F"/>
    <w:rsid w:val="4A802994"/>
    <w:rsid w:val="4A851D59"/>
    <w:rsid w:val="4A8F749F"/>
    <w:rsid w:val="4A9406C5"/>
    <w:rsid w:val="4A9619E0"/>
    <w:rsid w:val="4A9C15B5"/>
    <w:rsid w:val="4AB36025"/>
    <w:rsid w:val="4B814C16"/>
    <w:rsid w:val="4B9835DC"/>
    <w:rsid w:val="4BB16B1F"/>
    <w:rsid w:val="4BE241D4"/>
    <w:rsid w:val="4BFD2E2D"/>
    <w:rsid w:val="4C2C1BC9"/>
    <w:rsid w:val="4C3E4383"/>
    <w:rsid w:val="4C4A0899"/>
    <w:rsid w:val="4C6E50DF"/>
    <w:rsid w:val="4C8A549B"/>
    <w:rsid w:val="4C8D1398"/>
    <w:rsid w:val="4C8F2CCD"/>
    <w:rsid w:val="4CD564D9"/>
    <w:rsid w:val="4CF31DCB"/>
    <w:rsid w:val="4D2F1E91"/>
    <w:rsid w:val="4D3062B4"/>
    <w:rsid w:val="4D333CEE"/>
    <w:rsid w:val="4D343C95"/>
    <w:rsid w:val="4D386DDA"/>
    <w:rsid w:val="4D6C7C92"/>
    <w:rsid w:val="4DB52C4D"/>
    <w:rsid w:val="4DBF44B5"/>
    <w:rsid w:val="4DCA5DBC"/>
    <w:rsid w:val="4DF94E97"/>
    <w:rsid w:val="4E1315AB"/>
    <w:rsid w:val="4E2D3D92"/>
    <w:rsid w:val="4E595343"/>
    <w:rsid w:val="4E694364"/>
    <w:rsid w:val="4E8B5346"/>
    <w:rsid w:val="4EDD03B5"/>
    <w:rsid w:val="4EE02FF7"/>
    <w:rsid w:val="4EF456FF"/>
    <w:rsid w:val="4EFA709E"/>
    <w:rsid w:val="4F054AC8"/>
    <w:rsid w:val="4F7F146C"/>
    <w:rsid w:val="4F8540B8"/>
    <w:rsid w:val="4FB37760"/>
    <w:rsid w:val="4FED4628"/>
    <w:rsid w:val="4FF547D3"/>
    <w:rsid w:val="502A0F19"/>
    <w:rsid w:val="503E4E84"/>
    <w:rsid w:val="5047478D"/>
    <w:rsid w:val="50C13F7A"/>
    <w:rsid w:val="50F42CB9"/>
    <w:rsid w:val="510065DD"/>
    <w:rsid w:val="511E6A63"/>
    <w:rsid w:val="51705511"/>
    <w:rsid w:val="517F7502"/>
    <w:rsid w:val="52107BED"/>
    <w:rsid w:val="521F0CE5"/>
    <w:rsid w:val="5277545C"/>
    <w:rsid w:val="5289206C"/>
    <w:rsid w:val="52CB49C9"/>
    <w:rsid w:val="532173B6"/>
    <w:rsid w:val="53366ABF"/>
    <w:rsid w:val="536304CA"/>
    <w:rsid w:val="53792861"/>
    <w:rsid w:val="539614EC"/>
    <w:rsid w:val="539F3E8B"/>
    <w:rsid w:val="53A001AC"/>
    <w:rsid w:val="53C119F3"/>
    <w:rsid w:val="53CA75D7"/>
    <w:rsid w:val="5403101B"/>
    <w:rsid w:val="540C7047"/>
    <w:rsid w:val="540E7263"/>
    <w:rsid w:val="54372316"/>
    <w:rsid w:val="5455279C"/>
    <w:rsid w:val="54667B16"/>
    <w:rsid w:val="54694499"/>
    <w:rsid w:val="54A71FE6"/>
    <w:rsid w:val="54DE6C35"/>
    <w:rsid w:val="54F678ED"/>
    <w:rsid w:val="550F676E"/>
    <w:rsid w:val="552A00CC"/>
    <w:rsid w:val="553F5B7D"/>
    <w:rsid w:val="55592760"/>
    <w:rsid w:val="555D4C24"/>
    <w:rsid w:val="55805F3E"/>
    <w:rsid w:val="559B73AE"/>
    <w:rsid w:val="55A169B1"/>
    <w:rsid w:val="55ED29C8"/>
    <w:rsid w:val="565841FF"/>
    <w:rsid w:val="565D2714"/>
    <w:rsid w:val="56963AB1"/>
    <w:rsid w:val="569F23F4"/>
    <w:rsid w:val="56A64A71"/>
    <w:rsid w:val="56B24AA2"/>
    <w:rsid w:val="56C22271"/>
    <w:rsid w:val="56C268A5"/>
    <w:rsid w:val="56E13BB7"/>
    <w:rsid w:val="57016C0B"/>
    <w:rsid w:val="571903F8"/>
    <w:rsid w:val="57CA5A63"/>
    <w:rsid w:val="586E702A"/>
    <w:rsid w:val="58F34A31"/>
    <w:rsid w:val="59123351"/>
    <w:rsid w:val="59497B72"/>
    <w:rsid w:val="59920011"/>
    <w:rsid w:val="599C0E6D"/>
    <w:rsid w:val="59B01600"/>
    <w:rsid w:val="5A5D3366"/>
    <w:rsid w:val="5A9164F8"/>
    <w:rsid w:val="5ACD050F"/>
    <w:rsid w:val="5B247781"/>
    <w:rsid w:val="5B4F3E5B"/>
    <w:rsid w:val="5B5C0EA9"/>
    <w:rsid w:val="5BBE00A5"/>
    <w:rsid w:val="5BBF0F6C"/>
    <w:rsid w:val="5BC57EA5"/>
    <w:rsid w:val="5BEF6DBE"/>
    <w:rsid w:val="5C755687"/>
    <w:rsid w:val="5CBA61D4"/>
    <w:rsid w:val="5D0A60D4"/>
    <w:rsid w:val="5D100CCD"/>
    <w:rsid w:val="5D184D0C"/>
    <w:rsid w:val="5D2241E6"/>
    <w:rsid w:val="5D512CA0"/>
    <w:rsid w:val="5D5C574C"/>
    <w:rsid w:val="5D7B05F6"/>
    <w:rsid w:val="5E0D673C"/>
    <w:rsid w:val="5E224037"/>
    <w:rsid w:val="5E2F22B0"/>
    <w:rsid w:val="5E3A71DF"/>
    <w:rsid w:val="5E563EAE"/>
    <w:rsid w:val="5E680C22"/>
    <w:rsid w:val="5E92704F"/>
    <w:rsid w:val="5EC97FBF"/>
    <w:rsid w:val="5EE8247D"/>
    <w:rsid w:val="5EEA0A39"/>
    <w:rsid w:val="5F1714CA"/>
    <w:rsid w:val="5F1B65D5"/>
    <w:rsid w:val="5F870BD6"/>
    <w:rsid w:val="5FC12C9F"/>
    <w:rsid w:val="5FCD3B2E"/>
    <w:rsid w:val="5FD01870"/>
    <w:rsid w:val="5FD2383A"/>
    <w:rsid w:val="607E12CC"/>
    <w:rsid w:val="615E35D8"/>
    <w:rsid w:val="61835EAD"/>
    <w:rsid w:val="61B754A5"/>
    <w:rsid w:val="61E57855"/>
    <w:rsid w:val="622312D4"/>
    <w:rsid w:val="623B764F"/>
    <w:rsid w:val="6252656D"/>
    <w:rsid w:val="62677B49"/>
    <w:rsid w:val="62976675"/>
    <w:rsid w:val="62D90A3C"/>
    <w:rsid w:val="63360CCB"/>
    <w:rsid w:val="633A340B"/>
    <w:rsid w:val="63461C22"/>
    <w:rsid w:val="6351605F"/>
    <w:rsid w:val="63B3128D"/>
    <w:rsid w:val="63CB6D5F"/>
    <w:rsid w:val="63D25BB7"/>
    <w:rsid w:val="63DB5477"/>
    <w:rsid w:val="63E87188"/>
    <w:rsid w:val="63F21DB5"/>
    <w:rsid w:val="63F55D49"/>
    <w:rsid w:val="64040E83"/>
    <w:rsid w:val="64085A7D"/>
    <w:rsid w:val="642D54E3"/>
    <w:rsid w:val="642F3386"/>
    <w:rsid w:val="64582E61"/>
    <w:rsid w:val="64CD4FD6"/>
    <w:rsid w:val="64D86B32"/>
    <w:rsid w:val="64DB311C"/>
    <w:rsid w:val="64F817DC"/>
    <w:rsid w:val="653C7F1C"/>
    <w:rsid w:val="655F0592"/>
    <w:rsid w:val="659F2967"/>
    <w:rsid w:val="65A06985"/>
    <w:rsid w:val="65AE1477"/>
    <w:rsid w:val="65D8322D"/>
    <w:rsid w:val="65D86E43"/>
    <w:rsid w:val="65F8742B"/>
    <w:rsid w:val="6605242B"/>
    <w:rsid w:val="663C0B35"/>
    <w:rsid w:val="665A00E6"/>
    <w:rsid w:val="667F6F56"/>
    <w:rsid w:val="668A09CB"/>
    <w:rsid w:val="66B612EF"/>
    <w:rsid w:val="66E655E9"/>
    <w:rsid w:val="66EA1609"/>
    <w:rsid w:val="67151F7C"/>
    <w:rsid w:val="674F607D"/>
    <w:rsid w:val="6781797A"/>
    <w:rsid w:val="67D8681C"/>
    <w:rsid w:val="67F707DA"/>
    <w:rsid w:val="683647DF"/>
    <w:rsid w:val="684E5A28"/>
    <w:rsid w:val="6865349E"/>
    <w:rsid w:val="687E630D"/>
    <w:rsid w:val="688F051A"/>
    <w:rsid w:val="698A6A2B"/>
    <w:rsid w:val="69A166C7"/>
    <w:rsid w:val="69AA174A"/>
    <w:rsid w:val="69C70FF1"/>
    <w:rsid w:val="69DB11A3"/>
    <w:rsid w:val="6A413A96"/>
    <w:rsid w:val="6A9D3524"/>
    <w:rsid w:val="6AB54623"/>
    <w:rsid w:val="6B040620"/>
    <w:rsid w:val="6B215608"/>
    <w:rsid w:val="6B3E7FD6"/>
    <w:rsid w:val="6B6D1DD7"/>
    <w:rsid w:val="6BAD60C8"/>
    <w:rsid w:val="6BBD463B"/>
    <w:rsid w:val="6BC279DA"/>
    <w:rsid w:val="6C177ABD"/>
    <w:rsid w:val="6C321281"/>
    <w:rsid w:val="6C6625A7"/>
    <w:rsid w:val="6C68258B"/>
    <w:rsid w:val="6C77379F"/>
    <w:rsid w:val="6C9003BD"/>
    <w:rsid w:val="6CCE55B8"/>
    <w:rsid w:val="6CD52274"/>
    <w:rsid w:val="6D5A33FF"/>
    <w:rsid w:val="6D9C3EE8"/>
    <w:rsid w:val="6DE83B08"/>
    <w:rsid w:val="6EF70BC7"/>
    <w:rsid w:val="6F4638FD"/>
    <w:rsid w:val="6F5B1C4E"/>
    <w:rsid w:val="6F656188"/>
    <w:rsid w:val="6F6873CF"/>
    <w:rsid w:val="6F8108C7"/>
    <w:rsid w:val="6F8E2F5C"/>
    <w:rsid w:val="6FA41573"/>
    <w:rsid w:val="6FD04172"/>
    <w:rsid w:val="6FD26F3F"/>
    <w:rsid w:val="6FDE7692"/>
    <w:rsid w:val="6FF15617"/>
    <w:rsid w:val="701734E8"/>
    <w:rsid w:val="7064401B"/>
    <w:rsid w:val="71184E25"/>
    <w:rsid w:val="71594133"/>
    <w:rsid w:val="7161057A"/>
    <w:rsid w:val="71665B90"/>
    <w:rsid w:val="71A6695F"/>
    <w:rsid w:val="71DC40A5"/>
    <w:rsid w:val="720A0BA5"/>
    <w:rsid w:val="7216013B"/>
    <w:rsid w:val="72425336"/>
    <w:rsid w:val="724F4877"/>
    <w:rsid w:val="72A2006A"/>
    <w:rsid w:val="73025627"/>
    <w:rsid w:val="73545B69"/>
    <w:rsid w:val="73903399"/>
    <w:rsid w:val="739F1E10"/>
    <w:rsid w:val="73DA0F83"/>
    <w:rsid w:val="73E00220"/>
    <w:rsid w:val="74424693"/>
    <w:rsid w:val="744D3038"/>
    <w:rsid w:val="745033C1"/>
    <w:rsid w:val="7468390B"/>
    <w:rsid w:val="74AA048A"/>
    <w:rsid w:val="74AC205D"/>
    <w:rsid w:val="74AC4202"/>
    <w:rsid w:val="74F6722B"/>
    <w:rsid w:val="74FD4A5E"/>
    <w:rsid w:val="75183646"/>
    <w:rsid w:val="75915EA6"/>
    <w:rsid w:val="76261D92"/>
    <w:rsid w:val="7667672B"/>
    <w:rsid w:val="76915ECF"/>
    <w:rsid w:val="76A2766B"/>
    <w:rsid w:val="76ED7D74"/>
    <w:rsid w:val="76F97940"/>
    <w:rsid w:val="770B3462"/>
    <w:rsid w:val="7717695B"/>
    <w:rsid w:val="77204A5C"/>
    <w:rsid w:val="77471FC0"/>
    <w:rsid w:val="776112D4"/>
    <w:rsid w:val="77735719"/>
    <w:rsid w:val="777F548B"/>
    <w:rsid w:val="779571D0"/>
    <w:rsid w:val="779C40BA"/>
    <w:rsid w:val="77F55155"/>
    <w:rsid w:val="786A3C58"/>
    <w:rsid w:val="789369A9"/>
    <w:rsid w:val="78B6564F"/>
    <w:rsid w:val="790528DD"/>
    <w:rsid w:val="7949747E"/>
    <w:rsid w:val="795124C5"/>
    <w:rsid w:val="79813CCC"/>
    <w:rsid w:val="7A011353"/>
    <w:rsid w:val="7A33329F"/>
    <w:rsid w:val="7A3813E5"/>
    <w:rsid w:val="7A4A3A43"/>
    <w:rsid w:val="7A523156"/>
    <w:rsid w:val="7A5E5F9F"/>
    <w:rsid w:val="7A85352B"/>
    <w:rsid w:val="7A861778"/>
    <w:rsid w:val="7AA36941"/>
    <w:rsid w:val="7AC53928"/>
    <w:rsid w:val="7AC85215"/>
    <w:rsid w:val="7AE617A5"/>
    <w:rsid w:val="7B4C3F82"/>
    <w:rsid w:val="7B503669"/>
    <w:rsid w:val="7B6E6AE7"/>
    <w:rsid w:val="7B7A6E08"/>
    <w:rsid w:val="7B816208"/>
    <w:rsid w:val="7B8F77C6"/>
    <w:rsid w:val="7BA03720"/>
    <w:rsid w:val="7BAA061D"/>
    <w:rsid w:val="7BE2158C"/>
    <w:rsid w:val="7BF2699E"/>
    <w:rsid w:val="7BFA3AA5"/>
    <w:rsid w:val="7C1E01E7"/>
    <w:rsid w:val="7C7C71B9"/>
    <w:rsid w:val="7CA85E3F"/>
    <w:rsid w:val="7CFC56CF"/>
    <w:rsid w:val="7D111226"/>
    <w:rsid w:val="7D9730DF"/>
    <w:rsid w:val="7E1130A4"/>
    <w:rsid w:val="7E1352F2"/>
    <w:rsid w:val="7E385580"/>
    <w:rsid w:val="7E6B6EDC"/>
    <w:rsid w:val="7E992F7F"/>
    <w:rsid w:val="7EAF6879"/>
    <w:rsid w:val="7EB80F2D"/>
    <w:rsid w:val="7EBB576E"/>
    <w:rsid w:val="7ED3780E"/>
    <w:rsid w:val="7F4D4165"/>
    <w:rsid w:val="7F565496"/>
    <w:rsid w:val="7F637EFE"/>
    <w:rsid w:val="7F8813C8"/>
    <w:rsid w:val="7F8E04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nhideWhenUsed="0"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4"/>
      <w:szCs w:val="22"/>
      <w:lang w:val="en-US" w:eastAsia="zh-CN" w:bidi="ar-SA"/>
    </w:rPr>
  </w:style>
  <w:style w:type="paragraph" w:styleId="2">
    <w:name w:val="heading 1"/>
    <w:basedOn w:val="1"/>
    <w:next w:val="1"/>
    <w:link w:val="29"/>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3">
    <w:name w:val="heading 2"/>
    <w:basedOn w:val="1"/>
    <w:next w:val="4"/>
    <w:link w:val="30"/>
    <w:unhideWhenUsed/>
    <w:qFormat/>
    <w:uiPriority w:val="0"/>
    <w:pPr>
      <w:keepNext/>
      <w:keepLines/>
      <w:spacing w:before="260" w:after="260" w:line="413" w:lineRule="auto"/>
      <w:outlineLvl w:val="1"/>
    </w:pPr>
    <w:rPr>
      <w:rFonts w:ascii="Arial" w:hAnsi="Arial" w:eastAsia="黑体"/>
      <w:b/>
      <w:bCs/>
      <w:kern w:val="0"/>
      <w:sz w:val="32"/>
      <w:szCs w:val="32"/>
      <w:lang w:val="zh-CN"/>
    </w:rPr>
  </w:style>
  <w:style w:type="paragraph" w:styleId="5">
    <w:name w:val="heading 3"/>
    <w:basedOn w:val="1"/>
    <w:next w:val="1"/>
    <w:qFormat/>
    <w:uiPriority w:val="0"/>
    <w:pPr>
      <w:keepNext/>
      <w:autoSpaceDE w:val="0"/>
      <w:autoSpaceDN w:val="0"/>
      <w:adjustRightInd w:val="0"/>
      <w:spacing w:line="320" w:lineRule="exact"/>
      <w:outlineLvl w:val="2"/>
    </w:pPr>
    <w:rPr>
      <w:rFonts w:ascii="楷体_GB2312" w:eastAsia="楷体_GB2312"/>
      <w:kern w:val="0"/>
      <w:sz w:val="32"/>
      <w:szCs w:val="32"/>
    </w:rPr>
  </w:style>
  <w:style w:type="paragraph" w:styleId="6">
    <w:name w:val="heading 7"/>
    <w:basedOn w:val="1"/>
    <w:next w:val="1"/>
    <w:qFormat/>
    <w:uiPriority w:val="0"/>
    <w:pPr>
      <w:keepNext/>
      <w:keepLines/>
      <w:spacing w:before="240" w:beforeLines="0" w:after="64" w:afterLines="0" w:line="320" w:lineRule="auto"/>
      <w:outlineLvl w:val="6"/>
    </w:pPr>
    <w:rPr>
      <w:b/>
      <w:bCs/>
      <w:sz w:val="24"/>
      <w:szCs w:val="24"/>
    </w:rPr>
  </w:style>
  <w:style w:type="character" w:default="1" w:styleId="25">
    <w:name w:val="Default Paragraph Font"/>
    <w:semiHidden/>
    <w:qFormat/>
    <w:uiPriority w:val="0"/>
  </w:style>
  <w:style w:type="table" w:default="1" w:styleId="23">
    <w:name w:val="Normal Table"/>
    <w:semiHidden/>
    <w:qFormat/>
    <w:uiPriority w:val="0"/>
    <w:tblPr>
      <w:tblStyle w:val="23"/>
      <w:tblCellMar>
        <w:top w:w="0" w:type="dxa"/>
        <w:left w:w="108" w:type="dxa"/>
        <w:bottom w:w="0" w:type="dxa"/>
        <w:right w:w="108" w:type="dxa"/>
      </w:tblCellMar>
    </w:tblPr>
  </w:style>
  <w:style w:type="paragraph" w:styleId="4">
    <w:name w:val="Normal Indent"/>
    <w:basedOn w:val="1"/>
    <w:qFormat/>
    <w:uiPriority w:val="0"/>
    <w:pPr>
      <w:spacing w:line="300" w:lineRule="auto"/>
      <w:ind w:firstLine="200" w:firstLineChars="200"/>
    </w:pPr>
    <w:rPr>
      <w:rFonts w:ascii="Times New Roman" w:hAnsi="Times New Roman"/>
      <w:sz w:val="21"/>
      <w:szCs w:val="24"/>
    </w:rPr>
  </w:style>
  <w:style w:type="paragraph" w:styleId="7">
    <w:name w:val="annotation text"/>
    <w:basedOn w:val="1"/>
    <w:qFormat/>
    <w:uiPriority w:val="0"/>
    <w:pPr>
      <w:jc w:val="left"/>
    </w:pPr>
  </w:style>
  <w:style w:type="paragraph" w:styleId="8">
    <w:name w:val="Body Text 3"/>
    <w:basedOn w:val="1"/>
    <w:uiPriority w:val="0"/>
    <w:pPr>
      <w:widowControl/>
      <w:ind w:right="-108"/>
    </w:pPr>
    <w:rPr>
      <w:b/>
      <w:sz w:val="24"/>
    </w:rPr>
  </w:style>
  <w:style w:type="paragraph" w:styleId="9">
    <w:name w:val="Body Text"/>
    <w:basedOn w:val="1"/>
    <w:next w:val="1"/>
    <w:qFormat/>
    <w:uiPriority w:val="0"/>
  </w:style>
  <w:style w:type="paragraph" w:styleId="10">
    <w:name w:val="Body Text Indent"/>
    <w:basedOn w:val="1"/>
    <w:next w:val="1"/>
    <w:unhideWhenUsed/>
    <w:qFormat/>
    <w:uiPriority w:val="0"/>
    <w:pPr>
      <w:spacing w:after="120"/>
      <w:ind w:left="420" w:leftChars="200"/>
    </w:pPr>
  </w:style>
  <w:style w:type="paragraph" w:styleId="11">
    <w:name w:val="Block Text"/>
    <w:basedOn w:val="1"/>
    <w:qFormat/>
    <w:uiPriority w:val="0"/>
    <w:pPr>
      <w:spacing w:after="120"/>
      <w:ind w:left="1440" w:leftChars="700" w:right="1440" w:rightChars="700"/>
    </w:pPr>
  </w:style>
  <w:style w:type="paragraph" w:styleId="12">
    <w:name w:val="Plain Text"/>
    <w:basedOn w:val="1"/>
    <w:qFormat/>
    <w:uiPriority w:val="0"/>
    <w:rPr>
      <w:rFonts w:ascii="宋体" w:hAnsi="Courier New" w:cs="Courier New"/>
      <w:szCs w:val="21"/>
    </w:rPr>
  </w:style>
  <w:style w:type="paragraph" w:styleId="13">
    <w:name w:val="Body Text Indent 2"/>
    <w:basedOn w:val="1"/>
    <w:qFormat/>
    <w:uiPriority w:val="0"/>
    <w:pPr>
      <w:ind w:firstLine="630"/>
      <w:jc w:val="left"/>
    </w:pPr>
    <w:rPr>
      <w:rFonts w:ascii="黑体" w:hAnsi="宋体" w:eastAsia="黑体"/>
      <w:sz w:val="52"/>
    </w:rPr>
  </w:style>
  <w:style w:type="paragraph" w:styleId="14">
    <w:name w:val="footer"/>
    <w:basedOn w:val="1"/>
    <w:qFormat/>
    <w:uiPriority w:val="0"/>
    <w:pPr>
      <w:tabs>
        <w:tab w:val="center" w:pos="4153"/>
        <w:tab w:val="right" w:pos="8306"/>
      </w:tabs>
      <w:snapToGrid w:val="0"/>
      <w:jc w:val="left"/>
    </w:pPr>
    <w:rPr>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spacing w:before="120" w:after="120"/>
      <w:jc w:val="left"/>
    </w:pPr>
    <w:rPr>
      <w:b/>
      <w:bCs/>
      <w:caps/>
      <w:sz w:val="20"/>
    </w:rPr>
  </w:style>
  <w:style w:type="paragraph" w:styleId="17">
    <w:name w:val="Subtitle"/>
    <w:basedOn w:val="1"/>
    <w:next w:val="1"/>
    <w:qFormat/>
    <w:uiPriority w:val="0"/>
    <w:pPr>
      <w:numPr>
        <w:ilvl w:val="2"/>
        <w:numId w:val="1"/>
      </w:numPr>
      <w:spacing w:line="300" w:lineRule="auto"/>
      <w:jc w:val="left"/>
      <w:outlineLvl w:val="1"/>
    </w:pPr>
    <w:rPr>
      <w:rFonts w:ascii="宋体" w:hAnsi="宋体"/>
      <w:bCs/>
      <w:kern w:val="28"/>
    </w:rPr>
  </w:style>
  <w:style w:type="paragraph" w:styleId="18">
    <w:name w:val="table of figures"/>
    <w:basedOn w:val="1"/>
    <w:next w:val="1"/>
    <w:unhideWhenUsed/>
    <w:qFormat/>
    <w:uiPriority w:val="99"/>
    <w:pPr>
      <w:ind w:left="200" w:leftChars="200" w:hanging="200" w:hangingChars="200"/>
    </w:pPr>
  </w:style>
  <w:style w:type="paragraph" w:styleId="19">
    <w:name w:val="HTML Preformatted"/>
    <w:basedOn w:val="1"/>
    <w:qFormat/>
    <w:uiPriority w:val="0"/>
    <w:rPr>
      <w:rFonts w:ascii="Courier New" w:hAnsi="Courier New"/>
      <w:sz w:val="20"/>
    </w:rPr>
  </w:style>
  <w:style w:type="paragraph" w:styleId="20">
    <w:name w:val="Normal (Web)"/>
    <w:basedOn w:val="1"/>
    <w:qFormat/>
    <w:uiPriority w:val="0"/>
    <w:rPr>
      <w:szCs w:val="24"/>
    </w:rPr>
  </w:style>
  <w:style w:type="paragraph" w:styleId="21">
    <w:name w:val="Body Text First Indent"/>
    <w:basedOn w:val="9"/>
    <w:next w:val="22"/>
    <w:unhideWhenUsed/>
    <w:qFormat/>
    <w:uiPriority w:val="99"/>
    <w:pPr>
      <w:ind w:firstLine="420" w:firstLineChars="100"/>
    </w:pPr>
    <w:rPr>
      <w:rFonts w:ascii="Times New Roman" w:hAnsi="Times New Roman"/>
      <w:sz w:val="18"/>
      <w:szCs w:val="18"/>
    </w:rPr>
  </w:style>
  <w:style w:type="paragraph" w:styleId="22">
    <w:name w:val="Body Text First Indent 2"/>
    <w:basedOn w:val="10"/>
    <w:next w:val="1"/>
    <w:unhideWhenUsed/>
    <w:qFormat/>
    <w:uiPriority w:val="0"/>
    <w:pPr>
      <w:ind w:firstLine="420"/>
    </w:pPr>
  </w:style>
  <w:style w:type="table" w:styleId="24">
    <w:name w:val="Table Grid"/>
    <w:basedOn w:val="23"/>
    <w:qFormat/>
    <w:uiPriority w:val="59"/>
    <w:tblPr>
      <w:tblStyle w:val="23"/>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0"/>
    <w:rPr>
      <w:b/>
      <w:bCs/>
    </w:rPr>
  </w:style>
  <w:style w:type="character" w:styleId="27">
    <w:name w:val="page number"/>
    <w:basedOn w:val="25"/>
    <w:qFormat/>
    <w:uiPriority w:val="0"/>
  </w:style>
  <w:style w:type="character" w:styleId="28">
    <w:name w:val="Hyperlink"/>
    <w:basedOn w:val="25"/>
    <w:uiPriority w:val="0"/>
    <w:rPr>
      <w:color w:val="0000FF"/>
      <w:u w:val="single"/>
    </w:rPr>
  </w:style>
  <w:style w:type="character" w:customStyle="1" w:styleId="29">
    <w:name w:val="标题 1 Char"/>
    <w:link w:val="2"/>
    <w:qFormat/>
    <w:uiPriority w:val="0"/>
    <w:rPr>
      <w:rFonts w:hint="eastAsia" w:ascii="宋体" w:hAnsi="宋体" w:eastAsia="宋体" w:cs="宋体"/>
      <w:b/>
      <w:bCs/>
      <w:kern w:val="44"/>
      <w:sz w:val="48"/>
      <w:szCs w:val="48"/>
      <w:lang w:val="en-US" w:eastAsia="zh-CN" w:bidi="ar"/>
    </w:rPr>
  </w:style>
  <w:style w:type="character" w:customStyle="1" w:styleId="30">
    <w:name w:val="标题 2 Char"/>
    <w:link w:val="3"/>
    <w:uiPriority w:val="0"/>
    <w:rPr>
      <w:rFonts w:ascii="Arial" w:hAnsi="Arial" w:eastAsia="黑体"/>
      <w:b/>
      <w:bCs/>
      <w:kern w:val="0"/>
      <w:sz w:val="32"/>
      <w:szCs w:val="32"/>
      <w:lang w:val="zh-CN"/>
    </w:rPr>
  </w:style>
  <w:style w:type="character" w:customStyle="1" w:styleId="31">
    <w:name w:val="NormalCharacter"/>
    <w:link w:val="32"/>
    <w:semiHidden/>
    <w:qFormat/>
    <w:uiPriority w:val="0"/>
    <w:rPr>
      <w:rFonts w:ascii="宋体" w:hAnsi="宋体"/>
      <w:szCs w:val="20"/>
    </w:rPr>
  </w:style>
  <w:style w:type="paragraph" w:customStyle="1" w:styleId="32">
    <w:name w:val="UserStyle_64"/>
    <w:basedOn w:val="1"/>
    <w:link w:val="31"/>
    <w:qFormat/>
    <w:uiPriority w:val="0"/>
    <w:pPr>
      <w:widowControl/>
      <w:spacing w:line="240" w:lineRule="auto"/>
      <w:textAlignment w:val="baseline"/>
    </w:pPr>
    <w:rPr>
      <w:rFonts w:ascii="宋体" w:hAnsi="宋体"/>
      <w:szCs w:val="20"/>
    </w:rPr>
  </w:style>
  <w:style w:type="paragraph" w:customStyle="1" w:styleId="33">
    <w:name w:val="样式 首行缩进:  2 字符"/>
    <w:basedOn w:val="1"/>
    <w:qFormat/>
    <w:uiPriority w:val="0"/>
    <w:pPr>
      <w:spacing w:line="400" w:lineRule="exact"/>
      <w:ind w:firstLine="200" w:firstLineChars="200"/>
    </w:pPr>
    <w:rPr>
      <w:rFonts w:cs="宋体"/>
      <w:sz w:val="24"/>
    </w:rPr>
  </w:style>
  <w:style w:type="paragraph" w:customStyle="1" w:styleId="34">
    <w:name w:val="无间隔1"/>
    <w:qFormat/>
    <w:uiPriority w:val="0"/>
    <w:pPr>
      <w:widowControl w:val="0"/>
      <w:jc w:val="both"/>
    </w:pPr>
    <w:rPr>
      <w:rFonts w:ascii="Calibri" w:hAnsi="Calibri" w:eastAsia="宋体" w:cs="Arial"/>
      <w:kern w:val="2"/>
      <w:sz w:val="21"/>
      <w:szCs w:val="22"/>
      <w:lang w:val="en-US" w:eastAsia="zh-CN" w:bidi="ar-SA"/>
    </w:rPr>
  </w:style>
  <w:style w:type="paragraph" w:customStyle="1" w:styleId="35">
    <w:name w:val="正文缩进1"/>
    <w:qFormat/>
    <w:uiPriority w:val="99"/>
    <w:pPr>
      <w:widowControl w:val="0"/>
      <w:ind w:firstLine="420"/>
      <w:jc w:val="both"/>
    </w:pPr>
    <w:rPr>
      <w:rFonts w:ascii="Times New Roman" w:hAnsi="Times New Roman" w:eastAsia="宋体" w:cs="Times New Roman"/>
      <w:kern w:val="2"/>
      <w:sz w:val="21"/>
      <w:szCs w:val="24"/>
      <w:lang w:val="en-US" w:eastAsia="zh-CN" w:bidi="ar-SA"/>
    </w:rPr>
  </w:style>
  <w:style w:type="paragraph" w:customStyle="1" w:styleId="36">
    <w:name w:val="WPSOffice手动目录 1"/>
    <w:qFormat/>
    <w:uiPriority w:val="0"/>
    <w:pPr>
      <w:ind w:leftChars="0"/>
    </w:pPr>
    <w:rPr>
      <w:rFonts w:ascii="Times New Roman" w:hAnsi="Times New Roman" w:eastAsia="宋体" w:cs="Times New Roman"/>
      <w:sz w:val="20"/>
      <w:szCs w:val="20"/>
    </w:rPr>
  </w:style>
  <w:style w:type="paragraph" w:customStyle="1" w:styleId="37">
    <w:name w:val="title12"/>
    <w:basedOn w:val="1"/>
    <w:qFormat/>
    <w:uiPriority w:val="0"/>
    <w:pPr>
      <w:widowControl/>
      <w:spacing w:before="150" w:line="510" w:lineRule="atLeast"/>
      <w:jc w:val="left"/>
    </w:pPr>
    <w:rPr>
      <w:rFonts w:ascii="宋体" w:eastAsia="宋体" w:cs="宋体"/>
      <w:b/>
      <w:bCs/>
      <w:kern w:val="0"/>
      <w:sz w:val="23"/>
      <w:szCs w:val="23"/>
    </w:rPr>
  </w:style>
  <w:style w:type="paragraph" w:customStyle="1" w:styleId="38">
    <w:name w:val="title14"/>
    <w:basedOn w:val="1"/>
    <w:qFormat/>
    <w:uiPriority w:val="0"/>
    <w:pPr>
      <w:spacing w:before="150" w:beforeAutospacing="0" w:after="0" w:afterAutospacing="0"/>
      <w:ind w:left="0" w:right="0" w:firstLine="0"/>
      <w:jc w:val="left"/>
    </w:pPr>
    <w:rPr>
      <w:b/>
      <w:kern w:val="0"/>
      <w:sz w:val="22"/>
      <w:szCs w:val="22"/>
      <w:lang w:val="en-US" w:eastAsia="zh-CN"/>
    </w:rPr>
  </w:style>
  <w:style w:type="paragraph" w:customStyle="1" w:styleId="39">
    <w:name w:val="普通(网站) Char"/>
    <w:basedOn w:val="1"/>
    <w:qFormat/>
    <w:uiPriority w:val="0"/>
    <w:pPr>
      <w:spacing w:before="100" w:beforeAutospacing="1" w:after="100" w:afterAutospacing="1"/>
      <w:ind w:left="0" w:right="0"/>
      <w:jc w:val="left"/>
    </w:pPr>
    <w:rPr>
      <w:rFonts w:hint="eastAsia" w:ascii="宋体" w:hAnsi="宋体" w:eastAsia="宋体" w:cs="宋体"/>
      <w:kern w:val="0"/>
      <w:sz w:val="24"/>
      <w:szCs w:val="24"/>
      <w:lang w:val="en-US" w:eastAsia="zh-CN" w:bidi="ar"/>
    </w:rPr>
  </w:style>
  <w:style w:type="paragraph" w:customStyle="1" w:styleId="40">
    <w:name w:val="Table Paragraph"/>
    <w:basedOn w:val="1"/>
    <w:qFormat/>
    <w:uiPriority w:val="0"/>
    <w:rPr>
      <w:rFonts w:ascii="宋体" w:eastAsia="宋体" w:cs="宋体"/>
      <w:lang w:val="zh-CN" w:eastAsia="zh-CN" w:bidi="zh-CN"/>
    </w:rPr>
  </w:style>
  <w:style w:type="paragraph" w:customStyle="1" w:styleId="41">
    <w:name w:val="title11"/>
    <w:basedOn w:val="1"/>
    <w:qFormat/>
    <w:uiPriority w:val="0"/>
    <w:pPr>
      <w:spacing w:before="150" w:beforeAutospacing="0" w:after="0" w:afterAutospacing="0" w:line="450" w:lineRule="atLeast"/>
      <w:ind w:left="0" w:right="0"/>
      <w:jc w:val="left"/>
    </w:pPr>
    <w:rPr>
      <w:b/>
      <w:kern w:val="0"/>
      <w:sz w:val="24"/>
      <w:szCs w:val="24"/>
      <w:lang w:val="en-US" w:eastAsia="zh-CN"/>
    </w:rPr>
  </w:style>
  <w:style w:type="paragraph" w:customStyle="1" w:styleId="42">
    <w:name w:val="List Paragraph"/>
    <w:basedOn w:val="1"/>
    <w:qFormat/>
    <w:uiPriority w:val="0"/>
    <w:pPr>
      <w:ind w:firstLine="200" w:firstLineChars="200"/>
    </w:pPr>
    <w:rPr>
      <w:sz w:val="21"/>
    </w:rPr>
  </w:style>
  <w:style w:type="paragraph" w:customStyle="1" w:styleId="43">
    <w:name w:val="首行缩进"/>
    <w:basedOn w:val="1"/>
    <w:qFormat/>
    <w:uiPriority w:val="0"/>
    <w:pPr>
      <w:ind w:firstLine="480" w:firstLineChars="200"/>
    </w:pPr>
    <w:rPr>
      <w:lang w:val="zh-CN"/>
    </w:rPr>
  </w:style>
  <w:style w:type="paragraph" w:customStyle="1" w:styleId="44">
    <w:name w:val="a"/>
    <w:basedOn w:val="1"/>
    <w:qFormat/>
    <w:uiPriority w:val="0"/>
    <w:pPr>
      <w:widowControl/>
      <w:spacing w:before="100" w:beforeAutospacing="1" w:after="100" w:afterAutospacing="1"/>
      <w:jc w:val="left"/>
    </w:pPr>
    <w:rPr>
      <w:rFonts w:ascii="宋体" w:cs="宋体"/>
      <w:kern w:val="0"/>
    </w:rPr>
  </w:style>
  <w:style w:type="paragraph" w:customStyle="1" w:styleId="45">
    <w:name w:val="a0"/>
    <w:basedOn w:val="1"/>
    <w:qFormat/>
    <w:uiPriority w:val="0"/>
    <w:pPr>
      <w:widowControl/>
      <w:spacing w:before="100" w:beforeAutospacing="1" w:after="100" w:afterAutospacing="1"/>
      <w:jc w:val="left"/>
    </w:pPr>
    <w:rPr>
      <w:rFonts w:ascii="宋体" w:cs="宋体"/>
      <w:kern w:val="0"/>
    </w:rPr>
  </w:style>
  <w:style w:type="paragraph" w:customStyle="1" w:styleId="46">
    <w:name w:val="Normal"/>
    <w:basedOn w:val="1"/>
    <w:qFormat/>
    <w:uiPriority w:val="0"/>
    <w:pPr>
      <w:widowControl/>
    </w:pPr>
    <w:rPr>
      <w:szCs w:val="21"/>
    </w:rPr>
  </w:style>
  <w:style w:type="paragraph" w:customStyle="1" w:styleId="47">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48">
    <w:name w:val="HTML Preformatted"/>
    <w:basedOn w:val="1"/>
    <w:qFormat/>
    <w:uiPriority w:val="0"/>
    <w:rPr>
      <w:rFonts w:ascii="Courier New" w:hAnsi="Courier New"/>
      <w:sz w:val="20"/>
    </w:rPr>
  </w:style>
  <w:style w:type="paragraph" w:customStyle="1" w:styleId="49">
    <w:name w:val="目录"/>
    <w:basedOn w:val="1"/>
    <w:qFormat/>
    <w:uiPriority w:val="0"/>
    <w:pPr>
      <w:widowControl/>
      <w:jc w:val="center"/>
    </w:pPr>
    <w:rPr>
      <w:rFonts w:ascii="宋体"/>
      <w:b/>
      <w:kern w:val="0"/>
      <w:sz w:val="36"/>
    </w:rPr>
  </w:style>
  <w:style w:type="paragraph" w:customStyle="1" w:styleId="50">
    <w:name w:val="MessageHeader"/>
    <w:basedOn w:val="1"/>
    <w:next w:val="51"/>
    <w:qFormat/>
    <w:uiPriority w:val="0"/>
    <w:pPr>
      <w:pBdr>
        <w:top w:val="none" w:color="000000" w:sz="0" w:space="1"/>
        <w:left w:val="none" w:color="000000" w:sz="0" w:space="1"/>
        <w:bottom w:val="none" w:color="000000" w:sz="0" w:space="1"/>
        <w:right w:val="none" w:color="000000" w:sz="0" w:space="1"/>
      </w:pBdr>
      <w:snapToGrid w:val="0"/>
      <w:spacing w:line="360" w:lineRule="auto"/>
      <w:jc w:val="both"/>
      <w:textAlignment w:val="baseline"/>
    </w:pPr>
    <w:rPr>
      <w:rFonts w:ascii="Arial" w:hAnsi="Arial"/>
      <w:kern w:val="2"/>
      <w:sz w:val="28"/>
      <w:lang w:val="en-US" w:eastAsia="zh-CN" w:bidi="ar-SA"/>
    </w:rPr>
  </w:style>
  <w:style w:type="paragraph" w:customStyle="1" w:styleId="51">
    <w:name w:val="BodyText"/>
    <w:basedOn w:val="1"/>
    <w:next w:val="1"/>
    <w:qFormat/>
    <w:uiPriority w:val="0"/>
    <w:pPr>
      <w:spacing w:line="240" w:lineRule="auto"/>
      <w:jc w:val="left"/>
      <w:textAlignment w:val="baseline"/>
    </w:pPr>
    <w:rPr>
      <w:rFonts w:ascii="Calibri" w:hAnsi="Calibri" w:eastAsia="宋体"/>
      <w:b/>
      <w:kern w:val="2"/>
      <w:sz w:val="21"/>
      <w:szCs w:val="24"/>
      <w:lang w:val="en-US" w:eastAsia="zh-CN" w:bidi="ar-SA"/>
    </w:rPr>
  </w:style>
  <w:style w:type="paragraph" w:customStyle="1" w:styleId="52">
    <w:name w:val="列出段落1"/>
    <w:basedOn w:val="1"/>
    <w:qFormat/>
    <w:uiPriority w:val="34"/>
    <w:pPr>
      <w:spacing w:line="240" w:lineRule="auto"/>
      <w:ind w:firstLine="420"/>
    </w:pPr>
    <w:rPr>
      <w:rFonts w:ascii="Calibri" w:hAnsi="Calibri" w:eastAsia="宋体" w:cs="Calibri"/>
      <w:sz w:val="21"/>
      <w:szCs w:val="21"/>
    </w:rPr>
  </w:style>
  <w:style w:type="paragraph" w:customStyle="1" w:styleId="53">
    <w:name w:val="UserStyle_184"/>
    <w:basedOn w:val="1"/>
    <w:next w:val="1"/>
    <w:qFormat/>
    <w:uiPriority w:val="0"/>
    <w:pPr>
      <w:jc w:val="center"/>
      <w:textAlignment w:val="baseline"/>
    </w:pPr>
  </w:style>
  <w:style w:type="character" w:customStyle="1" w:styleId="54">
    <w:name w:val="fontstyle01"/>
    <w:basedOn w:val="25"/>
    <w:qFormat/>
    <w:uiPriority w:val="0"/>
    <w:rPr>
      <w:rFonts w:hint="default" w:ascii="仿宋" w:hAnsi="仿宋"/>
      <w:color w:val="000000"/>
      <w:sz w:val="24"/>
      <w:szCs w:val="24"/>
    </w:rPr>
  </w:style>
  <w:style w:type="paragraph" w:customStyle="1" w:styleId="55">
    <w:name w:val="Heading4"/>
    <w:basedOn w:val="1"/>
    <w:next w:val="1"/>
    <w:qFormat/>
    <w:uiPriority w:val="0"/>
    <w:pPr>
      <w:keepNext/>
      <w:jc w:val="both"/>
      <w:textAlignment w:val="baseline"/>
    </w:pPr>
    <w:rPr>
      <w:color w:val="FF0000"/>
      <w:kern w:val="2"/>
      <w:sz w:val="28"/>
      <w:u w:val="single"/>
      <w:lang w:val="en-US" w:eastAsia="zh-CN" w:bidi="ar-SA"/>
    </w:rPr>
  </w:style>
  <w:style w:type="paragraph" w:customStyle="1" w:styleId="56">
    <w:name w:val="WPSOffice手动目录 2"/>
    <w:uiPriority w:val="0"/>
    <w:pPr>
      <w:ind w:leftChars="200"/>
    </w:pPr>
    <w:rPr>
      <w:sz w:val="20"/>
      <w:szCs w:val="20"/>
    </w:rPr>
  </w:style>
  <w:style w:type="paragraph" w:customStyle="1" w:styleId="57">
    <w:name w:val="正文文本 31"/>
    <w:basedOn w:val="1"/>
    <w:qFormat/>
    <w:uiPriority w:val="0"/>
    <w:rPr>
      <w:rFonts w:ascii="宋体"/>
      <w:sz w:val="24"/>
      <w:szCs w:val="20"/>
    </w:rPr>
  </w:style>
  <w:style w:type="paragraph" w:customStyle="1" w:styleId="58">
    <w:name w:val="段"/>
    <w:next w:val="1"/>
    <w:unhideWhenUsed/>
    <w:qFormat/>
    <w:uiPriority w:val="0"/>
    <w:pPr>
      <w:autoSpaceDE w:val="0"/>
      <w:autoSpaceDN w:val="0"/>
      <w:spacing w:beforeLines="0" w:afterLines="0"/>
      <w:ind w:firstLine="200"/>
      <w:jc w:val="both"/>
    </w:pPr>
    <w:rPr>
      <w:rFonts w:hint="eastAsia" w:ascii="宋体" w:hAnsi="Times New Roman" w:eastAsia="宋体" w:cs="Times New Roman"/>
      <w:sz w:val="21"/>
      <w:szCs w:val="24"/>
      <w:lang w:val="en-US" w:eastAsia="zh-CN" w:bidi="ar-SA"/>
    </w:rPr>
  </w:style>
  <w:style w:type="paragraph" w:customStyle="1" w:styleId="59">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60">
    <w:name w:val="font31"/>
    <w:basedOn w:val="25"/>
    <w:uiPriority w:val="0"/>
    <w:rPr>
      <w:rFonts w:hint="eastAsia" w:ascii="宋体" w:hAnsi="宋体" w:eastAsia="宋体" w:cs="宋体"/>
      <w:color w:val="000000"/>
      <w:sz w:val="22"/>
      <w:szCs w:val="22"/>
      <w:u w:val="none"/>
    </w:rPr>
  </w:style>
  <w:style w:type="character" w:customStyle="1" w:styleId="61">
    <w:name w:val="font11"/>
    <w:basedOn w:val="25"/>
    <w:uiPriority w:val="0"/>
    <w:rPr>
      <w:rFonts w:hint="eastAsia" w:ascii="宋体" w:hAnsi="宋体" w:eastAsia="宋体" w:cs="宋体"/>
      <w:color w:val="000000"/>
      <w:sz w:val="22"/>
      <w:szCs w:val="22"/>
      <w:u w:val="none"/>
    </w:rPr>
  </w:style>
  <w:style w:type="character" w:customStyle="1" w:styleId="62">
    <w:name w:val="font21"/>
    <w:basedOn w:val="25"/>
    <w:uiPriority w:val="0"/>
    <w:rPr>
      <w:rFonts w:hint="eastAsia" w:ascii="宋体" w:hAnsi="宋体" w:eastAsia="宋体" w:cs="宋体"/>
      <w:color w:val="000000"/>
      <w:sz w:val="22"/>
      <w:szCs w:val="22"/>
      <w:u w:val="none"/>
    </w:rPr>
  </w:style>
  <w:style w:type="paragraph" w:customStyle="1" w:styleId="6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4">
    <w:name w:val="null3"/>
    <w:uiPriority w:val="0"/>
    <w:rPr>
      <w:rFonts w:hint="eastAsia" w:ascii="Calibri" w:hAnsi="Calibri" w:eastAsia="宋体" w:cs="Times New Roman"/>
      <w:lang w:val="en-US" w:eastAsia="zh-Hans"/>
    </w:rPr>
  </w:style>
  <w:style w:type="paragraph" w:customStyle="1" w:styleId="65">
    <w:name w:val="Body text|1"/>
    <w:basedOn w:val="1"/>
    <w:qFormat/>
    <w:uiPriority w:val="0"/>
    <w:pPr>
      <w:widowControl w:val="0"/>
      <w:shd w:val="clear" w:color="auto" w:fill="auto"/>
      <w:spacing w:line="449" w:lineRule="auto"/>
      <w:ind w:firstLine="400"/>
    </w:pPr>
    <w:rPr>
      <w:rFonts w:ascii="宋体" w:hAnsi="宋体" w:eastAsia="宋体" w:cs="宋体"/>
      <w:sz w:val="22"/>
      <w:szCs w:val="22"/>
      <w:u w:val="none"/>
      <w:shd w:val="clear" w:color="auto" w:fill="auto"/>
      <w:lang w:val="zh-TW" w:eastAsia="zh-TW" w:bidi="zh-TW"/>
    </w:rPr>
  </w:style>
  <w:style w:type="table" w:customStyle="1" w:styleId="66">
    <w:name w:val="Table Normal"/>
    <w:unhideWhenUsed/>
    <w:qFormat/>
    <w:uiPriority w:val="0"/>
    <w:tblPr>
      <w:tblStyle w:val="23"/>
      <w:tblCellMar>
        <w:top w:w="0" w:type="dxa"/>
        <w:left w:w="0" w:type="dxa"/>
        <w:bottom w:w="0" w:type="dxa"/>
        <w:right w:w="0" w:type="dxa"/>
      </w:tblCellMar>
    </w:tblPr>
  </w:style>
  <w:style w:type="paragraph" w:customStyle="1" w:styleId="67">
    <w:name w:val="Table Text"/>
    <w:basedOn w:val="1"/>
    <w:semiHidden/>
    <w:qFormat/>
    <w:uiPriority w:val="0"/>
    <w:rPr>
      <w:rFonts w:ascii="宋体" w:hAnsi="宋体" w:eastAsia="宋体" w:cs="宋体"/>
      <w:sz w:val="20"/>
      <w:szCs w:val="20"/>
      <w:lang w:val="en-US" w:eastAsia="en-US" w:bidi="ar-SA"/>
    </w:rPr>
  </w:style>
  <w:style w:type="paragraph" w:customStyle="1" w:styleId="68">
    <w:name w:val="※章节标题（第X章）"/>
    <w:basedOn w:val="1"/>
    <w:qFormat/>
    <w:uiPriority w:val="0"/>
    <w:pPr>
      <w:widowControl/>
      <w:jc w:val="center"/>
      <w:outlineLvl w:val="0"/>
    </w:pPr>
    <w:rPr>
      <w:rFonts w:ascii="Calibri Light" w:hAnsi="Calibri Light" w:eastAsia="黑体"/>
      <w:sz w:val="36"/>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4589</Words>
  <Characters>4692</Characters>
  <Lines>0</Lines>
  <Paragraphs>0</Paragraphs>
  <TotalTime>1</TotalTime>
  <ScaleCrop>false</ScaleCrop>
  <LinksUpToDate>false</LinksUpToDate>
  <CharactersWithSpaces>5483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2021-11-05T05:18:00Z</dcterms:created>
  <dc:creator>Sunshine in July</dc:creator>
  <cp:lastModifiedBy>coco</cp:lastModifiedBy>
  <cp:lastPrinted>2025-01-20T01:24:16Z</cp:lastPrinted>
  <dcterms:modified xsi:type="dcterms:W3CDTF">2026-08-06T07:40:50Z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34FAD184CF7E42C7B976AF7C85688FDC_13</vt:lpwstr>
  </property>
  <property fmtid="{D5CDD505-2E9C-101B-9397-08002B2CF9AE}" pid="4" name="KSOTemplateDocerSaveRecord">
    <vt:lpwstr>eyJoZGlkIjoiNmYwNmMyOTlhZTM0NWEwNTk1ZDA3NDAyYzYyNmIyYzUiLCJ1c2VySWQiOiI0MDk4ODY0MzgifQ==</vt:lpwstr>
  </property>
</Properties>
</file>