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AD7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388"/>
        <w:textAlignment w:val="baseline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标的名称：</w:t>
      </w:r>
      <w:r>
        <w:rPr>
          <w:rFonts w:hint="eastAsia" w:ascii="微软雅黑" w:hAnsi="微软雅黑" w:eastAsia="微软雅黑" w:cs="微软雅黑"/>
          <w:spacing w:val="-1"/>
          <w:sz w:val="19"/>
          <w:szCs w:val="19"/>
        </w:rPr>
        <w:t>陕西交通职业技术学院教室维修改造项目</w:t>
      </w:r>
    </w:p>
    <w:p w14:paraId="252ACB65">
      <w:pPr>
        <w:spacing w:line="153" w:lineRule="exact"/>
      </w:pPr>
    </w:p>
    <w:tbl>
      <w:tblPr>
        <w:tblStyle w:val="6"/>
        <w:tblW w:w="106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5"/>
        <w:gridCol w:w="1499"/>
        <w:gridCol w:w="7609"/>
      </w:tblGrid>
      <w:tr w14:paraId="13EFC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2" w:hRule="atLeast"/>
        </w:trPr>
        <w:tc>
          <w:tcPr>
            <w:tcW w:w="1505" w:type="dxa"/>
            <w:vAlign w:val="top"/>
          </w:tcPr>
          <w:p w14:paraId="6EA862F5">
            <w:pPr>
              <w:pStyle w:val="5"/>
              <w:spacing w:before="84" w:line="187" w:lineRule="auto"/>
              <w:ind w:left="95"/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1499" w:type="dxa"/>
            <w:vAlign w:val="top"/>
          </w:tcPr>
          <w:p w14:paraId="6A870E7C">
            <w:pPr>
              <w:pStyle w:val="5"/>
              <w:spacing w:before="85" w:line="186" w:lineRule="auto"/>
              <w:ind w:left="92"/>
            </w:pPr>
            <w:r>
              <w:rPr>
                <w:b/>
                <w:bCs/>
              </w:rPr>
              <w:t>参数性质</w:t>
            </w:r>
          </w:p>
        </w:tc>
        <w:tc>
          <w:tcPr>
            <w:tcW w:w="7609" w:type="dxa"/>
            <w:vAlign w:val="top"/>
          </w:tcPr>
          <w:p w14:paraId="155CFA0C">
            <w:pPr>
              <w:pStyle w:val="5"/>
              <w:spacing w:before="85" w:line="186" w:lineRule="auto"/>
              <w:ind w:left="92"/>
            </w:pPr>
            <w:r>
              <w:rPr>
                <w:b/>
                <w:bCs/>
                <w:spacing w:val="1"/>
              </w:rPr>
              <w:t>技术参数与性能指标</w:t>
            </w:r>
          </w:p>
        </w:tc>
      </w:tr>
      <w:tr w14:paraId="0D219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0" w:hRule="atLeast"/>
        </w:trPr>
        <w:tc>
          <w:tcPr>
            <w:tcW w:w="1505" w:type="dxa"/>
            <w:tcBorders>
              <w:bottom w:val="nil"/>
            </w:tcBorders>
            <w:vAlign w:val="top"/>
          </w:tcPr>
          <w:p w14:paraId="1C2C4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1499" w:type="dxa"/>
            <w:tcBorders>
              <w:bottom w:val="nil"/>
            </w:tcBorders>
            <w:vAlign w:val="top"/>
          </w:tcPr>
          <w:p w14:paraId="567E2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7609" w:type="dxa"/>
            <w:tcBorders>
              <w:bottom w:val="nil"/>
            </w:tcBorders>
            <w:vAlign w:val="top"/>
          </w:tcPr>
          <w:p w14:paraId="2F4FA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一、采购要求</w:t>
            </w:r>
          </w:p>
          <w:p w14:paraId="0EB76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本项目为陕西交通职业技术学院教室维修改造项目， 需对原教室窗帘，风扇、灯光拆除，更换吸顶安装，安装实木踢脚线、塑胶地板， 确保维修改造后能满足高校学生日常使用需求， 整体符合校园建筑使用及安全规范。</w:t>
            </w:r>
          </w:p>
          <w:p w14:paraId="79EC9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二、采购内容及施工要求</w:t>
            </w:r>
          </w:p>
          <w:p w14:paraId="1E8B1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（一）工程内容：</w:t>
            </w:r>
          </w:p>
          <w:tbl>
            <w:tblPr>
              <w:tblStyle w:val="3"/>
              <w:tblW w:w="12072" w:type="dxa"/>
              <w:tblInd w:w="-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0"/>
              <w:gridCol w:w="1080"/>
              <w:gridCol w:w="1716"/>
              <w:gridCol w:w="1080"/>
              <w:gridCol w:w="1080"/>
              <w:gridCol w:w="6036"/>
            </w:tblGrid>
            <w:tr w14:paraId="6E5F8B0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</w:trPr>
              <w:tc>
                <w:tcPr>
                  <w:tcW w:w="6036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D3EE5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环境改造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C314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</w:p>
              </w:tc>
            </w:tr>
            <w:tr w14:paraId="17CFB2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1098E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编号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CFD08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工程内容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ADBA5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施工要求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E8072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数量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2154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单位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140D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最高限价</w:t>
                  </w:r>
                </w:p>
                <w:p w14:paraId="22D2397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单价</w:t>
                  </w:r>
                </w:p>
              </w:tc>
            </w:tr>
            <w:tr w14:paraId="262F227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6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AEEA7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2ABAE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拆除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C7810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原教室窗帘，风扇拆除：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大教室每间4副窗帘，8个风扇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3EDC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21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8AC7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142B1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180</w:t>
                  </w:r>
                </w:p>
              </w:tc>
            </w:tr>
            <w:tr w14:paraId="1747762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39C7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49E67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拆除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C20BD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窗帘、风扇拆除：窗帘原教休室（共计2*2套）+小教室（26*2）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风扇：每个房间4个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EFD1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28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F05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99C9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90</w:t>
                  </w:r>
                </w:p>
              </w:tc>
            </w:tr>
            <w:tr w14:paraId="6059C48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7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A3838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61A9D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措施保护及搬运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至指定地点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502E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进场施工前，教室原有留存利旧设备（黑板，音箱，摄像头，空调，吊麦）统一使用专用保护膜包覆严实，防护膜粘贴牢固无裸露，隔绝施工产生灰尘、杂物，防止设备表面划伤、污染。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0BD9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2D6E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4605C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150</w:t>
                  </w:r>
                </w:p>
              </w:tc>
            </w:tr>
            <w:tr w14:paraId="6772CEB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16BB8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E0AE5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垃圾清运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3A88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拆除及装修垃圾装车清运。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4BC5C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49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9933D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94B6B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275</w:t>
                  </w:r>
                </w:p>
              </w:tc>
            </w:tr>
            <w:tr w14:paraId="21909C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2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DB312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5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AF505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讲台及踢脚线拆除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1D52B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讲台拆除后水泥砂浆找平修复，垃圾装袋下楼，共计23m³。【五层及以下】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0013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26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F38F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E2BEC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1200</w:t>
                  </w:r>
                </w:p>
              </w:tc>
            </w:tr>
            <w:tr w14:paraId="0068F49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8BC19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6226D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保洁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AF262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施工完卫生保洁（49间共计4172㎡）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BF78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49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7CA5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1D2D3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100</w:t>
                  </w:r>
                </w:p>
              </w:tc>
            </w:tr>
            <w:tr w14:paraId="62D2F50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74FEF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7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1D736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灯光更换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947AA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原教室灯光拆除，更换300*1200平板灯，吸顶安装。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0343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525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E599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1A7CE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150</w:t>
                  </w:r>
                </w:p>
              </w:tc>
            </w:tr>
            <w:tr w14:paraId="7C111D3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6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D5255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8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62884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开关面板换新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A89CB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原墙面灯光、五孔插座面板拆除换新（大教室：开关面板三开两个，单开1个；五孔插座2个。小教室：开关面板三开1个，单开一个；五孔插座2个）。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49D9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49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F882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C90B7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320</w:t>
                  </w:r>
                </w:p>
              </w:tc>
            </w:tr>
            <w:tr w14:paraId="36F8C26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2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C54E0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9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99019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顶面乳胶漆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53987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原顶面起皮鼓包处铲除修补，裂缝使用抗裂砂浆粘贴防裂网格带，批刮腻子；打磨后两遍乳胶漆饰面。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7398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4151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7A0C9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㎡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AFB03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35</w:t>
                  </w:r>
                </w:p>
              </w:tc>
            </w:tr>
            <w:tr w14:paraId="5C9B552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4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CF6F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0D6F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窗帘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【卷帘，每套尺寸1.25m*2m】，每扇窗户2套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2A7E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定制遮光卷帘，折光率＞90%。（26*2+2*2）*2+21*4*2=280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2662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280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E9DEA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267DA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410</w:t>
                  </w:r>
                </w:p>
              </w:tc>
            </w:tr>
            <w:tr w14:paraId="75452F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FCF9A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11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29B86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塑胶地板【小教室】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E08CC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20000*2000*2.0mm耐磨层，0,30mm; 密度:1380 Kg/m'密实塑胶地板。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00F2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1534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574D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</w:t>
                  </w:r>
                  <w:r>
                    <w:rPr>
                      <w:rStyle w:val="7"/>
                      <w:snapToGrid w:val="0"/>
                      <w:color w:val="00000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1EC3A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60</w:t>
                  </w:r>
                </w:p>
              </w:tc>
            </w:tr>
            <w:tr w14:paraId="5E62E65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AEC2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12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DED74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踢脚线【小教室】</w:t>
                  </w:r>
                </w:p>
              </w:tc>
              <w:tc>
                <w:tcPr>
                  <w:tcW w:w="17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78A58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安装高度70mm实木踢脚线。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66801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746.2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7A34F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25</w:t>
                  </w:r>
                </w:p>
              </w:tc>
              <w:tc>
                <w:tcPr>
                  <w:tcW w:w="60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0A027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</w:p>
              </w:tc>
            </w:tr>
          </w:tbl>
          <w:p w14:paraId="49BDF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1.拆除施工需严格遵循建筑施工安全规范， 采用人工拆除为主、机械辅助的方式， 严禁野蛮施工，避免破坏卫生间主体结构、承重墙体、给排水主管道、 电路管线及周边宿舍墙面、地面等原有建筑</w:t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结构；</w:t>
            </w:r>
          </w:p>
          <w:p w14:paraId="6DE9D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 xml:space="preserve">2.拆除过程中做好成品保护， 对楼道、走廊、 电梯等公共区域采取防护措施， 避免施工磕碰、污染 </w:t>
            </w:r>
          </w:p>
          <w:p w14:paraId="2549E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3.拆除产生的建筑垃圾、废弃材料需分类收集， 全部清运至校方指定合规垃圾处理场地， 做到工完场清， 严禁随意堆放、遗撒， 清运过程符合城市环境卫生管理要求；</w:t>
            </w:r>
          </w:p>
          <w:p w14:paraId="060AE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4.拆除完成后， 对墙面、地面、顶面基层进行平整清理， 剔除松动砂浆、杂物， 确保基层坚实、平整、无浮尘， 满足后续翻新施工基层处理要求。</w:t>
            </w:r>
          </w:p>
          <w:p w14:paraId="17C10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三、附属配套设备要求</w:t>
            </w:r>
          </w:p>
          <w:tbl>
            <w:tblPr>
              <w:tblStyle w:val="3"/>
              <w:tblW w:w="13388" w:type="dxa"/>
              <w:tblInd w:w="-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6"/>
              <w:gridCol w:w="1317"/>
              <w:gridCol w:w="3405"/>
              <w:gridCol w:w="748"/>
              <w:gridCol w:w="618"/>
              <w:gridCol w:w="6694"/>
            </w:tblGrid>
            <w:tr w14:paraId="7FD03D9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6" w:hRule="atLeast"/>
              </w:trPr>
              <w:tc>
                <w:tcPr>
                  <w:tcW w:w="6694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C4F66F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一、线材及人工费</w:t>
                  </w:r>
                </w:p>
              </w:tc>
              <w:tc>
                <w:tcPr>
                  <w:tcW w:w="6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38014A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b/>
                      <w:bCs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</w:p>
              </w:tc>
            </w:tr>
            <w:tr w14:paraId="4E4D93E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09E1B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序号</w:t>
                  </w:r>
                </w:p>
              </w:tc>
              <w:tc>
                <w:tcPr>
                  <w:tcW w:w="1317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CCDCF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线材名称</w:t>
                  </w:r>
                </w:p>
              </w:tc>
              <w:tc>
                <w:tcPr>
                  <w:tcW w:w="3405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AEF01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线材规格</w:t>
                  </w:r>
                </w:p>
              </w:tc>
              <w:tc>
                <w:tcPr>
                  <w:tcW w:w="748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A72C0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数量</w:t>
                  </w:r>
                </w:p>
              </w:tc>
              <w:tc>
                <w:tcPr>
                  <w:tcW w:w="618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13CD6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6694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2BB4C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最高限价</w:t>
                  </w:r>
                </w:p>
                <w:p w14:paraId="0850835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单价</w:t>
                  </w:r>
                </w:p>
              </w:tc>
            </w:tr>
            <w:tr w14:paraId="3AD2C94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03A77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41F76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光纤HDMI线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001AA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25米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B9660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0506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条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9C09D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160</w:t>
                  </w:r>
                </w:p>
              </w:tc>
            </w:tr>
            <w:tr w14:paraId="69F3683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4F488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6D209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光纤HDMI线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B1739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30米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E0E41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42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31E1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条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D2763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180</w:t>
                  </w:r>
                </w:p>
              </w:tc>
            </w:tr>
            <w:tr w14:paraId="64D4C15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E8A8F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A689E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电源线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29966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3*1.0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03640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745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E36F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F36D7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</w:t>
                  </w:r>
                </w:p>
              </w:tc>
            </w:tr>
            <w:tr w14:paraId="5E9070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AC613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91000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电源线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F6235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3*0.75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8664A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3295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667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FE411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2.5</w:t>
                  </w:r>
                </w:p>
              </w:tc>
            </w:tr>
            <w:tr w14:paraId="1592C3C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8E814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5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8A973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HDMI线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7EBB1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1.5米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F6C68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168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FBA3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条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B2C2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10</w:t>
                  </w:r>
                </w:p>
              </w:tc>
            </w:tr>
            <w:tr w14:paraId="11954D6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30FD0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6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061D8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USB HUB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DD05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一分四1.5米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778BC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56DF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4B7C2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25</w:t>
                  </w:r>
                </w:p>
              </w:tc>
            </w:tr>
            <w:tr w14:paraId="2ED8FD2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8C116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7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7AFBD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3.5转莲花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14E74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1.5米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AF95E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121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208D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条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0B95C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7.5</w:t>
                  </w:r>
                </w:p>
              </w:tc>
            </w:tr>
            <w:tr w14:paraId="49296AF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8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A5C13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8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71967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五类网线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45418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导体材料：无氧铜；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下料线芯直径（mm）：0.49；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芯线绝缘材料：高密度聚乙烯；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芯线外径（mm）：0.90±0.025；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芯线偏心（mm）：≤0.02；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芯线颜色：第一对:白蓝/蓝；第二对：白橙/橙；第三对：白绿/绿；第四对：白棕/棕；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护套撕裂绳材料：丙纶丝；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护套厚度（mm）：0.50±0.05；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护套外径（mm）：5.0±0.3；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护套材料：聚氯乙烯。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E3490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1095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2991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464C3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1.2</w:t>
                  </w:r>
                </w:p>
              </w:tc>
            </w:tr>
            <w:tr w14:paraId="6ABA076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5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B00F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9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71A6F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六类网线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E025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传输带宽≥250MHz，满足1000Mbps的数据传输；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采用中心十字架结构以减少线对信号干扰和增加物理机械抗拉性；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线缆外径：6.0±0.3mm；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直流电阻：＜7.5Ω/ 100m；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直流电阻不平衡：≤2.5%；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工作电容：≤5.6nF/100m；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护套厚度：＞0.6mm；绝缘厚度：＞0.2mm；绝缘电阻：＞5000 MΩ·km；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导体间介电强度：1.0KV·1min；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AB7DC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4360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3933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5CF59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</w:t>
                  </w:r>
                </w:p>
              </w:tc>
            </w:tr>
            <w:tr w14:paraId="11596F2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581CE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4EE2D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幕布L型支架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39BA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E846C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A98B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7BB61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15</w:t>
                  </w:r>
                </w:p>
              </w:tc>
            </w:tr>
            <w:tr w14:paraId="44D93B9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72251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11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4876D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投影机吊杆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458B1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1.5米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8ECA3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E858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EC408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60</w:t>
                  </w:r>
                </w:p>
              </w:tc>
            </w:tr>
            <w:tr w14:paraId="2604D18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8CC53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12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6C7FB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水晶头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94166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六类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DFE61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624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287E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764C3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0.5</w:t>
                  </w:r>
                </w:p>
              </w:tc>
            </w:tr>
            <w:tr w14:paraId="17BDCE6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1BE7A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13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72A0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串口控制头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D8508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9针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C1F71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95A0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73D94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5</w:t>
                  </w:r>
                </w:p>
              </w:tc>
            </w:tr>
            <w:tr w14:paraId="7815F5F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A974F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14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68007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6位五孔插座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49711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1.5米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DD0B3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2F4C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74812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28</w:t>
                  </w:r>
                </w:p>
              </w:tc>
            </w:tr>
            <w:tr w14:paraId="112AF67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A173C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15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9CB80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PDU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B9F1E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8口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615B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47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7822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55E65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80</w:t>
                  </w:r>
                </w:p>
              </w:tc>
            </w:tr>
            <w:tr w14:paraId="5E042D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653B4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16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997F5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不锈钢地槽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6E26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0.8mm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A436C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183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4ECF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米 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9C54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7.8</w:t>
                  </w:r>
                </w:p>
              </w:tc>
            </w:tr>
            <w:tr w14:paraId="6E2509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0FA2A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17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BEDF6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辅助显示屏双杆吊架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52AAD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2米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5BD00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42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E6FC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7A55B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200</w:t>
                  </w:r>
                </w:p>
              </w:tc>
            </w:tr>
            <w:tr w14:paraId="05F2371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A2FC1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18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9D3D9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HDMI分屏器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9C29B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一分四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D6DC5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21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7A98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119CE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95</w:t>
                  </w:r>
                </w:p>
              </w:tc>
            </w:tr>
            <w:tr w14:paraId="33DDD1B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4311C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19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6F4B8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金银线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39F0F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100只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4E8BA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920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4495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68D46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1.8</w:t>
                  </w:r>
                </w:p>
              </w:tc>
            </w:tr>
            <w:tr w14:paraId="42CC68B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82F15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20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38337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大教室施工费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2A82C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人工费、线槽及辅材等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A3664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21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D450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DDDB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1500</w:t>
                  </w:r>
                </w:p>
              </w:tc>
            </w:tr>
            <w:tr w14:paraId="069F0F2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C62CC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21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F112E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小教室施工费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92256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人工费、线槽及辅材等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7944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26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6CB2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82164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1200</w:t>
                  </w:r>
                </w:p>
              </w:tc>
            </w:tr>
            <w:tr w14:paraId="7A8A04D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</w:trPr>
              <w:tc>
                <w:tcPr>
                  <w:tcW w:w="6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4FC5C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22</w:t>
                  </w:r>
                </w:p>
              </w:tc>
              <w:tc>
                <w:tcPr>
                  <w:tcW w:w="13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B4AF3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可视化中心系统集成</w:t>
                  </w:r>
                </w:p>
              </w:tc>
              <w:tc>
                <w:tcPr>
                  <w:tcW w:w="34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D56FF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人工费、线槽及辅材等</w:t>
                  </w:r>
                </w:p>
              </w:tc>
              <w:tc>
                <w:tcPr>
                  <w:tcW w:w="7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DCED8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5AB5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间</w:t>
                  </w:r>
                </w:p>
              </w:tc>
              <w:tc>
                <w:tcPr>
                  <w:tcW w:w="6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D9113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1800</w:t>
                  </w:r>
                </w:p>
              </w:tc>
            </w:tr>
          </w:tbl>
          <w:p w14:paraId="71883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</w:p>
        </w:tc>
      </w:tr>
    </w:tbl>
    <w:p w14:paraId="585F2A5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微软雅黑" w:hAnsi="微软雅黑" w:eastAsia="微软雅黑" w:cs="微软雅黑"/>
          <w:snapToGrid w:val="0"/>
          <w:color w:val="000000"/>
          <w:spacing w:val="1"/>
          <w:kern w:val="0"/>
          <w:sz w:val="19"/>
          <w:szCs w:val="19"/>
          <w:lang w:val="en-US" w:eastAsia="zh-CN" w:bidi="ar-SA"/>
        </w:rPr>
      </w:pPr>
    </w:p>
    <w:p w14:paraId="78E80F0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微软雅黑" w:hAnsi="微软雅黑" w:eastAsia="微软雅黑" w:cs="微软雅黑"/>
          <w:snapToGrid w:val="0"/>
          <w:color w:val="000000"/>
          <w:spacing w:val="1"/>
          <w:kern w:val="0"/>
          <w:sz w:val="19"/>
          <w:szCs w:val="19"/>
          <w:lang w:val="en-US" w:eastAsia="zh-CN" w:bidi="ar-SA"/>
        </w:rPr>
        <w:sectPr>
          <w:footerReference r:id="rId5" w:type="default"/>
          <w:pgSz w:w="11900" w:h="16840"/>
          <w:pgMar w:top="917" w:right="671" w:bottom="295" w:left="666" w:header="0" w:footer="0" w:gutter="0"/>
          <w:cols w:space="720" w:num="1"/>
        </w:sectPr>
      </w:pPr>
    </w:p>
    <w:tbl>
      <w:tblPr>
        <w:tblStyle w:val="6"/>
        <w:tblW w:w="1055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5"/>
        <w:gridCol w:w="1499"/>
        <w:gridCol w:w="7548"/>
      </w:tblGrid>
      <w:tr w14:paraId="1E712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1" w:hRule="atLeast"/>
        </w:trPr>
        <w:tc>
          <w:tcPr>
            <w:tcW w:w="1505" w:type="dxa"/>
            <w:tcBorders>
              <w:top w:val="nil"/>
              <w:bottom w:val="nil"/>
            </w:tcBorders>
            <w:vAlign w:val="top"/>
          </w:tcPr>
          <w:p w14:paraId="7424E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1499" w:type="dxa"/>
            <w:tcBorders>
              <w:top w:val="nil"/>
              <w:bottom w:val="nil"/>
            </w:tcBorders>
            <w:vAlign w:val="top"/>
          </w:tcPr>
          <w:p w14:paraId="35CC4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</w:p>
        </w:tc>
        <w:tc>
          <w:tcPr>
            <w:tcW w:w="7548" w:type="dxa"/>
            <w:tcBorders>
              <w:top w:val="nil"/>
              <w:bottom w:val="nil"/>
            </w:tcBorders>
            <w:vAlign w:val="top"/>
          </w:tcPr>
          <w:tbl>
            <w:tblPr>
              <w:tblStyle w:val="3"/>
              <w:tblW w:w="13558" w:type="dxa"/>
              <w:tblInd w:w="-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2"/>
              <w:gridCol w:w="930"/>
              <w:gridCol w:w="4365"/>
              <w:gridCol w:w="705"/>
              <w:gridCol w:w="457"/>
              <w:gridCol w:w="6779"/>
            </w:tblGrid>
            <w:tr w14:paraId="1B1D653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6779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1E85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二、课桌椅</w:t>
                  </w:r>
                </w:p>
              </w:tc>
              <w:tc>
                <w:tcPr>
                  <w:tcW w:w="6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1F70A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</w:p>
              </w:tc>
            </w:tr>
            <w:tr w14:paraId="0571429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2" w:hRule="atLeast"/>
              </w:trPr>
              <w:tc>
                <w:tcPr>
                  <w:tcW w:w="3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9C83C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序号</w:t>
                  </w:r>
                </w:p>
              </w:tc>
              <w:tc>
                <w:tcPr>
                  <w:tcW w:w="9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E1E25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名称</w:t>
                  </w:r>
                </w:p>
              </w:tc>
              <w:tc>
                <w:tcPr>
                  <w:tcW w:w="4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A6699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技术参数</w:t>
                  </w:r>
                </w:p>
              </w:tc>
              <w:tc>
                <w:tcPr>
                  <w:tcW w:w="7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291BD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数量</w:t>
                  </w:r>
                </w:p>
              </w:tc>
              <w:tc>
                <w:tcPr>
                  <w:tcW w:w="45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67882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单位</w:t>
                  </w:r>
                </w:p>
              </w:tc>
              <w:tc>
                <w:tcPr>
                  <w:tcW w:w="6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C7024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最高限价</w:t>
                  </w:r>
                </w:p>
                <w:p w14:paraId="18E90A5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单价</w:t>
                  </w:r>
                </w:p>
              </w:tc>
            </w:tr>
            <w:tr w14:paraId="2A496CE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34" w:hRule="atLeast"/>
              </w:trPr>
              <w:tc>
                <w:tcPr>
                  <w:tcW w:w="3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30CB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</w:t>
                  </w:r>
                </w:p>
              </w:tc>
              <w:tc>
                <w:tcPr>
                  <w:tcW w:w="9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B94D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highlight w:val="none"/>
                      <w:lang w:val="en-US" w:eastAsia="zh-CN" w:bidi="ar-SA"/>
                    </w:rPr>
                    <w:t>阶梯教室一体化学习联排装置（120位）</w:t>
                  </w:r>
                </w:p>
              </w:tc>
              <w:tc>
                <w:tcPr>
                  <w:tcW w:w="4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47B9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一、产品规格说明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座椅高度为 930mm，台面板基准点离地 750mm，座椅中心距520mm，座板基准点离地 450mm，建议排距900mm。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二、产品材质说明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1.站脚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采用优质ADC12铝合金材料一体压铸成型，站脚宽50mm，高度930mm，带有深315mm宽50mm扶手，扶手到地高度为650mm，扶手呈微斜形下设有加强筋，站脚底部长度为355mm，孔距为310mm，厚度为25mm，需要打2颗8*60mm地爆膨胀螺丝与地面固定，转轴直径80mm，内部设计有卡槽，与220*80/90*13mm铝合金座托无缝镶嵌式链接，座托处装有消音垫及旋转轴套，具有静音式自动回复功能，连排两端镶嵌长438mm宽40mm绿色夜光装饰盖，站脚整体外观采用专用金属粉末喷涂处理。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2.椅背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椅背的整体外部尺寸为宽470mm、高435mm。其上下压条采用优质1.2材质，。椅背的框架与站脚设计为镶嵌式结构。框架与站脚之间采用白内柱螺丝串联方式。靠背板选用10mm多层板，经过双面热压防火皮处理。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3.椅座：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椅座采用优质多层板材料，经过精密双面热压工艺处理，覆盖防火皮。外观尺寸为深度425mm、宽度447mm、厚度15mm。座板与铝合金回复机构采用穿透式螺丝连接方式。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4.铝合金座托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采用高品质的铝合金基材，经过精密模具一体压铸成型，长度为218mm，宽为80mm，弧度与坐板弧度相吻合，表面施以粉末喷涂工艺，确保涂层附着力强且不易剥落。产品配备重力铁及消音垫，实现静音式重力自动回复功能，有效防止夹手。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5.固定写字桌</w:t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br w:type="textWrapping"/>
                  </w: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 xml:space="preserve">采用宽度为300mm厚度为25mm的刨花板作为基材，双面热压0.8mm的优质防火板。正面防火板经过热弯处理，形成圆弧形状。短边采用2mmPVC封边工艺。同时，采用冷轧钢板冲压成型长220mm高105mm的支架与站脚进行连接，确保承重力达到25公斤以上。在板面下方，装有冷拉钢丝书网，采用5mm及3mm的冷轧钢丝经过折弯焊接成型，形成书网兜，其内空不小于100mm，整体外观采用专用金属粉末喷涂处理。  </w:t>
                  </w:r>
                </w:p>
              </w:tc>
              <w:tc>
                <w:tcPr>
                  <w:tcW w:w="7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FCBB2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960</w:t>
                  </w:r>
                </w:p>
              </w:tc>
              <w:tc>
                <w:tcPr>
                  <w:tcW w:w="45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75498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位</w:t>
                  </w:r>
                </w:p>
              </w:tc>
              <w:tc>
                <w:tcPr>
                  <w:tcW w:w="677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A9376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snapToGrid w:val="0"/>
                      <w:color w:val="000000"/>
                      <w:spacing w:val="1"/>
                      <w:kern w:val="0"/>
                      <w:sz w:val="19"/>
                      <w:szCs w:val="19"/>
                      <w:lang w:val="en-US" w:eastAsia="zh-CN" w:bidi="ar-SA"/>
                    </w:rPr>
                    <w:t>350</w:t>
                  </w:r>
                </w:p>
              </w:tc>
            </w:tr>
          </w:tbl>
          <w:p w14:paraId="53AEB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四、施工质量总体要求</w:t>
            </w:r>
          </w:p>
          <w:p w14:paraId="48C44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本项目所有材料、设备均需提供产品合格证、检测报告、环保认证证书， 严禁使用假冒伪劣、不合格产品， 材料进场需经校方验收合格后方可使用；</w:t>
            </w:r>
          </w:p>
          <w:p w14:paraId="13642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施工全过程符合《建筑装饰装修工程质量验收标准》（GB50210-2018）等国家及行业规范；</w:t>
            </w:r>
          </w:p>
          <w:p w14:paraId="4F55B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五、安全与文明施工要求</w:t>
            </w:r>
          </w:p>
          <w:p w14:paraId="484C0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施工单位需具备相应施工资质， 施工人员持证上岗， 严格遵守校园安全管理规定， 做好施工安全防护， 搭设安全防护设施， 杜绝安全事故；</w:t>
            </w:r>
          </w:p>
          <w:p w14:paraId="6271B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施工期间采取降噪、 降尘措施， 合理安排施工时间， 避免影响学生正常学习、休息；</w:t>
            </w:r>
          </w:p>
          <w:p w14:paraId="6F4D8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施工人员服从校方管理， 严禁在校园内违规动火、用电， 做好施工现场消防安全工作；</w:t>
            </w:r>
          </w:p>
          <w:p w14:paraId="5AFF7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六、售后保障要求</w:t>
            </w:r>
          </w:p>
          <w:p w14:paraId="7C204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供应商需提供完整的施工方案、材料清单、质保承诺；</w:t>
            </w:r>
          </w:p>
          <w:p w14:paraId="50360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质保期内， 接到校方维修通知后， 24 小时内响应， 48 小时内到场处理问题；</w:t>
            </w:r>
          </w:p>
          <w:p w14:paraId="7E588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项目完工后， 向校方移交完整的竣工资料、产品说明书及质保文件。</w:t>
            </w:r>
          </w:p>
          <w:p w14:paraId="47052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七、其他要求</w:t>
            </w:r>
          </w:p>
          <w:p w14:paraId="3D88A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highlight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highlight w:val="none"/>
                <w:lang w:val="en-US" w:eastAsia="zh-CN" w:bidi="ar-SA"/>
              </w:rPr>
              <w:t>1.工期： 自进场之日起 30个日历日内竣工；</w:t>
            </w:r>
          </w:p>
          <w:p w14:paraId="3E061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2.工程地点：陕西交通职业技术学院（采购人指定地点）；</w:t>
            </w:r>
          </w:p>
          <w:p w14:paraId="33D42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  <w:t>3.质量保修期：本工程质量保修期为自验收合格之日2年。</w:t>
            </w:r>
          </w:p>
          <w:p w14:paraId="6199A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1"/>
                <w:kern w:val="0"/>
                <w:sz w:val="19"/>
                <w:szCs w:val="19"/>
                <w:lang w:val="en-US" w:eastAsia="zh-CN" w:bidi="ar-SA"/>
              </w:rPr>
            </w:pPr>
          </w:p>
        </w:tc>
      </w:tr>
    </w:tbl>
    <w:p w14:paraId="3BD1DDA2">
      <w:pPr>
        <w:pStyle w:val="2"/>
      </w:pPr>
    </w:p>
    <w:p w14:paraId="2B99802D"/>
    <w:p w14:paraId="6475023A"/>
    <w:p w14:paraId="5B9A0FB6">
      <w:bookmarkStart w:id="0" w:name="_GoBack"/>
    </w:p>
    <w:p w14:paraId="6B7B38FC">
      <w:pPr>
        <w:sectPr>
          <w:footerReference r:id="rId6" w:type="default"/>
          <w:pgSz w:w="11900" w:h="16840"/>
          <w:pgMar w:top="570" w:right="671" w:bottom="295" w:left="666" w:header="0" w:footer="0" w:gutter="0"/>
          <w:cols w:space="720" w:num="1"/>
        </w:sectPr>
      </w:pPr>
    </w:p>
    <w:bookmarkEnd w:id="0"/>
    <w:p w14:paraId="10EFB7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eiryo UI">
    <w:panose1 w:val="020B0604030504040204"/>
    <w:charset w:val="86"/>
    <w:family w:val="auto"/>
    <w:pitch w:val="default"/>
    <w:sig w:usb0="E10102FF" w:usb1="EAC7FFFF" w:usb2="00010012" w:usb3="00000000" w:csb0="6002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59405">
    <w:pPr>
      <w:spacing w:before="1" w:line="166" w:lineRule="auto"/>
      <w:ind w:left="4814"/>
      <w:rPr>
        <w:rFonts w:ascii="Meiryo UI" w:hAnsi="Meiryo UI" w:eastAsia="Meiryo UI" w:cs="Meiryo UI"/>
        <w:sz w:val="24"/>
        <w:szCs w:val="24"/>
      </w:rPr>
    </w:pPr>
    <w:r>
      <w:rPr>
        <w:rFonts w:ascii="Meiryo UI" w:hAnsi="Meiryo UI" w:eastAsia="Meiryo UI" w:cs="Meiryo UI"/>
        <w:spacing w:val="-2"/>
        <w:sz w:val="24"/>
        <w:szCs w:val="24"/>
      </w:rPr>
      <w:t>-</w:t>
    </w:r>
    <w:r>
      <w:rPr>
        <w:rFonts w:ascii="微软雅黑" w:hAnsi="微软雅黑" w:eastAsia="微软雅黑" w:cs="微软雅黑"/>
        <w:spacing w:val="-2"/>
        <w:sz w:val="24"/>
        <w:szCs w:val="24"/>
      </w:rPr>
      <w:t>第</w:t>
    </w:r>
    <w:r>
      <w:rPr>
        <w:rFonts w:ascii="Meiryo UI" w:hAnsi="Meiryo UI" w:eastAsia="Meiryo UI" w:cs="Meiryo UI"/>
        <w:spacing w:val="-2"/>
        <w:sz w:val="24"/>
        <w:szCs w:val="24"/>
      </w:rPr>
      <w:t>1</w:t>
    </w:r>
    <w:r>
      <w:rPr>
        <w:rFonts w:hint="eastAsia" w:ascii="Meiryo UI" w:hAnsi="Meiryo UI" w:eastAsia="宋体" w:cs="Meiryo UI"/>
        <w:spacing w:val="-2"/>
        <w:sz w:val="24"/>
        <w:szCs w:val="24"/>
        <w:lang w:val="en-US" w:eastAsia="zh-CN"/>
      </w:rPr>
      <w:t>5</w:t>
    </w:r>
    <w:r>
      <w:rPr>
        <w:rFonts w:ascii="微软雅黑" w:hAnsi="微软雅黑" w:eastAsia="微软雅黑" w:cs="微软雅黑"/>
        <w:spacing w:val="-2"/>
        <w:sz w:val="24"/>
        <w:szCs w:val="24"/>
      </w:rPr>
      <w:t>页</w:t>
    </w:r>
    <w:r>
      <w:rPr>
        <w:rFonts w:ascii="Meiryo UI" w:hAnsi="Meiryo UI" w:eastAsia="Meiryo UI" w:cs="Meiryo UI"/>
        <w:spacing w:val="-2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7903D">
    <w:pPr>
      <w:spacing w:before="1" w:line="166" w:lineRule="auto"/>
      <w:ind w:left="48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9"/>
        <w:sz w:val="24"/>
        <w:szCs w:val="24"/>
      </w:rPr>
      <w:t>-</w:t>
    </w:r>
    <w:r>
      <w:rPr>
        <w:rFonts w:ascii="微软雅黑" w:hAnsi="微软雅黑" w:eastAsia="微软雅黑" w:cs="微软雅黑"/>
        <w:spacing w:val="-9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9"/>
        <w:sz w:val="24"/>
        <w:szCs w:val="24"/>
      </w:rPr>
      <w:t>15</w:t>
    </w:r>
    <w:r>
      <w:rPr>
        <w:rFonts w:ascii="微软雅黑" w:hAnsi="微软雅黑" w:eastAsia="微软雅黑" w:cs="微软雅黑"/>
        <w:spacing w:val="-9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9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C319D"/>
    <w:rsid w:val="4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2026-07-07T09:10:00Z</dcterms:created>
  <dc:creator>樱桃小晨子 </dc:creator>
  <cp:lastModifiedBy>樱桃小晨子 </cp:lastModifiedBy>
  <dcterms:modified xsi:type="dcterms:W3CDTF">2026-07-07T09:12:26Z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3686AE220B874CB7A33AF192D98BAD2B_11</vt:lpwstr>
  </property>
  <property fmtid="{D5CDD505-2E9C-101B-9397-08002B2CF9AE}" pid="4" name="KSOTemplateDocerSaveRecord">
    <vt:lpwstr>eyJoZGlkIjoiOGM3MDFlNTdlYWIxMGUzOGZhYzZmNDZkNzU1YTU0MjgiLCJ1c2VySWQiOiIxMjkzNTU3MjkzIn0=</vt:lpwstr>
  </property>
</Properties>
</file>