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2C0B84">
      <w:pPr>
        <w:spacing w:line="240" w:lineRule="auto"/>
        <w:ind w:right="707" w:rightChars="250"/>
        <w:jc w:val="left"/>
        <w:rPr>
          <w:rFonts w:hint="eastAsia" w:ascii="仿宋" w:hAnsi="仿宋" w:eastAsia="仿宋" w:cs="仿宋"/>
          <w:b/>
          <w:bCs/>
          <w:sz w:val="36"/>
          <w:szCs w:val="36"/>
          <w:lang w:val="en-US" w:eastAsia="zh-CN"/>
        </w:rPr>
      </w:pPr>
      <w:r>
        <w:rPr>
          <w:rFonts w:hint="eastAsia" w:ascii="华文仿宋" w:hAnsi="华文仿宋" w:eastAsia="华文仿宋" w:cs="华文仿宋"/>
          <w:b/>
          <w:bCs/>
          <w:sz w:val="36"/>
          <w:szCs w:val="36"/>
        </w:rPr>
        <w:t>项目编号：</w:t>
      </w:r>
      <w:r>
        <w:rPr>
          <w:rFonts w:hint="eastAsia" w:ascii="仿宋" w:hAnsi="仿宋" w:eastAsia="仿宋" w:cs="仿宋"/>
          <w:b/>
          <w:bCs/>
          <w:sz w:val="36"/>
          <w:szCs w:val="36"/>
          <w:lang w:eastAsia="zh-CN"/>
        </w:rPr>
        <w:t>FGCG-GKZB-2026003</w:t>
      </w:r>
    </w:p>
    <w:p w14:paraId="3E58FFC9">
      <w:pPr>
        <w:tabs>
          <w:tab w:val="left" w:pos="1013"/>
        </w:tabs>
        <w:spacing w:line="240" w:lineRule="auto"/>
        <w:jc w:val="left"/>
        <w:rPr>
          <w:rFonts w:ascii="仿宋" w:hAnsi="仿宋" w:eastAsia="仿宋"/>
          <w:sz w:val="52"/>
          <w:szCs w:val="52"/>
        </w:rPr>
      </w:pPr>
    </w:p>
    <w:p w14:paraId="6185529F">
      <w:pPr>
        <w:spacing w:line="240" w:lineRule="auto"/>
        <w:jc w:val="center"/>
        <w:rPr>
          <w:rFonts w:hint="eastAsia" w:ascii="华文仿宋" w:hAnsi="华文仿宋" w:eastAsia="华文仿宋" w:cs="华文仿宋"/>
          <w:b/>
          <w:bCs w:val="0"/>
          <w:kern w:val="0"/>
          <w:sz w:val="56"/>
          <w:szCs w:val="56"/>
          <w:lang w:eastAsia="zh-CN"/>
        </w:rPr>
      </w:pPr>
      <w:r>
        <w:rPr>
          <w:rFonts w:hint="eastAsia" w:ascii="华文仿宋" w:hAnsi="华文仿宋" w:cs="华文仿宋"/>
          <w:b/>
          <w:bCs w:val="0"/>
          <w:sz w:val="56"/>
          <w:szCs w:val="56"/>
          <w:u w:val="none"/>
          <w:lang w:eastAsia="zh-CN"/>
        </w:rPr>
        <w:t>府谷县公安局业务技术用房及大数据应用中心办公、数据操作等家具设备采购项目</w:t>
      </w:r>
    </w:p>
    <w:p w14:paraId="2734FBD0">
      <w:pPr>
        <w:spacing w:line="240" w:lineRule="auto"/>
        <w:jc w:val="center"/>
        <w:rPr>
          <w:rFonts w:hint="eastAsia" w:cs="宋体" w:asciiTheme="majorEastAsia" w:hAnsiTheme="majorEastAsia" w:eastAsiaTheme="majorEastAsia"/>
          <w:b/>
          <w:kern w:val="0"/>
          <w:sz w:val="72"/>
          <w:szCs w:val="72"/>
        </w:rPr>
      </w:pPr>
    </w:p>
    <w:p w14:paraId="5B9DE505">
      <w:pPr>
        <w:spacing w:line="240" w:lineRule="auto"/>
        <w:jc w:val="center"/>
        <w:rPr>
          <w:rFonts w:cs="方正小标宋简体" w:asciiTheme="majorEastAsia" w:hAnsiTheme="majorEastAsia" w:eastAsiaTheme="majorEastAsia"/>
          <w:bCs/>
          <w:sz w:val="72"/>
          <w:szCs w:val="72"/>
        </w:rPr>
      </w:pPr>
      <w:r>
        <w:rPr>
          <w:rFonts w:hint="eastAsia" w:ascii="华文仿宋" w:hAnsi="华文仿宋" w:eastAsia="华文仿宋" w:cs="华文仿宋"/>
          <w:b/>
          <w:kern w:val="0"/>
          <w:sz w:val="72"/>
          <w:szCs w:val="72"/>
        </w:rPr>
        <w:t>招标文件</w:t>
      </w:r>
    </w:p>
    <w:p w14:paraId="6CABCA14">
      <w:pPr>
        <w:spacing w:line="240" w:lineRule="auto"/>
        <w:jc w:val="center"/>
        <w:rPr>
          <w:rFonts w:ascii="仿宋" w:hAnsi="仿宋" w:eastAsia="仿宋"/>
          <w:sz w:val="36"/>
          <w:szCs w:val="36"/>
        </w:rPr>
      </w:pPr>
    </w:p>
    <w:p w14:paraId="125023CA">
      <w:pPr>
        <w:pStyle w:val="4"/>
        <w:ind w:left="0" w:leftChars="0" w:firstLine="0" w:firstLineChars="0"/>
      </w:pPr>
    </w:p>
    <w:p w14:paraId="4F6E5E41">
      <w:pPr>
        <w:pStyle w:val="4"/>
      </w:pPr>
    </w:p>
    <w:p w14:paraId="2D55B40A">
      <w:pPr>
        <w:spacing w:line="240" w:lineRule="auto"/>
        <w:ind w:right="707" w:rightChars="250" w:firstLine="726" w:firstLineChars="200"/>
        <w:jc w:val="left"/>
        <w:rPr>
          <w:rFonts w:hint="eastAsia" w:ascii="华文仿宋" w:hAnsi="华文仿宋" w:cs="华文仿宋"/>
          <w:b/>
          <w:bCs/>
          <w:sz w:val="36"/>
          <w:szCs w:val="36"/>
        </w:rPr>
      </w:pPr>
    </w:p>
    <w:p w14:paraId="4B399E38">
      <w:pPr>
        <w:spacing w:line="240" w:lineRule="auto"/>
        <w:ind w:right="707" w:rightChars="250" w:firstLine="726" w:firstLineChars="200"/>
        <w:jc w:val="left"/>
        <w:rPr>
          <w:rFonts w:hint="eastAsia" w:ascii="华文仿宋" w:hAnsi="华文仿宋" w:cs="华文仿宋"/>
          <w:b/>
          <w:bCs/>
          <w:sz w:val="36"/>
          <w:szCs w:val="36"/>
        </w:rPr>
      </w:pPr>
    </w:p>
    <w:p w14:paraId="161F0BD9">
      <w:pPr>
        <w:spacing w:line="240" w:lineRule="auto"/>
        <w:ind w:right="707" w:rightChars="250" w:firstLine="726" w:firstLineChars="200"/>
        <w:jc w:val="left"/>
        <w:rPr>
          <w:rFonts w:hint="default" w:ascii="华文仿宋" w:hAnsi="华文仿宋" w:eastAsia="华文仿宋" w:cs="华文仿宋"/>
          <w:b/>
          <w:bCs/>
          <w:sz w:val="36"/>
          <w:szCs w:val="36"/>
          <w:lang w:val="en-US" w:eastAsia="zh-CN"/>
        </w:rPr>
      </w:pPr>
      <w:r>
        <w:rPr>
          <w:rFonts w:hint="eastAsia" w:ascii="华文仿宋" w:hAnsi="华文仿宋" w:cs="华文仿宋"/>
          <w:b/>
          <w:bCs/>
          <w:sz w:val="36"/>
          <w:szCs w:val="36"/>
        </w:rPr>
        <w:t>采 购 人：</w:t>
      </w:r>
      <w:r>
        <w:rPr>
          <w:rFonts w:hint="eastAsia" w:ascii="华文仿宋" w:hAnsi="华文仿宋" w:cs="华文仿宋"/>
          <w:b/>
          <w:bCs/>
          <w:sz w:val="36"/>
          <w:szCs w:val="36"/>
          <w:lang w:eastAsia="zh-CN"/>
        </w:rPr>
        <w:t>府谷县公安局</w:t>
      </w:r>
    </w:p>
    <w:p w14:paraId="48429F13">
      <w:pPr>
        <w:spacing w:line="240" w:lineRule="auto"/>
        <w:ind w:right="707" w:rightChars="250" w:firstLine="721" w:firstLineChars="199"/>
        <w:jc w:val="left"/>
        <w:rPr>
          <w:rFonts w:ascii="华文仿宋" w:hAnsi="华文仿宋" w:cs="华文仿宋"/>
          <w:b/>
          <w:bCs/>
          <w:color w:val="FF0000"/>
          <w:sz w:val="36"/>
          <w:szCs w:val="36"/>
        </w:rPr>
      </w:pPr>
      <w:r>
        <w:rPr>
          <w:rFonts w:hint="eastAsia" w:ascii="华文仿宋" w:hAnsi="华文仿宋" w:cs="华文仿宋"/>
          <w:b/>
          <w:bCs/>
          <w:sz w:val="36"/>
          <w:szCs w:val="36"/>
        </w:rPr>
        <w:t>采购代理机构：府谷县政府投资和采购服务中心</w:t>
      </w:r>
    </w:p>
    <w:p w14:paraId="74256534">
      <w:pPr>
        <w:spacing w:line="240" w:lineRule="auto"/>
        <w:jc w:val="both"/>
        <w:rPr>
          <w:rFonts w:ascii="仿宋" w:hAnsi="仿宋" w:eastAsia="仿宋"/>
          <w:sz w:val="36"/>
          <w:szCs w:val="36"/>
        </w:rPr>
      </w:pPr>
    </w:p>
    <w:p w14:paraId="64496D35">
      <w:pPr>
        <w:spacing w:line="240" w:lineRule="auto"/>
        <w:jc w:val="center"/>
        <w:rPr>
          <w:rFonts w:hint="eastAsia" w:ascii="仿宋" w:hAnsi="仿宋" w:eastAsia="仿宋" w:cs="仿宋"/>
          <w:color w:val="auto"/>
          <w:sz w:val="36"/>
          <w:szCs w:val="36"/>
          <w:lang w:eastAsia="zh-CN"/>
        </w:rPr>
      </w:pPr>
      <w:r>
        <w:rPr>
          <w:rFonts w:hint="eastAsia" w:ascii="仿宋" w:hAnsi="仿宋" w:eastAsia="仿宋" w:cs="仿宋"/>
          <w:color w:val="auto"/>
          <w:sz w:val="36"/>
          <w:szCs w:val="36"/>
          <w:lang w:eastAsia="zh-CN"/>
        </w:rPr>
        <w:t>2026年5月</w:t>
      </w:r>
      <w:r>
        <w:rPr>
          <w:rFonts w:hint="eastAsia" w:ascii="仿宋" w:hAnsi="仿宋" w:eastAsia="仿宋" w:cs="仿宋"/>
          <w:color w:val="auto"/>
          <w:sz w:val="36"/>
          <w:szCs w:val="36"/>
          <w:lang w:val="en-US" w:eastAsia="zh-CN"/>
        </w:rPr>
        <w:t>12</w:t>
      </w:r>
      <w:r>
        <w:rPr>
          <w:rFonts w:hint="eastAsia" w:ascii="仿宋" w:hAnsi="仿宋" w:eastAsia="仿宋" w:cs="仿宋"/>
          <w:color w:val="auto"/>
          <w:sz w:val="36"/>
          <w:szCs w:val="36"/>
          <w:lang w:eastAsia="zh-CN"/>
        </w:rPr>
        <w:t>日</w:t>
      </w:r>
    </w:p>
    <w:p w14:paraId="6134550E">
      <w:pPr>
        <w:spacing w:line="240" w:lineRule="auto"/>
        <w:jc w:val="center"/>
        <w:rPr>
          <w:rFonts w:hint="eastAsia" w:ascii="仿宋" w:hAnsi="仿宋" w:eastAsia="仿宋" w:cs="仿宋"/>
          <w:color w:val="auto"/>
          <w:sz w:val="36"/>
          <w:szCs w:val="36"/>
          <w:lang w:eastAsia="zh-CN"/>
        </w:rPr>
        <w:sectPr>
          <w:headerReference r:id="rId6" w:type="first"/>
          <w:headerReference r:id="rId5" w:type="default"/>
          <w:footerReference r:id="rId7" w:type="default"/>
          <w:pgSz w:w="11906" w:h="16838"/>
          <w:pgMar w:top="1417" w:right="1417" w:bottom="1417" w:left="1417" w:header="850" w:footer="992" w:gutter="0"/>
          <w:pgNumType w:fmt="decimal"/>
          <w:cols w:space="720" w:num="1"/>
          <w:titlePg/>
          <w:docGrid w:type="linesAndChars" w:linePitch="381" w:charSpace="704"/>
        </w:sectPr>
      </w:pPr>
    </w:p>
    <w:p w14:paraId="7F8054CC">
      <w:pPr>
        <w:spacing w:line="240" w:lineRule="auto"/>
        <w:jc w:val="center"/>
        <w:rPr>
          <w:sz w:val="52"/>
          <w:szCs w:val="52"/>
        </w:rPr>
      </w:pPr>
    </w:p>
    <w:p w14:paraId="6EB5E448">
      <w:pPr>
        <w:spacing w:line="240" w:lineRule="auto"/>
        <w:jc w:val="center"/>
        <w:rPr>
          <w:sz w:val="52"/>
          <w:szCs w:val="52"/>
        </w:rPr>
      </w:pPr>
    </w:p>
    <w:p w14:paraId="6C1A6477">
      <w:pPr>
        <w:pStyle w:val="2"/>
        <w:rPr>
          <w:rFonts w:ascii="黑体" w:hAnsi="黑体" w:eastAsia="黑体"/>
          <w:b w:val="0"/>
          <w:sz w:val="44"/>
        </w:rPr>
      </w:pPr>
      <w:r>
        <w:rPr>
          <w:rFonts w:ascii="黑体" w:hAnsi="黑体" w:eastAsia="黑体"/>
          <w:b w:val="0"/>
          <w:sz w:val="44"/>
        </w:rPr>
        <w:t>目  录</w:t>
      </w:r>
    </w:p>
    <w:p w14:paraId="64BF07C5">
      <w:pPr>
        <w:spacing w:line="240" w:lineRule="auto"/>
        <w:jc w:val="center"/>
        <w:rPr>
          <w:b/>
          <w:sz w:val="36"/>
          <w:szCs w:val="36"/>
        </w:rPr>
      </w:pPr>
    </w:p>
    <w:p w14:paraId="3FC4382D">
      <w:pPr>
        <w:pStyle w:val="18"/>
        <w:tabs>
          <w:tab w:val="right" w:leader="hyphen" w:pos="8504"/>
        </w:tabs>
        <w:spacing w:afterLines="100"/>
        <w:ind w:left="2018" w:leftChars="200" w:right="566" w:rightChars="200" w:hanging="1452" w:hangingChars="400"/>
        <w:rPr>
          <w:sz w:val="36"/>
          <w:szCs w:val="22"/>
        </w:rPr>
      </w:pPr>
      <w:r>
        <w:rPr>
          <w:sz w:val="36"/>
        </w:rPr>
        <w:fldChar w:fldCharType="begin"/>
      </w:r>
      <w:r>
        <w:rPr>
          <w:sz w:val="36"/>
        </w:rPr>
        <w:instrText xml:space="preserve"> TOC \o "1-1" \f - \t "-1"</w:instrText>
      </w:r>
      <w:r>
        <w:rPr>
          <w:sz w:val="36"/>
        </w:rPr>
        <w:fldChar w:fldCharType="separate"/>
      </w:r>
      <w:r>
        <w:rPr>
          <w:sz w:val="36"/>
        </w:rPr>
        <w:t xml:space="preserve">第一章  </w:t>
      </w:r>
      <w:r>
        <w:rPr>
          <w:rFonts w:hint="eastAsia"/>
          <w:sz w:val="36"/>
        </w:rPr>
        <w:t>招标公告</w:t>
      </w:r>
    </w:p>
    <w:p w14:paraId="24DF0C4C">
      <w:pPr>
        <w:pStyle w:val="18"/>
        <w:tabs>
          <w:tab w:val="right" w:leader="hyphen" w:pos="8504"/>
        </w:tabs>
        <w:spacing w:afterLines="100"/>
        <w:ind w:left="2018" w:leftChars="200" w:right="566" w:rightChars="200" w:hanging="1452" w:hangingChars="400"/>
        <w:rPr>
          <w:sz w:val="36"/>
        </w:rPr>
      </w:pPr>
      <w:r>
        <w:rPr>
          <w:sz w:val="36"/>
        </w:rPr>
        <w:t xml:space="preserve">第二章  </w:t>
      </w:r>
      <w:r>
        <w:rPr>
          <w:rFonts w:hint="eastAsia"/>
          <w:sz w:val="36"/>
        </w:rPr>
        <w:t>投标人</w:t>
      </w:r>
      <w:r>
        <w:rPr>
          <w:sz w:val="36"/>
        </w:rPr>
        <w:t>须知</w:t>
      </w:r>
    </w:p>
    <w:p w14:paraId="4804D361">
      <w:pPr>
        <w:pStyle w:val="18"/>
        <w:tabs>
          <w:tab w:val="right" w:leader="hyphen" w:pos="8504"/>
        </w:tabs>
        <w:spacing w:afterLines="100"/>
        <w:ind w:left="2018" w:leftChars="200" w:right="566" w:rightChars="200" w:hanging="1452" w:hangingChars="400"/>
        <w:rPr>
          <w:sz w:val="36"/>
        </w:rPr>
      </w:pPr>
      <w:r>
        <w:rPr>
          <w:sz w:val="36"/>
        </w:rPr>
        <w:t>第三章  评审办法及标准</w:t>
      </w:r>
    </w:p>
    <w:p w14:paraId="24FBC935">
      <w:pPr>
        <w:pStyle w:val="18"/>
        <w:tabs>
          <w:tab w:val="right" w:leader="hyphen" w:pos="8504"/>
        </w:tabs>
        <w:spacing w:afterLines="100"/>
        <w:ind w:left="2018" w:leftChars="200" w:right="566" w:rightChars="200" w:hanging="1452" w:hangingChars="400"/>
        <w:rPr>
          <w:sz w:val="36"/>
          <w:szCs w:val="22"/>
        </w:rPr>
      </w:pPr>
      <w:r>
        <w:rPr>
          <w:sz w:val="36"/>
        </w:rPr>
        <w:t>第四章</w:t>
      </w:r>
      <w:r>
        <w:rPr>
          <w:rFonts w:hint="eastAsia"/>
          <w:sz w:val="36"/>
        </w:rPr>
        <w:t xml:space="preserve">  </w:t>
      </w:r>
      <w:r>
        <w:rPr>
          <w:sz w:val="36"/>
        </w:rPr>
        <w:t>招标内容及</w:t>
      </w:r>
      <w:r>
        <w:rPr>
          <w:rFonts w:hint="eastAsia"/>
          <w:sz w:val="36"/>
        </w:rPr>
        <w:t>采购</w:t>
      </w:r>
      <w:r>
        <w:rPr>
          <w:sz w:val="36"/>
        </w:rPr>
        <w:t>要求</w:t>
      </w:r>
    </w:p>
    <w:p w14:paraId="6DD46870">
      <w:pPr>
        <w:pStyle w:val="18"/>
        <w:tabs>
          <w:tab w:val="right" w:leader="hyphen" w:pos="8504"/>
        </w:tabs>
        <w:spacing w:afterLines="100"/>
        <w:ind w:left="2018" w:leftChars="200" w:right="566" w:rightChars="200" w:hanging="1452" w:hangingChars="400"/>
        <w:rPr>
          <w:sz w:val="36"/>
          <w:szCs w:val="22"/>
        </w:rPr>
      </w:pPr>
      <w:r>
        <w:rPr>
          <w:sz w:val="36"/>
        </w:rPr>
        <w:t>第</w:t>
      </w:r>
      <w:r>
        <w:rPr>
          <w:rFonts w:hint="eastAsia"/>
          <w:sz w:val="36"/>
        </w:rPr>
        <w:t>五</w:t>
      </w:r>
      <w:r>
        <w:rPr>
          <w:sz w:val="36"/>
        </w:rPr>
        <w:t xml:space="preserve">章  </w:t>
      </w:r>
      <w:r>
        <w:rPr>
          <w:rFonts w:hint="eastAsia"/>
          <w:sz w:val="36"/>
        </w:rPr>
        <w:t>商务及合同主要条款</w:t>
      </w:r>
    </w:p>
    <w:p w14:paraId="6C9F2DFC">
      <w:pPr>
        <w:pStyle w:val="18"/>
        <w:tabs>
          <w:tab w:val="right" w:leader="hyphen" w:pos="8504"/>
        </w:tabs>
        <w:spacing w:afterLines="100"/>
        <w:ind w:left="2018" w:leftChars="200" w:right="566" w:rightChars="200" w:hanging="1452" w:hangingChars="400"/>
        <w:rPr>
          <w:sz w:val="36"/>
        </w:rPr>
      </w:pPr>
      <w:r>
        <w:rPr>
          <w:sz w:val="36"/>
        </w:rPr>
        <w:t>第</w:t>
      </w:r>
      <w:r>
        <w:rPr>
          <w:rFonts w:hint="eastAsia"/>
          <w:sz w:val="36"/>
        </w:rPr>
        <w:t>六</w:t>
      </w:r>
      <w:r>
        <w:rPr>
          <w:sz w:val="36"/>
        </w:rPr>
        <w:t>章  投标文件构成及格式</w:t>
      </w:r>
    </w:p>
    <w:p w14:paraId="0B580440">
      <w:pPr>
        <w:ind w:firstLine="533" w:firstLineChars="147"/>
        <w:rPr>
          <w:sz w:val="36"/>
        </w:rPr>
      </w:pPr>
      <w:r>
        <w:rPr>
          <w:rFonts w:hint="eastAsia"/>
          <w:sz w:val="36"/>
        </w:rPr>
        <w:t>第七章  封袋正面标识样式</w:t>
      </w:r>
    </w:p>
    <w:p w14:paraId="0E4EFCEB">
      <w:pPr>
        <w:tabs>
          <w:tab w:val="right" w:leader="hyphen" w:pos="8504"/>
        </w:tabs>
        <w:spacing w:afterLines="100"/>
        <w:ind w:left="2018" w:leftChars="200" w:right="566" w:rightChars="200" w:hanging="1452" w:hangingChars="400"/>
        <w:rPr>
          <w:sz w:val="36"/>
        </w:rPr>
      </w:pPr>
      <w:r>
        <w:rPr>
          <w:sz w:val="36"/>
        </w:rPr>
        <w:fldChar w:fldCharType="end"/>
      </w:r>
    </w:p>
    <w:p w14:paraId="23EF9852">
      <w:pPr>
        <w:tabs>
          <w:tab w:val="right" w:leader="hyphen" w:pos="8504"/>
        </w:tabs>
        <w:spacing w:afterLines="100"/>
        <w:ind w:left="2018" w:leftChars="200" w:right="566" w:rightChars="200" w:hanging="1452" w:hangingChars="400"/>
        <w:rPr>
          <w:sz w:val="36"/>
        </w:rPr>
        <w:sectPr>
          <w:footerReference r:id="rId9" w:type="first"/>
          <w:footerReference r:id="rId8" w:type="default"/>
          <w:pgSz w:w="11906" w:h="16838"/>
          <w:pgMar w:top="1417" w:right="1417" w:bottom="1417" w:left="1417" w:header="850" w:footer="992" w:gutter="0"/>
          <w:pgNumType w:fmt="decimal" w:start="1"/>
          <w:cols w:space="720" w:num="1"/>
          <w:titlePg/>
          <w:docGrid w:type="linesAndChars" w:linePitch="381" w:charSpace="704"/>
        </w:sectPr>
      </w:pPr>
    </w:p>
    <w:p w14:paraId="0126B6E6">
      <w:pPr>
        <w:pStyle w:val="2"/>
        <w:rPr>
          <w:rFonts w:ascii="黑体" w:hAnsi="黑体" w:eastAsia="黑体"/>
          <w:b w:val="0"/>
          <w:sz w:val="32"/>
          <w:szCs w:val="32"/>
        </w:rPr>
      </w:pPr>
      <w:bookmarkStart w:id="0" w:name="_Toc495014583"/>
      <w:bookmarkStart w:id="1" w:name="_Toc495012819"/>
      <w:bookmarkStart w:id="2" w:name="_Toc445306491"/>
      <w:bookmarkStart w:id="3" w:name="_Toc495014918"/>
      <w:bookmarkStart w:id="4" w:name="_Toc495014647"/>
      <w:bookmarkStart w:id="5" w:name="_Toc495014609"/>
      <w:bookmarkStart w:id="6" w:name="_Toc495014952"/>
      <w:bookmarkStart w:id="7" w:name="_Toc495012769"/>
      <w:bookmarkStart w:id="8" w:name="OLE_LINK1"/>
      <w:r>
        <w:rPr>
          <w:rFonts w:ascii="黑体" w:hAnsi="黑体" w:eastAsia="黑体"/>
          <w:b w:val="0"/>
          <w:sz w:val="32"/>
          <w:szCs w:val="32"/>
        </w:rPr>
        <w:t xml:space="preserve">第一章  </w:t>
      </w:r>
      <w:bookmarkEnd w:id="0"/>
      <w:bookmarkEnd w:id="1"/>
      <w:bookmarkEnd w:id="2"/>
      <w:bookmarkEnd w:id="3"/>
      <w:bookmarkEnd w:id="4"/>
      <w:bookmarkEnd w:id="5"/>
      <w:bookmarkEnd w:id="6"/>
      <w:bookmarkEnd w:id="7"/>
      <w:bookmarkStart w:id="9" w:name="OLE_LINK2"/>
      <w:r>
        <w:rPr>
          <w:rFonts w:hint="eastAsia" w:ascii="黑体" w:hAnsi="黑体" w:eastAsia="黑体"/>
          <w:b w:val="0"/>
          <w:sz w:val="32"/>
          <w:szCs w:val="32"/>
        </w:rPr>
        <w:t>招标公告</w:t>
      </w:r>
    </w:p>
    <w:p w14:paraId="79964AD5">
      <w:pPr>
        <w:spacing w:line="500" w:lineRule="exact"/>
        <w:ind w:firstLine="566" w:firstLineChars="200"/>
        <w:rPr>
          <w:rFonts w:ascii="华文仿宋" w:hAnsi="华文仿宋" w:cs="华文仿宋"/>
          <w:b/>
        </w:rPr>
      </w:pPr>
      <w:bookmarkStart w:id="10" w:name="_Toc495014648"/>
      <w:bookmarkStart w:id="11" w:name="_Toc495014919"/>
      <w:bookmarkStart w:id="12" w:name="_Toc495014584"/>
      <w:bookmarkStart w:id="13" w:name="_Toc445306492"/>
      <w:bookmarkStart w:id="14" w:name="_Toc495014610"/>
      <w:bookmarkStart w:id="15" w:name="_Toc495012820"/>
      <w:bookmarkStart w:id="16" w:name="_Toc495012770"/>
      <w:bookmarkStart w:id="17" w:name="_Toc495014953"/>
      <w:r>
        <w:rPr>
          <w:rFonts w:hint="eastAsia" w:ascii="华文仿宋" w:hAnsi="华文仿宋" w:cs="华文仿宋"/>
          <w:b/>
          <w:lang w:eastAsia="zh-CN"/>
        </w:rPr>
        <w:t>府谷县公安局业务技术用房及大数据应用中心办公、数据操作等家具设备采购项目</w:t>
      </w:r>
      <w:r>
        <w:rPr>
          <w:rFonts w:hint="eastAsia" w:ascii="华文仿宋" w:hAnsi="华文仿宋" w:cs="华文仿宋"/>
          <w:b w:val="0"/>
          <w:bCs/>
        </w:rPr>
        <w:t>的潜在投标人可</w:t>
      </w:r>
      <w:r>
        <w:rPr>
          <w:rFonts w:hint="eastAsia" w:ascii="华文仿宋" w:hAnsi="华文仿宋" w:cs="华文仿宋"/>
          <w:highlight w:val="none"/>
        </w:rPr>
        <w:t>登录全国公共资源交易平台（陕西省）（</w:t>
      </w:r>
      <w:r>
        <w:rPr>
          <w:rFonts w:hint="eastAsia" w:ascii="宋体" w:hAnsi="宋体" w:cs="宋体"/>
          <w:highlight w:val="none"/>
        </w:rPr>
        <w:t>www.sxggzyjy.cn</w:t>
      </w:r>
      <w:r>
        <w:rPr>
          <w:rFonts w:hint="eastAsia" w:ascii="华文仿宋" w:hAnsi="华文仿宋" w:cs="华文仿宋"/>
          <w:highlight w:val="none"/>
        </w:rPr>
        <w:t>）使用数字认证证书（</w:t>
      </w:r>
      <w:r>
        <w:rPr>
          <w:rFonts w:hint="eastAsia" w:ascii="华文仿宋" w:hAnsi="华文仿宋"/>
          <w:highlight w:val="none"/>
        </w:rPr>
        <w:t>CA锁</w:t>
      </w:r>
      <w:r>
        <w:rPr>
          <w:rFonts w:hint="eastAsia" w:ascii="华文仿宋" w:hAnsi="华文仿宋" w:cs="华文仿宋"/>
          <w:highlight w:val="none"/>
        </w:rPr>
        <w:t>）自行下载</w:t>
      </w:r>
      <w:r>
        <w:rPr>
          <w:rFonts w:hint="eastAsia" w:ascii="华文仿宋" w:hAnsi="华文仿宋" w:cs="华文仿宋"/>
          <w:highlight w:val="none"/>
          <w:lang w:val="en-US" w:eastAsia="zh-CN"/>
        </w:rPr>
        <w:t>获取</w:t>
      </w:r>
      <w:r>
        <w:rPr>
          <w:rFonts w:hint="eastAsia" w:ascii="华文仿宋" w:hAnsi="华文仿宋" w:cs="华文仿宋"/>
          <w:highlight w:val="none"/>
        </w:rPr>
        <w:t>招标文件</w:t>
      </w:r>
      <w:r>
        <w:rPr>
          <w:rFonts w:hint="eastAsia" w:ascii="华文仿宋" w:hAnsi="华文仿宋" w:cs="华文仿宋"/>
          <w:b/>
        </w:rPr>
        <w:t>，并于</w:t>
      </w:r>
      <w:r>
        <w:rPr>
          <w:rFonts w:hint="eastAsia" w:ascii="华文仿宋" w:hAnsi="华文仿宋" w:cs="华文仿宋"/>
          <w:b/>
          <w:lang w:eastAsia="zh-CN"/>
        </w:rPr>
        <w:t>2026年</w:t>
      </w:r>
      <w:r>
        <w:rPr>
          <w:rFonts w:hint="eastAsia" w:ascii="华文仿宋" w:hAnsi="华文仿宋" w:cs="华文仿宋"/>
          <w:b/>
          <w:lang w:val="en-US" w:eastAsia="zh-CN"/>
        </w:rPr>
        <w:t>6</w:t>
      </w:r>
      <w:r>
        <w:rPr>
          <w:rFonts w:hint="eastAsia" w:ascii="华文仿宋" w:hAnsi="华文仿宋" w:cs="华文仿宋"/>
          <w:b/>
          <w:lang w:eastAsia="zh-CN"/>
        </w:rPr>
        <w:t>月</w:t>
      </w:r>
      <w:r>
        <w:rPr>
          <w:rFonts w:hint="eastAsia" w:ascii="华文仿宋" w:hAnsi="华文仿宋" w:cs="华文仿宋"/>
          <w:b/>
          <w:lang w:val="en-US" w:eastAsia="zh-CN"/>
        </w:rPr>
        <w:t>18</w:t>
      </w:r>
      <w:r>
        <w:rPr>
          <w:rFonts w:hint="eastAsia" w:ascii="华文仿宋" w:hAnsi="华文仿宋" w:cs="华文仿宋"/>
          <w:b/>
          <w:lang w:eastAsia="zh-CN"/>
        </w:rPr>
        <w:t>日</w:t>
      </w:r>
      <w:r>
        <w:rPr>
          <w:rFonts w:hint="eastAsia" w:ascii="华文仿宋" w:hAnsi="华文仿宋" w:cs="华文仿宋"/>
          <w:b/>
          <w:lang w:val="en-US" w:eastAsia="zh-CN"/>
        </w:rPr>
        <w:t>上</w:t>
      </w:r>
      <w:r>
        <w:rPr>
          <w:rFonts w:hint="eastAsia" w:ascii="华文仿宋" w:hAnsi="华文仿宋" w:cs="华文仿宋"/>
          <w:b/>
        </w:rPr>
        <w:t>午</w:t>
      </w:r>
      <w:r>
        <w:rPr>
          <w:rFonts w:hint="eastAsia" w:ascii="华文仿宋" w:hAnsi="华文仿宋" w:cs="华文仿宋"/>
          <w:b/>
          <w:lang w:val="en-US" w:eastAsia="zh-CN"/>
        </w:rPr>
        <w:t>9时</w:t>
      </w:r>
      <w:r>
        <w:rPr>
          <w:rFonts w:hint="eastAsia" w:ascii="华文仿宋" w:hAnsi="华文仿宋" w:cs="华文仿宋"/>
          <w:b/>
        </w:rPr>
        <w:t>30分前递交投标文件。</w:t>
      </w:r>
    </w:p>
    <w:p w14:paraId="04465BFA">
      <w:pPr>
        <w:spacing w:line="500" w:lineRule="exact"/>
        <w:ind w:firstLine="599"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rPr>
        <w:t>一、项目基本情况</w:t>
      </w:r>
    </w:p>
    <w:p w14:paraId="7E646FCF">
      <w:pPr>
        <w:pStyle w:val="4"/>
        <w:ind w:firstLine="556" w:firstLineChars="197"/>
        <w:rPr>
          <w:rFonts w:hint="eastAsia" w:ascii="仿宋" w:hAnsi="仿宋" w:eastAsia="仿宋" w:cs="仿宋"/>
          <w:b w:val="0"/>
          <w:bCs/>
          <w:lang w:val="en-US" w:eastAsia="zh-CN"/>
        </w:rPr>
      </w:pPr>
      <w:r>
        <w:rPr>
          <w:rFonts w:hint="eastAsia" w:ascii="仿宋" w:hAnsi="仿宋" w:eastAsia="仿宋" w:cs="仿宋"/>
          <w:b w:val="0"/>
          <w:bCs/>
        </w:rPr>
        <w:t>1、项目编号</w:t>
      </w:r>
      <w:r>
        <w:rPr>
          <w:rFonts w:hint="eastAsia" w:ascii="仿宋" w:hAnsi="仿宋" w:eastAsia="仿宋" w:cs="仿宋"/>
          <w:b w:val="0"/>
          <w:bCs/>
          <w:lang w:eastAsia="zh-CN"/>
        </w:rPr>
        <w:t>：FGCG-GKZB-2026003</w:t>
      </w:r>
    </w:p>
    <w:p w14:paraId="50E841D0">
      <w:pPr>
        <w:pStyle w:val="4"/>
        <w:ind w:firstLine="556" w:firstLineChars="197"/>
        <w:rPr>
          <w:rFonts w:hint="eastAsia" w:ascii="仿宋" w:hAnsi="仿宋" w:eastAsia="仿宋" w:cs="仿宋"/>
          <w:b w:val="0"/>
          <w:bCs/>
          <w:lang w:eastAsia="zh-CN"/>
        </w:rPr>
      </w:pPr>
      <w:r>
        <w:rPr>
          <w:rFonts w:hint="eastAsia" w:ascii="仿宋" w:hAnsi="仿宋" w:eastAsia="仿宋" w:cs="仿宋"/>
          <w:b w:val="0"/>
          <w:bCs/>
        </w:rPr>
        <w:t>2、项目名称：</w:t>
      </w:r>
      <w:r>
        <w:rPr>
          <w:rFonts w:hint="eastAsia" w:ascii="仿宋" w:hAnsi="仿宋" w:eastAsia="仿宋" w:cs="仿宋"/>
          <w:b w:val="0"/>
          <w:bCs/>
          <w:lang w:eastAsia="zh-CN"/>
        </w:rPr>
        <w:t>府谷县公安局业务技术用房及大数据应用中心办公、数据操作等家具设备采购项目</w:t>
      </w:r>
    </w:p>
    <w:p w14:paraId="001495A6">
      <w:pPr>
        <w:pStyle w:val="4"/>
        <w:ind w:firstLine="556" w:firstLineChars="197"/>
        <w:rPr>
          <w:rFonts w:hint="eastAsia" w:ascii="仿宋" w:hAnsi="仿宋" w:eastAsia="仿宋" w:cs="仿宋"/>
          <w:b w:val="0"/>
          <w:bCs/>
          <w:color w:val="auto"/>
          <w:lang w:eastAsia="zh-CN"/>
        </w:rPr>
      </w:pPr>
      <w:r>
        <w:rPr>
          <w:rFonts w:hint="eastAsia" w:ascii="仿宋" w:hAnsi="仿宋" w:eastAsia="仿宋" w:cs="仿宋"/>
          <w:b w:val="0"/>
          <w:bCs/>
        </w:rPr>
        <w:t>3、采购方式：</w:t>
      </w:r>
      <w:r>
        <w:rPr>
          <w:rFonts w:hint="eastAsia" w:ascii="仿宋" w:hAnsi="仿宋" w:eastAsia="仿宋" w:cs="仿宋"/>
          <w:b w:val="0"/>
          <w:bCs/>
          <w:color w:val="auto"/>
          <w:lang w:eastAsia="zh-CN"/>
        </w:rPr>
        <w:t>公开招标</w:t>
      </w:r>
    </w:p>
    <w:p w14:paraId="751EE04D">
      <w:pPr>
        <w:pStyle w:val="4"/>
        <w:ind w:firstLine="556" w:firstLineChars="197"/>
        <w:rPr>
          <w:rFonts w:hint="eastAsia" w:ascii="仿宋" w:hAnsi="仿宋" w:eastAsia="仿宋" w:cs="仿宋"/>
          <w:b w:val="0"/>
          <w:bCs/>
          <w:color w:val="auto"/>
          <w:lang w:val="en-US" w:eastAsia="zh-CN"/>
        </w:rPr>
      </w:pPr>
      <w:r>
        <w:rPr>
          <w:rFonts w:hint="eastAsia" w:ascii="仿宋" w:hAnsi="仿宋" w:eastAsia="仿宋" w:cs="仿宋"/>
          <w:b w:val="0"/>
          <w:bCs/>
          <w:color w:val="auto"/>
          <w:lang w:eastAsia="zh-CN"/>
        </w:rPr>
        <w:t>4、预算金额：</w:t>
      </w:r>
      <w:r>
        <w:rPr>
          <w:rFonts w:hint="eastAsia" w:ascii="仿宋" w:hAnsi="仿宋" w:eastAsia="仿宋" w:cs="仿宋"/>
          <w:b w:val="0"/>
          <w:bCs/>
          <w:color w:val="auto"/>
          <w:lang w:val="en-US" w:eastAsia="zh-CN"/>
        </w:rPr>
        <w:t>8435289.00元</w:t>
      </w:r>
    </w:p>
    <w:p w14:paraId="1AC7B4DF">
      <w:pPr>
        <w:keepNext w:val="0"/>
        <w:keepLines w:val="0"/>
        <w:widowControl/>
        <w:suppressLineNumbers w:val="0"/>
        <w:ind w:firstLine="566" w:firstLineChars="200"/>
        <w:jc w:val="left"/>
        <w:rPr>
          <w:rFonts w:hint="eastAsia" w:ascii="仿宋" w:hAnsi="仿宋" w:eastAsia="仿宋" w:cs="仿宋"/>
          <w:b w:val="0"/>
          <w:bCs/>
          <w:lang w:val="en-US" w:eastAsia="zh-CN"/>
        </w:rPr>
      </w:pPr>
      <w:r>
        <w:rPr>
          <w:rFonts w:hint="eastAsia" w:ascii="仿宋" w:hAnsi="仿宋" w:eastAsia="仿宋" w:cs="仿宋"/>
          <w:b w:val="0"/>
          <w:bCs/>
          <w:color w:val="auto"/>
          <w:lang w:eastAsia="zh-CN"/>
        </w:rPr>
        <w:t>5、最高限价：</w:t>
      </w:r>
      <w:r>
        <w:rPr>
          <w:rFonts w:hint="eastAsia" w:ascii="仿宋" w:hAnsi="仿宋" w:eastAsia="仿宋" w:cs="仿宋"/>
          <w:b w:val="0"/>
          <w:bCs/>
          <w:color w:val="auto"/>
          <w:kern w:val="2"/>
          <w:sz w:val="28"/>
          <w:szCs w:val="28"/>
          <w:lang w:val="en-US" w:eastAsia="zh-CN" w:bidi="ar-SA"/>
        </w:rPr>
        <w:t>8435289.00</w:t>
      </w:r>
      <w:r>
        <w:rPr>
          <w:rFonts w:hint="eastAsia" w:ascii="仿宋" w:hAnsi="仿宋" w:eastAsia="仿宋" w:cs="仿宋"/>
          <w:b w:val="0"/>
          <w:bCs/>
          <w:color w:val="auto"/>
          <w:lang w:val="en-US" w:eastAsia="zh-CN"/>
        </w:rPr>
        <w:t>元</w:t>
      </w:r>
    </w:p>
    <w:p w14:paraId="74A4A220">
      <w:pPr>
        <w:pStyle w:val="4"/>
        <w:ind w:firstLine="556" w:firstLineChars="197"/>
        <w:rPr>
          <w:rFonts w:hint="eastAsia" w:ascii="仿宋" w:hAnsi="仿宋" w:eastAsia="仿宋" w:cs="仿宋"/>
          <w:b w:val="0"/>
          <w:bCs/>
        </w:rPr>
      </w:pPr>
      <w:r>
        <w:rPr>
          <w:rFonts w:hint="eastAsia" w:ascii="仿宋" w:hAnsi="仿宋" w:eastAsia="仿宋" w:cs="仿宋"/>
          <w:b w:val="0"/>
          <w:bCs/>
        </w:rPr>
        <w:t>6、采购需求：</w:t>
      </w:r>
    </w:p>
    <w:p w14:paraId="2B73ACBF">
      <w:pPr>
        <w:ind w:firstLine="566" w:firstLineChars="200"/>
        <w:rPr>
          <w:rFonts w:hint="default"/>
          <w:lang w:val="en-US" w:eastAsia="zh-CN"/>
        </w:rPr>
      </w:pPr>
      <w:r>
        <w:rPr>
          <w:rFonts w:hint="eastAsia"/>
          <w:lang w:val="en-US" w:eastAsia="zh-CN"/>
        </w:rPr>
        <w:t>府谷公安业务技术用房及大数据应用中心项目已完工，为使项目尽快投入使用，需配置一批业务办公、数据操作等家具设备。</w:t>
      </w:r>
    </w:p>
    <w:p w14:paraId="6FFE5AF6">
      <w:pPr>
        <w:pStyle w:val="4"/>
        <w:ind w:left="0" w:leftChars="0" w:firstLine="566" w:firstLineChars="200"/>
        <w:rPr>
          <w:rFonts w:hint="eastAsia" w:ascii="Calibri Light" w:hAnsi="Calibri Light" w:eastAsia="华文仿宋" w:cs="Calibri Light"/>
          <w:kern w:val="2"/>
          <w:sz w:val="28"/>
          <w:szCs w:val="28"/>
          <w:lang w:val="zh-CN" w:eastAsia="zh-CN" w:bidi="ar-SA"/>
        </w:rPr>
      </w:pPr>
      <w:r>
        <w:rPr>
          <w:rFonts w:hint="eastAsia" w:ascii="Calibri Light" w:hAnsi="Calibri Light" w:eastAsia="华文仿宋" w:cs="Calibri Light"/>
          <w:kern w:val="2"/>
          <w:sz w:val="28"/>
          <w:szCs w:val="28"/>
          <w:lang w:val="zh-CN" w:eastAsia="zh-CN" w:bidi="ar-SA"/>
        </w:rPr>
        <w:t>具体情况详见招标文件第四章〈采购内容及采购要求〉</w:t>
      </w:r>
    </w:p>
    <w:p w14:paraId="540BA345">
      <w:pPr>
        <w:pStyle w:val="4"/>
        <w:numPr>
          <w:ilvl w:val="0"/>
          <w:numId w:val="1"/>
        </w:numPr>
        <w:ind w:firstLine="556" w:firstLineChars="197"/>
        <w:rPr>
          <w:b w:val="0"/>
          <w:bCs/>
        </w:rPr>
      </w:pPr>
      <w:r>
        <w:rPr>
          <w:rFonts w:hint="eastAsia"/>
          <w:b w:val="0"/>
          <w:bCs/>
          <w:lang w:val="en-US" w:eastAsia="zh-CN"/>
        </w:rPr>
        <w:t>交货期</w:t>
      </w:r>
      <w:r>
        <w:rPr>
          <w:rFonts w:hint="eastAsia"/>
          <w:b w:val="0"/>
          <w:bCs/>
        </w:rPr>
        <w:t>：</w:t>
      </w:r>
      <w:r>
        <w:rPr>
          <w:rFonts w:hint="eastAsia"/>
          <w:b w:val="0"/>
          <w:bCs/>
          <w:lang w:val="en-US" w:eastAsia="zh-CN"/>
        </w:rPr>
        <w:t>自合同签订之日起50日历天完成交付。</w:t>
      </w:r>
    </w:p>
    <w:p w14:paraId="5D18319F">
      <w:pPr>
        <w:pStyle w:val="4"/>
        <w:numPr>
          <w:ilvl w:val="0"/>
          <w:numId w:val="1"/>
        </w:numPr>
        <w:ind w:firstLine="556" w:firstLineChars="197"/>
        <w:rPr>
          <w:b w:val="0"/>
          <w:bCs/>
        </w:rPr>
      </w:pPr>
      <w:r>
        <w:rPr>
          <w:rFonts w:hint="eastAsia"/>
          <w:b w:val="0"/>
          <w:bCs/>
        </w:rPr>
        <w:t>本项目不接受联合体投标。</w:t>
      </w:r>
    </w:p>
    <w:p w14:paraId="5C31C1D8">
      <w:pPr>
        <w:spacing w:line="500" w:lineRule="exact"/>
        <w:ind w:firstLine="599" w:firstLineChars="247"/>
        <w:rPr>
          <w:rFonts w:ascii="微软雅黑" w:hAnsi="微软雅黑" w:eastAsia="微软雅黑"/>
          <w:b/>
          <w:bCs/>
          <w:color w:val="333333"/>
          <w:sz w:val="24"/>
          <w:szCs w:val="24"/>
          <w:shd w:val="clear" w:color="auto" w:fill="FFFFFF"/>
        </w:rPr>
      </w:pPr>
      <w:r>
        <w:rPr>
          <w:rFonts w:hint="eastAsia" w:ascii="微软雅黑" w:hAnsi="微软雅黑" w:eastAsia="微软雅黑"/>
          <w:b/>
          <w:bCs/>
          <w:color w:val="333333"/>
          <w:sz w:val="24"/>
          <w:szCs w:val="24"/>
          <w:shd w:val="clear" w:color="auto" w:fill="FFFFFF"/>
        </w:rPr>
        <w:t>二、申请人的资格要求</w:t>
      </w:r>
    </w:p>
    <w:p w14:paraId="6A979E71">
      <w:pPr>
        <w:pStyle w:val="4"/>
        <w:ind w:left="0" w:leftChars="0" w:firstLine="566" w:firstLineChars="200"/>
      </w:pPr>
      <w:r>
        <w:rPr>
          <w:rFonts w:hint="eastAsia"/>
        </w:rPr>
        <w:t>1、满足《中华人民共和国政府采购法》第二十二条规定；</w:t>
      </w:r>
    </w:p>
    <w:p w14:paraId="19D70932">
      <w:pPr>
        <w:spacing w:line="500" w:lineRule="exact"/>
        <w:ind w:firstLine="566" w:firstLineChars="200"/>
        <w:rPr>
          <w:rFonts w:hint="eastAsia"/>
        </w:rPr>
      </w:pPr>
      <w:r>
        <w:rPr>
          <w:rFonts w:hint="eastAsia"/>
        </w:rPr>
        <w:t>2、落实政府采购政策需满足的资格要求：</w:t>
      </w:r>
    </w:p>
    <w:bookmarkEnd w:id="8"/>
    <w:bookmarkEnd w:id="9"/>
    <w:p w14:paraId="68E86930">
      <w:pPr>
        <w:spacing w:line="500" w:lineRule="exact"/>
        <w:ind w:firstLine="566" w:firstLineChars="200"/>
        <w:rPr>
          <w:rFonts w:ascii="仿宋" w:hAnsi="仿宋" w:eastAsia="仿宋" w:cs="仿宋"/>
        </w:rPr>
      </w:pPr>
      <w:r>
        <w:rPr>
          <w:rFonts w:hint="eastAsia" w:ascii="仿宋" w:hAnsi="仿宋" w:eastAsia="仿宋" w:cs="仿宋"/>
          <w:u w:val="single"/>
        </w:rPr>
        <w:t>（</w:t>
      </w:r>
      <w:r>
        <w:rPr>
          <w:rFonts w:hint="eastAsia" w:ascii="仿宋" w:hAnsi="仿宋" w:eastAsia="仿宋" w:cs="仿宋"/>
          <w:i/>
          <w:iCs/>
          <w:u w:val="single"/>
        </w:rPr>
        <w:t>本项目专门面向中小企业采购,供应商必须为中小企业、监狱企业、残疾人福利性单位</w:t>
      </w:r>
      <w:r>
        <w:rPr>
          <w:rFonts w:hint="eastAsia" w:ascii="仿宋" w:hAnsi="仿宋" w:eastAsia="仿宋" w:cs="仿宋"/>
          <w:u w:val="single"/>
        </w:rPr>
        <w:t>)</w:t>
      </w:r>
    </w:p>
    <w:p w14:paraId="38E73206">
      <w:pPr>
        <w:spacing w:line="500" w:lineRule="exact"/>
        <w:ind w:firstLine="566" w:firstLineChars="200"/>
        <w:rPr>
          <w:rFonts w:hint="eastAsia" w:ascii="仿宋" w:hAnsi="仿宋" w:eastAsia="仿宋" w:cs="仿宋"/>
          <w:lang w:eastAsia="zh-CN"/>
        </w:rPr>
      </w:pPr>
      <w:r>
        <w:rPr>
          <w:rFonts w:hint="eastAsia" w:ascii="仿宋" w:hAnsi="仿宋" w:eastAsia="仿宋" w:cs="仿宋"/>
        </w:rPr>
        <w:t>落实</w:t>
      </w:r>
      <w:r>
        <w:rPr>
          <w:rFonts w:hint="eastAsia" w:ascii="仿宋" w:hAnsi="仿宋" w:eastAsia="仿宋" w:cs="仿宋"/>
          <w:lang w:val="en-US" w:eastAsia="zh-CN"/>
        </w:rPr>
        <w:t>的</w:t>
      </w:r>
      <w:r>
        <w:rPr>
          <w:rFonts w:hint="eastAsia" w:ascii="仿宋" w:hAnsi="仿宋" w:eastAsia="仿宋" w:cs="仿宋"/>
        </w:rPr>
        <w:t>政府采购政策</w:t>
      </w:r>
      <w:r>
        <w:rPr>
          <w:rFonts w:hint="eastAsia" w:ascii="仿宋" w:hAnsi="仿宋" w:eastAsia="仿宋" w:cs="仿宋"/>
          <w:lang w:eastAsia="zh-CN"/>
        </w:rPr>
        <w:t>：</w:t>
      </w:r>
    </w:p>
    <w:p w14:paraId="4F339982">
      <w:pPr>
        <w:spacing w:line="500" w:lineRule="exact"/>
        <w:ind w:firstLine="566" w:firstLineChars="200"/>
        <w:rPr>
          <w:rFonts w:ascii="仿宋" w:hAnsi="仿宋" w:eastAsia="仿宋" w:cs="仿宋"/>
        </w:rPr>
      </w:pPr>
      <w:r>
        <w:rPr>
          <w:rFonts w:hint="eastAsia" w:ascii="仿宋" w:hAnsi="仿宋" w:eastAsia="仿宋" w:cs="仿宋"/>
        </w:rPr>
        <w:t>（1）《关于在政府采购活动中查询及使用信用记录有关问题的通知》（财库〔2016〕125号）。</w:t>
      </w:r>
    </w:p>
    <w:p w14:paraId="164921DC">
      <w:pPr>
        <w:spacing w:line="500" w:lineRule="exact"/>
        <w:ind w:firstLine="566" w:firstLineChars="200"/>
        <w:rPr>
          <w:rFonts w:ascii="仿宋" w:hAnsi="仿宋" w:eastAsia="仿宋" w:cs="仿宋"/>
        </w:rPr>
      </w:pPr>
      <w:r>
        <w:rPr>
          <w:rFonts w:hint="eastAsia" w:ascii="仿宋" w:hAnsi="仿宋" w:eastAsia="仿宋" w:cs="仿宋"/>
        </w:rPr>
        <w:t>（2）《政府采购促进中小企业发展管理办法》（财库[2020]46号）、《关于政府采购支持监狱企业发展有关问题的通知》（财库〔2014〕68号）、及《关于促进残疾人就业政府采购政策的通知》（财库〔2017〕141号）、《财政部 发展改革委 生态环境部 市场监管总局关于调整优化节能产品环境标志产品政府采购执行机制的通知》（财库〔2019〕9号）、《国务院办公厅关于建立政府强制采购节能产品制度的通知》（国办发[2007]51号）《节能产品政府采购实施意见》（财库[2004]185号）、《陕西省财政厅关于进一步加大政府采购支持中小企业力度的通知》陕财办采〔2022〕5号、《榆林市财政局关于进一步加大政府采购支持中小企业力度的通知》榆政财采发〔2022〕10号、《</w:t>
      </w:r>
      <w:r>
        <w:rPr>
          <w:rFonts w:ascii="仿宋" w:hAnsi="仿宋" w:eastAsia="仿宋" w:cs="仿宋"/>
        </w:rPr>
        <w:t>财政部关于进一步加大政府采购支持中小企业力度的通知</w:t>
      </w:r>
      <w:r>
        <w:rPr>
          <w:rFonts w:hint="eastAsia" w:ascii="仿宋" w:hAnsi="仿宋" w:eastAsia="仿宋" w:cs="仿宋"/>
        </w:rPr>
        <w:t>》财库〔2022〕19号。</w:t>
      </w:r>
    </w:p>
    <w:p w14:paraId="1C472037">
      <w:pPr>
        <w:spacing w:line="500" w:lineRule="exact"/>
        <w:ind w:firstLine="566" w:firstLineChars="200"/>
        <w:jc w:val="left"/>
        <w:rPr>
          <w:rFonts w:ascii="仿宋" w:hAnsi="仿宋" w:eastAsia="仿宋" w:cs="仿宋"/>
        </w:rPr>
      </w:pPr>
      <w:r>
        <w:rPr>
          <w:rFonts w:hint="eastAsia" w:ascii="仿宋" w:hAnsi="仿宋" w:eastAsia="仿宋" w:cs="仿宋"/>
        </w:rPr>
        <w:t>（3）《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相关政策、业务办理平台(</w:t>
      </w:r>
      <w:r>
        <w:rPr>
          <w:rStyle w:val="36"/>
          <w:rFonts w:ascii="仿宋" w:hAnsi="仿宋" w:eastAsia="仿宋" w:cs="仿宋"/>
          <w:sz w:val="28"/>
          <w:szCs w:val="28"/>
        </w:rPr>
        <w:fldChar w:fldCharType="begin"/>
      </w:r>
      <w:r>
        <w:rPr>
          <w:rStyle w:val="36"/>
          <w:rFonts w:ascii="仿宋" w:hAnsi="仿宋" w:eastAsia="仿宋" w:cs="仿宋"/>
          <w:sz w:val="28"/>
          <w:szCs w:val="28"/>
        </w:rPr>
        <w:instrText xml:space="preserve"> HYPERLINK "http://www.ccgp-shaanxi.gov.cn/zcdservice/zcd/shanxi/" </w:instrText>
      </w:r>
      <w:r>
        <w:rPr>
          <w:rStyle w:val="36"/>
          <w:rFonts w:ascii="仿宋" w:hAnsi="仿宋" w:eastAsia="仿宋" w:cs="仿宋"/>
          <w:sz w:val="28"/>
          <w:szCs w:val="28"/>
        </w:rPr>
        <w:fldChar w:fldCharType="separate"/>
      </w:r>
      <w:r>
        <w:rPr>
          <w:rStyle w:val="36"/>
          <w:rFonts w:hint="eastAsia" w:ascii="仿宋" w:hAnsi="仿宋" w:eastAsia="仿宋" w:cs="仿宋"/>
          <w:sz w:val="28"/>
          <w:szCs w:val="28"/>
        </w:rPr>
        <w:t>http://www.ccgp-shaanxi.gov.cn/zcdservice/zcd/shanxi/</w:t>
      </w:r>
      <w:r>
        <w:rPr>
          <w:rStyle w:val="36"/>
          <w:rFonts w:ascii="仿宋" w:hAnsi="仿宋" w:eastAsia="仿宋" w:cs="仿宋"/>
          <w:sz w:val="28"/>
          <w:szCs w:val="28"/>
        </w:rPr>
        <w:fldChar w:fldCharType="end"/>
      </w:r>
      <w:r>
        <w:rPr>
          <w:rFonts w:hint="eastAsia" w:ascii="仿宋" w:hAnsi="仿宋" w:eastAsia="仿宋" w:cs="仿宋"/>
        </w:rPr>
        <w:t>）。</w:t>
      </w:r>
    </w:p>
    <w:p w14:paraId="02B7B81F">
      <w:pPr>
        <w:spacing w:line="500" w:lineRule="exact"/>
        <w:ind w:firstLine="566" w:firstLineChars="200"/>
        <w:jc w:val="left"/>
        <w:rPr>
          <w:rFonts w:ascii="仿宋" w:hAnsi="仿宋" w:eastAsia="仿宋" w:cs="仿宋"/>
        </w:rPr>
      </w:pPr>
      <w:r>
        <w:rPr>
          <w:rFonts w:hint="eastAsia" w:ascii="仿宋" w:hAnsi="仿宋" w:eastAsia="仿宋" w:cs="仿宋"/>
        </w:rPr>
        <w:t>（4）详见《供应商须知》中“落实的政府采购政策”有关内容。</w:t>
      </w:r>
    </w:p>
    <w:p w14:paraId="38E9FA2E">
      <w:pPr>
        <w:spacing w:line="500" w:lineRule="exact"/>
        <w:rPr>
          <w:rFonts w:hint="eastAsia" w:ascii="仿宋" w:hAnsi="仿宋" w:eastAsia="仿宋" w:cs="仿宋"/>
        </w:rPr>
      </w:pPr>
      <w:r>
        <w:rPr>
          <w:rFonts w:hint="eastAsia" w:ascii="仿宋" w:hAnsi="仿宋" w:eastAsia="仿宋" w:cs="仿宋"/>
        </w:rPr>
        <w:t>3、本项目的特定资格要求：</w:t>
      </w:r>
    </w:p>
    <w:p w14:paraId="08E622C6">
      <w:pPr>
        <w:widowControl w:val="0"/>
        <w:spacing w:line="460" w:lineRule="exact"/>
        <w:ind w:firstLine="566" w:firstLineChars="200"/>
        <w:rPr>
          <w:rFonts w:ascii="仿宋" w:hAnsi="仿宋" w:eastAsia="仿宋" w:cs="仿宋"/>
        </w:rPr>
      </w:pPr>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19A60BFA">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2</w:t>
      </w:r>
      <w:r>
        <w:rPr>
          <w:rFonts w:ascii="仿宋" w:hAnsi="仿宋" w:eastAsia="仿宋" w:cs="华文仿宋"/>
        </w:rPr>
        <w:t>）</w:t>
      </w:r>
      <w:r>
        <w:rPr>
          <w:rFonts w:ascii="仿宋" w:hAnsi="仿宋" w:eastAsia="仿宋" w:cs="华文仿宋"/>
          <w:b/>
        </w:rPr>
        <w:t>营业执照等主体资格证明文件：</w:t>
      </w:r>
      <w:r>
        <w:rPr>
          <w:rFonts w:ascii="仿宋" w:hAnsi="仿宋" w:eastAsia="仿宋" w:cs="华文仿宋"/>
        </w:rPr>
        <w:t>具有独立承担民事责任能力的法人、其他组织或自然人。企业法人应提供有效的营业执照副本及202</w:t>
      </w:r>
      <w:r>
        <w:rPr>
          <w:rFonts w:hint="eastAsia" w:ascii="仿宋" w:hAnsi="仿宋" w:eastAsia="仿宋" w:cs="华文仿宋"/>
          <w:lang w:val="en-US" w:eastAsia="zh-CN"/>
        </w:rPr>
        <w:t>4</w:t>
      </w:r>
      <w:r>
        <w:rPr>
          <w:rFonts w:hint="eastAsia" w:ascii="仿宋" w:hAnsi="仿宋" w:eastAsia="仿宋" w:cs="华文仿宋"/>
        </w:rPr>
        <w:t>年</w:t>
      </w:r>
      <w:r>
        <w:rPr>
          <w:rFonts w:hint="eastAsia" w:ascii="仿宋" w:hAnsi="仿宋" w:eastAsia="仿宋" w:cs="华文仿宋"/>
          <w:lang w:val="en-US" w:eastAsia="zh-CN"/>
        </w:rPr>
        <w:t>或2025年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092FF081">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3</w:t>
      </w:r>
      <w:r>
        <w:rPr>
          <w:rFonts w:ascii="仿宋" w:hAnsi="仿宋" w:eastAsia="仿宋" w:cs="华文仿宋"/>
        </w:rPr>
        <w:t>）</w:t>
      </w:r>
      <w:r>
        <w:rPr>
          <w:rFonts w:ascii="仿宋" w:hAnsi="仿宋" w:eastAsia="仿宋" w:cs="华文仿宋"/>
          <w:b/>
        </w:rPr>
        <w:t>提供具有履行合同所必需的设备和专业技术能力的承诺；</w:t>
      </w:r>
      <w:r>
        <w:rPr>
          <w:rFonts w:ascii="仿宋" w:hAnsi="仿宋" w:eastAsia="仿宋" w:cs="华文仿宋"/>
        </w:rPr>
        <w:t>（格式自拟）</w:t>
      </w:r>
    </w:p>
    <w:p w14:paraId="56A349A5">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4</w:t>
      </w:r>
      <w:r>
        <w:rPr>
          <w:rFonts w:ascii="仿宋" w:hAnsi="仿宋" w:eastAsia="仿宋" w:cs="华文仿宋"/>
        </w:rPr>
        <w:t>）</w:t>
      </w:r>
      <w:r>
        <w:rPr>
          <w:rFonts w:ascii="仿宋" w:hAnsi="仿宋" w:eastAsia="仿宋" w:cs="华文仿宋"/>
          <w:b/>
        </w:rPr>
        <w:t>财务状况报告：</w:t>
      </w:r>
      <w:r>
        <w:rPr>
          <w:rFonts w:ascii="仿宋" w:hAnsi="仿宋" w:eastAsia="仿宋" w:cs="华文仿宋"/>
        </w:rPr>
        <w:t>提供</w:t>
      </w:r>
      <w:r>
        <w:rPr>
          <w:rFonts w:hint="eastAsia" w:ascii="仿宋" w:hAnsi="仿宋" w:eastAsia="仿宋" w:cs="华文仿宋"/>
        </w:rPr>
        <w:t>202</w:t>
      </w:r>
      <w:r>
        <w:rPr>
          <w:rFonts w:hint="eastAsia" w:ascii="仿宋" w:hAnsi="仿宋" w:eastAsia="仿宋" w:cs="华文仿宋"/>
          <w:lang w:val="en-US" w:eastAsia="zh-CN"/>
        </w:rPr>
        <w:t>4</w:t>
      </w:r>
      <w:r>
        <w:rPr>
          <w:rFonts w:hint="eastAsia" w:ascii="仿宋" w:hAnsi="仿宋" w:eastAsia="仿宋" w:cs="华文仿宋"/>
        </w:rPr>
        <w:t>年</w:t>
      </w:r>
      <w:r>
        <w:rPr>
          <w:rFonts w:ascii="仿宋" w:hAnsi="仿宋" w:eastAsia="仿宋" w:cs="华文仿宋"/>
        </w:rPr>
        <w:t>度</w:t>
      </w:r>
      <w:r>
        <w:rPr>
          <w:rFonts w:hint="eastAsia" w:ascii="仿宋" w:hAnsi="仿宋" w:eastAsia="仿宋" w:cs="华文仿宋"/>
          <w:lang w:val="en-US" w:eastAsia="zh-CN"/>
        </w:rPr>
        <w:t>或2025年度</w:t>
      </w:r>
      <w:r>
        <w:rPr>
          <w:rFonts w:ascii="仿宋" w:hAnsi="仿宋" w:eastAsia="仿宋" w:cs="华文仿宋"/>
        </w:rPr>
        <w:t>财务审计报告（包括审计报告、资产负债表、利润表、现金流量表，成立时间至提交</w:t>
      </w:r>
      <w:r>
        <w:rPr>
          <w:rFonts w:hint="eastAsia" w:ascii="仿宋" w:hAnsi="仿宋" w:eastAsia="仿宋" w:cs="华文仿宋"/>
          <w:lang w:val="en-US" w:eastAsia="zh-CN"/>
        </w:rPr>
        <w:t>投标</w:t>
      </w:r>
      <w:r>
        <w:rPr>
          <w:rFonts w:ascii="仿宋" w:hAnsi="仿宋" w:eastAsia="仿宋" w:cs="华文仿宋"/>
        </w:rPr>
        <w:t>响应文件截止时间不足一年的可提供成立后任意时段的资产负债表、利润表、现金流量表）或开标时间前三个月内开户银行出具的资信证明；其他组织和自然人提供开标时间前三个月内开户银行出具的资信证明；</w:t>
      </w:r>
    </w:p>
    <w:p w14:paraId="636955D6">
      <w:pPr>
        <w:widowControl w:val="0"/>
        <w:spacing w:line="460" w:lineRule="exact"/>
        <w:ind w:firstLine="566"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：提供社保经办机构出具的202</w:t>
      </w:r>
      <w:r>
        <w:rPr>
          <w:rFonts w:hint="eastAsia" w:ascii="仿宋" w:hAnsi="仿宋" w:eastAsia="仿宋" w:cs="仿宋"/>
          <w:lang w:val="en-US" w:eastAsia="zh-CN"/>
        </w:rPr>
        <w:t>6</w:t>
      </w:r>
      <w:r>
        <w:rPr>
          <w:rFonts w:hint="eastAsia" w:ascii="仿宋" w:hAnsi="仿宋" w:eastAsia="仿宋" w:cs="仿宋"/>
        </w:rPr>
        <w:t>年</w:t>
      </w:r>
      <w:r>
        <w:rPr>
          <w:rFonts w:hint="eastAsia" w:ascii="仿宋" w:hAnsi="仿宋" w:eastAsia="仿宋" w:cs="仿宋"/>
          <w:lang w:val="en-US" w:eastAsia="zh-CN"/>
        </w:rPr>
        <w:t>3月、4月或5月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1E05F645">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eastAsia="zh-CN"/>
        </w:rPr>
        <w:t>202</w:t>
      </w:r>
      <w:r>
        <w:rPr>
          <w:rFonts w:hint="eastAsia" w:ascii="仿宋" w:hAnsi="仿宋" w:eastAsia="仿宋" w:cs="华文仿宋"/>
          <w:lang w:val="en-US" w:eastAsia="zh-CN"/>
        </w:rPr>
        <w:t>5</w:t>
      </w:r>
      <w:r>
        <w:rPr>
          <w:rFonts w:hint="eastAsia" w:ascii="仿宋" w:hAnsi="仿宋" w:eastAsia="仿宋" w:cs="华文仿宋"/>
          <w:lang w:eastAsia="zh-CN"/>
        </w:rPr>
        <w:t>年1</w:t>
      </w:r>
      <w:r>
        <w:rPr>
          <w:rFonts w:hint="eastAsia" w:ascii="仿宋" w:hAnsi="仿宋" w:eastAsia="仿宋" w:cs="华文仿宋"/>
          <w:lang w:val="en-US" w:eastAsia="zh-CN"/>
        </w:rPr>
        <w:t>2</w:t>
      </w:r>
      <w:r>
        <w:rPr>
          <w:rFonts w:hint="eastAsia" w:ascii="仿宋" w:hAnsi="仿宋" w:eastAsia="仿宋" w:cs="华文仿宋"/>
          <w:lang w:eastAsia="zh-CN"/>
        </w:rPr>
        <w:t>月-202</w:t>
      </w:r>
      <w:r>
        <w:rPr>
          <w:rFonts w:hint="eastAsia" w:ascii="仿宋" w:hAnsi="仿宋" w:eastAsia="仿宋" w:cs="华文仿宋"/>
          <w:lang w:val="en-US" w:eastAsia="zh-CN"/>
        </w:rPr>
        <w:t>6</w:t>
      </w:r>
      <w:r>
        <w:rPr>
          <w:rFonts w:hint="eastAsia" w:ascii="仿宋" w:hAnsi="仿宋" w:eastAsia="仿宋" w:cs="华文仿宋"/>
          <w:lang w:eastAsia="zh-CN"/>
        </w:rPr>
        <w:t>年</w:t>
      </w:r>
      <w:r>
        <w:rPr>
          <w:rFonts w:hint="eastAsia" w:ascii="仿宋" w:hAnsi="仿宋" w:eastAsia="仿宋" w:cs="华文仿宋"/>
          <w:lang w:val="en-US" w:eastAsia="zh-CN"/>
        </w:rPr>
        <w:t>5</w:t>
      </w:r>
      <w:r>
        <w:rPr>
          <w:rFonts w:hint="eastAsia" w:ascii="仿宋" w:hAnsi="仿宋" w:eastAsia="仿宋" w:cs="华文仿宋"/>
          <w:lang w:eastAsia="zh-CN"/>
        </w:rPr>
        <w:t>月</w:t>
      </w:r>
      <w:r>
        <w:rPr>
          <w:rFonts w:ascii="仿宋" w:hAnsi="仿宋" w:eastAsia="仿宋" w:cs="华文仿宋"/>
        </w:rPr>
        <w:t>内至少1个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3719A724">
      <w:pPr>
        <w:widowControl w:val="0"/>
        <w:spacing w:line="460" w:lineRule="exact"/>
        <w:ind w:firstLine="566" w:firstLineChars="200"/>
        <w:rPr>
          <w:rFonts w:hint="eastAsia" w:ascii="仿宋" w:hAnsi="仿宋" w:eastAsia="仿宋" w:cs="仿宋"/>
          <w:sz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6A307E37">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sz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050A76BF">
      <w:pPr>
        <w:spacing w:line="500" w:lineRule="exact"/>
        <w:ind w:firstLine="566"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7C2CF0DD">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9</w:t>
      </w:r>
      <w:r>
        <w:rPr>
          <w:rFonts w:ascii="仿宋" w:hAnsi="仿宋" w:eastAsia="仿宋" w:cs="华文仿宋"/>
        </w:rPr>
        <w:t>）信用承诺书；</w:t>
      </w:r>
    </w:p>
    <w:p w14:paraId="2C70B41A">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）本项目不接受联合体</w:t>
      </w:r>
      <w:r>
        <w:rPr>
          <w:rFonts w:hint="eastAsia" w:ascii="仿宋" w:hAnsi="仿宋" w:eastAsia="仿宋" w:cs="华文仿宋"/>
          <w:lang w:val="en-US" w:eastAsia="zh-CN"/>
        </w:rPr>
        <w:t>投标</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2B9BC136">
      <w:pPr>
        <w:spacing w:line="500" w:lineRule="exact"/>
        <w:ind w:firstLine="566"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w:t>
      </w:r>
      <w:r>
        <w:rPr>
          <w:rFonts w:hint="eastAsia" w:ascii="仿宋" w:hAnsi="仿宋" w:eastAsia="仿宋" w:cs="华文仿宋"/>
          <w:color w:val="FF0000"/>
        </w:rPr>
        <w:t>本项目专门面向中小企业</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eastAsia="zh-CN"/>
        </w:rPr>
        <w:t>投标活动</w:t>
      </w:r>
      <w:r>
        <w:rPr>
          <w:rFonts w:hint="eastAsia" w:ascii="仿宋" w:hAnsi="仿宋" w:eastAsia="仿宋" w:cs="华文仿宋"/>
        </w:rPr>
        <w:t>。</w:t>
      </w:r>
    </w:p>
    <w:p w14:paraId="6F7A1063">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华文仿宋"/>
        </w:rPr>
      </w:pPr>
      <w:r>
        <w:rPr>
          <w:rFonts w:hint="eastAsia" w:ascii="仿宋" w:hAnsi="仿宋" w:eastAsia="仿宋" w:cs="华文仿宋"/>
        </w:rPr>
        <w:t>各供应商应诚信参与采购活动，</w:t>
      </w:r>
      <w:r>
        <w:rPr>
          <w:rFonts w:hint="eastAsia" w:ascii="仿宋" w:hAnsi="仿宋" w:eastAsia="仿宋" w:cs="华文仿宋"/>
          <w:lang w:eastAsia="zh-CN"/>
        </w:rPr>
        <w:t>招标文件</w:t>
      </w:r>
      <w:r>
        <w:rPr>
          <w:rFonts w:hint="eastAsia" w:ascii="仿宋" w:hAnsi="仿宋" w:eastAsia="仿宋" w:cs="华文仿宋"/>
        </w:rPr>
        <w:t>中各可辨有效证件复印件盖公章均视为原件，提供虚假资料的，将依法追究法律责任。</w:t>
      </w:r>
    </w:p>
    <w:p w14:paraId="5A7E06AD">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、获取</w:t>
      </w:r>
      <w:r>
        <w:rPr>
          <w:rFonts w:hint="eastAsia" w:ascii="仿宋" w:hAnsi="仿宋" w:eastAsia="仿宋" w:cs="仿宋"/>
          <w:b/>
          <w:sz w:val="28"/>
          <w:szCs w:val="28"/>
          <w:lang w:val="en-US" w:eastAsia="zh-CN"/>
        </w:rPr>
        <w:t>采购文件</w:t>
      </w:r>
    </w:p>
    <w:p w14:paraId="0C30E71D">
      <w:pPr>
        <w:keepNext w:val="0"/>
        <w:keepLines w:val="0"/>
        <w:pageBreakBefore w:val="0"/>
        <w:kinsoku/>
        <w:wordWrap/>
        <w:overflowPunct/>
        <w:topLinePunct w:val="0"/>
        <w:bidi w:val="0"/>
        <w:spacing w:line="480" w:lineRule="exact"/>
        <w:ind w:firstLine="707" w:firstLineChars="25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1、获取时间：</w:t>
      </w:r>
      <w:r>
        <w:rPr>
          <w:rFonts w:hint="eastAsia" w:ascii="仿宋" w:hAnsi="仿宋" w:eastAsia="仿宋" w:cs="仿宋"/>
          <w:color w:val="0000FF"/>
          <w:sz w:val="28"/>
          <w:szCs w:val="28"/>
          <w:highlight w:val="none"/>
        </w:rPr>
        <w:t>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年</w:t>
      </w:r>
      <w:r>
        <w:rPr>
          <w:rFonts w:hint="eastAsia" w:ascii="仿宋" w:hAnsi="仿宋" w:eastAsia="仿宋" w:cs="仿宋"/>
          <w:color w:val="0000FF"/>
          <w:sz w:val="28"/>
          <w:szCs w:val="28"/>
          <w:highlight w:val="none"/>
          <w:lang w:val="en-US" w:eastAsia="zh-CN"/>
        </w:rPr>
        <w:t>5</w:t>
      </w:r>
      <w:r>
        <w:rPr>
          <w:rFonts w:hint="eastAsia" w:ascii="仿宋" w:hAnsi="仿宋" w:eastAsia="仿宋" w:cs="仿宋"/>
          <w:color w:val="0000FF"/>
          <w:sz w:val="28"/>
          <w:szCs w:val="28"/>
          <w:highlight w:val="none"/>
        </w:rPr>
        <w:t>月</w:t>
      </w:r>
      <w:r>
        <w:rPr>
          <w:rFonts w:hint="eastAsia" w:ascii="仿宋" w:hAnsi="仿宋" w:eastAsia="仿宋" w:cs="仿宋"/>
          <w:color w:val="0000FF"/>
          <w:sz w:val="28"/>
          <w:szCs w:val="28"/>
          <w:highlight w:val="none"/>
          <w:lang w:val="en-US" w:eastAsia="zh-CN"/>
        </w:rPr>
        <w:t>13</w:t>
      </w:r>
      <w:r>
        <w:rPr>
          <w:rFonts w:hint="eastAsia" w:ascii="仿宋" w:hAnsi="仿宋" w:eastAsia="仿宋" w:cs="仿宋"/>
          <w:color w:val="0000FF"/>
          <w:sz w:val="28"/>
          <w:szCs w:val="28"/>
          <w:highlight w:val="none"/>
        </w:rPr>
        <w:t>日</w:t>
      </w:r>
      <w:r>
        <w:rPr>
          <w:rFonts w:hint="eastAsia" w:ascii="仿宋" w:hAnsi="仿宋" w:eastAsia="仿宋" w:cs="仿宋"/>
          <w:color w:val="0000FF"/>
          <w:sz w:val="28"/>
          <w:szCs w:val="28"/>
          <w:highlight w:val="none"/>
          <w:lang w:val="en-US" w:eastAsia="zh-CN"/>
        </w:rPr>
        <w:t>0时</w:t>
      </w:r>
      <w:r>
        <w:rPr>
          <w:rFonts w:hint="eastAsia" w:ascii="仿宋" w:hAnsi="仿宋" w:eastAsia="仿宋" w:cs="仿宋"/>
          <w:color w:val="0000FF"/>
          <w:sz w:val="28"/>
          <w:szCs w:val="28"/>
          <w:highlight w:val="none"/>
        </w:rPr>
        <w:t>至202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年</w:t>
      </w:r>
      <w:r>
        <w:rPr>
          <w:rFonts w:hint="eastAsia" w:ascii="仿宋" w:hAnsi="仿宋" w:eastAsia="仿宋" w:cs="仿宋"/>
          <w:color w:val="0000FF"/>
          <w:sz w:val="28"/>
          <w:szCs w:val="28"/>
          <w:highlight w:val="none"/>
          <w:lang w:val="en-US" w:eastAsia="zh-CN"/>
        </w:rPr>
        <w:t>5</w:t>
      </w:r>
      <w:r>
        <w:rPr>
          <w:rFonts w:hint="eastAsia" w:ascii="仿宋" w:hAnsi="仿宋" w:eastAsia="仿宋" w:cs="仿宋"/>
          <w:color w:val="0000FF"/>
          <w:sz w:val="28"/>
          <w:szCs w:val="28"/>
          <w:highlight w:val="none"/>
        </w:rPr>
        <w:t>月</w:t>
      </w:r>
      <w:r>
        <w:rPr>
          <w:rFonts w:hint="eastAsia" w:ascii="仿宋" w:hAnsi="仿宋" w:eastAsia="仿宋" w:cs="仿宋"/>
          <w:color w:val="0000FF"/>
          <w:sz w:val="28"/>
          <w:szCs w:val="28"/>
          <w:highlight w:val="none"/>
          <w:lang w:val="en-US" w:eastAsia="zh-CN"/>
        </w:rPr>
        <w:t>20</w:t>
      </w:r>
      <w:r>
        <w:rPr>
          <w:rFonts w:hint="eastAsia" w:ascii="仿宋" w:hAnsi="仿宋" w:eastAsia="仿宋" w:cs="仿宋"/>
          <w:color w:val="0000FF"/>
          <w:sz w:val="28"/>
          <w:szCs w:val="28"/>
          <w:highlight w:val="none"/>
        </w:rPr>
        <w:t>日</w:t>
      </w:r>
      <w:r>
        <w:rPr>
          <w:rFonts w:hint="eastAsia" w:ascii="仿宋" w:hAnsi="仿宋" w:eastAsia="仿宋" w:cs="仿宋"/>
          <w:color w:val="0000FF"/>
          <w:sz w:val="28"/>
          <w:szCs w:val="28"/>
          <w:highlight w:val="none"/>
          <w:lang w:val="en-US" w:eastAsia="zh-CN"/>
        </w:rPr>
        <w:t>0时</w:t>
      </w:r>
    </w:p>
    <w:p w14:paraId="11AB8F97">
      <w:pPr>
        <w:keepNext w:val="0"/>
        <w:keepLines w:val="0"/>
        <w:pageBreakBefore w:val="0"/>
        <w:kinsoku/>
        <w:wordWrap/>
        <w:overflowPunct/>
        <w:topLinePunct w:val="0"/>
        <w:bidi w:val="0"/>
        <w:spacing w:line="480" w:lineRule="exact"/>
        <w:ind w:firstLine="566" w:firstLineChars="200"/>
        <w:textAlignment w:val="auto"/>
        <w:rPr>
          <w:rFonts w:hint="eastAsia" w:ascii="华文仿宋" w:hAnsi="华文仿宋" w:cs="Times New Roman"/>
        </w:rPr>
      </w:pPr>
      <w:r>
        <w:rPr>
          <w:rFonts w:hint="eastAsia" w:ascii="华文仿宋" w:hAnsi="华文仿宋" w:cs="Times New Roman"/>
        </w:rPr>
        <w:t>2、获取</w:t>
      </w:r>
      <w:r>
        <w:rPr>
          <w:rFonts w:hint="eastAsia" w:ascii="华文仿宋" w:hAnsi="华文仿宋" w:cs="Times New Roman"/>
          <w:lang w:eastAsia="zh-CN"/>
        </w:rPr>
        <w:t>方式</w:t>
      </w:r>
      <w:r>
        <w:rPr>
          <w:rFonts w:hint="eastAsia" w:ascii="华文仿宋" w:hAnsi="华文仿宋" w:cs="Times New Roman"/>
        </w:rPr>
        <w:t>：登录全国公共资源交易平台（陕西省· 榆林市）（www.sxggzyjy.cn）使用数字认证证书（CA锁）报名后自行下载</w:t>
      </w:r>
      <w:r>
        <w:rPr>
          <w:rFonts w:hint="eastAsia" w:ascii="华文仿宋" w:hAnsi="华文仿宋" w:cs="Times New Roman"/>
          <w:lang w:eastAsia="zh-CN"/>
        </w:rPr>
        <w:t>招标文件</w:t>
      </w:r>
      <w:r>
        <w:rPr>
          <w:rFonts w:hint="eastAsia" w:ascii="华文仿宋" w:hAnsi="华文仿宋" w:cs="Times New Roman"/>
        </w:rPr>
        <w:t>。</w:t>
      </w:r>
    </w:p>
    <w:p w14:paraId="1BD0F0BB">
      <w:pPr>
        <w:keepNext w:val="0"/>
        <w:keepLines w:val="0"/>
        <w:pageBreakBefore w:val="0"/>
        <w:kinsoku/>
        <w:wordWrap/>
        <w:overflowPunct/>
        <w:topLinePunct w:val="0"/>
        <w:bidi w:val="0"/>
        <w:spacing w:line="480" w:lineRule="exact"/>
        <w:ind w:firstLine="566" w:firstLineChars="200"/>
        <w:textAlignment w:val="auto"/>
        <w:rPr>
          <w:rFonts w:hint="eastAsia" w:ascii="华文仿宋" w:hAnsi="华文仿宋" w:cs="Times New Roman"/>
        </w:rPr>
      </w:pPr>
      <w:r>
        <w:rPr>
          <w:rFonts w:hint="eastAsia" w:ascii="华文仿宋" w:hAnsi="华文仿宋" w:cs="Times New Roman"/>
        </w:rPr>
        <w:t>售价： 免费</w:t>
      </w:r>
    </w:p>
    <w:p w14:paraId="704525DF">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b w:val="0"/>
          <w:bCs w:val="0"/>
          <w:sz w:val="28"/>
          <w:szCs w:val="28"/>
        </w:rPr>
      </w:pPr>
      <w:r>
        <w:rPr>
          <w:rFonts w:hint="eastAsia" w:ascii="华文仿宋" w:hAnsi="华文仿宋"/>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w:t>
      </w:r>
      <w:r>
        <w:rPr>
          <w:rFonts w:hint="eastAsia" w:ascii="华文仿宋" w:hAnsi="华文仿宋"/>
          <w:lang w:eastAsia="zh-CN"/>
        </w:rPr>
        <w:t>招标文件</w:t>
      </w:r>
      <w:r>
        <w:rPr>
          <w:rFonts w:hint="eastAsia" w:ascii="华文仿宋" w:hAnsi="华文仿宋"/>
        </w:rPr>
        <w:t>。</w:t>
      </w:r>
    </w:p>
    <w:p w14:paraId="61FCDAEA">
      <w:pPr>
        <w:keepNext w:val="0"/>
        <w:keepLines w:val="0"/>
        <w:pageBreakBefore w:val="0"/>
        <w:kinsoku/>
        <w:wordWrap/>
        <w:overflowPunct/>
        <w:topLinePunct w:val="0"/>
        <w:bidi w:val="0"/>
        <w:spacing w:line="480" w:lineRule="exact"/>
        <w:ind w:firstLine="698" w:firstLineChars="247"/>
        <w:textAlignment w:val="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四、 响应文件递交</w:t>
      </w:r>
      <w:r>
        <w:rPr>
          <w:rFonts w:hint="eastAsia" w:ascii="仿宋" w:hAnsi="仿宋" w:eastAsia="仿宋" w:cs="仿宋"/>
          <w:b/>
          <w:bCs/>
          <w:color w:val="333333"/>
          <w:sz w:val="28"/>
          <w:szCs w:val="28"/>
          <w:shd w:val="clear" w:color="auto" w:fill="FFFFFF"/>
          <w:lang w:val="zh-CN"/>
        </w:rPr>
        <w:t>截止时间</w:t>
      </w:r>
      <w:r>
        <w:rPr>
          <w:rFonts w:hint="eastAsia" w:ascii="仿宋" w:hAnsi="仿宋" w:eastAsia="仿宋" w:cs="仿宋"/>
          <w:b/>
          <w:bCs/>
          <w:color w:val="333333"/>
          <w:sz w:val="28"/>
          <w:szCs w:val="28"/>
          <w:shd w:val="clear" w:color="auto" w:fill="FFFFFF"/>
          <w:lang w:val="en-US" w:eastAsia="zh-CN"/>
        </w:rPr>
        <w:t>及</w:t>
      </w:r>
      <w:r>
        <w:rPr>
          <w:rFonts w:hint="eastAsia" w:ascii="仿宋" w:hAnsi="仿宋" w:eastAsia="仿宋" w:cs="仿宋"/>
          <w:b/>
          <w:bCs/>
          <w:color w:val="333333"/>
          <w:sz w:val="28"/>
          <w:szCs w:val="28"/>
          <w:shd w:val="clear" w:color="auto" w:fill="FFFFFF"/>
          <w:lang w:val="zh-CN"/>
        </w:rPr>
        <w:t>开标时间和地点</w:t>
      </w:r>
    </w:p>
    <w:p w14:paraId="30AA5269">
      <w:pPr>
        <w:keepNext w:val="0"/>
        <w:keepLines w:val="0"/>
        <w:pageBreakBefore w:val="0"/>
        <w:kinsoku/>
        <w:wordWrap/>
        <w:overflowPunct/>
        <w:topLinePunct w:val="0"/>
        <w:autoSpaceDE w:val="0"/>
        <w:autoSpaceDN w:val="0"/>
        <w:bidi w:val="0"/>
        <w:adjustRightInd w:val="0"/>
        <w:snapToGrid w:val="0"/>
        <w:spacing w:line="480" w:lineRule="exact"/>
        <w:ind w:firstLine="556" w:firstLineChars="197"/>
        <w:textAlignment w:val="auto"/>
        <w:rPr>
          <w:rFonts w:hint="eastAsia" w:ascii="仿宋" w:hAnsi="仿宋" w:eastAsia="仿宋" w:cs="仿宋"/>
          <w:bCs/>
          <w:color w:val="0000FF"/>
          <w:sz w:val="28"/>
          <w:szCs w:val="28"/>
          <w:highlight w:val="none"/>
          <w:u w:val="single"/>
          <w:lang w:val="en-US"/>
        </w:rPr>
      </w:pPr>
      <w:r>
        <w:rPr>
          <w:rFonts w:hint="eastAsia" w:ascii="华文仿宋" w:hAnsi="华文仿宋" w:cs="华文仿宋"/>
          <w:bCs/>
          <w:color w:val="auto"/>
          <w:highlight w:val="none"/>
          <w:lang w:val="zh-CN"/>
        </w:rPr>
        <w:t>1、响应文件递交截止时间、开标时间</w:t>
      </w:r>
      <w:r>
        <w:rPr>
          <w:rFonts w:hint="eastAsia" w:ascii="仿宋" w:hAnsi="仿宋" w:eastAsia="仿宋" w:cs="仿宋"/>
          <w:bCs/>
          <w:color w:val="auto"/>
          <w:sz w:val="28"/>
          <w:szCs w:val="28"/>
          <w:highlight w:val="none"/>
          <w:lang w:val="zh-CN"/>
        </w:rPr>
        <w:t>：</w:t>
      </w:r>
      <w:r>
        <w:rPr>
          <w:rFonts w:hint="eastAsia" w:ascii="仿宋" w:hAnsi="仿宋" w:eastAsia="仿宋" w:cs="仿宋"/>
          <w:color w:val="0000FF"/>
          <w:sz w:val="28"/>
          <w:szCs w:val="28"/>
          <w:highlight w:val="none"/>
          <w:lang w:val="en-US" w:eastAsia="zh-CN"/>
        </w:rPr>
        <w:t>2026年6月18日</w:t>
      </w:r>
      <w:r>
        <w:rPr>
          <w:rFonts w:hint="eastAsia" w:ascii="仿宋" w:hAnsi="仿宋" w:eastAsia="仿宋" w:cs="仿宋"/>
          <w:color w:val="0000FF"/>
          <w:sz w:val="28"/>
          <w:szCs w:val="28"/>
          <w:highlight w:val="none"/>
          <w:u w:val="single"/>
          <w:lang w:val="en-US" w:eastAsia="zh-CN"/>
        </w:rPr>
        <w:t>09：30</w:t>
      </w:r>
    </w:p>
    <w:p w14:paraId="337CE393">
      <w:pPr>
        <w:pStyle w:val="4"/>
        <w:keepNext w:val="0"/>
        <w:keepLines w:val="0"/>
        <w:pageBreakBefore w:val="0"/>
        <w:kinsoku/>
        <w:wordWrap/>
        <w:overflowPunct/>
        <w:topLinePunct w:val="0"/>
        <w:bidi w:val="0"/>
        <w:spacing w:line="480" w:lineRule="exact"/>
        <w:ind w:firstLine="559" w:firstLineChars="198"/>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zh-CN"/>
        </w:rPr>
        <w:t>2、响应文件递交地点：</w:t>
      </w:r>
      <w:r>
        <w:rPr>
          <w:rFonts w:hint="eastAsia" w:ascii="仿宋" w:hAnsi="仿宋" w:eastAsia="仿宋" w:cs="仿宋"/>
          <w:bCs/>
          <w:sz w:val="28"/>
          <w:szCs w:val="28"/>
          <w:lang w:val="en-US" w:eastAsia="zh-CN"/>
        </w:rPr>
        <w:t>网上递交</w:t>
      </w:r>
    </w:p>
    <w:p w14:paraId="03A608D4">
      <w:pPr>
        <w:pStyle w:val="4"/>
        <w:keepNext w:val="0"/>
        <w:keepLines w:val="0"/>
        <w:pageBreakBefore w:val="0"/>
        <w:kinsoku/>
        <w:wordWrap/>
        <w:overflowPunct/>
        <w:topLinePunct w:val="0"/>
        <w:bidi w:val="0"/>
        <w:spacing w:line="480" w:lineRule="exact"/>
        <w:ind w:firstLine="559" w:firstLineChars="198"/>
        <w:textAlignment w:val="auto"/>
        <w:rPr>
          <w:rFonts w:hint="eastAsia" w:ascii="仿宋" w:hAnsi="仿宋" w:eastAsia="仿宋" w:cs="仿宋"/>
          <w:bCs/>
          <w:sz w:val="28"/>
          <w:szCs w:val="28"/>
          <w:lang w:val="en-US" w:eastAsia="zh-CN"/>
        </w:rPr>
      </w:pPr>
      <w:r>
        <w:rPr>
          <w:rFonts w:hint="eastAsia" w:ascii="华文仿宋" w:hAnsi="华文仿宋" w:cs="华文仿宋"/>
        </w:rPr>
        <w:t>电子响应文件（*.SXSTF）可于递交响应文件截止时间前任意时段登录全国公共资源交易平台（陕西省·榆林市）网站进行递交，逾期系统将拒绝接收。</w:t>
      </w:r>
    </w:p>
    <w:p w14:paraId="12F04FDE">
      <w:pPr>
        <w:pStyle w:val="4"/>
        <w:keepNext w:val="0"/>
        <w:keepLines w:val="0"/>
        <w:pageBreakBefore w:val="0"/>
        <w:numPr>
          <w:ilvl w:val="0"/>
          <w:numId w:val="0"/>
        </w:numPr>
        <w:tabs>
          <w:tab w:val="left" w:pos="5148"/>
        </w:tabs>
        <w:kinsoku/>
        <w:wordWrap/>
        <w:overflowPunct/>
        <w:topLinePunct w:val="0"/>
        <w:bidi w:val="0"/>
        <w:spacing w:line="480" w:lineRule="exact"/>
        <w:ind w:firstLine="566" w:firstLineChars="200"/>
        <w:textAlignment w:val="auto"/>
        <w:rPr>
          <w:rFonts w:hint="eastAsia"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3、</w:t>
      </w:r>
      <w:r>
        <w:rPr>
          <w:rFonts w:hint="eastAsia" w:ascii="华文仿宋" w:hAnsi="华文仿宋" w:eastAsia="华文仿宋" w:cs="Times New Roman"/>
          <w:kern w:val="2"/>
          <w:sz w:val="28"/>
          <w:szCs w:val="28"/>
          <w:lang w:val="zh-CN" w:eastAsia="zh-CN" w:bidi="ar-SA"/>
        </w:rPr>
        <w:t>开标地点：</w:t>
      </w:r>
      <w:r>
        <w:rPr>
          <w:rFonts w:hint="eastAsia" w:ascii="华文仿宋" w:hAnsi="华文仿宋" w:eastAsia="华文仿宋" w:cs="Times New Roman"/>
          <w:color w:val="0000FF"/>
          <w:kern w:val="2"/>
          <w:sz w:val="28"/>
          <w:szCs w:val="28"/>
          <w:u w:val="single"/>
          <w:lang w:val="zh-CN" w:eastAsia="zh-CN" w:bidi="ar-SA"/>
        </w:rPr>
        <w:t>榆林市公共资源交易中心4楼开标窗口11</w:t>
      </w:r>
    </w:p>
    <w:p w14:paraId="35C043D8">
      <w:pPr>
        <w:keepNext w:val="0"/>
        <w:keepLines w:val="0"/>
        <w:pageBreakBefore w:val="0"/>
        <w:kinsoku/>
        <w:wordWrap/>
        <w:overflowPunct/>
        <w:topLinePunct w:val="0"/>
        <w:bidi w:val="0"/>
        <w:spacing w:line="480" w:lineRule="exact"/>
        <w:ind w:firstLine="566" w:firstLineChars="200"/>
        <w:textAlignment w:val="auto"/>
        <w:rPr>
          <w:rFonts w:hint="eastAsia" w:ascii="华文仿宋" w:hAnsi="华文仿宋" w:eastAsia="华文仿宋" w:cs="Times New Roman"/>
          <w:kern w:val="2"/>
          <w:sz w:val="28"/>
          <w:szCs w:val="28"/>
          <w:lang w:val="zh-CN" w:eastAsia="zh-CN" w:bidi="ar-SA"/>
        </w:rPr>
      </w:pPr>
      <w:r>
        <w:rPr>
          <w:rFonts w:hint="eastAsia" w:ascii="华文仿宋" w:hAnsi="华文仿宋" w:eastAsia="华文仿宋" w:cs="Times New Roman"/>
          <w:kern w:val="2"/>
          <w:sz w:val="28"/>
          <w:szCs w:val="28"/>
          <w:lang w:val="zh-CN" w:eastAsia="zh-CN" w:bidi="ar-SA"/>
        </w:rPr>
        <w:t>4、开标形式：本项目采用不见面开标方式:（1）供应商应在响应文件递交截止时间前通过全国公共资源交易平台（陕西省.榆林市）（</w:t>
      </w:r>
      <w:r>
        <w:rPr>
          <w:rFonts w:hint="eastAsia" w:ascii="华文仿宋" w:hAnsi="华文仿宋" w:eastAsia="华文仿宋" w:cs="Times New Roman"/>
          <w:kern w:val="2"/>
          <w:sz w:val="28"/>
          <w:szCs w:val="28"/>
          <w:lang w:val="zh-CN" w:eastAsia="zh-CN" w:bidi="ar-SA"/>
        </w:rPr>
        <w:fldChar w:fldCharType="begin"/>
      </w:r>
      <w:r>
        <w:rPr>
          <w:rFonts w:hint="eastAsia" w:ascii="华文仿宋" w:hAnsi="华文仿宋" w:eastAsia="华文仿宋" w:cs="Times New Roman"/>
          <w:kern w:val="2"/>
          <w:sz w:val="28"/>
          <w:szCs w:val="28"/>
          <w:lang w:val="zh-CN" w:eastAsia="zh-CN" w:bidi="ar-SA"/>
        </w:rPr>
        <w:instrText xml:space="preserve"> HYPERLINK "http://yl.sxggzyjy.cn/"</w:instrText>
      </w:r>
      <w:r>
        <w:rPr>
          <w:rFonts w:hint="eastAsia" w:ascii="华文仿宋" w:hAnsi="华文仿宋" w:eastAsia="华文仿宋" w:cs="Times New Roman"/>
          <w:kern w:val="2"/>
          <w:sz w:val="28"/>
          <w:szCs w:val="28"/>
          <w:lang w:val="zh-CN" w:eastAsia="zh-CN" w:bidi="ar-SA"/>
        </w:rPr>
        <w:fldChar w:fldCharType="separate"/>
      </w:r>
      <w:r>
        <w:rPr>
          <w:rFonts w:hint="eastAsia" w:ascii="华文仿宋" w:hAnsi="华文仿宋" w:eastAsia="华文仿宋" w:cs="Times New Roman"/>
          <w:kern w:val="2"/>
          <w:sz w:val="28"/>
          <w:szCs w:val="28"/>
          <w:lang w:val="zh-CN" w:eastAsia="zh-CN" w:bidi="ar-SA"/>
        </w:rPr>
        <w:t>http://yl.sxggzyjy.cn/</w:t>
      </w:r>
      <w:r>
        <w:rPr>
          <w:rFonts w:hint="eastAsia" w:ascii="华文仿宋" w:hAnsi="华文仿宋" w:eastAsia="华文仿宋" w:cs="Times New Roman"/>
          <w:kern w:val="2"/>
          <w:sz w:val="28"/>
          <w:szCs w:val="28"/>
          <w:lang w:val="zh-CN" w:eastAsia="zh-CN" w:bidi="ar-SA"/>
        </w:rPr>
        <w:fldChar w:fldCharType="end"/>
      </w:r>
      <w:r>
        <w:rPr>
          <w:rFonts w:hint="eastAsia" w:ascii="华文仿宋" w:hAnsi="华文仿宋" w:eastAsia="华文仿宋" w:cs="Times New Roman"/>
          <w:kern w:val="2"/>
          <w:sz w:val="28"/>
          <w:szCs w:val="28"/>
          <w:lang w:val="zh-CN" w:eastAsia="zh-CN" w:bidi="ar-SA"/>
        </w:rPr>
        <w:t>）在线递交响应文件并完成在线签到；（2）电子响应文件解密时间为发出解密指令后 30 分钟内完成；（3）</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地点：供应商在全国公共资源交易平台（陕西省·榆林市）榆林市不见面开标大厅进行</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会议，所有供应商均应当准时在线参加</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w:t>
      </w:r>
    </w:p>
    <w:p w14:paraId="7F48C8C7">
      <w:pPr>
        <w:keepNext w:val="0"/>
        <w:keepLines w:val="0"/>
        <w:pageBreakBefore w:val="0"/>
        <w:kinsoku/>
        <w:wordWrap/>
        <w:overflowPunct/>
        <w:topLinePunct w:val="0"/>
        <w:bidi w:val="0"/>
        <w:spacing w:line="480" w:lineRule="exact"/>
        <w:ind w:firstLine="566" w:firstLineChars="200"/>
        <w:textAlignment w:val="auto"/>
        <w:rPr>
          <w:rFonts w:hint="eastAsia" w:ascii="华文仿宋" w:hAnsi="华文仿宋" w:eastAsia="华文仿宋" w:cs="Times New Roman"/>
          <w:b/>
          <w:bCs/>
          <w:kern w:val="2"/>
          <w:sz w:val="28"/>
          <w:szCs w:val="28"/>
          <w:lang w:val="en-US" w:eastAsia="zh-CN" w:bidi="ar-SA"/>
        </w:rPr>
      </w:pPr>
      <w:r>
        <w:rPr>
          <w:rFonts w:hint="eastAsia" w:ascii="华文仿宋" w:hAnsi="华文仿宋" w:eastAsia="华文仿宋" w:cs="Times New Roman"/>
          <w:b/>
          <w:bCs/>
          <w:kern w:val="2"/>
          <w:sz w:val="28"/>
          <w:szCs w:val="28"/>
          <w:lang w:val="en-US" w:eastAsia="zh-CN" w:bidi="ar-SA"/>
        </w:rPr>
        <w:t>五、公告期限</w:t>
      </w:r>
    </w:p>
    <w:p w14:paraId="55652019">
      <w:pPr>
        <w:keepNext w:val="0"/>
        <w:keepLines w:val="0"/>
        <w:pageBreakBefore w:val="0"/>
        <w:kinsoku/>
        <w:wordWrap/>
        <w:overflowPunct/>
        <w:topLinePunct w:val="0"/>
        <w:bidi w:val="0"/>
        <w:spacing w:line="480" w:lineRule="exact"/>
        <w:ind w:firstLine="566" w:firstLineChars="200"/>
        <w:textAlignment w:val="auto"/>
        <w:rPr>
          <w:rFonts w:hint="eastAsia"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本公告在《陕西省政府采购网》《陕西省公共资源交易平台》媒介发布，自本公告发布之日起</w:t>
      </w:r>
      <w:r>
        <w:rPr>
          <w:rFonts w:hint="eastAsia" w:ascii="华文仿宋" w:hAnsi="华文仿宋" w:cs="Times New Roman"/>
          <w:kern w:val="2"/>
          <w:sz w:val="28"/>
          <w:szCs w:val="28"/>
          <w:lang w:val="en-US" w:eastAsia="zh-CN" w:bidi="ar-SA"/>
        </w:rPr>
        <w:t>5</w:t>
      </w:r>
      <w:r>
        <w:rPr>
          <w:rFonts w:hint="eastAsia" w:ascii="华文仿宋" w:hAnsi="华文仿宋" w:eastAsia="华文仿宋" w:cs="Times New Roman"/>
          <w:kern w:val="2"/>
          <w:sz w:val="28"/>
          <w:szCs w:val="28"/>
          <w:lang w:val="en-US" w:eastAsia="zh-CN" w:bidi="ar-SA"/>
        </w:rPr>
        <w:t>个工作日。</w:t>
      </w:r>
    </w:p>
    <w:p w14:paraId="779095FF">
      <w:pPr>
        <w:keepNext w:val="0"/>
        <w:keepLines w:val="0"/>
        <w:pageBreakBefore w:val="0"/>
        <w:numPr>
          <w:ilvl w:val="0"/>
          <w:numId w:val="2"/>
        </w:numPr>
        <w:kinsoku/>
        <w:wordWrap/>
        <w:overflowPunct/>
        <w:topLinePunct w:val="0"/>
        <w:bidi w:val="0"/>
        <w:spacing w:line="480" w:lineRule="exact"/>
        <w:ind w:firstLine="698"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333333"/>
          <w:sz w:val="28"/>
          <w:szCs w:val="28"/>
          <w:shd w:val="clear" w:color="auto" w:fill="FFFFFF"/>
        </w:rPr>
        <w:t>其他补充事宜</w:t>
      </w:r>
    </w:p>
    <w:p w14:paraId="186E0D0F">
      <w:pPr>
        <w:keepNext w:val="0"/>
        <w:keepLines w:val="0"/>
        <w:pageBreakBefore w:val="0"/>
        <w:kinsoku/>
        <w:wordWrap/>
        <w:overflowPunct/>
        <w:topLinePunct w:val="0"/>
        <w:bidi w:val="0"/>
        <w:spacing w:line="480" w:lineRule="exact"/>
        <w:ind w:firstLine="566" w:firstLineChars="200"/>
        <w:textAlignment w:val="auto"/>
        <w:rPr>
          <w:rFonts w:ascii="仿宋" w:hAnsi="仿宋" w:eastAsia="仿宋" w:cs="仿宋"/>
        </w:rPr>
      </w:pPr>
      <w:r>
        <w:rPr>
          <w:rFonts w:hint="eastAsia" w:ascii="仿宋" w:hAnsi="仿宋" w:eastAsia="仿宋" w:cs="仿宋"/>
        </w:rPr>
        <w:t>1、供应商下载文件后，按照陕西省财政厅《关于政府采购投标人注册登记有关事项的通知》要求，通过陕西省政府采购网注册登记加入陕西省政府采购供应商库。</w:t>
      </w:r>
    </w:p>
    <w:p w14:paraId="79AEFCCF">
      <w:pPr>
        <w:keepNext w:val="0"/>
        <w:keepLines w:val="0"/>
        <w:pageBreakBefore w:val="0"/>
        <w:kinsoku/>
        <w:wordWrap/>
        <w:overflowPunct/>
        <w:topLinePunct w:val="0"/>
        <w:bidi w:val="0"/>
        <w:spacing w:line="480" w:lineRule="exact"/>
        <w:ind w:firstLine="566" w:firstLineChars="200"/>
        <w:textAlignment w:val="auto"/>
        <w:rPr>
          <w:rFonts w:ascii="仿宋" w:hAnsi="仿宋" w:eastAsia="仿宋" w:cs="仿宋"/>
        </w:rPr>
      </w:pPr>
      <w:r>
        <w:rPr>
          <w:rFonts w:hint="eastAsia" w:ascii="仿宋" w:hAnsi="仿宋" w:eastAsia="仿宋" w:cs="仿宋"/>
        </w:rPr>
        <w:t>2、供应商初次使用交易平台，须先完成诚信入库登记、数字认证证书（CA锁）认证及企业信息绑定。</w:t>
      </w:r>
    </w:p>
    <w:p w14:paraId="519D0836">
      <w:pPr>
        <w:keepNext w:val="0"/>
        <w:keepLines w:val="0"/>
        <w:pageBreakBefore w:val="0"/>
        <w:kinsoku/>
        <w:wordWrap/>
        <w:overflowPunct/>
        <w:topLinePunct w:val="0"/>
        <w:bidi w:val="0"/>
        <w:spacing w:line="480" w:lineRule="exact"/>
        <w:ind w:firstLine="566" w:firstLineChars="200"/>
        <w:textAlignment w:val="auto"/>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65231CB7">
      <w:pPr>
        <w:keepNext w:val="0"/>
        <w:keepLines w:val="0"/>
        <w:pageBreakBefore w:val="0"/>
        <w:kinsoku/>
        <w:wordWrap/>
        <w:overflowPunct/>
        <w:topLinePunct w:val="0"/>
        <w:bidi w:val="0"/>
        <w:spacing w:line="480" w:lineRule="exact"/>
        <w:ind w:firstLine="566" w:firstLineChars="200"/>
        <w:textAlignment w:val="auto"/>
        <w:rPr>
          <w:rFonts w:ascii="仿宋" w:hAnsi="仿宋" w:eastAsia="仿宋" w:cs="仿宋"/>
        </w:rPr>
      </w:pPr>
      <w:r>
        <w:rPr>
          <w:rFonts w:hint="eastAsia" w:ascii="仿宋" w:hAnsi="仿宋" w:eastAsia="仿宋" w:cs="仿宋"/>
        </w:rPr>
        <w:t>4、未办理陕西省公共资源交易中心CA锁的供应商可到榆林市市民中心</w:t>
      </w:r>
      <w:r>
        <w:rPr>
          <w:rFonts w:hint="eastAsia" w:ascii="仿宋" w:hAnsi="仿宋" w:eastAsia="仿宋" w:cs="仿宋"/>
          <w:lang w:val="en-US" w:eastAsia="zh-CN"/>
        </w:rPr>
        <w:t>三</w:t>
      </w:r>
      <w:r>
        <w:rPr>
          <w:rFonts w:hint="eastAsia" w:ascii="仿宋" w:hAnsi="仿宋" w:eastAsia="仿宋" w:cs="仿宋"/>
        </w:rPr>
        <w:t>楼交易中心窗口办理或西安市高新三路信息港大厦一楼办事大厅，咨询电话0912-3</w:t>
      </w:r>
      <w:r>
        <w:rPr>
          <w:rFonts w:hint="eastAsia" w:ascii="仿宋" w:hAnsi="仿宋" w:eastAsia="仿宋" w:cs="仿宋"/>
          <w:lang w:val="en-US" w:eastAsia="zh-CN"/>
        </w:rPr>
        <w:t>452148</w:t>
      </w:r>
      <w:r>
        <w:rPr>
          <w:rFonts w:hint="eastAsia" w:ascii="仿宋" w:hAnsi="仿宋" w:eastAsia="仿宋" w:cs="仿宋"/>
        </w:rPr>
        <w:t>、029-88661241或4006-369-888（陕西CA联系电话）。</w:t>
      </w:r>
    </w:p>
    <w:p w14:paraId="731512C1">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七、对本次采购提出询问，请按以下方式联系</w:t>
      </w:r>
    </w:p>
    <w:p w14:paraId="3418A6C4">
      <w:pPr>
        <w:pStyle w:val="4"/>
        <w:keepNext w:val="0"/>
        <w:keepLines w:val="0"/>
        <w:pageBreakBefore w:val="0"/>
        <w:kinsoku/>
        <w:wordWrap/>
        <w:overflowPunct/>
        <w:topLinePunct w:val="0"/>
        <w:bidi w:val="0"/>
        <w:spacing w:line="480" w:lineRule="exact"/>
        <w:ind w:left="0" w:leftChars="0" w:firstLine="566" w:firstLineChars="200"/>
        <w:textAlignment w:val="auto"/>
        <w:rPr>
          <w:rFonts w:hint="eastAsia" w:ascii="仿宋" w:hAnsi="仿宋" w:eastAsia="仿宋" w:cs="仿宋"/>
          <w:sz w:val="28"/>
          <w:szCs w:val="28"/>
        </w:rPr>
      </w:pPr>
      <w:r>
        <w:rPr>
          <w:rFonts w:hint="eastAsia" w:ascii="仿宋" w:hAnsi="仿宋" w:eastAsia="仿宋" w:cs="仿宋"/>
          <w:sz w:val="28"/>
          <w:szCs w:val="28"/>
        </w:rPr>
        <w:t>1、采购人信息</w:t>
      </w:r>
    </w:p>
    <w:p w14:paraId="13C47022">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府谷县</w:t>
      </w:r>
      <w:r>
        <w:rPr>
          <w:rFonts w:hint="eastAsia" w:ascii="仿宋" w:hAnsi="仿宋" w:eastAsia="仿宋" w:cs="仿宋"/>
          <w:sz w:val="28"/>
          <w:szCs w:val="28"/>
          <w:lang w:val="en-US" w:eastAsia="zh-CN"/>
        </w:rPr>
        <w:t>公安局</w:t>
      </w:r>
    </w:p>
    <w:p w14:paraId="1992E076">
      <w:pPr>
        <w:keepNext w:val="0"/>
        <w:keepLines w:val="0"/>
        <w:pageBreakBefore w:val="0"/>
        <w:kinsoku/>
        <w:wordWrap/>
        <w:overflowPunct/>
        <w:topLinePunct w:val="0"/>
        <w:bidi w:val="0"/>
        <w:spacing w:line="480" w:lineRule="exact"/>
        <w:ind w:firstLine="566" w:firstLineChars="200"/>
        <w:textAlignment w:val="auto"/>
        <w:rPr>
          <w:rFonts w:hint="default" w:ascii="仿宋" w:hAnsi="仿宋" w:eastAsia="仿宋" w:cs="仿宋"/>
          <w:sz w:val="28"/>
          <w:szCs w:val="28"/>
          <w:lang w:val="en-US" w:eastAsia="zh-CN"/>
        </w:rPr>
      </w:pPr>
      <w:r>
        <w:rPr>
          <w:rFonts w:hint="eastAsia" w:ascii="仿宋" w:hAnsi="仿宋" w:eastAsia="仿宋" w:cs="仿宋"/>
          <w:color w:val="000000"/>
          <w:sz w:val="28"/>
          <w:szCs w:val="28"/>
        </w:rPr>
        <w:t>地址</w:t>
      </w:r>
      <w:r>
        <w:rPr>
          <w:rFonts w:hint="eastAsia" w:ascii="仿宋" w:hAnsi="仿宋" w:eastAsia="仿宋" w:cs="仿宋"/>
          <w:sz w:val="28"/>
          <w:szCs w:val="28"/>
        </w:rPr>
        <w:t>：</w:t>
      </w:r>
      <w:r>
        <w:rPr>
          <w:rFonts w:hint="eastAsia" w:ascii="仿宋" w:hAnsi="仿宋" w:eastAsia="仿宋" w:cs="仿宋"/>
          <w:sz w:val="28"/>
          <w:szCs w:val="28"/>
          <w:lang w:val="en-US" w:eastAsia="zh-CN"/>
        </w:rPr>
        <w:t>陕西省榆林市府谷县府谷镇</w:t>
      </w:r>
    </w:p>
    <w:p w14:paraId="0FE18648">
      <w:pPr>
        <w:keepNext w:val="0"/>
        <w:keepLines w:val="0"/>
        <w:pageBreakBefore w:val="0"/>
        <w:kinsoku/>
        <w:wordWrap/>
        <w:overflowPunct/>
        <w:topLinePunct w:val="0"/>
        <w:bidi w:val="0"/>
        <w:spacing w:line="480" w:lineRule="exact"/>
        <w:ind w:firstLine="566"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联系人：</w:t>
      </w:r>
      <w:r>
        <w:rPr>
          <w:rFonts w:hint="eastAsia" w:ascii="仿宋" w:hAnsi="仿宋" w:eastAsia="仿宋" w:cs="仿宋"/>
          <w:sz w:val="28"/>
          <w:szCs w:val="28"/>
          <w:lang w:val="en-US" w:eastAsia="zh-CN"/>
        </w:rPr>
        <w:t>王工</w:t>
      </w:r>
    </w:p>
    <w:p w14:paraId="2DFEB80E">
      <w:pPr>
        <w:keepNext w:val="0"/>
        <w:keepLines w:val="0"/>
        <w:pageBreakBefore w:val="0"/>
        <w:kinsoku/>
        <w:wordWrap/>
        <w:overflowPunct/>
        <w:topLinePunct w:val="0"/>
        <w:bidi w:val="0"/>
        <w:spacing w:line="480" w:lineRule="exact"/>
        <w:ind w:firstLine="566"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000000"/>
          <w:sz w:val="28"/>
          <w:szCs w:val="28"/>
        </w:rPr>
        <w:t>联系电话</w:t>
      </w:r>
      <w:r>
        <w:rPr>
          <w:rFonts w:hint="eastAsia" w:ascii="仿宋" w:hAnsi="仿宋" w:eastAsia="仿宋" w:cs="仿宋"/>
          <w:sz w:val="28"/>
          <w:szCs w:val="28"/>
        </w:rPr>
        <w:t>：</w:t>
      </w:r>
      <w:r>
        <w:rPr>
          <w:rFonts w:ascii="仿宋" w:hAnsi="仿宋" w:eastAsia="仿宋" w:cs="仿宋"/>
          <w:sz w:val="24"/>
        </w:rPr>
        <w:t>18091986571</w:t>
      </w:r>
    </w:p>
    <w:p w14:paraId="3731431D">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sz w:val="28"/>
          <w:szCs w:val="28"/>
        </w:rPr>
      </w:pPr>
      <w:r>
        <w:rPr>
          <w:rFonts w:hint="eastAsia" w:ascii="仿宋" w:hAnsi="仿宋" w:eastAsia="仿宋" w:cs="仿宋"/>
          <w:sz w:val="28"/>
          <w:szCs w:val="28"/>
        </w:rPr>
        <w:t>2、采购代理机构信息</w:t>
      </w:r>
    </w:p>
    <w:p w14:paraId="0ED83728">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sz w:val="28"/>
          <w:szCs w:val="28"/>
        </w:rPr>
      </w:pPr>
      <w:r>
        <w:rPr>
          <w:rFonts w:hint="eastAsia" w:ascii="仿宋" w:hAnsi="仿宋" w:eastAsia="仿宋" w:cs="仿宋"/>
          <w:sz w:val="28"/>
          <w:szCs w:val="28"/>
        </w:rPr>
        <w:t>名称：府谷县政府投资和采购服务中心</w:t>
      </w:r>
    </w:p>
    <w:p w14:paraId="0EDE7453">
      <w:pPr>
        <w:keepNext w:val="0"/>
        <w:keepLines w:val="0"/>
        <w:pageBreakBefore w:val="0"/>
        <w:kinsoku/>
        <w:wordWrap/>
        <w:overflowPunct/>
        <w:topLinePunct w:val="0"/>
        <w:bidi w:val="0"/>
        <w:spacing w:line="480" w:lineRule="exact"/>
        <w:ind w:firstLine="566" w:firstLineChars="200"/>
        <w:textAlignment w:val="auto"/>
        <w:rPr>
          <w:rFonts w:hint="eastAsia" w:ascii="仿宋" w:hAnsi="仿宋" w:eastAsia="仿宋" w:cs="仿宋"/>
          <w:sz w:val="28"/>
          <w:szCs w:val="28"/>
        </w:rPr>
      </w:pPr>
      <w:r>
        <w:rPr>
          <w:rFonts w:hint="eastAsia" w:ascii="仿宋" w:hAnsi="仿宋" w:eastAsia="仿宋" w:cs="仿宋"/>
          <w:sz w:val="28"/>
          <w:szCs w:val="28"/>
        </w:rPr>
        <w:t>地址：府谷县财税中心11楼</w:t>
      </w:r>
    </w:p>
    <w:p w14:paraId="119890BF">
      <w:pPr>
        <w:keepNext w:val="0"/>
        <w:keepLines w:val="0"/>
        <w:pageBreakBefore w:val="0"/>
        <w:kinsoku/>
        <w:wordWrap/>
        <w:overflowPunct/>
        <w:topLinePunct w:val="0"/>
        <w:bidi w:val="0"/>
        <w:spacing w:line="480" w:lineRule="exact"/>
        <w:ind w:firstLine="566"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联系人：</w:t>
      </w:r>
      <w:r>
        <w:rPr>
          <w:rFonts w:hint="eastAsia" w:ascii="仿宋" w:hAnsi="仿宋" w:eastAsia="仿宋" w:cs="仿宋"/>
          <w:sz w:val="28"/>
          <w:szCs w:val="28"/>
          <w:lang w:val="en-US" w:eastAsia="zh-CN"/>
        </w:rPr>
        <w:t>高工</w:t>
      </w:r>
    </w:p>
    <w:p w14:paraId="7E8D3D3C">
      <w:pPr>
        <w:keepNext w:val="0"/>
        <w:keepLines w:val="0"/>
        <w:pageBreakBefore w:val="0"/>
        <w:kinsoku/>
        <w:wordWrap/>
        <w:overflowPunct/>
        <w:topLinePunct w:val="0"/>
        <w:bidi w:val="0"/>
        <w:spacing w:line="480" w:lineRule="exact"/>
        <w:ind w:firstLine="566"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13488346234</w:t>
      </w:r>
    </w:p>
    <w:p w14:paraId="0D80E0AB">
      <w:pPr>
        <w:keepNext w:val="0"/>
        <w:keepLines w:val="0"/>
        <w:pageBreakBefore w:val="0"/>
        <w:kinsoku/>
        <w:wordWrap/>
        <w:overflowPunct/>
        <w:topLinePunct w:val="0"/>
        <w:autoSpaceDE w:val="0"/>
        <w:autoSpaceDN w:val="0"/>
        <w:bidi w:val="0"/>
        <w:adjustRightInd w:val="0"/>
        <w:snapToGrid w:val="0"/>
        <w:spacing w:line="480" w:lineRule="exact"/>
        <w:ind w:firstLine="566" w:firstLineChars="200"/>
        <w:jc w:val="right"/>
        <w:textAlignment w:val="auto"/>
        <w:rPr>
          <w:rFonts w:hint="eastAsia" w:ascii="仿宋" w:hAnsi="仿宋" w:eastAsia="仿宋" w:cs="仿宋"/>
          <w:bCs/>
          <w:sz w:val="28"/>
          <w:szCs w:val="28"/>
          <w:lang w:val="zh-CN"/>
        </w:rPr>
      </w:pPr>
    </w:p>
    <w:p w14:paraId="266DFF68">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sz w:val="28"/>
          <w:szCs w:val="28"/>
          <w:lang w:val="zh-CN"/>
        </w:rPr>
      </w:pPr>
      <w:r>
        <w:rPr>
          <w:rFonts w:hint="eastAsia" w:ascii="仿宋" w:hAnsi="仿宋" w:eastAsia="仿宋" w:cs="仿宋"/>
          <w:bCs/>
          <w:sz w:val="28"/>
          <w:szCs w:val="28"/>
          <w:lang w:val="zh-CN"/>
        </w:rPr>
        <w:t>府谷县政府投资和采购服务中心</w:t>
      </w:r>
    </w:p>
    <w:p w14:paraId="44CA449A">
      <w:pPr>
        <w:keepNext w:val="0"/>
        <w:keepLines w:val="0"/>
        <w:pageBreakBefore w:val="0"/>
        <w:kinsoku/>
        <w:wordWrap/>
        <w:overflowPunct/>
        <w:topLinePunct w:val="0"/>
        <w:autoSpaceDE w:val="0"/>
        <w:autoSpaceDN w:val="0"/>
        <w:bidi w:val="0"/>
        <w:adjustRightInd w:val="0"/>
        <w:snapToGrid w:val="0"/>
        <w:spacing w:line="480" w:lineRule="exact"/>
        <w:ind w:right="564" w:firstLine="566" w:firstLineChars="200"/>
        <w:jc w:val="center"/>
        <w:textAlignment w:val="auto"/>
        <w:rPr>
          <w:rFonts w:hint="eastAsia" w:ascii="仿宋" w:hAnsi="仿宋" w:eastAsia="仿宋" w:cs="仿宋"/>
          <w:b/>
          <w:bCs/>
          <w:color w:val="auto"/>
          <w:sz w:val="28"/>
          <w:szCs w:val="28"/>
          <w:highlight w:val="red"/>
          <w:lang w:val="zh-CN"/>
        </w:rPr>
      </w:pPr>
      <w:r>
        <w:rPr>
          <w:rFonts w:hint="eastAsia" w:ascii="仿宋" w:hAnsi="仿宋" w:eastAsia="仿宋" w:cs="仿宋"/>
          <w:bCs/>
          <w:sz w:val="28"/>
          <w:szCs w:val="28"/>
          <w:lang w:val="zh-CN"/>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b w:val="0"/>
          <w:bCs w:val="0"/>
          <w:color w:val="auto"/>
          <w:sz w:val="28"/>
          <w:szCs w:val="28"/>
          <w:lang w:val="zh-CN"/>
        </w:rPr>
        <w:t xml:space="preserve"> </w:t>
      </w:r>
      <w:r>
        <w:rPr>
          <w:rFonts w:hint="eastAsia" w:ascii="仿宋" w:hAnsi="仿宋" w:eastAsia="仿宋" w:cs="仿宋"/>
          <w:b w:val="0"/>
          <w:bCs w:val="0"/>
          <w:color w:val="auto"/>
          <w:sz w:val="28"/>
          <w:szCs w:val="28"/>
          <w:highlight w:val="none"/>
          <w:lang w:val="en-US" w:eastAsia="zh-CN"/>
        </w:rPr>
        <w:t>2026年5月12日</w:t>
      </w:r>
    </w:p>
    <w:p w14:paraId="08F80B33">
      <w:pPr>
        <w:spacing w:line="500" w:lineRule="exact"/>
        <w:ind w:firstLine="807" w:firstLineChars="250"/>
        <w:rPr>
          <w:rFonts w:hint="eastAsia" w:ascii="Times New Roman" w:hAnsi="Times New Roman" w:eastAsia="黑体" w:cs="Times New Roman"/>
          <w:color w:val="FF0000"/>
          <w:sz w:val="18"/>
          <w:szCs w:val="18"/>
          <w:lang w:val="en-US" w:eastAsia="zh-CN"/>
        </w:rPr>
      </w:pPr>
      <w:r>
        <w:rPr>
          <w:rFonts w:ascii="黑体" w:hAnsi="黑体" w:eastAsia="黑体"/>
          <w:b/>
          <w:color w:val="FF0000"/>
          <w:sz w:val="32"/>
          <w:szCs w:val="32"/>
        </w:rPr>
        <w:br w:type="page"/>
      </w:r>
    </w:p>
    <w:p w14:paraId="4EE7771C">
      <w:pPr>
        <w:spacing w:line="500" w:lineRule="exact"/>
        <w:jc w:val="center"/>
        <w:rPr>
          <w:rStyle w:val="59"/>
          <w:rFonts w:ascii="黑体" w:hAnsi="黑体" w:eastAsia="黑体" w:cs="仿宋"/>
          <w:sz w:val="30"/>
          <w:szCs w:val="30"/>
        </w:rPr>
      </w:pPr>
      <w:r>
        <w:rPr>
          <w:rStyle w:val="59"/>
          <w:rFonts w:ascii="黑体" w:hAnsi="黑体" w:eastAsia="黑体" w:cs="仿宋"/>
          <w:sz w:val="30"/>
          <w:szCs w:val="30"/>
        </w:rPr>
        <w:t xml:space="preserve">第二章  </w:t>
      </w:r>
      <w:r>
        <w:rPr>
          <w:rStyle w:val="59"/>
          <w:rFonts w:hint="eastAsia" w:ascii="黑体" w:hAnsi="黑体" w:eastAsia="黑体" w:cs="仿宋"/>
          <w:sz w:val="30"/>
          <w:szCs w:val="30"/>
        </w:rPr>
        <w:t>投标人</w:t>
      </w:r>
      <w:r>
        <w:rPr>
          <w:rStyle w:val="59"/>
          <w:rFonts w:ascii="黑体" w:hAnsi="黑体" w:eastAsia="黑体" w:cs="仿宋"/>
          <w:sz w:val="30"/>
          <w:szCs w:val="30"/>
        </w:rPr>
        <w:t>须知</w:t>
      </w:r>
      <w:bookmarkEnd w:id="10"/>
      <w:bookmarkEnd w:id="11"/>
      <w:bookmarkEnd w:id="12"/>
      <w:bookmarkEnd w:id="13"/>
      <w:bookmarkEnd w:id="14"/>
      <w:bookmarkEnd w:id="15"/>
      <w:bookmarkEnd w:id="16"/>
      <w:bookmarkEnd w:id="17"/>
    </w:p>
    <w:p w14:paraId="25212CDF">
      <w:pPr>
        <w:spacing w:line="500" w:lineRule="exact"/>
        <w:jc w:val="center"/>
        <w:rPr>
          <w:rFonts w:ascii="黑体" w:hAnsi="黑体" w:eastAsia="黑体"/>
          <w:b/>
          <w:bCs/>
          <w:sz w:val="30"/>
          <w:szCs w:val="30"/>
        </w:rPr>
      </w:pPr>
      <w:bookmarkStart w:id="18" w:name="_Toc215"/>
      <w:bookmarkStart w:id="19" w:name="_Toc56066539"/>
      <w:r>
        <w:rPr>
          <w:rStyle w:val="59"/>
          <w:rFonts w:hint="eastAsia" w:ascii="黑体" w:hAnsi="黑体" w:eastAsia="黑体" w:cs="仿宋"/>
          <w:b w:val="0"/>
          <w:sz w:val="30"/>
          <w:szCs w:val="30"/>
        </w:rPr>
        <w:t>一、定义</w:t>
      </w:r>
      <w:bookmarkEnd w:id="18"/>
      <w:bookmarkEnd w:id="19"/>
    </w:p>
    <w:p w14:paraId="5693752A">
      <w:pPr>
        <w:spacing w:line="500" w:lineRule="exact"/>
        <w:ind w:firstLine="566" w:firstLineChars="200"/>
        <w:rPr>
          <w:rFonts w:hint="eastAsia"/>
          <w:lang w:eastAsia="zh-CN"/>
        </w:rPr>
      </w:pPr>
      <w:r>
        <w:rPr>
          <w:rFonts w:hint="eastAsia"/>
        </w:rPr>
        <w:t>采 购 人：</w:t>
      </w:r>
      <w:r>
        <w:rPr>
          <w:rFonts w:hint="eastAsia"/>
          <w:lang w:eastAsia="zh-CN"/>
        </w:rPr>
        <w:t>府谷县公安局</w:t>
      </w:r>
    </w:p>
    <w:p w14:paraId="216A2A48">
      <w:pPr>
        <w:spacing w:line="500" w:lineRule="exact"/>
        <w:ind w:firstLine="566" w:firstLineChars="200"/>
      </w:pPr>
      <w:r>
        <w:rPr>
          <w:rFonts w:hint="eastAsia"/>
        </w:rPr>
        <w:t>监督机构：</w:t>
      </w:r>
      <w:r>
        <w:rPr>
          <w:rFonts w:hint="eastAsia" w:ascii="华文仿宋" w:hAnsi="华文仿宋"/>
        </w:rPr>
        <w:t>府谷县财政局</w:t>
      </w:r>
    </w:p>
    <w:p w14:paraId="1BB2B315">
      <w:pPr>
        <w:spacing w:line="500" w:lineRule="exact"/>
        <w:ind w:firstLine="566" w:firstLineChars="200"/>
      </w:pPr>
      <w:r>
        <w:rPr>
          <w:rFonts w:hint="eastAsia"/>
        </w:rPr>
        <w:t>集中采购机构：府谷县政府投资和采购服务中心</w:t>
      </w:r>
    </w:p>
    <w:p w14:paraId="523D983B">
      <w:pPr>
        <w:autoSpaceDE w:val="0"/>
        <w:autoSpaceDN w:val="0"/>
        <w:adjustRightInd w:val="0"/>
        <w:spacing w:line="560" w:lineRule="exact"/>
        <w:ind w:firstLine="570"/>
      </w:pPr>
      <w:r>
        <w:rPr>
          <w:rFonts w:hint="eastAsia"/>
        </w:rPr>
        <w:t>投标人：拟向采购人提供货物、工程或者服务的符合招标文件规定资格条件的法人、其他组织或者自然人。</w:t>
      </w:r>
    </w:p>
    <w:p w14:paraId="32E46F9F">
      <w:pPr>
        <w:spacing w:line="500" w:lineRule="exact"/>
        <w:jc w:val="center"/>
        <w:rPr>
          <w:rStyle w:val="59"/>
          <w:rFonts w:ascii="黑体" w:hAnsi="黑体" w:eastAsia="黑体" w:cs="仿宋"/>
          <w:b w:val="0"/>
          <w:sz w:val="30"/>
          <w:szCs w:val="30"/>
        </w:rPr>
      </w:pPr>
      <w:bookmarkStart w:id="20" w:name="_Toc30316"/>
      <w:bookmarkStart w:id="21" w:name="_Toc29946"/>
      <w:bookmarkStart w:id="22" w:name="_Toc56066540"/>
      <w:bookmarkStart w:id="23" w:name="_Toc11437"/>
      <w:r>
        <w:rPr>
          <w:rStyle w:val="59"/>
          <w:rFonts w:hint="eastAsia" w:ascii="黑体" w:hAnsi="黑体" w:eastAsia="黑体" w:cs="仿宋"/>
          <w:b w:val="0"/>
          <w:sz w:val="30"/>
          <w:szCs w:val="30"/>
        </w:rPr>
        <w:t>二、投标人注意事项</w:t>
      </w:r>
      <w:bookmarkEnd w:id="20"/>
      <w:bookmarkEnd w:id="21"/>
      <w:bookmarkEnd w:id="22"/>
      <w:bookmarkEnd w:id="23"/>
    </w:p>
    <w:p w14:paraId="54227E2C">
      <w:pPr>
        <w:spacing w:line="500" w:lineRule="exact"/>
        <w:ind w:firstLine="566" w:firstLineChars="200"/>
        <w:rPr>
          <w:rFonts w:ascii="华文仿宋" w:hAnsi="华文仿宋"/>
          <w:b/>
        </w:rPr>
      </w:pPr>
      <w:r>
        <w:rPr>
          <w:rFonts w:hint="eastAsia" w:ascii="华文仿宋" w:hAnsi="华文仿宋"/>
          <w:b/>
        </w:rPr>
        <w:t>2.</w:t>
      </w:r>
      <w:r>
        <w:rPr>
          <w:rFonts w:ascii="华文仿宋" w:hAnsi="华文仿宋"/>
          <w:b/>
        </w:rPr>
        <w:t>1询问</w:t>
      </w:r>
    </w:p>
    <w:p w14:paraId="7C1703CF">
      <w:pPr>
        <w:spacing w:line="500" w:lineRule="exact"/>
        <w:ind w:firstLine="566" w:firstLineChars="200"/>
        <w:rPr>
          <w:rFonts w:ascii="华文仿宋" w:hAnsi="华文仿宋"/>
          <w:color w:val="C00000"/>
        </w:rPr>
      </w:pPr>
      <w:r>
        <w:rPr>
          <w:rFonts w:hint="eastAsia" w:ascii="华文仿宋" w:hAnsi="华文仿宋"/>
        </w:rPr>
        <w:t>投标人</w:t>
      </w:r>
      <w:r>
        <w:rPr>
          <w:rFonts w:ascii="华文仿宋" w:hAnsi="华文仿宋"/>
        </w:rPr>
        <w:t>对政府采购活动事项有疑问的，可以向采购人或</w:t>
      </w:r>
      <w:r>
        <w:rPr>
          <w:rFonts w:hint="eastAsia" w:ascii="华文仿宋" w:hAnsi="华文仿宋"/>
        </w:rPr>
        <w:t>府谷县政府投资和采购服务中心</w:t>
      </w:r>
      <w:r>
        <w:rPr>
          <w:rFonts w:ascii="华文仿宋" w:hAnsi="华文仿宋"/>
        </w:rPr>
        <w:t>提出询问。采购人或</w:t>
      </w:r>
      <w:r>
        <w:rPr>
          <w:rFonts w:hint="eastAsia" w:ascii="华文仿宋" w:hAnsi="华文仿宋"/>
        </w:rPr>
        <w:t>府谷县政府投资和采购服务中心</w:t>
      </w:r>
      <w:r>
        <w:rPr>
          <w:rFonts w:ascii="华文仿宋" w:hAnsi="华文仿宋"/>
        </w:rPr>
        <w:t>将在3个工作日内对</w:t>
      </w:r>
      <w:r>
        <w:rPr>
          <w:rFonts w:hint="eastAsia" w:ascii="华文仿宋" w:hAnsi="华文仿宋"/>
        </w:rPr>
        <w:t>投标人</w:t>
      </w:r>
      <w:r>
        <w:rPr>
          <w:rFonts w:ascii="华文仿宋" w:hAnsi="华文仿宋"/>
        </w:rPr>
        <w:t>依法提出的询问</w:t>
      </w:r>
      <w:r>
        <w:rPr>
          <w:rFonts w:hint="eastAsia" w:ascii="华文仿宋" w:hAnsi="华文仿宋"/>
        </w:rPr>
        <w:t>做出</w:t>
      </w:r>
      <w:r>
        <w:rPr>
          <w:rFonts w:ascii="华文仿宋" w:hAnsi="华文仿宋"/>
        </w:rPr>
        <w:t>答复。询问</w:t>
      </w:r>
      <w:r>
        <w:rPr>
          <w:rFonts w:hint="eastAsia" w:ascii="华文仿宋" w:hAnsi="华文仿宋"/>
        </w:rPr>
        <w:t>内容</w:t>
      </w:r>
      <w:r>
        <w:rPr>
          <w:rFonts w:ascii="华文仿宋" w:hAnsi="华文仿宋"/>
        </w:rPr>
        <w:t>超出采购人对</w:t>
      </w:r>
      <w:r>
        <w:rPr>
          <w:rFonts w:hint="eastAsia" w:ascii="华文仿宋" w:hAnsi="华文仿宋"/>
        </w:rPr>
        <w:t>府谷县政府投资和采购服务中心</w:t>
      </w:r>
      <w:r>
        <w:rPr>
          <w:rFonts w:ascii="华文仿宋" w:hAnsi="华文仿宋"/>
        </w:rPr>
        <w:t>委托授权范围的，</w:t>
      </w:r>
      <w:r>
        <w:rPr>
          <w:rFonts w:hint="eastAsia" w:ascii="华文仿宋" w:hAnsi="华文仿宋"/>
        </w:rPr>
        <w:t>投标人应当</w:t>
      </w:r>
      <w:r>
        <w:rPr>
          <w:rFonts w:ascii="华文仿宋" w:hAnsi="华文仿宋"/>
        </w:rPr>
        <w:t>向采购人提出。</w:t>
      </w:r>
    </w:p>
    <w:p w14:paraId="365AE004">
      <w:pPr>
        <w:spacing w:line="500" w:lineRule="exact"/>
        <w:ind w:firstLine="566" w:firstLineChars="200"/>
        <w:rPr>
          <w:rFonts w:ascii="华文仿宋" w:hAnsi="华文仿宋"/>
          <w:b/>
        </w:rPr>
      </w:pPr>
      <w:r>
        <w:rPr>
          <w:rFonts w:ascii="华文仿宋" w:hAnsi="华文仿宋"/>
          <w:b/>
        </w:rPr>
        <w:t>2</w:t>
      </w:r>
      <w:r>
        <w:rPr>
          <w:rFonts w:hint="eastAsia" w:ascii="华文仿宋" w:hAnsi="华文仿宋"/>
          <w:b/>
        </w:rPr>
        <w:t>.2现场踏勘及标前答疑会</w:t>
      </w:r>
    </w:p>
    <w:p w14:paraId="6B0D9331">
      <w:pPr>
        <w:spacing w:line="500" w:lineRule="exact"/>
        <w:ind w:firstLine="566" w:firstLineChars="200"/>
        <w:rPr>
          <w:rFonts w:ascii="华文仿宋" w:hAnsi="华文仿宋"/>
          <w:bCs/>
        </w:rPr>
      </w:pPr>
      <w:r>
        <w:rPr>
          <w:rFonts w:hint="eastAsia" w:ascii="华文仿宋" w:hAnsi="华文仿宋"/>
          <w:bCs/>
        </w:rPr>
        <w:t>采购项目安排现场踏勘和标前答疑的，潜在投标人的项目主要负责人等应按时出席，出席时需持介绍信及本人身份证件。需要答疑的问题各投标人可以口头或书面形式提出。采购人应尽量在现场予以解答（口头提问可口头答复），现场不能做出解答的，应在三个工作日内书面答复，并交由府谷县政府投资和采购服务中心在财政部门制定的媒体发布。答复内容与招标文件中相关内容不一致的，以书答复内容为准。</w:t>
      </w:r>
    </w:p>
    <w:p w14:paraId="4DE06E97">
      <w:pPr>
        <w:spacing w:line="500" w:lineRule="exact"/>
        <w:ind w:firstLine="566" w:firstLineChars="200"/>
        <w:rPr>
          <w:rFonts w:ascii="华文仿宋" w:hAnsi="华文仿宋"/>
          <w:bCs/>
        </w:rPr>
      </w:pPr>
      <w:r>
        <w:rPr>
          <w:rFonts w:hint="eastAsia" w:ascii="华文仿宋" w:hAnsi="华文仿宋"/>
          <w:bCs/>
        </w:rPr>
        <w:t>答复内容可能影响投标文件编制的，将按相关规定顺延开标时间。凡未参加现场踏勘和标前答疑的投标人，由此造成的偏差或评标结果不利于投标人的，由各投标人自行负责。</w:t>
      </w:r>
    </w:p>
    <w:p w14:paraId="26BD09D4">
      <w:pPr>
        <w:spacing w:line="500" w:lineRule="exact"/>
        <w:ind w:firstLine="566" w:firstLineChars="200"/>
        <w:rPr>
          <w:rFonts w:ascii="华文仿宋" w:hAnsi="华文仿宋"/>
          <w:b/>
        </w:rPr>
      </w:pPr>
      <w:r>
        <w:rPr>
          <w:rFonts w:hint="eastAsia" w:ascii="华文仿宋" w:hAnsi="华文仿宋"/>
          <w:b/>
        </w:rPr>
        <w:t>本项目不组织集中踏勘</w:t>
      </w:r>
      <w:r>
        <w:rPr>
          <w:rFonts w:hint="eastAsia" w:ascii="华文仿宋" w:hAnsi="华文仿宋" w:cs="华文仿宋"/>
          <w:b/>
        </w:rPr>
        <w:t>和答疑</w:t>
      </w:r>
      <w:r>
        <w:rPr>
          <w:rFonts w:hint="eastAsia" w:ascii="华文仿宋" w:hAnsi="华文仿宋"/>
          <w:b/>
        </w:rPr>
        <w:t>。</w:t>
      </w:r>
      <w:r>
        <w:rPr>
          <w:rFonts w:hint="eastAsia" w:ascii="华文仿宋" w:hAnsi="华文仿宋" w:cs="华文仿宋"/>
          <w:b/>
        </w:rPr>
        <w:t>如投标人有现场踏勘需求的，可按公告联系方式联系采购人进行踏勘。</w:t>
      </w:r>
    </w:p>
    <w:p w14:paraId="0E17AEB5">
      <w:pPr>
        <w:spacing w:line="500" w:lineRule="exact"/>
        <w:ind w:firstLine="566" w:firstLineChars="200"/>
        <w:rPr>
          <w:rFonts w:ascii="华文仿宋" w:hAnsi="华文仿宋"/>
          <w:bCs/>
        </w:rPr>
      </w:pPr>
    </w:p>
    <w:p w14:paraId="5636ED7B">
      <w:pPr>
        <w:spacing w:line="500" w:lineRule="exact"/>
        <w:ind w:firstLine="566" w:firstLineChars="200"/>
        <w:rPr>
          <w:rFonts w:ascii="华文仿宋" w:hAnsi="华文仿宋"/>
          <w:b/>
        </w:rPr>
      </w:pPr>
      <w:r>
        <w:rPr>
          <w:rFonts w:hint="eastAsia" w:ascii="华文仿宋" w:hAnsi="华文仿宋"/>
          <w:b/>
          <w:bCs/>
        </w:rPr>
        <w:t>2.3</w:t>
      </w:r>
      <w:r>
        <w:rPr>
          <w:rFonts w:ascii="华文仿宋" w:hAnsi="华文仿宋"/>
          <w:b/>
        </w:rPr>
        <w:t>质疑和投诉</w:t>
      </w:r>
    </w:p>
    <w:p w14:paraId="646C614F">
      <w:pPr>
        <w:widowControl w:val="0"/>
        <w:spacing w:line="500" w:lineRule="exact"/>
        <w:ind w:firstLine="566" w:firstLineChars="200"/>
        <w:contextualSpacing/>
        <w:rPr>
          <w:rFonts w:hint="eastAsia" w:ascii="华文仿宋" w:hAnsi="华文仿宋" w:cs="华文仿宋"/>
        </w:rPr>
      </w:pPr>
      <w:r>
        <w:rPr>
          <w:rFonts w:hint="eastAsia" w:ascii="华文仿宋" w:hAnsi="华文仿宋" w:cs="华文仿宋"/>
        </w:rPr>
        <w:t>2.3.1</w:t>
      </w:r>
      <w:r>
        <w:rPr>
          <w:rFonts w:hint="eastAsia" w:ascii="仿宋" w:hAnsi="仿宋" w:eastAsia="仿宋"/>
        </w:rPr>
        <w:t>投标人</w:t>
      </w:r>
      <w:r>
        <w:rPr>
          <w:rFonts w:ascii="仿宋" w:hAnsi="仿宋" w:eastAsia="仿宋"/>
        </w:rPr>
        <w:t>如果认为</w:t>
      </w:r>
      <w:r>
        <w:rPr>
          <w:rFonts w:hint="eastAsia" w:ascii="仿宋" w:hAnsi="仿宋" w:eastAsia="仿宋"/>
        </w:rPr>
        <w:t>招标</w:t>
      </w:r>
      <w:r>
        <w:rPr>
          <w:rFonts w:ascii="仿宋" w:hAnsi="仿宋" w:eastAsia="仿宋"/>
        </w:rPr>
        <w:t>文件中涉及的采购需求（包括</w:t>
      </w:r>
      <w:r>
        <w:rPr>
          <w:rFonts w:hint="eastAsia" w:ascii="仿宋" w:hAnsi="仿宋" w:eastAsia="仿宋"/>
        </w:rPr>
        <w:t>投标人</w:t>
      </w:r>
      <w:r>
        <w:rPr>
          <w:rFonts w:ascii="仿宋" w:hAnsi="仿宋" w:eastAsia="仿宋"/>
        </w:rPr>
        <w:t>资格条件、评审要素及分值设置、采购内容和要求、</w:t>
      </w:r>
      <w:r>
        <w:rPr>
          <w:rFonts w:hint="eastAsia" w:ascii="仿宋" w:hAnsi="仿宋" w:eastAsia="仿宋"/>
        </w:rPr>
        <w:t>合同</w:t>
      </w:r>
      <w:r>
        <w:rPr>
          <w:rFonts w:ascii="仿宋" w:hAnsi="仿宋" w:eastAsia="仿宋"/>
        </w:rPr>
        <w:t>条款等）使自身的合法权益受到损害，</w:t>
      </w:r>
      <w:r>
        <w:rPr>
          <w:rFonts w:hint="eastAsia" w:ascii="华文仿宋" w:hAnsi="华文仿宋" w:cs="华文仿宋"/>
        </w:rPr>
        <w:t>可以在获取招标文件之日起7个工作日内，以书面形式向采购人或府谷县政府投资和采购服务中心提出质疑</w:t>
      </w:r>
      <w:r>
        <w:rPr>
          <w:rFonts w:ascii="仿宋" w:hAnsi="仿宋" w:eastAsia="仿宋"/>
        </w:rPr>
        <w:t>；</w:t>
      </w:r>
      <w:r>
        <w:rPr>
          <w:rFonts w:hint="eastAsia" w:ascii="仿宋" w:hAnsi="仿宋" w:eastAsia="仿宋"/>
        </w:rPr>
        <w:t>投标人</w:t>
      </w:r>
      <w:r>
        <w:rPr>
          <w:rFonts w:ascii="仿宋" w:hAnsi="仿宋" w:eastAsia="仿宋"/>
        </w:rPr>
        <w:t>如果认为采购程序、采购过程</w:t>
      </w:r>
      <w:r>
        <w:rPr>
          <w:rFonts w:hint="eastAsia" w:ascii="仿宋" w:hAnsi="仿宋" w:eastAsia="仿宋"/>
        </w:rPr>
        <w:t>（不含公开/邀请招标资格审查结果）</w:t>
      </w:r>
      <w:r>
        <w:rPr>
          <w:rFonts w:ascii="仿宋" w:hAnsi="仿宋" w:eastAsia="仿宋"/>
        </w:rPr>
        <w:t>或</w:t>
      </w:r>
      <w:r>
        <w:rPr>
          <w:rFonts w:hint="eastAsia" w:ascii="仿宋" w:hAnsi="仿宋" w:eastAsia="仿宋"/>
        </w:rPr>
        <w:t>中标</w:t>
      </w:r>
      <w:r>
        <w:rPr>
          <w:rFonts w:ascii="仿宋" w:hAnsi="仿宋" w:eastAsia="仿宋"/>
        </w:rPr>
        <w:t>结果使自身的合法权益受到损害，</w:t>
      </w:r>
      <w:r>
        <w:rPr>
          <w:rFonts w:hint="eastAsia" w:ascii="华文仿宋" w:hAnsi="华文仿宋" w:cs="华文仿宋"/>
        </w:rPr>
        <w:t>可以在知道或者应知其权益受到损害之日起７个工作日内，以书面形式向采购人或府谷县政府投资和采购服务中心提出质疑。</w:t>
      </w:r>
    </w:p>
    <w:p w14:paraId="730C102A">
      <w:pPr>
        <w:spacing w:line="500" w:lineRule="exact"/>
        <w:ind w:firstLine="566" w:firstLineChars="200"/>
        <w:rPr>
          <w:rFonts w:hint="eastAsia" w:ascii="华文仿宋" w:hAnsi="华文仿宋"/>
          <w:lang w:val="en-US" w:eastAsia="zh-CN"/>
        </w:rPr>
      </w:pPr>
      <w:r>
        <w:rPr>
          <w:rFonts w:hint="eastAsia" w:ascii="华文仿宋" w:hAnsi="华文仿宋"/>
          <w:lang w:val="en-US" w:eastAsia="zh-CN"/>
        </w:rPr>
        <w:t>2.3.2质疑函递交地址：</w:t>
      </w:r>
    </w:p>
    <w:p w14:paraId="3352A389">
      <w:pPr>
        <w:pStyle w:val="4"/>
        <w:ind w:firstLine="701" w:firstLineChars="248"/>
      </w:pPr>
      <w:r>
        <w:rPr>
          <w:rFonts w:hint="eastAsia"/>
          <w:lang w:val="en-US" w:eastAsia="zh-CN"/>
        </w:rPr>
        <w:t>1、</w:t>
      </w:r>
      <w:r>
        <w:t>采购人信息</w:t>
      </w:r>
    </w:p>
    <w:p w14:paraId="75F67E25">
      <w:pPr>
        <w:pStyle w:val="4"/>
        <w:ind w:firstLine="701" w:firstLineChars="248"/>
        <w:rPr>
          <w:rFonts w:hint="default"/>
          <w:lang w:val="en-US" w:eastAsia="zh-CN"/>
        </w:rPr>
      </w:pPr>
      <w:r>
        <w:rPr>
          <w:rFonts w:hint="eastAsia"/>
        </w:rPr>
        <w:t>名称：</w:t>
      </w:r>
      <w:r>
        <w:rPr>
          <w:rFonts w:hint="eastAsia"/>
          <w:lang w:eastAsia="zh-CN"/>
        </w:rPr>
        <w:t>府谷县公安局</w:t>
      </w:r>
    </w:p>
    <w:p w14:paraId="70D845E6">
      <w:pPr>
        <w:pStyle w:val="4"/>
        <w:ind w:firstLine="701" w:firstLineChars="248"/>
        <w:rPr>
          <w:rFonts w:hint="default"/>
          <w:lang w:val="en-US" w:eastAsia="zh-CN"/>
        </w:rPr>
      </w:pPr>
      <w:r>
        <w:t>地址：</w:t>
      </w:r>
      <w:r>
        <w:rPr>
          <w:rFonts w:hint="eastAsia"/>
          <w:lang w:eastAsia="zh-CN"/>
        </w:rPr>
        <w:t>府谷县</w:t>
      </w:r>
      <w:r>
        <w:rPr>
          <w:rFonts w:hint="eastAsia"/>
          <w:lang w:val="en-US" w:eastAsia="zh-CN"/>
        </w:rPr>
        <w:t>府谷镇府谷县公安局</w:t>
      </w:r>
    </w:p>
    <w:p w14:paraId="5C04DAB9">
      <w:pPr>
        <w:pStyle w:val="4"/>
        <w:ind w:firstLine="701" w:firstLineChars="248"/>
        <w:rPr>
          <w:rFonts w:hint="default"/>
          <w:lang w:val="en-US" w:eastAsia="zh-CN"/>
        </w:rPr>
      </w:pPr>
      <w:r>
        <w:t>联系人</w:t>
      </w:r>
      <w:r>
        <w:rPr>
          <w:rFonts w:hint="eastAsia"/>
        </w:rPr>
        <w:t>：</w:t>
      </w:r>
      <w:r>
        <w:rPr>
          <w:rFonts w:hint="eastAsia"/>
          <w:lang w:val="en-US" w:eastAsia="zh-CN"/>
        </w:rPr>
        <w:t>王工</w:t>
      </w:r>
    </w:p>
    <w:p w14:paraId="3651E337">
      <w:pPr>
        <w:pStyle w:val="4"/>
        <w:ind w:firstLine="701" w:firstLineChars="248"/>
        <w:rPr>
          <w:rFonts w:hint="eastAsia"/>
          <w:lang w:val="en-US" w:eastAsia="zh-CN"/>
        </w:rPr>
      </w:pPr>
      <w:r>
        <w:t>联系</w:t>
      </w:r>
      <w:r>
        <w:rPr>
          <w:rFonts w:hint="eastAsia"/>
        </w:rPr>
        <w:t>电话</w:t>
      </w:r>
      <w:r>
        <w:t>：</w:t>
      </w:r>
      <w:r>
        <w:rPr>
          <w:rFonts w:hint="eastAsia" w:ascii="仿宋" w:hAnsi="仿宋" w:eastAsia="仿宋" w:cs="仿宋"/>
          <w:kern w:val="2"/>
          <w:sz w:val="28"/>
          <w:szCs w:val="28"/>
          <w:lang w:val="en-US" w:eastAsia="zh-CN" w:bidi="ar-SA"/>
        </w:rPr>
        <w:t>18091986571</w:t>
      </w:r>
    </w:p>
    <w:p w14:paraId="2384F798">
      <w:pPr>
        <w:pStyle w:val="4"/>
        <w:ind w:firstLine="701" w:firstLineChars="248"/>
      </w:pPr>
      <w:r>
        <w:rPr>
          <w:rFonts w:hint="eastAsia" w:ascii="华文仿宋" w:hAnsi="华文仿宋" w:cs="华文仿宋"/>
        </w:rPr>
        <w:t>2、</w:t>
      </w:r>
      <w:r>
        <w:rPr>
          <w:rFonts w:hint="eastAsia"/>
        </w:rPr>
        <w:t>采购代理机构信息</w:t>
      </w:r>
    </w:p>
    <w:p w14:paraId="3A112185">
      <w:pPr>
        <w:pStyle w:val="4"/>
        <w:ind w:firstLine="701" w:firstLineChars="248"/>
      </w:pPr>
      <w:r>
        <w:rPr>
          <w:rFonts w:hint="eastAsia"/>
        </w:rPr>
        <w:t>名称：府谷县政府投资和采购服务中心</w:t>
      </w:r>
    </w:p>
    <w:p w14:paraId="513BDC73">
      <w:pPr>
        <w:pStyle w:val="4"/>
        <w:ind w:firstLine="701" w:firstLineChars="248"/>
      </w:pPr>
      <w:r>
        <w:t>地址：府谷县财税中心</w:t>
      </w:r>
      <w:r>
        <w:rPr>
          <w:rFonts w:hint="eastAsia"/>
        </w:rPr>
        <w:t>11楼</w:t>
      </w:r>
    </w:p>
    <w:p w14:paraId="6BC0D946">
      <w:pPr>
        <w:pStyle w:val="4"/>
        <w:rPr>
          <w:rFonts w:hint="default" w:ascii="华文仿宋" w:hAnsi="华文仿宋" w:cs="华文仿宋"/>
          <w:lang w:val="en-US"/>
        </w:rPr>
      </w:pPr>
      <w:r>
        <w:rPr>
          <w:rFonts w:hint="eastAsia"/>
        </w:rPr>
        <w:t xml:space="preserve">  项目联系人：</w:t>
      </w:r>
      <w:r>
        <w:rPr>
          <w:rFonts w:hint="eastAsia"/>
          <w:lang w:val="en-US" w:eastAsia="zh-CN"/>
        </w:rPr>
        <w:t>高工</w:t>
      </w:r>
    </w:p>
    <w:p w14:paraId="1C8C9B53">
      <w:pPr>
        <w:keepNext w:val="0"/>
        <w:keepLines w:val="0"/>
        <w:pageBreakBefore w:val="0"/>
        <w:kinsoku/>
        <w:wordWrap/>
        <w:overflowPunct/>
        <w:topLinePunct w:val="0"/>
        <w:bidi w:val="0"/>
        <w:spacing w:line="480" w:lineRule="exact"/>
        <w:ind w:firstLine="566" w:firstLineChars="200"/>
        <w:textAlignment w:val="auto"/>
        <w:rPr>
          <w:rFonts w:hint="default" w:ascii="仿宋" w:hAnsi="仿宋" w:eastAsia="仿宋" w:cs="仿宋"/>
          <w:sz w:val="28"/>
          <w:szCs w:val="28"/>
          <w:lang w:val="en-US" w:eastAsia="zh-CN"/>
        </w:rPr>
      </w:pPr>
      <w:r>
        <w:rPr>
          <w:rFonts w:hint="eastAsia"/>
        </w:rPr>
        <w:t>联系电话：</w:t>
      </w:r>
      <w:r>
        <w:rPr>
          <w:rFonts w:hint="eastAsia" w:ascii="仿宋" w:hAnsi="仿宋" w:eastAsia="仿宋" w:cs="仿宋"/>
          <w:sz w:val="28"/>
          <w:szCs w:val="28"/>
          <w:lang w:val="en-US" w:eastAsia="zh-CN"/>
        </w:rPr>
        <w:t>13488346234</w:t>
      </w:r>
    </w:p>
    <w:p w14:paraId="28343EFB">
      <w:pPr>
        <w:spacing w:line="500" w:lineRule="exact"/>
        <w:ind w:firstLine="849" w:firstLineChars="300"/>
        <w:contextualSpacing/>
        <w:rPr>
          <w:rFonts w:ascii="华文仿宋" w:hAnsi="华文仿宋"/>
        </w:rPr>
      </w:pPr>
      <w:r>
        <w:rPr>
          <w:rFonts w:hint="eastAsia" w:ascii="华文仿宋" w:hAnsi="华文仿宋"/>
        </w:rPr>
        <w:t>2.3.</w:t>
      </w:r>
      <w:r>
        <w:rPr>
          <w:rFonts w:hint="eastAsia" w:ascii="华文仿宋" w:hAnsi="华文仿宋"/>
          <w:lang w:val="en-US" w:eastAsia="zh-CN"/>
        </w:rPr>
        <w:t>3</w:t>
      </w:r>
      <w:r>
        <w:rPr>
          <w:rFonts w:hint="eastAsia" w:ascii="华文仿宋" w:hAnsi="华文仿宋"/>
        </w:rPr>
        <w:t>投标人提出质疑的应当按照《政府采购质疑和投诉办法》提交质疑函和必要的证明材料。</w:t>
      </w:r>
      <w:r>
        <w:rPr>
          <w:rFonts w:hint="eastAsia" w:ascii="华文仿宋" w:hAnsi="华文仿宋"/>
          <w:lang w:val="en-US" w:eastAsia="zh-CN"/>
        </w:rPr>
        <w:t>并按财政部《质疑函范本》给定的格式进行填写，范本下载详见【财政部国库司】网站【首页</w:t>
      </w:r>
      <w:r>
        <w:rPr>
          <w:rFonts w:hint="eastAsia" w:ascii="华文仿宋" w:hAnsi="华文仿宋"/>
        </w:rPr>
        <w:sym w:font="Wingdings 2" w:char="F096"/>
      </w:r>
      <w:r>
        <w:rPr>
          <w:rFonts w:hint="eastAsia" w:ascii="华文仿宋" w:hAnsi="华文仿宋"/>
        </w:rPr>
        <w:t>&gt;</w:t>
      </w:r>
      <w:r>
        <w:rPr>
          <w:rFonts w:hint="eastAsia" w:ascii="华文仿宋" w:hAnsi="华文仿宋"/>
          <w:lang w:val="en-US" w:eastAsia="zh-CN"/>
        </w:rPr>
        <w:t>政府采购管理】栏目中的《政府采购供应商质疑函范本》。</w:t>
      </w:r>
      <w:r>
        <w:rPr>
          <w:rFonts w:hint="eastAsia" w:ascii="华文仿宋" w:hAnsi="华文仿宋"/>
        </w:rPr>
        <w:t>质疑人为自然人的，应当由本人签字；质疑人为法人或者其他组织的，应当由法定代表人，或者其授权代表签字，并加盖公章。授权代表办理质疑事项时，除提交上述材料外，还应当提交授权委托书及授权代表的有效身份证明，授权委托书应当载明委托代理的具体权限和事项。</w:t>
      </w:r>
    </w:p>
    <w:p w14:paraId="4F6C8D6F">
      <w:pPr>
        <w:keepNext w:val="0"/>
        <w:keepLines w:val="0"/>
        <w:pageBreakBefore w:val="0"/>
        <w:widowControl w:val="0"/>
        <w:kinsoku/>
        <w:wordWrap/>
        <w:overflowPunct/>
        <w:topLinePunct w:val="0"/>
        <w:autoSpaceDE/>
        <w:autoSpaceDN/>
        <w:bidi w:val="0"/>
        <w:adjustRightInd/>
        <w:snapToGrid/>
        <w:spacing w:line="500" w:lineRule="exact"/>
        <w:ind w:firstLine="566" w:firstLineChars="200"/>
        <w:contextualSpacing/>
        <w:textAlignment w:val="auto"/>
        <w:rPr>
          <w:rFonts w:ascii="华文仿宋" w:hAnsi="华文仿宋"/>
        </w:rPr>
      </w:pPr>
      <w:r>
        <w:rPr>
          <w:rFonts w:hint="eastAsia" w:ascii="华文仿宋" w:hAnsi="华文仿宋"/>
        </w:rPr>
        <w:t>2.3.</w:t>
      </w:r>
      <w:r>
        <w:rPr>
          <w:rFonts w:hint="eastAsia" w:ascii="华文仿宋" w:hAnsi="华文仿宋"/>
          <w:lang w:val="en-US" w:eastAsia="zh-CN"/>
        </w:rPr>
        <w:t>4</w:t>
      </w:r>
      <w:r>
        <w:rPr>
          <w:rFonts w:hint="eastAsia" w:ascii="华文仿宋" w:hAnsi="华文仿宋"/>
        </w:rPr>
        <w:t>在法定质疑期内，针对同一采购程序环节的质疑应当一次性提出。采购人或府谷县政府投资和采购服务中心将在收到书面质疑后7个工作日内做出答复，并以书面形式通知质疑人和其他有关投标人。</w:t>
      </w:r>
    </w:p>
    <w:p w14:paraId="572E052F">
      <w:pPr>
        <w:spacing w:line="500" w:lineRule="exact"/>
        <w:ind w:firstLine="566" w:firstLineChars="200"/>
        <w:contextualSpacing/>
        <w:rPr>
          <w:rFonts w:ascii="华文仿宋" w:hAnsi="华文仿宋"/>
        </w:rPr>
      </w:pPr>
      <w:r>
        <w:rPr>
          <w:rFonts w:hint="eastAsia" w:ascii="华文仿宋" w:hAnsi="华文仿宋"/>
        </w:rPr>
        <w:t>2.3.</w:t>
      </w:r>
      <w:r>
        <w:rPr>
          <w:rFonts w:hint="eastAsia" w:ascii="华文仿宋" w:hAnsi="华文仿宋"/>
          <w:lang w:val="en-US" w:eastAsia="zh-CN"/>
        </w:rPr>
        <w:t>5</w:t>
      </w:r>
      <w:r>
        <w:rPr>
          <w:rFonts w:ascii="华文仿宋" w:hAnsi="华文仿宋"/>
        </w:rPr>
        <w:t>有下列情形之一的，属于无效质疑，采购人和</w:t>
      </w:r>
      <w:r>
        <w:rPr>
          <w:rFonts w:hint="eastAsia" w:ascii="华文仿宋" w:hAnsi="华文仿宋"/>
        </w:rPr>
        <w:t>府谷县政府投资和采购服务中心</w:t>
      </w:r>
      <w:r>
        <w:rPr>
          <w:rFonts w:ascii="华文仿宋" w:hAnsi="华文仿宋"/>
        </w:rPr>
        <w:t>不予受理：</w:t>
      </w:r>
    </w:p>
    <w:p w14:paraId="79ED4EB2">
      <w:pPr>
        <w:spacing w:line="500" w:lineRule="exact"/>
        <w:ind w:firstLine="707" w:firstLineChars="250"/>
        <w:contextualSpacing/>
        <w:rPr>
          <w:rFonts w:ascii="华文仿宋" w:hAnsi="华文仿宋"/>
        </w:rPr>
      </w:pPr>
      <w:r>
        <w:rPr>
          <w:rFonts w:hint="eastAsia" w:ascii="华文仿宋" w:hAnsi="华文仿宋"/>
        </w:rPr>
        <w:t>( 1 )质疑人不是参与本次政府采购项目的投标人或潜在投标人；</w:t>
      </w:r>
    </w:p>
    <w:p w14:paraId="6CABB936">
      <w:pPr>
        <w:spacing w:line="500" w:lineRule="exact"/>
        <w:ind w:firstLine="566" w:firstLineChars="200"/>
        <w:contextualSpacing/>
        <w:rPr>
          <w:rFonts w:ascii="华文仿宋" w:hAnsi="华文仿宋"/>
        </w:rPr>
      </w:pPr>
      <w:r>
        <w:rPr>
          <w:rFonts w:ascii="华文仿宋" w:hAnsi="华文仿宋"/>
        </w:rPr>
        <w:t>（</w:t>
      </w:r>
      <w:r>
        <w:rPr>
          <w:rFonts w:hint="eastAsia" w:ascii="华文仿宋" w:hAnsi="华文仿宋"/>
        </w:rPr>
        <w:t>2</w:t>
      </w:r>
      <w:r>
        <w:rPr>
          <w:rFonts w:ascii="华文仿宋" w:hAnsi="华文仿宋"/>
        </w:rPr>
        <w:t>）</w:t>
      </w:r>
      <w:r>
        <w:rPr>
          <w:rFonts w:hint="eastAsia" w:ascii="华文仿宋" w:hAnsi="华文仿宋"/>
        </w:rPr>
        <w:t>质疑人与质疑事项不存在利害关系的；</w:t>
      </w:r>
    </w:p>
    <w:p w14:paraId="7D593AC7">
      <w:pPr>
        <w:spacing w:line="500" w:lineRule="exact"/>
        <w:ind w:firstLine="566" w:firstLineChars="200"/>
        <w:contextualSpacing/>
        <w:rPr>
          <w:rFonts w:ascii="华文仿宋" w:hAnsi="华文仿宋"/>
        </w:rPr>
      </w:pPr>
      <w:r>
        <w:rPr>
          <w:rFonts w:ascii="华文仿宋" w:hAnsi="华文仿宋"/>
        </w:rPr>
        <w:t>（</w:t>
      </w:r>
      <w:r>
        <w:rPr>
          <w:rFonts w:hint="eastAsia" w:ascii="华文仿宋" w:hAnsi="华文仿宋"/>
        </w:rPr>
        <w:t>3</w:t>
      </w:r>
      <w:r>
        <w:rPr>
          <w:rFonts w:ascii="华文仿宋" w:hAnsi="华文仿宋"/>
        </w:rPr>
        <w:t>）未在法定期限内提出质疑的；</w:t>
      </w:r>
    </w:p>
    <w:p w14:paraId="510F6E28">
      <w:pPr>
        <w:spacing w:line="500" w:lineRule="exact"/>
        <w:ind w:firstLine="566" w:firstLineChars="200"/>
        <w:contextualSpacing/>
        <w:rPr>
          <w:rFonts w:ascii="华文仿宋" w:hAnsi="华文仿宋"/>
        </w:rPr>
      </w:pPr>
      <w:r>
        <w:rPr>
          <w:rFonts w:ascii="华文仿宋" w:hAnsi="华文仿宋"/>
        </w:rPr>
        <w:t>（4）质疑未以书面形式提出，或质疑</w:t>
      </w:r>
      <w:r>
        <w:rPr>
          <w:rFonts w:hint="eastAsia" w:ascii="华文仿宋" w:hAnsi="华文仿宋"/>
        </w:rPr>
        <w:t>函</w:t>
      </w:r>
      <w:r>
        <w:rPr>
          <w:rFonts w:ascii="华文仿宋" w:hAnsi="华文仿宋"/>
        </w:rPr>
        <w:t>主要内容构成不完整的，或缺乏必要的证明材料及证明材料不完整的；</w:t>
      </w:r>
    </w:p>
    <w:p w14:paraId="3D2321AC">
      <w:pPr>
        <w:spacing w:line="500" w:lineRule="exact"/>
        <w:ind w:firstLine="566" w:firstLineChars="200"/>
        <w:contextualSpacing/>
        <w:rPr>
          <w:rFonts w:ascii="华文仿宋" w:hAnsi="华文仿宋"/>
        </w:rPr>
      </w:pPr>
      <w:r>
        <w:rPr>
          <w:rFonts w:ascii="华文仿宋" w:hAnsi="华文仿宋"/>
        </w:rPr>
        <w:t>（5）质疑</w:t>
      </w:r>
      <w:r>
        <w:rPr>
          <w:rFonts w:hint="eastAsia" w:ascii="华文仿宋" w:hAnsi="华文仿宋"/>
        </w:rPr>
        <w:t>函</w:t>
      </w:r>
      <w:r>
        <w:rPr>
          <w:rFonts w:ascii="华文仿宋" w:hAnsi="华文仿宋"/>
        </w:rPr>
        <w:t>没有合法有效的签字、盖章或授权的；</w:t>
      </w:r>
    </w:p>
    <w:p w14:paraId="137BEF15">
      <w:pPr>
        <w:spacing w:line="500" w:lineRule="exact"/>
        <w:ind w:firstLine="566" w:firstLineChars="200"/>
        <w:contextualSpacing/>
        <w:rPr>
          <w:rFonts w:ascii="华文仿宋" w:hAnsi="华文仿宋"/>
        </w:rPr>
      </w:pPr>
      <w:r>
        <w:rPr>
          <w:rFonts w:ascii="华文仿宋" w:hAnsi="华文仿宋"/>
        </w:rPr>
        <w:t>（6）以非法手段取得证据、材料的；</w:t>
      </w:r>
    </w:p>
    <w:p w14:paraId="1E2691FC">
      <w:pPr>
        <w:spacing w:line="500" w:lineRule="exact"/>
        <w:ind w:firstLine="566" w:firstLineChars="200"/>
        <w:contextualSpacing/>
        <w:rPr>
          <w:rFonts w:ascii="华文仿宋" w:hAnsi="华文仿宋"/>
        </w:rPr>
      </w:pPr>
      <w:r>
        <w:rPr>
          <w:rFonts w:hint="eastAsia" w:ascii="华文仿宋" w:hAnsi="华文仿宋"/>
        </w:rPr>
        <w:t>（7）质疑答复后，同一质疑人就同一事项再次提出质疑的；</w:t>
      </w:r>
    </w:p>
    <w:p w14:paraId="3DA95294">
      <w:pPr>
        <w:keepNext w:val="0"/>
        <w:keepLines w:val="0"/>
        <w:pageBreakBefore w:val="0"/>
        <w:widowControl w:val="0"/>
        <w:kinsoku/>
        <w:wordWrap/>
        <w:overflowPunct/>
        <w:topLinePunct w:val="0"/>
        <w:autoSpaceDE/>
        <w:autoSpaceDN/>
        <w:bidi w:val="0"/>
        <w:adjustRightInd/>
        <w:snapToGrid/>
        <w:spacing w:line="500" w:lineRule="exact"/>
        <w:ind w:firstLine="566" w:firstLineChars="200"/>
        <w:contextualSpacing/>
        <w:textAlignment w:val="auto"/>
        <w:rPr>
          <w:rFonts w:ascii="华文仿宋" w:hAnsi="华文仿宋"/>
        </w:rPr>
      </w:pPr>
      <w:r>
        <w:rPr>
          <w:rFonts w:hint="eastAsia" w:ascii="华文仿宋" w:hAnsi="华文仿宋"/>
        </w:rPr>
        <w:t>（</w:t>
      </w:r>
      <w:r>
        <w:rPr>
          <w:rFonts w:ascii="华文仿宋" w:hAnsi="华文仿宋"/>
        </w:rPr>
        <w:t>8</w:t>
      </w:r>
      <w:r>
        <w:rPr>
          <w:rFonts w:hint="eastAsia" w:ascii="华文仿宋" w:hAnsi="华文仿宋"/>
        </w:rPr>
        <w:t>）</w:t>
      </w:r>
      <w:r>
        <w:rPr>
          <w:rFonts w:ascii="华文仿宋" w:hAnsi="华文仿宋"/>
        </w:rPr>
        <w:t>不符合法律、法规、规章和政府采购监管机构规定的其他条件的。</w:t>
      </w:r>
    </w:p>
    <w:p w14:paraId="743C572C">
      <w:pPr>
        <w:spacing w:line="500" w:lineRule="exact"/>
        <w:ind w:firstLine="566" w:firstLineChars="200"/>
        <w:contextualSpacing/>
        <w:rPr>
          <w:rFonts w:ascii="华文仿宋" w:hAnsi="华文仿宋"/>
        </w:rPr>
      </w:pPr>
      <w:r>
        <w:rPr>
          <w:rFonts w:hint="eastAsia" w:ascii="华文仿宋" w:hAnsi="华文仿宋"/>
        </w:rPr>
        <w:t>2.3.</w:t>
      </w:r>
      <w:r>
        <w:rPr>
          <w:rFonts w:hint="eastAsia" w:ascii="华文仿宋" w:hAnsi="华文仿宋"/>
          <w:lang w:val="en-US" w:eastAsia="zh-CN"/>
        </w:rPr>
        <w:t>6</w:t>
      </w:r>
      <w:r>
        <w:rPr>
          <w:rFonts w:ascii="华文仿宋" w:hAnsi="华文仿宋"/>
        </w:rPr>
        <w:t>质疑人对采购人或</w:t>
      </w:r>
      <w:r>
        <w:rPr>
          <w:rFonts w:hint="eastAsia" w:ascii="华文仿宋" w:hAnsi="华文仿宋"/>
        </w:rPr>
        <w:t>府谷县政府投资和采购服务中心</w:t>
      </w:r>
      <w:r>
        <w:rPr>
          <w:rFonts w:ascii="华文仿宋" w:hAnsi="华文仿宋"/>
        </w:rPr>
        <w:t>的答复不满意，以及采购人或</w:t>
      </w:r>
      <w:r>
        <w:rPr>
          <w:rFonts w:hint="eastAsia" w:ascii="华文仿宋" w:hAnsi="华文仿宋"/>
        </w:rPr>
        <w:t>府谷县政府投资和采购服务中心</w:t>
      </w:r>
      <w:r>
        <w:rPr>
          <w:rFonts w:ascii="华文仿宋" w:hAnsi="华文仿宋"/>
        </w:rPr>
        <w:t>未在规定时间内做出答复的，可以在答复期满后15个工作日内向政府采购监管机构提出投诉。</w:t>
      </w:r>
    </w:p>
    <w:p w14:paraId="47560077">
      <w:pPr>
        <w:spacing w:line="500" w:lineRule="exact"/>
        <w:ind w:firstLine="566" w:firstLineChars="200"/>
        <w:rPr>
          <w:rFonts w:hint="eastAsia" w:ascii="华文仿宋" w:hAnsi="华文仿宋"/>
        </w:rPr>
      </w:pPr>
      <w:r>
        <w:rPr>
          <w:rFonts w:hint="eastAsia" w:ascii="华文仿宋" w:hAnsi="华文仿宋"/>
        </w:rPr>
        <w:t>2.3.</w:t>
      </w:r>
      <w:r>
        <w:rPr>
          <w:rFonts w:hint="eastAsia" w:ascii="华文仿宋" w:hAnsi="华文仿宋"/>
          <w:lang w:val="en-US" w:eastAsia="zh-CN"/>
        </w:rPr>
        <w:t>7</w:t>
      </w:r>
      <w:r>
        <w:rPr>
          <w:rFonts w:hint="eastAsia" w:ascii="华文仿宋" w:hAnsi="华文仿宋"/>
        </w:rPr>
        <w:t>投标人投诉的事项不得超出已质疑事项的范围。</w:t>
      </w:r>
    </w:p>
    <w:p w14:paraId="024CD261">
      <w:pPr>
        <w:spacing w:line="500" w:lineRule="exact"/>
        <w:ind w:firstLine="566" w:firstLineChars="200"/>
        <w:rPr>
          <w:b/>
        </w:rPr>
      </w:pPr>
      <w:r>
        <w:rPr>
          <w:rFonts w:hint="eastAsia" w:ascii="华文仿宋" w:hAnsi="华文仿宋"/>
        </w:rPr>
        <w:t>2.3.</w:t>
      </w:r>
      <w:r>
        <w:rPr>
          <w:rFonts w:hint="eastAsia" w:ascii="华文仿宋" w:hAnsi="华文仿宋"/>
          <w:lang w:val="en-US" w:eastAsia="zh-CN"/>
        </w:rPr>
        <w:t>8</w:t>
      </w:r>
      <w:r>
        <w:rPr>
          <w:rFonts w:hint="eastAsia"/>
          <w:b/>
        </w:rPr>
        <w:t>对捏造事实、提供虚假材料进行质疑、投诉的行为予以严肃处理：</w:t>
      </w:r>
    </w:p>
    <w:p w14:paraId="542AD4A7">
      <w:pPr>
        <w:spacing w:line="500" w:lineRule="exact"/>
        <w:ind w:firstLine="566" w:firstLineChars="200"/>
        <w:rPr>
          <w:rFonts w:ascii="华文仿宋" w:hAnsi="华文仿宋"/>
        </w:rPr>
      </w:pPr>
      <w:r>
        <w:rPr>
          <w:rFonts w:hint="eastAsia" w:ascii="华文仿宋" w:hAnsi="华文仿宋"/>
        </w:rPr>
        <w:t>依据《中华人民共和国政府采购法》及其实施条例、《政府采购货物和服务招标投标管理办法》、《政府采购质疑和投诉办法》等法律法规的规定，投标人质疑、投诉应当有明确的请求和必要的证明材料。</w:t>
      </w:r>
      <w:r>
        <w:rPr>
          <w:rFonts w:hint="eastAsia" w:ascii="华文仿宋" w:hAnsi="华文仿宋"/>
          <w:b/>
        </w:rPr>
        <w:t>投诉人在全国范围内十二个月内三次以上投诉查无实据的，由财政部门列入不良行为记录名单。</w:t>
      </w:r>
      <w:r>
        <w:rPr>
          <w:rFonts w:hint="eastAsia" w:ascii="华文仿宋" w:hAnsi="华文仿宋"/>
        </w:rPr>
        <w:t>对于捏造事实、提供虚假材料或者以非法手段取得证明材料进行投诉的，财政部门应当予以驳回，并将其列入不良行为记录名单，禁止其一至三年内参加政府采购活动。</w:t>
      </w:r>
    </w:p>
    <w:p w14:paraId="443C5D6A">
      <w:pPr>
        <w:spacing w:line="500" w:lineRule="exact"/>
        <w:ind w:firstLine="566" w:firstLineChars="200"/>
        <w:rPr>
          <w:rFonts w:ascii="华文仿宋" w:hAnsi="华文仿宋"/>
          <w:b/>
        </w:rPr>
      </w:pPr>
      <w:r>
        <w:rPr>
          <w:rFonts w:hint="eastAsia" w:ascii="华文仿宋" w:hAnsi="华文仿宋"/>
        </w:rPr>
        <w:t>2.3.</w:t>
      </w:r>
      <w:r>
        <w:rPr>
          <w:rFonts w:hint="eastAsia" w:ascii="华文仿宋" w:hAnsi="华文仿宋"/>
          <w:lang w:val="en-US" w:eastAsia="zh-CN"/>
        </w:rPr>
        <w:t>9</w:t>
      </w:r>
      <w:r>
        <w:rPr>
          <w:rFonts w:hint="eastAsia" w:ascii="华文仿宋" w:hAnsi="华文仿宋"/>
          <w:b/>
        </w:rPr>
        <w:t>对捏造事实诬告陷害他人、诽谤他人的法律适用：</w:t>
      </w:r>
    </w:p>
    <w:p w14:paraId="44177F9B">
      <w:pPr>
        <w:keepNext w:val="0"/>
        <w:keepLines w:val="0"/>
        <w:pageBreakBefore w:val="0"/>
        <w:widowControl w:val="0"/>
        <w:kinsoku/>
        <w:wordWrap/>
        <w:overflowPunct/>
        <w:topLinePunct w:val="0"/>
        <w:autoSpaceDE/>
        <w:autoSpaceDN/>
        <w:bidi w:val="0"/>
        <w:adjustRightInd/>
        <w:snapToGrid/>
        <w:spacing w:line="500" w:lineRule="exact"/>
        <w:ind w:firstLine="566" w:firstLineChars="200"/>
        <w:textAlignment w:val="auto"/>
        <w:rPr>
          <w:rFonts w:ascii="华文仿宋" w:hAnsi="华文仿宋"/>
        </w:rPr>
      </w:pPr>
      <w:r>
        <w:rPr>
          <w:rFonts w:hint="eastAsia" w:ascii="华文仿宋" w:hAnsi="华文仿宋"/>
        </w:rPr>
        <w:t>《中华人民共和国刑法》第</w:t>
      </w:r>
      <w:r>
        <w:rPr>
          <w:rFonts w:ascii="华文仿宋" w:hAnsi="华文仿宋"/>
        </w:rPr>
        <w:t>243</w:t>
      </w:r>
      <w:r>
        <w:rPr>
          <w:rFonts w:hint="eastAsia" w:ascii="华文仿宋" w:hAnsi="华文仿宋"/>
        </w:rPr>
        <w:t>条【诬告陷害罪】捏造事实诬告陷害他人，意图使他人受刑事追究，情节严重的，处三年以下有期徒刑、拘役或者管制；造成严重后果的，处三年以上十年以下有期徒刑。</w:t>
      </w:r>
    </w:p>
    <w:p w14:paraId="6966A650">
      <w:pPr>
        <w:keepNext w:val="0"/>
        <w:keepLines w:val="0"/>
        <w:pageBreakBefore w:val="0"/>
        <w:widowControl w:val="0"/>
        <w:kinsoku/>
        <w:wordWrap/>
        <w:overflowPunct/>
        <w:topLinePunct w:val="0"/>
        <w:autoSpaceDE/>
        <w:autoSpaceDN/>
        <w:bidi w:val="0"/>
        <w:adjustRightInd/>
        <w:snapToGrid/>
        <w:spacing w:line="500" w:lineRule="exact"/>
        <w:ind w:firstLine="566" w:firstLineChars="200"/>
        <w:textAlignment w:val="auto"/>
        <w:rPr>
          <w:rFonts w:ascii="华文仿宋" w:hAnsi="华文仿宋"/>
        </w:rPr>
      </w:pPr>
      <w:r>
        <w:rPr>
          <w:rFonts w:hint="eastAsia" w:ascii="华文仿宋" w:hAnsi="华文仿宋"/>
        </w:rPr>
        <w:t>《中华人民共和国刑法》第</w:t>
      </w:r>
      <w:r>
        <w:rPr>
          <w:rFonts w:ascii="华文仿宋" w:hAnsi="华文仿宋"/>
        </w:rPr>
        <w:t>246</w:t>
      </w:r>
      <w:r>
        <w:rPr>
          <w:rFonts w:hint="eastAsia" w:ascii="华文仿宋" w:hAnsi="华文仿宋"/>
        </w:rPr>
        <w:t>条【侮辱罪、诽谤罪】以暴力或者其他方法公然侮辱他人或者捏造事实诽谤他人，情节严重的，处三年以下有期徒刑、拘役、管制或者剥夺政治权利。</w:t>
      </w:r>
    </w:p>
    <w:p w14:paraId="6F733B71">
      <w:pPr>
        <w:spacing w:line="500" w:lineRule="exact"/>
        <w:ind w:firstLine="566" w:firstLineChars="200"/>
        <w:rPr>
          <w:rFonts w:ascii="华文仿宋" w:hAnsi="华文仿宋"/>
          <w:b/>
        </w:rPr>
      </w:pPr>
      <w:r>
        <w:rPr>
          <w:rFonts w:hint="eastAsia" w:ascii="华文仿宋" w:hAnsi="华文仿宋"/>
          <w:b/>
        </w:rPr>
        <w:t>2.4关于信用记录的查询和使用</w:t>
      </w:r>
    </w:p>
    <w:p w14:paraId="5974B65A">
      <w:pPr>
        <w:wordWrap w:val="0"/>
        <w:spacing w:line="500" w:lineRule="exact"/>
        <w:ind w:firstLine="566" w:firstLineChars="200"/>
        <w:rPr>
          <w:rFonts w:ascii="华文仿宋" w:hAnsi="华文仿宋" w:cs="仿宋"/>
          <w:color w:val="C00000"/>
        </w:rPr>
      </w:pPr>
      <w:r>
        <w:rPr>
          <w:rFonts w:hint="eastAsia" w:ascii="华文仿宋" w:hAnsi="华文仿宋" w:cs="仿宋"/>
          <w:color w:val="auto"/>
        </w:rPr>
        <w:t>2.4.1 投标人</w:t>
      </w:r>
      <w:r>
        <w:rPr>
          <w:rFonts w:hint="eastAsia" w:ascii="华文仿宋" w:hAnsi="华文仿宋" w:cs="华文仿宋"/>
          <w:color w:val="auto"/>
        </w:rPr>
        <w:t>信用记录查询渠道：“信用中国”（www.creditchina.gov.cn</w:t>
      </w:r>
      <w:r>
        <w:rPr>
          <w:rFonts w:ascii="华文仿宋" w:hAnsi="华文仿宋" w:cs="华文仿宋"/>
          <w:color w:val="auto"/>
        </w:rPr>
        <w:t>）</w:t>
      </w:r>
      <w:r>
        <w:rPr>
          <w:rFonts w:hint="eastAsia" w:ascii="华文仿宋" w:hAnsi="华文仿宋" w:cs="华文仿宋"/>
          <w:color w:val="auto"/>
        </w:rPr>
        <w:t>网站、“中国政府采购网”</w:t>
      </w:r>
      <w:r>
        <w:rPr>
          <w:rFonts w:hint="eastAsia" w:ascii="华文仿宋" w:hAnsi="华文仿宋" w:cs="宋体"/>
          <w:color w:val="auto"/>
        </w:rPr>
        <w:t>(www.ccgp.gov.cn)</w:t>
      </w:r>
      <w:r>
        <w:rPr>
          <w:rFonts w:hint="eastAsia" w:ascii="华文仿宋" w:hAnsi="华文仿宋" w:cs="仿宋"/>
          <w:color w:val="auto"/>
        </w:rPr>
        <w:t xml:space="preserve"> </w:t>
      </w:r>
      <w:r>
        <w:rPr>
          <w:rFonts w:hint="eastAsia" w:ascii="华文仿宋" w:hAnsi="华文仿宋" w:cs="仿宋"/>
          <w:color w:val="auto"/>
          <w:lang w:eastAsia="zh-CN"/>
        </w:rPr>
        <w:t>、</w:t>
      </w:r>
      <w:r>
        <w:rPr>
          <w:rFonts w:hint="eastAsia" w:ascii="仿宋" w:hAnsi="仿宋" w:eastAsia="仿宋" w:cs="仿宋"/>
          <w:color w:val="auto"/>
          <w:sz w:val="28"/>
        </w:rPr>
        <w:t>中国裁判文书网（</w:t>
      </w:r>
      <w:r>
        <w:rPr>
          <w:rFonts w:hint="eastAsia" w:ascii="仿宋" w:hAnsi="仿宋" w:eastAsia="仿宋" w:cs="仿宋"/>
          <w:color w:val="auto"/>
          <w:sz w:val="28"/>
        </w:rPr>
        <w:fldChar w:fldCharType="begin"/>
      </w:r>
      <w:r>
        <w:rPr>
          <w:rFonts w:hint="eastAsia" w:ascii="仿宋" w:hAnsi="仿宋" w:eastAsia="仿宋" w:cs="仿宋"/>
          <w:color w:val="auto"/>
          <w:sz w:val="28"/>
        </w:rPr>
        <w:instrText xml:space="preserve"> HYPERLINK "http://wenshu.court.gov.cn/" </w:instrText>
      </w:r>
      <w:r>
        <w:rPr>
          <w:rFonts w:hint="eastAsia" w:ascii="仿宋" w:hAnsi="仿宋" w:eastAsia="仿宋" w:cs="仿宋"/>
          <w:color w:val="auto"/>
          <w:sz w:val="28"/>
        </w:rPr>
        <w:fldChar w:fldCharType="separate"/>
      </w:r>
      <w:r>
        <w:rPr>
          <w:rFonts w:hint="eastAsia" w:ascii="仿宋" w:hAnsi="仿宋" w:eastAsia="仿宋" w:cs="仿宋"/>
          <w:color w:val="auto"/>
          <w:sz w:val="28"/>
        </w:rPr>
        <w:t>http://wenshu.court.gov.cn/</w:t>
      </w:r>
      <w:r>
        <w:rPr>
          <w:rFonts w:hint="eastAsia" w:ascii="仿宋" w:hAnsi="仿宋" w:eastAsia="仿宋" w:cs="仿宋"/>
          <w:color w:val="auto"/>
          <w:sz w:val="28"/>
        </w:rPr>
        <w:fldChar w:fldCharType="end"/>
      </w:r>
      <w:r>
        <w:rPr>
          <w:rFonts w:hint="eastAsia" w:ascii="仿宋" w:hAnsi="仿宋" w:eastAsia="仿宋" w:cs="仿宋"/>
          <w:color w:val="auto"/>
          <w:sz w:val="28"/>
        </w:rPr>
        <w:t>）</w:t>
      </w:r>
      <w:r>
        <w:rPr>
          <w:rFonts w:hint="eastAsia" w:ascii="华文仿宋" w:hAnsi="华文仿宋" w:cs="仿宋"/>
          <w:color w:val="auto"/>
        </w:rPr>
        <w:t>。</w:t>
      </w:r>
    </w:p>
    <w:p w14:paraId="2F4791E0">
      <w:pPr>
        <w:pStyle w:val="4"/>
        <w:spacing w:line="500" w:lineRule="exact"/>
        <w:ind w:firstLine="559" w:firstLineChars="198"/>
        <w:rPr>
          <w:rFonts w:ascii="华文仿宋" w:hAnsi="华文仿宋"/>
        </w:rPr>
      </w:pPr>
      <w:r>
        <w:rPr>
          <w:rFonts w:hint="eastAsia"/>
        </w:rPr>
        <w:t>2.4.2、</w:t>
      </w:r>
      <w:r>
        <w:rPr>
          <w:rFonts w:hint="eastAsia" w:ascii="华文仿宋" w:hAnsi="华文仿宋"/>
        </w:rPr>
        <w:t>采购人将在资格审查阶段通过以上网站对投标文件中的信用情况进行甄别。投标人提供的信用证明材料应与网上查询结果一致，如有不一致的，以现场查询结果为准。对列入失信被执行人、重大税收违法案件当事人名单、政府采购严重违法失信行为记录名单</w:t>
      </w:r>
      <w:r>
        <w:rPr>
          <w:rFonts w:hint="eastAsia" w:ascii="华文仿宋" w:hAnsi="华文仿宋"/>
          <w:lang w:eastAsia="zh-CN"/>
        </w:rPr>
        <w:t>、</w:t>
      </w:r>
      <w:r>
        <w:rPr>
          <w:rFonts w:hint="eastAsia" w:ascii="仿宋" w:hAnsi="仿宋" w:eastAsia="仿宋" w:cs="华文仿宋"/>
          <w:color w:val="auto"/>
          <w:kern w:val="2"/>
          <w:sz w:val="28"/>
          <w:szCs w:val="28"/>
          <w:lang w:val="en-US" w:eastAsia="zh-CN" w:bidi="ar-SA"/>
        </w:rPr>
        <w:t>有行贿犯罪行为</w:t>
      </w:r>
      <w:r>
        <w:rPr>
          <w:rFonts w:hint="eastAsia" w:ascii="华文仿宋" w:hAnsi="华文仿宋" w:cs="Calibri Light"/>
          <w:kern w:val="2"/>
          <w:sz w:val="28"/>
        </w:rPr>
        <w:t>的</w:t>
      </w:r>
      <w:r>
        <w:rPr>
          <w:rFonts w:hint="eastAsia" w:ascii="华文仿宋" w:hAnsi="华文仿宋"/>
        </w:rPr>
        <w:t>及其他不符合《中华人民共和国政府采购法》第二十二条规定的投标人，根据《关于在政府采购活动中查询及使用信用记录有关问题的通知》（财库[2016]125号）的第二条第（三）款规定，其投标或成交资格将被取消。</w:t>
      </w:r>
    </w:p>
    <w:p w14:paraId="6F550964">
      <w:pPr>
        <w:spacing w:line="500" w:lineRule="exact"/>
        <w:ind w:firstLine="566" w:firstLineChars="200"/>
        <w:rPr>
          <w:rFonts w:ascii="华文仿宋" w:hAnsi="华文仿宋" w:cs="仿宋"/>
        </w:rPr>
      </w:pPr>
      <w:r>
        <w:rPr>
          <w:rFonts w:hint="eastAsia" w:ascii="华文仿宋" w:hAnsi="华文仿宋" w:cs="仿宋"/>
        </w:rPr>
        <w:t>2.4.3 投标人在参加政府采购活动前3年内因违法经营被禁止在一定期限内参加政府采购活动，期限届满的，可以参加政府采购活动的，投标人应提供相关证明材料。</w:t>
      </w:r>
    </w:p>
    <w:p w14:paraId="43EB832F">
      <w:pPr>
        <w:spacing w:line="500" w:lineRule="exact"/>
        <w:ind w:firstLine="566" w:firstLineChars="200"/>
        <w:rPr>
          <w:rFonts w:ascii="华文仿宋" w:hAnsi="华文仿宋" w:cs="仿宋"/>
        </w:rPr>
      </w:pPr>
      <w:r>
        <w:rPr>
          <w:rFonts w:hint="eastAsia" w:ascii="华文仿宋" w:hAnsi="华文仿宋" w:cs="仿宋"/>
        </w:rPr>
        <w:t>2.4.4投标人信用记录及企业基本信息查询时间段为“招标公告发布之日（含当日）至提交投标文件截止之日（含当日）”。投标人未如实提供相关信用材料的，视为“投标人提供虚假材料谋取中标、成交的”行为。</w:t>
      </w:r>
    </w:p>
    <w:p w14:paraId="74CF70BE">
      <w:pPr>
        <w:spacing w:line="500" w:lineRule="exact"/>
        <w:ind w:firstLine="566" w:firstLineChars="200"/>
        <w:rPr>
          <w:rFonts w:ascii="华文仿宋" w:hAnsi="华文仿宋"/>
          <w:b/>
        </w:rPr>
      </w:pPr>
      <w:r>
        <w:rPr>
          <w:rFonts w:hint="eastAsia" w:ascii="华文仿宋" w:hAnsi="华文仿宋"/>
          <w:b/>
        </w:rPr>
        <w:t>2.5落实的政府采购政策</w:t>
      </w:r>
    </w:p>
    <w:p w14:paraId="52802D26">
      <w:pPr>
        <w:spacing w:line="500" w:lineRule="exact"/>
        <w:ind w:firstLine="566" w:firstLineChars="200"/>
        <w:rPr>
          <w:rFonts w:ascii="华文仿宋" w:hAnsi="华文仿宋" w:cs="仿宋"/>
        </w:rPr>
      </w:pPr>
      <w:r>
        <w:rPr>
          <w:rFonts w:hint="eastAsia" w:ascii="华文仿宋" w:hAnsi="华文仿宋" w:cs="仿宋"/>
        </w:rPr>
        <w:t>2.5.1根据《政府采购促进中小企业发展管理办法》（财库[2020]46号）</w:t>
      </w:r>
      <w:r>
        <w:rPr>
          <w:rFonts w:hint="eastAsia" w:ascii="华文仿宋" w:hAnsi="华文仿宋" w:cs="仿宋"/>
          <w:lang w:eastAsia="zh-CN"/>
        </w:rPr>
        <w:t>、</w:t>
      </w:r>
      <w:r>
        <w:rPr>
          <w:rFonts w:hint="eastAsia" w:ascii="华文仿宋" w:hAnsi="华文仿宋" w:cs="仿宋"/>
        </w:rPr>
        <w:t>《关于进一步加大政府采购支持中小企业力度的通知》</w:t>
      </w:r>
      <w:r>
        <w:rPr>
          <w:rFonts w:hint="eastAsia" w:ascii="华文仿宋" w:hAnsi="华文仿宋" w:cs="仿宋"/>
          <w:lang w:eastAsia="zh-CN"/>
        </w:rPr>
        <w:t>（</w:t>
      </w:r>
      <w:r>
        <w:rPr>
          <w:rFonts w:hint="eastAsia" w:ascii="华文仿宋" w:hAnsi="华文仿宋" w:cs="仿宋"/>
        </w:rPr>
        <w:t>财库〔2022〕19号</w:t>
      </w:r>
      <w:r>
        <w:rPr>
          <w:rFonts w:hint="eastAsia" w:ascii="华文仿宋" w:hAnsi="华文仿宋" w:cs="仿宋"/>
          <w:lang w:eastAsia="zh-CN"/>
        </w:rPr>
        <w:t>）</w:t>
      </w:r>
      <w:r>
        <w:rPr>
          <w:rFonts w:hint="eastAsia" w:ascii="华文仿宋" w:hAnsi="华文仿宋" w:cs="仿宋"/>
        </w:rPr>
        <w:t>以及</w:t>
      </w:r>
      <w:r>
        <w:rPr>
          <w:rFonts w:hint="eastAsia" w:ascii="华文仿宋" w:hAnsi="华文仿宋" w:cs="仿宋"/>
          <w:lang w:eastAsia="zh-CN"/>
        </w:rPr>
        <w:t>《</w:t>
      </w:r>
      <w:r>
        <w:rPr>
          <w:rFonts w:hint="eastAsia" w:ascii="华文仿宋" w:hAnsi="华文仿宋" w:cs="仿宋"/>
          <w:lang w:val="en-US" w:eastAsia="zh-CN"/>
        </w:rPr>
        <w:t>榆林市财政局关于进一步加大政府采购支持中小企业力度的通知</w:t>
      </w:r>
      <w:r>
        <w:rPr>
          <w:rFonts w:hint="eastAsia" w:ascii="华文仿宋" w:hAnsi="华文仿宋" w:cs="仿宋"/>
          <w:lang w:eastAsia="zh-CN"/>
        </w:rPr>
        <w:t>》</w:t>
      </w:r>
      <w:r>
        <w:rPr>
          <w:rFonts w:hint="eastAsia" w:ascii="华文仿宋" w:hAnsi="华文仿宋" w:cs="仿宋"/>
        </w:rPr>
        <w:t>（</w:t>
      </w:r>
      <w:r>
        <w:rPr>
          <w:rFonts w:hint="eastAsia" w:ascii="华文仿宋" w:hAnsi="华文仿宋" w:cs="仿宋"/>
          <w:lang w:val="en-US" w:eastAsia="zh-CN"/>
        </w:rPr>
        <w:t>榆政财采发</w:t>
      </w:r>
      <w:r>
        <w:rPr>
          <w:rFonts w:hint="eastAsia" w:ascii="华文仿宋" w:hAnsi="华文仿宋" w:cs="仿宋"/>
        </w:rPr>
        <w:t>[202</w:t>
      </w:r>
      <w:r>
        <w:rPr>
          <w:rFonts w:hint="eastAsia" w:ascii="华文仿宋" w:hAnsi="华文仿宋" w:cs="仿宋"/>
          <w:lang w:val="en-US" w:eastAsia="zh-CN"/>
        </w:rPr>
        <w:t>2</w:t>
      </w:r>
      <w:r>
        <w:rPr>
          <w:rFonts w:hint="eastAsia" w:ascii="华文仿宋" w:hAnsi="华文仿宋" w:cs="仿宋"/>
        </w:rPr>
        <w:t>]</w:t>
      </w:r>
      <w:r>
        <w:rPr>
          <w:rFonts w:hint="eastAsia" w:ascii="华文仿宋" w:hAnsi="华文仿宋" w:cs="仿宋"/>
          <w:lang w:val="en-US" w:eastAsia="zh-CN"/>
        </w:rPr>
        <w:t>10</w:t>
      </w:r>
      <w:r>
        <w:rPr>
          <w:rFonts w:hint="eastAsia" w:ascii="华文仿宋" w:hAnsi="华文仿宋" w:cs="仿宋"/>
        </w:rPr>
        <w:t>号）</w:t>
      </w:r>
      <w:r>
        <w:rPr>
          <w:rFonts w:hint="eastAsia" w:ascii="华文仿宋" w:hAnsi="华文仿宋" w:cs="仿宋"/>
          <w:lang w:val="en-US" w:eastAsia="zh-CN"/>
        </w:rPr>
        <w:t>等文件相关规定，</w:t>
      </w:r>
      <w:r>
        <w:rPr>
          <w:rFonts w:hint="eastAsia" w:ascii="华文仿宋" w:hAnsi="华文仿宋" w:cs="仿宋"/>
        </w:rPr>
        <w:t>小微企业提供本企业制造的货物、承担的工程或者服务（以下简称产品），或者提供其他小微企业制造的货物（不包括使用大型、中型企业注册商标的货物）参与非专门面向中小企业的政府采购活动时对小型和微型企业产品的价格给予10%-20%的价格扣除，用扣除后的价格参与评标。同时，依据《政府采购促进中小企业发展管理办法》（财库[2020]46号）第四条第二款规定小型、微型企业所提供的产品如果部分由中大型企业生产或提供的，将不享受政府采购价格扣除优惠政策。</w:t>
      </w:r>
    </w:p>
    <w:p w14:paraId="0846B764">
      <w:pPr>
        <w:spacing w:line="500" w:lineRule="exact"/>
        <w:ind w:firstLine="566" w:firstLineChars="200"/>
        <w:rPr>
          <w:rFonts w:hint="eastAsia" w:ascii="华文仿宋" w:hAnsi="华文仿宋" w:cs="仿宋"/>
        </w:rPr>
      </w:pPr>
      <w:r>
        <w:rPr>
          <w:rFonts w:hint="eastAsia" w:ascii="华文仿宋" w:hAnsi="华文仿宋" w:cs="仿宋"/>
        </w:rPr>
        <w:t>联合体投标的，若大中型企业与小型、微型企业组成联合体投标时，联合协议中约定，小型、微型企业的协议合同金额占到联合体协议合同总金额30%以上的，可给予联合体4%-6%的价格扣除；联合体各方均为小型、微型企业的，联合体视同为小型、微型企业；组成联合体的大中型企业和其他自然人、法人或者其他组织，与小型、微型企业之间不得存在投资关系。</w:t>
      </w:r>
    </w:p>
    <w:p w14:paraId="3CCA3D34">
      <w:pPr>
        <w:keepNext w:val="0"/>
        <w:keepLines w:val="0"/>
        <w:pageBreakBefore w:val="0"/>
        <w:widowControl w:val="0"/>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cs="仿宋"/>
          <w:b/>
          <w:bCs/>
        </w:rPr>
      </w:pPr>
      <w:r>
        <w:rPr>
          <w:rFonts w:hint="eastAsia" w:ascii="华文仿宋" w:hAnsi="华文仿宋"/>
          <w:b/>
        </w:rPr>
        <w:t>参加</w:t>
      </w:r>
      <w:r>
        <w:rPr>
          <w:rFonts w:hint="eastAsia" w:ascii="华文仿宋" w:hAnsi="华文仿宋"/>
          <w:b/>
          <w:lang w:val="en-US" w:eastAsia="zh-CN"/>
        </w:rPr>
        <w:t>本次</w:t>
      </w:r>
      <w:r>
        <w:rPr>
          <w:rFonts w:hint="eastAsia" w:ascii="华文仿宋" w:hAnsi="华文仿宋"/>
          <w:b/>
        </w:rPr>
        <w:t>政府采购活动的中小企业应提供《中小企业声明函》</w:t>
      </w:r>
      <w:r>
        <w:rPr>
          <w:rFonts w:hint="eastAsia" w:ascii="华文仿宋" w:hAnsi="华文仿宋" w:cs="仿宋"/>
          <w:b/>
          <w:bCs/>
        </w:rPr>
        <w:t>。未提供上述材料的，</w:t>
      </w:r>
      <w:r>
        <w:rPr>
          <w:rFonts w:hint="eastAsia" w:ascii="华文仿宋" w:hAnsi="华文仿宋" w:cs="仿宋"/>
          <w:b/>
          <w:bCs/>
          <w:lang w:val="en-US" w:eastAsia="zh-CN"/>
        </w:rPr>
        <w:t>其资格审查不予通过</w:t>
      </w:r>
      <w:r>
        <w:rPr>
          <w:rFonts w:hint="eastAsia" w:ascii="华文仿宋" w:hAnsi="华文仿宋" w:cs="仿宋"/>
          <w:b/>
          <w:bCs/>
        </w:rPr>
        <w:t>。</w:t>
      </w:r>
    </w:p>
    <w:p w14:paraId="48D21088">
      <w:pPr>
        <w:spacing w:line="500" w:lineRule="exact"/>
        <w:ind w:firstLine="566" w:firstLineChars="200"/>
        <w:rPr>
          <w:rFonts w:hint="eastAsia" w:ascii="华文仿宋" w:hAnsi="华文仿宋"/>
          <w:bCs/>
          <w:highlight w:val="none"/>
        </w:rPr>
      </w:pPr>
      <w:r>
        <w:rPr>
          <w:rFonts w:hint="eastAsia" w:ascii="华文仿宋" w:hAnsi="华文仿宋"/>
          <w:bCs/>
          <w:highlight w:val="none"/>
        </w:rPr>
        <w:t>本项目采购标的对应的中小企业划分标准所属行业为</w:t>
      </w:r>
      <w:r>
        <w:rPr>
          <w:rFonts w:hint="eastAsia"/>
          <w:b/>
          <w:bCs/>
          <w:spacing w:val="2"/>
          <w:sz w:val="28"/>
          <w:szCs w:val="28"/>
          <w:u w:val="single"/>
          <w:lang w:val="en-US" w:eastAsia="zh-CN"/>
        </w:rPr>
        <w:t>工业</w:t>
      </w:r>
      <w:r>
        <w:rPr>
          <w:rFonts w:hint="eastAsia" w:ascii="华文仿宋" w:hAnsi="华文仿宋"/>
          <w:bCs/>
          <w:highlight w:val="none"/>
        </w:rPr>
        <w:t xml:space="preserve"> 。</w:t>
      </w:r>
    </w:p>
    <w:p w14:paraId="45E269DB">
      <w:pPr>
        <w:spacing w:line="500" w:lineRule="exact"/>
        <w:ind w:firstLine="566" w:firstLineChars="200"/>
        <w:rPr>
          <w:rFonts w:ascii="华文仿宋" w:hAnsi="华文仿宋" w:cs="仿宋"/>
          <w:b/>
        </w:rPr>
      </w:pPr>
      <w:r>
        <w:rPr>
          <w:rFonts w:hint="eastAsia" w:ascii="华文仿宋" w:hAnsi="华文仿宋" w:cs="仿宋"/>
          <w:b/>
        </w:rPr>
        <w:t>备注：中小企业划分标准参照《中小企业划型标准规定》（工信部联企业[2011]300号）执行。如声明函内容不符合该规定</w:t>
      </w:r>
      <w:r>
        <w:rPr>
          <w:rFonts w:hint="eastAsia" w:ascii="华文仿宋" w:hAnsi="华文仿宋" w:cs="仿宋"/>
          <w:b/>
          <w:lang w:val="en-US" w:eastAsia="zh-CN"/>
        </w:rPr>
        <w:t>中</w:t>
      </w:r>
      <w:r>
        <w:rPr>
          <w:rFonts w:hint="eastAsia" w:ascii="华文仿宋" w:hAnsi="华文仿宋" w:cs="仿宋"/>
          <w:b/>
        </w:rPr>
        <w:t>小微企业标准的，</w:t>
      </w:r>
      <w:r>
        <w:rPr>
          <w:rFonts w:hint="eastAsia" w:ascii="华文仿宋" w:hAnsi="华文仿宋" w:cs="仿宋"/>
          <w:b/>
          <w:lang w:val="en-US" w:eastAsia="zh-CN"/>
        </w:rPr>
        <w:t>其资格审查不予通过</w:t>
      </w:r>
      <w:r>
        <w:rPr>
          <w:rFonts w:hint="eastAsia" w:ascii="华文仿宋" w:hAnsi="华文仿宋" w:cs="仿宋"/>
          <w:b/>
        </w:rPr>
        <w:t>。</w:t>
      </w:r>
    </w:p>
    <w:p w14:paraId="6F1A4EDA">
      <w:pPr>
        <w:keepNext w:val="0"/>
        <w:keepLines w:val="0"/>
        <w:pageBreakBefore w:val="0"/>
        <w:widowControl w:val="0"/>
        <w:kinsoku/>
        <w:wordWrap/>
        <w:overflowPunct/>
        <w:topLinePunct w:val="0"/>
        <w:autoSpaceDE/>
        <w:autoSpaceDN/>
        <w:bidi w:val="0"/>
        <w:adjustRightInd/>
        <w:snapToGrid/>
        <w:spacing w:line="500" w:lineRule="exact"/>
        <w:ind w:firstLine="566" w:firstLineChars="200"/>
        <w:textAlignment w:val="auto"/>
        <w:rPr>
          <w:rFonts w:ascii="华文仿宋" w:hAnsi="华文仿宋" w:cs="仿宋"/>
          <w:b/>
          <w:bCs/>
        </w:rPr>
      </w:pPr>
      <w:r>
        <w:rPr>
          <w:rFonts w:hint="eastAsia" w:ascii="华文仿宋" w:hAnsi="华文仿宋" w:cs="仿宋"/>
        </w:rPr>
        <w:t>2.5.2监狱企业应符合《财政部 司法部关于政府采购支持监狱企业发展有关问题的通知》财库[2014]68号文件规定，并提供由省级以上监狱管理局、戒毒管理局(含新疆生产建设兵团)出具的属于</w:t>
      </w:r>
      <w:r>
        <w:rPr>
          <w:rFonts w:hint="eastAsia" w:ascii="华文仿宋" w:hAnsi="华文仿宋" w:cs="仿宋"/>
          <w:b/>
        </w:rPr>
        <w:t>监狱企业的证明文件</w:t>
      </w:r>
      <w:r>
        <w:rPr>
          <w:rFonts w:hint="eastAsia" w:ascii="华文仿宋" w:hAnsi="华文仿宋" w:cs="仿宋"/>
        </w:rPr>
        <w:t>，监狱和戒毒企业视同小型、微型企业。</w:t>
      </w:r>
      <w:r>
        <w:rPr>
          <w:rFonts w:hint="eastAsia" w:ascii="华文仿宋" w:hAnsi="华文仿宋" w:cs="仿宋"/>
          <w:b/>
        </w:rPr>
        <w:t>参加</w:t>
      </w:r>
      <w:r>
        <w:rPr>
          <w:rFonts w:hint="eastAsia" w:ascii="华文仿宋" w:hAnsi="华文仿宋" w:cs="仿宋"/>
          <w:b/>
          <w:lang w:val="en-US" w:eastAsia="zh-CN"/>
        </w:rPr>
        <w:t>本次</w:t>
      </w:r>
      <w:r>
        <w:rPr>
          <w:rFonts w:hint="eastAsia" w:ascii="华文仿宋" w:hAnsi="华文仿宋" w:cs="仿宋"/>
          <w:b/>
        </w:rPr>
        <w:t>政府采购活动的</w:t>
      </w:r>
      <w:r>
        <w:rPr>
          <w:b/>
          <w:bCs/>
          <w:spacing w:val="2"/>
          <w:sz w:val="28"/>
          <w:szCs w:val="28"/>
        </w:rPr>
        <w:t>监狱企业</w:t>
      </w:r>
      <w:r>
        <w:rPr>
          <w:rFonts w:hint="eastAsia" w:ascii="华文仿宋" w:hAnsi="华文仿宋" w:cs="仿宋"/>
          <w:b/>
          <w:bCs/>
        </w:rPr>
        <w:t>未提供上述材料的，</w:t>
      </w:r>
      <w:r>
        <w:rPr>
          <w:rFonts w:hint="eastAsia" w:ascii="华文仿宋" w:hAnsi="华文仿宋" w:cs="仿宋"/>
          <w:b/>
          <w:bCs/>
          <w:lang w:val="en-US" w:eastAsia="zh-CN"/>
        </w:rPr>
        <w:t>其资格审查不予通过</w:t>
      </w:r>
      <w:r>
        <w:rPr>
          <w:rFonts w:hint="eastAsia" w:ascii="华文仿宋" w:hAnsi="华文仿宋" w:cs="仿宋"/>
          <w:b/>
          <w:bCs/>
        </w:rPr>
        <w:t>。</w:t>
      </w:r>
    </w:p>
    <w:p w14:paraId="18747EB2">
      <w:pPr>
        <w:spacing w:line="500" w:lineRule="exact"/>
        <w:ind w:firstLine="566" w:firstLineChars="200"/>
        <w:rPr>
          <w:rFonts w:ascii="华文仿宋" w:hAnsi="华文仿宋" w:cs="仿宋"/>
        </w:rPr>
      </w:pPr>
      <w:r>
        <w:rPr>
          <w:rFonts w:hint="eastAsia" w:ascii="华文仿宋" w:hAnsi="华文仿宋" w:cs="仿宋"/>
        </w:rPr>
        <w:t>2.5.3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4AB0E8">
      <w:pPr>
        <w:spacing w:line="500" w:lineRule="exact"/>
        <w:ind w:firstLine="566" w:firstLineChars="200"/>
        <w:rPr>
          <w:rFonts w:ascii="华文仿宋" w:hAnsi="华文仿宋" w:cs="仿宋"/>
          <w:b/>
          <w:bCs/>
        </w:rPr>
      </w:pPr>
      <w:r>
        <w:rPr>
          <w:rFonts w:hint="eastAsia" w:ascii="华文仿宋" w:hAnsi="华文仿宋" w:cs="仿宋"/>
          <w:b/>
        </w:rPr>
        <w:t>参加</w:t>
      </w:r>
      <w:r>
        <w:rPr>
          <w:rFonts w:hint="eastAsia" w:ascii="华文仿宋" w:hAnsi="华文仿宋" w:cs="仿宋"/>
          <w:b/>
          <w:lang w:val="en-US" w:eastAsia="zh-CN"/>
        </w:rPr>
        <w:t>本次</w:t>
      </w:r>
      <w:r>
        <w:rPr>
          <w:rFonts w:hint="eastAsia" w:ascii="华文仿宋" w:hAnsi="华文仿宋" w:cs="仿宋"/>
          <w:b/>
        </w:rPr>
        <w:t>政府采购活动的残疾人单位应提供《残疾人福利性单位声明函》原件</w:t>
      </w:r>
      <w:r>
        <w:rPr>
          <w:rFonts w:hint="eastAsia" w:ascii="华文仿宋" w:hAnsi="华文仿宋" w:cs="仿宋"/>
          <w:b/>
          <w:bCs/>
        </w:rPr>
        <w:t>。未提供上述材料的，</w:t>
      </w:r>
      <w:r>
        <w:rPr>
          <w:rFonts w:hint="eastAsia" w:ascii="华文仿宋" w:hAnsi="华文仿宋" w:cs="仿宋"/>
          <w:b/>
          <w:bCs/>
          <w:lang w:val="en-US" w:eastAsia="zh-CN"/>
        </w:rPr>
        <w:t>其资格审查不予通过</w:t>
      </w:r>
      <w:r>
        <w:rPr>
          <w:rFonts w:hint="eastAsia" w:ascii="华文仿宋" w:hAnsi="华文仿宋" w:cs="仿宋"/>
          <w:b/>
          <w:bCs/>
        </w:rPr>
        <w:t>。</w:t>
      </w:r>
    </w:p>
    <w:p w14:paraId="391EF5F1">
      <w:pPr>
        <w:pStyle w:val="16"/>
        <w:spacing w:line="500" w:lineRule="exact"/>
        <w:ind w:firstLine="566"/>
        <w:rPr>
          <w:color w:val="auto"/>
          <w:highlight w:val="none"/>
        </w:rPr>
      </w:pPr>
      <w:r>
        <w:rPr>
          <w:rFonts w:hint="eastAsia" w:ascii="华文仿宋" w:hAnsi="华文仿宋" w:eastAsia="华文仿宋"/>
          <w:bCs/>
          <w:color w:val="auto"/>
          <w:kern w:val="2"/>
          <w:sz w:val="28"/>
          <w:szCs w:val="28"/>
          <w:highlight w:val="none"/>
        </w:rPr>
        <w:t>2.5.4根据财政部、国家发展改革委《关于印发〈节能产品政府采购实施意见〉的通知》（财库〔2004〕185号）规定“政府采购属于节能清单中产品时，在技术、服务等指标同等条件下，应当优先采购节能清单所列的节能产品。”</w:t>
      </w:r>
      <w:r>
        <w:rPr>
          <w:rFonts w:hint="eastAsia"/>
          <w:color w:val="auto"/>
          <w:highlight w:val="none"/>
        </w:rPr>
        <w:t xml:space="preserve"> </w:t>
      </w:r>
    </w:p>
    <w:p w14:paraId="71F9BC85">
      <w:pPr>
        <w:pStyle w:val="16"/>
        <w:spacing w:line="500" w:lineRule="exact"/>
        <w:ind w:firstLine="566"/>
        <w:rPr>
          <w:rFonts w:ascii="华文仿宋" w:hAnsi="华文仿宋" w:eastAsia="华文仿宋"/>
          <w:bCs/>
          <w:color w:val="auto"/>
          <w:kern w:val="2"/>
          <w:sz w:val="28"/>
          <w:szCs w:val="28"/>
          <w:highlight w:val="none"/>
        </w:rPr>
      </w:pPr>
      <w:r>
        <w:rPr>
          <w:rFonts w:hint="eastAsia" w:ascii="华文仿宋" w:hAnsi="华文仿宋" w:eastAsia="华文仿宋"/>
          <w:bCs/>
          <w:color w:val="auto"/>
          <w:kern w:val="2"/>
          <w:sz w:val="28"/>
          <w:szCs w:val="28"/>
          <w:highlight w:val="none"/>
        </w:rPr>
        <w:t>节能产品政府采购品目清单详见财政部、发展改革委《关于印发节能产品政府采购品目清单的通知》（财库〔2019〕19 号）。</w:t>
      </w:r>
      <w:r>
        <w:rPr>
          <w:rFonts w:ascii="华文仿宋" w:hAnsi="华文仿宋" w:eastAsia="华文仿宋"/>
          <w:bCs/>
          <w:color w:val="auto"/>
          <w:kern w:val="2"/>
          <w:sz w:val="28"/>
          <w:szCs w:val="28"/>
          <w:highlight w:val="none"/>
        </w:rPr>
        <w:t xml:space="preserve"> </w:t>
      </w:r>
    </w:p>
    <w:p w14:paraId="13A06DBA">
      <w:pPr>
        <w:widowControl w:val="0"/>
        <w:spacing w:line="500" w:lineRule="exact"/>
        <w:ind w:firstLine="566" w:firstLineChars="200"/>
        <w:rPr>
          <w:rFonts w:ascii="华文仿宋" w:hAnsi="华文仿宋" w:cs="仿宋"/>
          <w:color w:val="auto"/>
          <w:highlight w:val="none"/>
        </w:rPr>
      </w:pPr>
      <w:r>
        <w:rPr>
          <w:rFonts w:hint="eastAsia" w:ascii="华文仿宋" w:hAnsi="华文仿宋" w:cs="仿宋"/>
          <w:color w:val="auto"/>
          <w:highlight w:val="none"/>
        </w:rPr>
        <w:t>2.5.5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1A915548">
      <w:pPr>
        <w:widowControl w:val="0"/>
        <w:spacing w:line="500" w:lineRule="exact"/>
        <w:ind w:firstLine="566" w:firstLineChars="200"/>
        <w:rPr>
          <w:rFonts w:ascii="华文仿宋" w:hAnsi="华文仿宋" w:cs="仿宋"/>
          <w:color w:val="auto"/>
          <w:highlight w:val="none"/>
        </w:rPr>
      </w:pPr>
      <w:r>
        <w:rPr>
          <w:rFonts w:hint="eastAsia" w:ascii="华文仿宋" w:hAnsi="华文仿宋" w:cs="仿宋"/>
          <w:color w:val="auto"/>
          <w:highlight w:val="none"/>
        </w:rPr>
        <w:t>环境标志产品政府采购品目清单详见财政部、生态环境部《关于印</w:t>
      </w:r>
    </w:p>
    <w:p w14:paraId="3EE51094">
      <w:pPr>
        <w:widowControl w:val="0"/>
        <w:spacing w:line="500" w:lineRule="exact"/>
        <w:rPr>
          <w:rFonts w:ascii="华文仿宋" w:hAnsi="华文仿宋" w:cs="仿宋"/>
          <w:color w:val="auto"/>
          <w:highlight w:val="none"/>
        </w:rPr>
      </w:pPr>
      <w:r>
        <w:rPr>
          <w:rFonts w:hint="eastAsia" w:ascii="华文仿宋" w:hAnsi="华文仿宋" w:cs="仿宋"/>
          <w:color w:val="auto"/>
          <w:highlight w:val="none"/>
        </w:rPr>
        <w:t>发环境标志产品政府采购品目清单的通知》（财库〔2019〕18 号）。</w:t>
      </w:r>
    </w:p>
    <w:p w14:paraId="6D8CD09D">
      <w:pPr>
        <w:spacing w:line="500" w:lineRule="exact"/>
        <w:ind w:firstLine="566" w:firstLineChars="200"/>
        <w:rPr>
          <w:rFonts w:ascii="华文仿宋" w:hAnsi="华文仿宋" w:cs="仿宋"/>
          <w:color w:val="auto"/>
          <w:highlight w:val="none"/>
        </w:rPr>
      </w:pPr>
      <w:r>
        <w:rPr>
          <w:rFonts w:hint="eastAsia" w:ascii="华文仿宋" w:hAnsi="华文仿宋" w:cs="仿宋"/>
          <w:color w:val="auto"/>
          <w:highlight w:val="none"/>
        </w:rPr>
        <w:t>2.5.6</w:t>
      </w:r>
      <w:r>
        <w:rPr>
          <w:rFonts w:ascii="华文仿宋" w:hAnsi="华文仿宋" w:cs="仿宋"/>
          <w:color w:val="auto"/>
          <w:highlight w:val="none"/>
        </w:rPr>
        <w:t xml:space="preserve"> </w:t>
      </w:r>
      <w:r>
        <w:rPr>
          <w:rFonts w:hint="eastAsia" w:ascii="华文仿宋" w:hAnsi="华文仿宋" w:cs="仿宋"/>
          <w:color w:val="auto"/>
          <w:highlight w:val="none"/>
        </w:rPr>
        <w:t xml:space="preserve"> 根据财政部、国家发改委、生态环境部、市场监管总局联合印发《关于调整优化节能产品、环境标志产品政府采购执行机制的通知》（财库〔2019〕9号）有关要求，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44111EAF">
      <w:pPr>
        <w:spacing w:line="500" w:lineRule="exact"/>
        <w:ind w:firstLine="566" w:firstLineChars="200"/>
        <w:rPr>
          <w:rFonts w:ascii="华文仿宋" w:hAnsi="华文仿宋" w:cs="仿宋"/>
        </w:rPr>
      </w:pPr>
      <w:r>
        <w:rPr>
          <w:rFonts w:hint="eastAsia" w:ascii="华文仿宋" w:hAnsi="华文仿宋" w:cs="仿宋"/>
        </w:rPr>
        <w:t>国家确定的节能产品、环境标志产品认证机构详见市场监管总局《关于发布参与实施政府采购节能产品、环境标志产品认证机构名录的公</w:t>
      </w:r>
    </w:p>
    <w:p w14:paraId="06B02704">
      <w:pPr>
        <w:spacing w:line="500" w:lineRule="exact"/>
        <w:rPr>
          <w:rFonts w:ascii="华文仿宋" w:hAnsi="华文仿宋" w:cs="仿宋"/>
        </w:rPr>
      </w:pPr>
      <w:r>
        <w:rPr>
          <w:rFonts w:hint="eastAsia" w:ascii="华文仿宋" w:hAnsi="华文仿宋" w:cs="仿宋"/>
        </w:rPr>
        <w:t>告》（2019 年第 16 号）。</w:t>
      </w:r>
    </w:p>
    <w:p w14:paraId="0E42DB53">
      <w:pPr>
        <w:spacing w:line="500" w:lineRule="exact"/>
        <w:ind w:firstLine="566" w:firstLineChars="200"/>
        <w:rPr>
          <w:rFonts w:ascii="华文仿宋" w:hAnsi="华文仿宋" w:cs="仿宋"/>
          <w:b w:val="0"/>
          <w:bCs/>
          <w:color w:val="auto"/>
        </w:rPr>
      </w:pPr>
      <w:r>
        <w:rPr>
          <w:rFonts w:hint="eastAsia" w:ascii="华文仿宋" w:hAnsi="华文仿宋" w:cs="仿宋"/>
          <w:b w:val="0"/>
          <w:bCs/>
          <w:color w:val="auto"/>
        </w:rPr>
        <w:t>投标人需出具国家确定的认证机构出具的、处于有效期之内的节能产品、环境标志产品认证证书，方可享受招标文件规定的相关优先采购政策。</w:t>
      </w:r>
    </w:p>
    <w:p w14:paraId="19012E2B">
      <w:pPr>
        <w:spacing w:line="500" w:lineRule="exact"/>
        <w:ind w:firstLine="566" w:firstLineChars="200"/>
        <w:rPr>
          <w:rFonts w:ascii="华文仿宋" w:hAnsi="华文仿宋" w:cs="仿宋"/>
          <w:color w:val="0070C0"/>
        </w:rPr>
      </w:pPr>
      <w:r>
        <w:rPr>
          <w:rFonts w:hint="eastAsia" w:ascii="华文仿宋" w:hAnsi="华文仿宋" w:cs="仿宋"/>
        </w:rPr>
        <w:t>2.5.7  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002E25CF">
      <w:pPr>
        <w:spacing w:line="500" w:lineRule="exact"/>
        <w:ind w:firstLine="566" w:firstLineChars="200"/>
        <w:rPr>
          <w:rFonts w:ascii="华文仿宋" w:hAnsi="华文仿宋" w:cs="华文仿宋"/>
        </w:rPr>
      </w:pPr>
      <w:r>
        <w:rPr>
          <w:rFonts w:hint="eastAsia" w:ascii="华文仿宋" w:hAnsi="华文仿宋" w:cs="仿宋"/>
        </w:rPr>
        <w:t>2.5.8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w:t>
      </w:r>
      <w:r>
        <w:rPr>
          <w:rFonts w:hint="eastAsia" w:ascii="华文仿宋" w:hAnsi="华文仿宋" w:cs="华文仿宋"/>
        </w:rPr>
        <w:t>〔2018〕23号）、</w:t>
      </w:r>
      <w:r>
        <w:rPr>
          <w:rFonts w:hint="eastAsia" w:ascii="华文仿宋" w:hAnsi="华文仿宋" w:cs="仿宋"/>
        </w:rPr>
        <w:t>《陕西省财政厅关于加快推进我省中小企业政府采购信用融资工作的通知》（陕财办采〔2020〕15号）等有关规定</w:t>
      </w:r>
      <w:r>
        <w:rPr>
          <w:rFonts w:hint="eastAsia" w:ascii="华文仿宋" w:hAnsi="华文仿宋" w:cs="华文仿宋"/>
        </w:rPr>
        <w:t>，按照市场主导、财政引导、银企自愿、风险自担的原则，中标（成交）投标人可根据自身资金需求，登录陕西省政府采购信用融资平台（http://www.ccgp-shaanxi.gov.cn/zcdservice/zcd/shanxi/</w:t>
      </w:r>
      <w:r>
        <w:rPr>
          <w:rFonts w:ascii="华文仿宋" w:hAnsi="华文仿宋" w:cs="华文仿宋"/>
        </w:rPr>
        <w:t>）</w:t>
      </w:r>
      <w:r>
        <w:rPr>
          <w:rFonts w:hint="eastAsia" w:ascii="华文仿宋" w:hAnsi="华文仿宋" w:cs="华文仿宋"/>
        </w:rPr>
        <w:t>在线申请，依法参加政府采购信用融资活动。</w:t>
      </w:r>
    </w:p>
    <w:p w14:paraId="74602052">
      <w:pPr>
        <w:spacing w:line="500" w:lineRule="exact"/>
        <w:ind w:firstLine="566" w:firstLineChars="200"/>
        <w:rPr>
          <w:rFonts w:ascii="华文仿宋" w:hAnsi="华文仿宋" w:cs="华文仿宋"/>
        </w:rPr>
      </w:pPr>
      <w:r>
        <w:rPr>
          <w:rFonts w:hint="eastAsia" w:ascii="华文仿宋" w:hAnsi="华文仿宋" w:cs="华文仿宋"/>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0359C02C">
      <w:pPr>
        <w:spacing w:line="500" w:lineRule="exact"/>
        <w:ind w:firstLine="566" w:firstLineChars="200"/>
        <w:rPr>
          <w:rFonts w:ascii="华文仿宋" w:hAnsi="华文仿宋"/>
          <w:b/>
          <w:color w:val="auto"/>
        </w:rPr>
      </w:pPr>
      <w:r>
        <w:rPr>
          <w:rFonts w:hint="eastAsia" w:ascii="华文仿宋" w:hAnsi="华文仿宋"/>
          <w:b/>
          <w:color w:val="auto"/>
        </w:rPr>
        <w:t>2.6合格的货物和服务</w:t>
      </w:r>
    </w:p>
    <w:p w14:paraId="4B47DAC9">
      <w:pPr>
        <w:spacing w:line="500" w:lineRule="exact"/>
        <w:ind w:firstLine="566" w:firstLineChars="200"/>
        <w:rPr>
          <w:rFonts w:ascii="华文仿宋" w:hAnsi="华文仿宋" w:cs="仿宋"/>
          <w:bCs/>
        </w:rPr>
      </w:pPr>
      <w:r>
        <w:rPr>
          <w:rFonts w:hint="eastAsia" w:ascii="华文仿宋" w:hAnsi="华文仿宋" w:cs="仿宋"/>
          <w:bCs/>
        </w:rPr>
        <w:t>2.6.1投标人提供的所有货物和服务，必须是合法生产、合法来源，符合国家有关标准要求，并满足招标文件规定的规格、参数、质量、价格、有效期、售后服务及投标人须承担的运输、安装、技术支持、培训和招标文件规定的其它伴随服务等要求。</w:t>
      </w:r>
    </w:p>
    <w:p w14:paraId="7EA73E62">
      <w:pPr>
        <w:pStyle w:val="4"/>
        <w:ind w:firstLine="559" w:firstLineChars="198"/>
        <w:rPr>
          <w:rFonts w:ascii="华文仿宋" w:hAnsi="华文仿宋" w:cs="仿宋"/>
          <w:bCs/>
        </w:rPr>
      </w:pPr>
      <w:r>
        <w:rPr>
          <w:rFonts w:hint="eastAsia" w:ascii="华文仿宋" w:hAnsi="华文仿宋" w:cs="仿宋"/>
          <w:bCs/>
        </w:rPr>
        <w:t>2.6.2采购人有权拒绝接受任何不合格的产品和服务，由此产生的费用及相关后果均由投标人承担。</w:t>
      </w:r>
    </w:p>
    <w:p w14:paraId="49469131">
      <w:pPr>
        <w:spacing w:line="500" w:lineRule="exact"/>
        <w:ind w:firstLine="566" w:firstLineChars="200"/>
        <w:rPr>
          <w:rFonts w:ascii="华文仿宋" w:hAnsi="华文仿宋" w:cs="仿宋"/>
          <w:b/>
        </w:rPr>
      </w:pPr>
      <w:r>
        <w:rPr>
          <w:rFonts w:hint="eastAsia"/>
          <w:b/>
        </w:rPr>
        <w:t>2.</w:t>
      </w:r>
      <w:r>
        <w:rPr>
          <w:rFonts w:hint="eastAsia"/>
          <w:b/>
          <w:lang w:val="en-US" w:eastAsia="zh-CN"/>
        </w:rPr>
        <w:t>7</w:t>
      </w:r>
      <w:r>
        <w:rPr>
          <w:rFonts w:hint="eastAsia"/>
          <w:b/>
        </w:rPr>
        <w:t>知识产权与保密事项</w:t>
      </w:r>
    </w:p>
    <w:p w14:paraId="10FFA7FF">
      <w:pPr>
        <w:spacing w:line="500" w:lineRule="exact"/>
        <w:ind w:firstLine="566" w:firstLineChars="200"/>
        <w:rPr>
          <w:bCs/>
        </w:rPr>
      </w:pPr>
      <w:r>
        <w:rPr>
          <w:rFonts w:hint="eastAsia"/>
          <w:bCs/>
        </w:rPr>
        <w:t>2.</w:t>
      </w:r>
      <w:r>
        <w:rPr>
          <w:rFonts w:hint="eastAsia"/>
          <w:bCs/>
          <w:lang w:val="en-US" w:eastAsia="zh-CN"/>
        </w:rPr>
        <w:t>7</w:t>
      </w:r>
      <w:r>
        <w:rPr>
          <w:rFonts w:hint="eastAsia"/>
          <w:bCs/>
        </w:rPr>
        <w:t>.1所有涉及知识产权的产品及设计，投标人必须确保采购人拥有其合法的、不受限制的无偿使用权，并免受任何侵权诉讼或索偿，否则，由此产生的一切经济损失和法律责任由投标人承担。</w:t>
      </w:r>
    </w:p>
    <w:p w14:paraId="75DFB2CA">
      <w:pPr>
        <w:spacing w:line="500" w:lineRule="exact"/>
        <w:ind w:firstLine="566" w:firstLineChars="200"/>
        <w:rPr>
          <w:bCs/>
        </w:rPr>
      </w:pPr>
      <w:r>
        <w:rPr>
          <w:rFonts w:hint="eastAsia"/>
          <w:bCs/>
        </w:rPr>
        <w:t>2.</w:t>
      </w:r>
      <w:r>
        <w:rPr>
          <w:rFonts w:hint="eastAsia"/>
          <w:bCs/>
          <w:lang w:val="en-US" w:eastAsia="zh-CN"/>
        </w:rPr>
        <w:t>7</w:t>
      </w:r>
      <w:r>
        <w:rPr>
          <w:rFonts w:hint="eastAsia"/>
          <w:bCs/>
        </w:rPr>
        <w:t>.2由采购人向投标人提供的用户需求书、图纸、样品、模型、模件和所有资料，投标人获得后，应对其保密。除非采购人同意，投标人不得向第三方透露或将其用于本次投标以外的任何用途。开标后，若采购人有要求，投标人须归还采购人认为需保密的文件和资料，并销毁所有相应的备份文件及资料。</w:t>
      </w:r>
    </w:p>
    <w:p w14:paraId="01D30417">
      <w:pPr>
        <w:spacing w:line="500" w:lineRule="exact"/>
        <w:ind w:firstLine="566" w:firstLineChars="200"/>
        <w:rPr>
          <w:b/>
        </w:rPr>
      </w:pPr>
      <w:r>
        <w:rPr>
          <w:b/>
        </w:rPr>
        <w:t>2.</w:t>
      </w:r>
      <w:r>
        <w:rPr>
          <w:rFonts w:hint="eastAsia"/>
          <w:b/>
          <w:lang w:val="en-US" w:eastAsia="zh-CN"/>
        </w:rPr>
        <w:t>8</w:t>
      </w:r>
      <w:r>
        <w:rPr>
          <w:rFonts w:hint="eastAsia"/>
          <w:b/>
        </w:rPr>
        <w:t>投标人</w:t>
      </w:r>
      <w:r>
        <w:rPr>
          <w:b/>
        </w:rPr>
        <w:t>的投标费用自理</w:t>
      </w:r>
    </w:p>
    <w:p w14:paraId="5BA0EBFA">
      <w:pPr>
        <w:spacing w:line="500" w:lineRule="exact"/>
        <w:jc w:val="center"/>
        <w:rPr>
          <w:rFonts w:ascii="黑体" w:hAnsi="黑体" w:eastAsia="黑体"/>
          <w:sz w:val="30"/>
          <w:szCs w:val="30"/>
        </w:rPr>
      </w:pPr>
      <w:r>
        <w:rPr>
          <w:rFonts w:ascii="黑体" w:hAnsi="黑体" w:eastAsia="黑体"/>
          <w:sz w:val="30"/>
          <w:szCs w:val="30"/>
        </w:rPr>
        <w:t>三、招标文件</w:t>
      </w:r>
    </w:p>
    <w:p w14:paraId="3A92A3CC">
      <w:pPr>
        <w:spacing w:line="500" w:lineRule="exact"/>
        <w:ind w:firstLine="566" w:firstLineChars="200"/>
        <w:contextualSpacing/>
        <w:rPr>
          <w:rFonts w:ascii="华文仿宋" w:hAnsi="华文仿宋"/>
          <w:b/>
        </w:rPr>
      </w:pPr>
      <w:r>
        <w:rPr>
          <w:rFonts w:ascii="华文仿宋" w:hAnsi="华文仿宋"/>
          <w:b/>
        </w:rPr>
        <w:t>3.1</w:t>
      </w:r>
      <w:r>
        <w:rPr>
          <w:rFonts w:hint="eastAsia" w:ascii="华文仿宋" w:hAnsi="华文仿宋"/>
          <w:b/>
        </w:rPr>
        <w:t xml:space="preserve"> 招标</w:t>
      </w:r>
      <w:r>
        <w:rPr>
          <w:rFonts w:ascii="华文仿宋" w:hAnsi="华文仿宋"/>
          <w:b/>
        </w:rPr>
        <w:t>文件包括下列内容</w:t>
      </w:r>
    </w:p>
    <w:p w14:paraId="7609EC0F">
      <w:pPr>
        <w:spacing w:line="500" w:lineRule="exact"/>
        <w:ind w:firstLine="566" w:firstLineChars="200"/>
        <w:contextualSpacing/>
        <w:rPr>
          <w:rFonts w:ascii="华文仿宋" w:hAnsi="华文仿宋"/>
        </w:rPr>
      </w:pPr>
      <w:r>
        <w:rPr>
          <w:rFonts w:hint="eastAsia" w:ascii="华文仿宋" w:hAnsi="华文仿宋"/>
        </w:rPr>
        <w:t>第一章　招标公告</w:t>
      </w:r>
    </w:p>
    <w:p w14:paraId="366B6D6C">
      <w:pPr>
        <w:spacing w:line="500" w:lineRule="exact"/>
        <w:ind w:firstLine="566" w:firstLineChars="200"/>
        <w:contextualSpacing/>
        <w:rPr>
          <w:rFonts w:ascii="华文仿宋" w:hAnsi="华文仿宋"/>
        </w:rPr>
      </w:pPr>
      <w:r>
        <w:rPr>
          <w:rFonts w:hint="eastAsia" w:ascii="华文仿宋" w:hAnsi="华文仿宋"/>
        </w:rPr>
        <w:t>第二章　投标人须知</w:t>
      </w:r>
    </w:p>
    <w:p w14:paraId="5F512D64">
      <w:pPr>
        <w:spacing w:line="500" w:lineRule="exact"/>
        <w:ind w:firstLine="566" w:firstLineChars="200"/>
        <w:contextualSpacing/>
        <w:rPr>
          <w:rFonts w:ascii="华文仿宋" w:hAnsi="华文仿宋"/>
        </w:rPr>
      </w:pPr>
      <w:r>
        <w:rPr>
          <w:rFonts w:hint="eastAsia" w:ascii="华文仿宋" w:hAnsi="华文仿宋"/>
        </w:rPr>
        <w:t>第三章  评审办法及标准</w:t>
      </w:r>
    </w:p>
    <w:p w14:paraId="6955B397">
      <w:pPr>
        <w:spacing w:line="500" w:lineRule="exact"/>
        <w:ind w:firstLine="566" w:firstLineChars="200"/>
        <w:contextualSpacing/>
        <w:rPr>
          <w:rFonts w:ascii="华文仿宋" w:hAnsi="华文仿宋"/>
        </w:rPr>
      </w:pPr>
      <w:r>
        <w:rPr>
          <w:rFonts w:hint="eastAsia" w:ascii="华文仿宋" w:hAnsi="华文仿宋"/>
        </w:rPr>
        <w:t>第四章　招标内容及采购要求</w:t>
      </w:r>
    </w:p>
    <w:p w14:paraId="298CE116">
      <w:pPr>
        <w:spacing w:line="500" w:lineRule="exact"/>
        <w:ind w:firstLine="566" w:firstLineChars="200"/>
        <w:contextualSpacing/>
        <w:rPr>
          <w:rFonts w:ascii="华文仿宋" w:hAnsi="华文仿宋"/>
        </w:rPr>
      </w:pPr>
      <w:r>
        <w:rPr>
          <w:rFonts w:hint="eastAsia" w:ascii="华文仿宋" w:hAnsi="华文仿宋"/>
        </w:rPr>
        <w:t>第五章　商务响应及合同主要条款</w:t>
      </w:r>
    </w:p>
    <w:p w14:paraId="277BE40D">
      <w:pPr>
        <w:spacing w:line="500" w:lineRule="exact"/>
        <w:ind w:firstLine="566" w:firstLineChars="200"/>
        <w:contextualSpacing/>
        <w:rPr>
          <w:rFonts w:ascii="华文仿宋" w:hAnsi="华文仿宋"/>
        </w:rPr>
      </w:pPr>
      <w:r>
        <w:rPr>
          <w:rFonts w:hint="eastAsia" w:ascii="华文仿宋" w:hAnsi="华文仿宋"/>
        </w:rPr>
        <w:t>第六章　投标文件构成及格式</w:t>
      </w:r>
    </w:p>
    <w:p w14:paraId="55313190">
      <w:pPr>
        <w:spacing w:line="500" w:lineRule="exact"/>
        <w:ind w:firstLine="566" w:firstLineChars="200"/>
        <w:contextualSpacing/>
        <w:rPr>
          <w:rFonts w:ascii="华文仿宋" w:hAnsi="华文仿宋"/>
        </w:rPr>
      </w:pPr>
      <w:r>
        <w:rPr>
          <w:rFonts w:hint="eastAsia" w:ascii="华文仿宋" w:hAnsi="华文仿宋"/>
        </w:rPr>
        <w:t>第七章  封袋正面标识式样</w:t>
      </w:r>
    </w:p>
    <w:p w14:paraId="3BE7E711">
      <w:pPr>
        <w:spacing w:line="500" w:lineRule="exact"/>
        <w:ind w:firstLine="566" w:firstLineChars="200"/>
        <w:contextualSpacing/>
        <w:rPr>
          <w:rFonts w:ascii="华文仿宋" w:hAnsi="华文仿宋"/>
          <w:b/>
        </w:rPr>
      </w:pPr>
      <w:r>
        <w:rPr>
          <w:rFonts w:ascii="华文仿宋" w:hAnsi="华文仿宋"/>
          <w:b/>
        </w:rPr>
        <w:t>3.2</w:t>
      </w:r>
      <w:r>
        <w:rPr>
          <w:b/>
        </w:rPr>
        <w:t>招标文件的检查及阅读</w:t>
      </w:r>
    </w:p>
    <w:p w14:paraId="2D181649">
      <w:pPr>
        <w:spacing w:line="500" w:lineRule="exact"/>
        <w:ind w:firstLine="566" w:firstLineChars="200"/>
      </w:pPr>
      <w:r>
        <w:rPr>
          <w:rFonts w:hint="eastAsia"/>
        </w:rPr>
        <w:t>3.2.1 投标人获取</w:t>
      </w:r>
      <w:r>
        <w:t>招标文件后应仔细阅读检查招标文件中的所有内容，按照招标文件中所列事项、条款、规范要求及格式，在投标文件中对招标文件做出</w:t>
      </w:r>
      <w:r>
        <w:rPr>
          <w:rFonts w:hint="eastAsia"/>
        </w:rPr>
        <w:t>全面响应</w:t>
      </w:r>
      <w:r>
        <w:t>，并按招标文件的要求提交全部资料。</w:t>
      </w:r>
    </w:p>
    <w:p w14:paraId="10EFD41C">
      <w:pPr>
        <w:spacing w:line="500" w:lineRule="exact"/>
        <w:ind w:firstLine="566" w:firstLineChars="200"/>
      </w:pPr>
      <w:r>
        <w:t>3.2.2项目废标后重新组织招标的，</w:t>
      </w:r>
      <w:r>
        <w:rPr>
          <w:rFonts w:hint="eastAsia" w:ascii="仿宋" w:hAnsi="仿宋" w:eastAsia="仿宋"/>
        </w:rPr>
        <w:t>府谷县政府投资和采购服务中心</w:t>
      </w:r>
      <w:r>
        <w:t>将重新编制、发布新版招标文件，</w:t>
      </w:r>
      <w:r>
        <w:rPr>
          <w:rFonts w:hint="eastAsia"/>
        </w:rPr>
        <w:t>投标人</w:t>
      </w:r>
      <w:r>
        <w:t>应按新版招标文件重新编制投标文件。原招标文件及投标文件失效。</w:t>
      </w:r>
    </w:p>
    <w:p w14:paraId="16AD922F">
      <w:pPr>
        <w:widowControl w:val="0"/>
        <w:spacing w:line="500" w:lineRule="exact"/>
        <w:ind w:firstLine="566" w:firstLineChars="200"/>
      </w:pPr>
      <w:r>
        <w:rPr>
          <w:b/>
        </w:rPr>
        <w:t>3.2.3投标文件封面、投标函以及法定代表人授权委托书三处的项目名称、项目编号、标段（</w:t>
      </w:r>
      <w:r>
        <w:rPr>
          <w:rFonts w:hint="eastAsia"/>
          <w:b/>
        </w:rPr>
        <w:t>如有</w:t>
      </w:r>
      <w:r>
        <w:rPr>
          <w:b/>
        </w:rPr>
        <w:t>）应当与</w:t>
      </w:r>
      <w:r>
        <w:rPr>
          <w:rFonts w:hint="eastAsia"/>
          <w:b/>
        </w:rPr>
        <w:t>最新发布的</w:t>
      </w:r>
      <w:r>
        <w:rPr>
          <w:b/>
        </w:rPr>
        <w:t>招标文件保持一致，否则将被视为无效投标文件。</w:t>
      </w:r>
    </w:p>
    <w:p w14:paraId="5D2BF990">
      <w:pPr>
        <w:widowControl w:val="0"/>
        <w:spacing w:line="500" w:lineRule="exact"/>
        <w:ind w:firstLine="566" w:firstLineChars="200"/>
        <w:rPr>
          <w:b/>
        </w:rPr>
      </w:pPr>
      <w:r>
        <w:rPr>
          <w:rFonts w:ascii="华文仿宋" w:hAnsi="华文仿宋"/>
          <w:b/>
        </w:rPr>
        <w:t>3.3</w:t>
      </w:r>
      <w:r>
        <w:rPr>
          <w:b/>
        </w:rPr>
        <w:t>招标文件的修改、澄清</w:t>
      </w:r>
    </w:p>
    <w:p w14:paraId="1A361BC9">
      <w:pPr>
        <w:spacing w:line="500" w:lineRule="exact"/>
        <w:ind w:firstLine="566" w:firstLineChars="200"/>
        <w:rPr>
          <w:color w:val="000000"/>
        </w:rPr>
      </w:pPr>
      <w:r>
        <w:t>3.3.1</w:t>
      </w:r>
      <w:r>
        <w:rPr>
          <w:rFonts w:hint="eastAsia"/>
        </w:rPr>
        <w:t xml:space="preserve"> 在提交投标文件截止之日前，</w:t>
      </w:r>
      <w:r>
        <w:rPr>
          <w:rFonts w:hint="eastAsia" w:ascii="仿宋" w:hAnsi="仿宋" w:eastAsia="仿宋"/>
        </w:rPr>
        <w:t>府谷县政府投资和采购服务中心</w:t>
      </w:r>
      <w:r>
        <w:t>可对已发出的招标文件进行必要的澄清或者修改，澄清或者修改的内容作为招标文件的组成部分。澄清或者修改的内容可能影响投标文件编制的，</w:t>
      </w:r>
      <w:r>
        <w:rPr>
          <w:rFonts w:hint="eastAsia" w:ascii="仿宋" w:hAnsi="仿宋" w:eastAsia="仿宋"/>
        </w:rPr>
        <w:t>府谷县政府投资和采购服务中心</w:t>
      </w:r>
      <w:r>
        <w:rPr>
          <w:color w:val="000000"/>
        </w:rPr>
        <w:t>将在投标截止时间15日前，在财政部门指定的政府采购信息发布媒体上发布变更公告</w:t>
      </w:r>
      <w:r>
        <w:rPr>
          <w:b/>
          <w:bCs/>
          <w:color w:val="000000"/>
        </w:rPr>
        <w:t>，</w:t>
      </w:r>
      <w:r>
        <w:rPr>
          <w:rFonts w:hint="eastAsia" w:ascii="华文仿宋" w:hAnsi="华文仿宋"/>
          <w:color w:val="000000"/>
        </w:rPr>
        <w:t>因投标人未及时关注所造成的一切后果由投标人自行承担</w:t>
      </w:r>
      <w:r>
        <w:rPr>
          <w:color w:val="000000"/>
        </w:rPr>
        <w:t>；不足15日</w:t>
      </w:r>
      <w:r>
        <w:rPr>
          <w:rFonts w:hint="eastAsia"/>
          <w:color w:val="000000"/>
        </w:rPr>
        <w:t>的</w:t>
      </w:r>
      <w:r>
        <w:rPr>
          <w:color w:val="000000"/>
        </w:rPr>
        <w:t>，</w:t>
      </w:r>
      <w:r>
        <w:rPr>
          <w:rFonts w:hint="eastAsia" w:ascii="仿宋" w:hAnsi="仿宋" w:eastAsia="仿宋"/>
        </w:rPr>
        <w:t>府谷县政府投资和采购服务中心</w:t>
      </w:r>
      <w:r>
        <w:rPr>
          <w:color w:val="000000"/>
        </w:rPr>
        <w:t>将顺延提交投标文件的截止时间。</w:t>
      </w:r>
    </w:p>
    <w:p w14:paraId="64F54620">
      <w:pPr>
        <w:widowControl w:val="0"/>
        <w:spacing w:line="500" w:lineRule="exact"/>
        <w:ind w:firstLine="566" w:firstLineChars="200"/>
        <w:contextualSpacing/>
        <w:rPr>
          <w:rFonts w:ascii="华文仿宋" w:hAnsi="华文仿宋"/>
          <w:color w:val="FF0000"/>
        </w:rPr>
      </w:pPr>
      <w:r>
        <w:rPr>
          <w:color w:val="000000"/>
        </w:rPr>
        <w:t>3.3.2</w:t>
      </w:r>
      <w:r>
        <w:rPr>
          <w:rFonts w:hint="eastAsia"/>
          <w:color w:val="000000"/>
        </w:rPr>
        <w:t xml:space="preserve"> 投标人</w:t>
      </w:r>
      <w:r>
        <w:rPr>
          <w:color w:val="000000"/>
        </w:rPr>
        <w:t>对招标文件提出质疑的，应在</w:t>
      </w:r>
      <w:r>
        <w:rPr>
          <w:rFonts w:hint="eastAsia"/>
          <w:color w:val="000000"/>
        </w:rPr>
        <w:t>招标</w:t>
      </w:r>
      <w:r>
        <w:rPr>
          <w:color w:val="000000"/>
        </w:rPr>
        <w:t>文件</w:t>
      </w:r>
      <w:r>
        <w:rPr>
          <w:rFonts w:hint="eastAsia"/>
          <w:color w:val="000000"/>
        </w:rPr>
        <w:t>获取</w:t>
      </w:r>
      <w:r>
        <w:rPr>
          <w:color w:val="000000"/>
        </w:rPr>
        <w:t>之日起7个工作日内以书面形式提出，采购人或</w:t>
      </w:r>
      <w:r>
        <w:rPr>
          <w:rFonts w:hint="eastAsia" w:ascii="仿宋" w:hAnsi="仿宋" w:eastAsia="仿宋"/>
        </w:rPr>
        <w:t>府谷县政府投资和采购服务中心将</w:t>
      </w:r>
      <w:r>
        <w:rPr>
          <w:color w:val="000000"/>
        </w:rPr>
        <w:t>以书面形式予以答复；在此之后提出的针对招标文件的质疑为无效质疑。答复的内容可能影响投标文件编制的，</w:t>
      </w:r>
      <w:r>
        <w:rPr>
          <w:rFonts w:hint="eastAsia" w:ascii="仿宋" w:hAnsi="仿宋" w:eastAsia="仿宋"/>
        </w:rPr>
        <w:t>府谷县政府投资和采购服务中心</w:t>
      </w:r>
      <w:r>
        <w:rPr>
          <w:color w:val="000000"/>
        </w:rPr>
        <w:t>将在财政部门指定的政府采购信息发布媒体上</w:t>
      </w:r>
      <w:r>
        <w:rPr>
          <w:b/>
          <w:bCs/>
          <w:color w:val="000000"/>
        </w:rPr>
        <w:t>发布变更公告，</w:t>
      </w:r>
      <w:r>
        <w:rPr>
          <w:rFonts w:hint="eastAsia" w:ascii="华文仿宋" w:hAnsi="华文仿宋"/>
          <w:color w:val="000000"/>
        </w:rPr>
        <w:t>且作为招标文件的组成部分。因投标人未及时关注所造成的一切后果由投标人自行承担。</w:t>
      </w:r>
    </w:p>
    <w:p w14:paraId="09AF72C9">
      <w:pPr>
        <w:spacing w:line="500" w:lineRule="exact"/>
        <w:ind w:firstLine="566" w:firstLineChars="200"/>
        <w:contextualSpacing/>
        <w:rPr>
          <w:rFonts w:ascii="华文仿宋" w:hAnsi="华文仿宋"/>
          <w:b/>
          <w:bCs/>
        </w:rPr>
      </w:pPr>
      <w:r>
        <w:rPr>
          <w:rFonts w:hint="eastAsia" w:ascii="华文仿宋" w:hAnsi="华文仿宋"/>
          <w:color w:val="000000"/>
        </w:rPr>
        <w:t>3.3.</w:t>
      </w:r>
      <w:r>
        <w:rPr>
          <w:rFonts w:hint="eastAsia" w:ascii="华文仿宋" w:hAnsi="华文仿宋"/>
          <w:color w:val="000000"/>
          <w:lang w:val="en-US" w:eastAsia="zh-CN"/>
        </w:rPr>
        <w:t>3</w:t>
      </w:r>
      <w:r>
        <w:rPr>
          <w:rFonts w:hint="eastAsia" w:ascii="华文仿宋" w:hAnsi="华文仿宋"/>
        </w:rPr>
        <w:t>各投标人在提交投标文件截止时间前，应随时关注【陕西省政府采购网（</w:t>
      </w:r>
      <w:r>
        <w:rPr>
          <w:rFonts w:ascii="华文仿宋" w:hAnsi="华文仿宋"/>
        </w:rPr>
        <w:t>www.ccgp-shaanxi.gov.cn</w:t>
      </w:r>
      <w:r>
        <w:rPr>
          <w:rFonts w:hint="eastAsia" w:ascii="华文仿宋" w:hAnsi="华文仿宋"/>
        </w:rPr>
        <w:t>）】中的【首页</w:t>
      </w:r>
      <w:r>
        <w:rPr>
          <w:rFonts w:hint="eastAsia" w:ascii="华文仿宋" w:hAnsi="华文仿宋"/>
        </w:rPr>
        <w:sym w:font="Wingdings 2" w:char="F096"/>
      </w:r>
      <w:r>
        <w:rPr>
          <w:rFonts w:hint="eastAsia" w:ascii="华文仿宋" w:hAnsi="华文仿宋"/>
        </w:rPr>
        <w:t>&gt;县（区）公告</w:t>
      </w:r>
      <w:r>
        <w:rPr>
          <w:rFonts w:hint="eastAsia" w:ascii="华文仿宋" w:hAnsi="华文仿宋"/>
        </w:rPr>
        <w:sym w:font="Wingdings 2" w:char="F096"/>
      </w:r>
      <w:r>
        <w:rPr>
          <w:rFonts w:hint="eastAsia" w:ascii="华文仿宋" w:hAnsi="华文仿宋"/>
        </w:rPr>
        <w:t>&gt;更正公告】或【全国公共资源交易平台（陕西省）（http://www.sxggzyjy.cn/）】中的〖首页·〉交易大厅·〉政府采购·〉澄清/变更公告〗发布的澄清/变更公告，府谷县政府投资和采购服务中心</w:t>
      </w:r>
      <w:r>
        <w:rPr>
          <w:rFonts w:hint="eastAsia" w:ascii="华文仿宋" w:hAnsi="华文仿宋"/>
          <w:b/>
          <w:bCs/>
        </w:rPr>
        <w:t>不再单独通知，因投标人未及时关注所造成的一切后果由投标人自行承担。</w:t>
      </w:r>
    </w:p>
    <w:p w14:paraId="6EAF2F3D">
      <w:pPr>
        <w:wordWrap w:val="0"/>
        <w:spacing w:line="500" w:lineRule="exact"/>
        <w:ind w:firstLine="566" w:firstLineChars="200"/>
        <w:rPr>
          <w:b/>
        </w:rPr>
      </w:pPr>
      <w:r>
        <w:rPr>
          <w:rFonts w:hint="eastAsia"/>
          <w:b/>
        </w:rPr>
        <w:t>3.4</w:t>
      </w:r>
      <w:r>
        <w:rPr>
          <w:b/>
        </w:rPr>
        <w:t>招标文件的解释权归</w:t>
      </w:r>
      <w:r>
        <w:rPr>
          <w:rFonts w:hint="eastAsia"/>
          <w:b/>
        </w:rPr>
        <w:t>府谷县政府投资和采购服务中心</w:t>
      </w:r>
      <w:r>
        <w:rPr>
          <w:b/>
        </w:rPr>
        <w:t>。</w:t>
      </w:r>
    </w:p>
    <w:p w14:paraId="0AE41A25">
      <w:pPr>
        <w:spacing w:line="500" w:lineRule="exact"/>
        <w:contextualSpacing/>
        <w:jc w:val="center"/>
        <w:rPr>
          <w:rFonts w:ascii="黑体" w:hAnsi="黑体" w:eastAsia="黑体"/>
          <w:b/>
          <w:sz w:val="30"/>
          <w:szCs w:val="30"/>
        </w:rPr>
      </w:pPr>
      <w:bookmarkStart w:id="24" w:name="_Toc56066544"/>
      <w:bookmarkStart w:id="25" w:name="_Toc28900"/>
      <w:r>
        <w:rPr>
          <w:rStyle w:val="59"/>
          <w:rFonts w:hint="eastAsia" w:ascii="黑体" w:hAnsi="黑体" w:eastAsia="黑体" w:cs="仿宋"/>
          <w:b w:val="0"/>
          <w:sz w:val="30"/>
          <w:szCs w:val="30"/>
        </w:rPr>
        <w:t>四、投标文件</w:t>
      </w:r>
      <w:bookmarkEnd w:id="24"/>
      <w:bookmarkEnd w:id="25"/>
    </w:p>
    <w:p w14:paraId="6F3957EC">
      <w:pPr>
        <w:spacing w:line="500" w:lineRule="exact"/>
        <w:ind w:firstLine="566" w:firstLineChars="200"/>
        <w:contextualSpacing/>
        <w:rPr>
          <w:rFonts w:ascii="华文仿宋" w:hAnsi="华文仿宋" w:cs="华文仿宋"/>
        </w:rPr>
      </w:pPr>
      <w:r>
        <w:rPr>
          <w:rFonts w:hint="eastAsia" w:ascii="华文仿宋" w:hAnsi="华文仿宋"/>
          <w:b/>
        </w:rPr>
        <w:t>4.1 投标</w:t>
      </w:r>
      <w:r>
        <w:rPr>
          <w:rFonts w:ascii="华文仿宋" w:hAnsi="华文仿宋"/>
          <w:b/>
        </w:rPr>
        <w:t>文件</w:t>
      </w:r>
      <w:r>
        <w:rPr>
          <w:rFonts w:hint="eastAsia" w:ascii="华文仿宋" w:hAnsi="华文仿宋"/>
          <w:b/>
        </w:rPr>
        <w:t>语言及</w:t>
      </w:r>
      <w:r>
        <w:rPr>
          <w:rFonts w:ascii="华文仿宋" w:hAnsi="华文仿宋"/>
          <w:b/>
        </w:rPr>
        <w:t>有效期</w:t>
      </w:r>
    </w:p>
    <w:p w14:paraId="634169AD">
      <w:pPr>
        <w:spacing w:line="500" w:lineRule="exact"/>
        <w:ind w:firstLine="566" w:firstLineChars="200"/>
        <w:contextualSpacing/>
        <w:rPr>
          <w:rFonts w:ascii="华文仿宋" w:hAnsi="华文仿宋"/>
        </w:rPr>
      </w:pPr>
      <w:r>
        <w:rPr>
          <w:rFonts w:hint="eastAsia" w:ascii="华文仿宋" w:hAnsi="华文仿宋" w:cs="仿宋"/>
        </w:rPr>
        <w:t>4.1.1</w:t>
      </w:r>
      <w:r>
        <w:rPr>
          <w:rFonts w:hint="eastAsia" w:ascii="华文仿宋" w:hAnsi="华文仿宋"/>
        </w:rPr>
        <w:t>投标活动的所有文件、资料、函电文均使用</w:t>
      </w:r>
      <w:r>
        <w:rPr>
          <w:rFonts w:hint="eastAsia" w:ascii="华文仿宋" w:hAnsi="华文仿宋"/>
          <w:b/>
          <w:bCs/>
        </w:rPr>
        <w:t>简体中文</w:t>
      </w:r>
      <w:r>
        <w:rPr>
          <w:rFonts w:hint="eastAsia" w:ascii="华文仿宋" w:hAnsi="华文仿宋"/>
        </w:rPr>
        <w:t>，确需提交用其他语言形成的资料，必须翻译成简体中文，</w:t>
      </w:r>
      <w:r>
        <w:rPr>
          <w:rFonts w:hint="eastAsia" w:ascii="华文仿宋" w:hAnsi="华文仿宋" w:cs="宋体"/>
        </w:rPr>
        <w:t>并加盖投标人公章，</w:t>
      </w:r>
      <w:r>
        <w:rPr>
          <w:rFonts w:hint="eastAsia" w:ascii="华文仿宋" w:hAnsi="华文仿宋"/>
        </w:rPr>
        <w:t>如有差异，以简体中文为准，</w:t>
      </w:r>
      <w:r>
        <w:rPr>
          <w:rFonts w:hint="eastAsia" w:ascii="华文仿宋" w:hAnsi="华文仿宋" w:cs="宋体"/>
        </w:rPr>
        <w:t>其准确性由投标人负责。</w:t>
      </w:r>
    </w:p>
    <w:p w14:paraId="66A0B049">
      <w:pPr>
        <w:spacing w:line="500" w:lineRule="exact"/>
        <w:ind w:firstLine="566" w:firstLineChars="200"/>
        <w:contextualSpacing/>
        <w:rPr>
          <w:rFonts w:ascii="华文仿宋" w:hAnsi="华文仿宋"/>
        </w:rPr>
      </w:pPr>
      <w:r>
        <w:rPr>
          <w:rFonts w:hint="eastAsia" w:ascii="华文仿宋" w:hAnsi="华文仿宋" w:cs="仿宋"/>
        </w:rPr>
        <w:t>4.1.2</w:t>
      </w:r>
      <w:r>
        <w:rPr>
          <w:rFonts w:hint="eastAsia" w:ascii="华文仿宋" w:hAnsi="华文仿宋"/>
        </w:rPr>
        <w:t>投标</w:t>
      </w:r>
      <w:r>
        <w:rPr>
          <w:rFonts w:ascii="华文仿宋" w:hAnsi="华文仿宋"/>
        </w:rPr>
        <w:t>文件有效期为</w:t>
      </w:r>
      <w:r>
        <w:rPr>
          <w:rFonts w:ascii="华文仿宋" w:hAnsi="华文仿宋"/>
          <w:b/>
          <w:bCs/>
        </w:rPr>
        <w:t>自</w:t>
      </w:r>
      <w:r>
        <w:rPr>
          <w:rFonts w:hint="eastAsia" w:ascii="华文仿宋" w:hAnsi="华文仿宋"/>
          <w:b/>
          <w:bCs/>
        </w:rPr>
        <w:t>投标</w:t>
      </w:r>
      <w:r>
        <w:rPr>
          <w:rFonts w:ascii="华文仿宋" w:hAnsi="华文仿宋"/>
          <w:b/>
          <w:bCs/>
        </w:rPr>
        <w:t>之日起90个日历日</w:t>
      </w:r>
      <w:r>
        <w:rPr>
          <w:rFonts w:ascii="华文仿宋" w:hAnsi="华文仿宋"/>
        </w:rPr>
        <w:t>。如中标，延长至合同执行完毕时止。</w:t>
      </w:r>
    </w:p>
    <w:p w14:paraId="664890F9">
      <w:pPr>
        <w:spacing w:line="500" w:lineRule="exact"/>
        <w:ind w:firstLine="566" w:firstLineChars="200"/>
        <w:contextualSpacing/>
        <w:rPr>
          <w:rFonts w:ascii="华文仿宋" w:hAnsi="华文仿宋"/>
          <w:b/>
        </w:rPr>
      </w:pPr>
      <w:r>
        <w:rPr>
          <w:rFonts w:hint="eastAsia" w:ascii="华文仿宋" w:hAnsi="华文仿宋"/>
          <w:b/>
        </w:rPr>
        <w:t>4.2 投标文件的编制</w:t>
      </w:r>
    </w:p>
    <w:p w14:paraId="0D440856">
      <w:pPr>
        <w:spacing w:line="500" w:lineRule="exact"/>
        <w:ind w:firstLine="566" w:firstLineChars="200"/>
        <w:contextualSpacing/>
        <w:rPr>
          <w:rFonts w:ascii="华文仿宋" w:hAnsi="华文仿宋"/>
        </w:rPr>
      </w:pPr>
      <w:r>
        <w:rPr>
          <w:rFonts w:hint="eastAsia" w:ascii="华文仿宋" w:hAnsi="华文仿宋"/>
          <w:b/>
        </w:rPr>
        <w:t>4.2.1本项目采用电子投标文件的形式，投标文件包括《资格响应文件》和《商务及技术响应文件》</w:t>
      </w:r>
      <w:r>
        <w:rPr>
          <w:rFonts w:hint="eastAsia" w:ascii="华文仿宋" w:hAnsi="华文仿宋"/>
        </w:rPr>
        <w:t>。编制电子投标文件时，应使用最新发布的电子投标文件及专用制作工具进行编制。并使用数字认证证书（CA锁）对电子响应文件进行签章、加密、递交及开标时解密等相关招投标事宜。</w:t>
      </w:r>
    </w:p>
    <w:p w14:paraId="61FA373F">
      <w:pPr>
        <w:pStyle w:val="24"/>
        <w:spacing w:line="500" w:lineRule="exact"/>
        <w:ind w:firstLine="566" w:firstLineChars="200"/>
        <w:rPr>
          <w:rFonts w:ascii="华文仿宋" w:hAnsi="华文仿宋"/>
          <w:sz w:val="28"/>
          <w:szCs w:val="28"/>
        </w:rPr>
      </w:pPr>
      <w:r>
        <w:rPr>
          <w:rFonts w:hint="eastAsia" w:ascii="华文仿宋" w:hAnsi="华文仿宋"/>
          <w:b/>
          <w:sz w:val="28"/>
          <w:szCs w:val="28"/>
        </w:rPr>
        <w:t>（1）电子招标文件下载。</w:t>
      </w:r>
      <w:r>
        <w:rPr>
          <w:rFonts w:hint="eastAsia" w:ascii="华文仿宋" w:hAnsi="华文仿宋"/>
          <w:sz w:val="28"/>
          <w:szCs w:val="28"/>
        </w:rPr>
        <w:t>投标人登录全国公共资源交易平台（陕西省</w:t>
      </w:r>
      <w:r>
        <w:rPr>
          <w:rFonts w:hint="eastAsia" w:ascii="华文仿宋" w:hAnsi="华文仿宋"/>
          <w:sz w:val="28"/>
          <w:szCs w:val="28"/>
        </w:rPr>
        <w:sym w:font="Wingdings 2" w:char="F096"/>
      </w:r>
      <w:r>
        <w:rPr>
          <w:rFonts w:hint="eastAsia" w:ascii="华文仿宋" w:hAnsi="华文仿宋"/>
          <w:sz w:val="28"/>
          <w:szCs w:val="28"/>
        </w:rPr>
        <w:t>榆林市）网站〖首页·〉电子交易平台·〉陕西政府采购交易系统·〉企业端〗后，在〖招标公告/出让公告〗 模块中选择项目点击“我要投标”，参与采购活动。然后即可在〖我的项目〗中点击“项目流程&gt;交易文件下载”下载电子招标文件（*.SXSZF）。</w:t>
      </w:r>
    </w:p>
    <w:p w14:paraId="09C70308">
      <w:pPr>
        <w:pStyle w:val="24"/>
        <w:spacing w:line="500" w:lineRule="exact"/>
        <w:ind w:firstLine="566" w:firstLineChars="200"/>
        <w:rPr>
          <w:rFonts w:ascii="华文仿宋" w:hAnsi="华文仿宋"/>
          <w:sz w:val="28"/>
          <w:szCs w:val="28"/>
        </w:rPr>
      </w:pPr>
      <w:r>
        <w:rPr>
          <w:rFonts w:hint="eastAsia" w:ascii="华文仿宋" w:hAnsi="华文仿宋"/>
          <w:sz w:val="28"/>
          <w:szCs w:val="28"/>
        </w:rPr>
        <w:t>备注：该项目如有变更文件，则应点击“项目流程&gt;答疑文件下载”下载更新后的电子招标文件（*.SXSCF），使用旧版电子招标文件制作的电子响应文件，系统将拒绝接收。</w:t>
      </w:r>
    </w:p>
    <w:p w14:paraId="16E86881">
      <w:pPr>
        <w:pStyle w:val="24"/>
        <w:spacing w:line="500" w:lineRule="exact"/>
        <w:ind w:firstLine="566" w:firstLineChars="200"/>
        <w:rPr>
          <w:rFonts w:ascii="华文仿宋" w:hAnsi="华文仿宋"/>
          <w:sz w:val="28"/>
          <w:szCs w:val="28"/>
        </w:rPr>
      </w:pPr>
      <w:r>
        <w:rPr>
          <w:rFonts w:hint="eastAsia" w:ascii="华文仿宋" w:hAnsi="华文仿宋"/>
          <w:sz w:val="28"/>
          <w:szCs w:val="28"/>
        </w:rPr>
        <w:t>（2）电子招标文件需要使用专用软件打开、浏览。投标人可在全国公共资源交易平台（陕西省</w:t>
      </w:r>
      <w:r>
        <w:rPr>
          <w:rFonts w:hint="eastAsia" w:ascii="华文仿宋" w:hAnsi="华文仿宋"/>
          <w:sz w:val="28"/>
          <w:szCs w:val="28"/>
        </w:rPr>
        <w:sym w:font="Wingdings 2" w:char="F096"/>
      </w:r>
      <w:r>
        <w:rPr>
          <w:rFonts w:hint="eastAsia" w:ascii="华文仿宋" w:hAnsi="华文仿宋"/>
          <w:sz w:val="28"/>
          <w:szCs w:val="28"/>
        </w:rPr>
        <w:t>榆林市）网站〖首页·〉服务指南·〉下载专区〗免费下载“陕西省公共资源交易平台政府采购电子标书制作工具”，并升级至最新版本，使用该客户端可以打开电子招标文件。软件操作手册详见全国公共资源交易平台（陕西省</w:t>
      </w:r>
      <w:r>
        <w:rPr>
          <w:rFonts w:hint="eastAsia" w:ascii="华文仿宋" w:hAnsi="华文仿宋"/>
          <w:sz w:val="28"/>
          <w:szCs w:val="28"/>
        </w:rPr>
        <w:sym w:font="Wingdings 2" w:char="F096"/>
      </w:r>
      <w:r>
        <w:rPr>
          <w:rFonts w:hint="eastAsia" w:ascii="华文仿宋" w:hAnsi="华文仿宋"/>
          <w:sz w:val="28"/>
          <w:szCs w:val="28"/>
        </w:rPr>
        <w:t>榆林市）网站〖首页·〉服务指南·〉下载专区〗中的《陕西省公共资源交易（政府采购类）投标文件制作软件操作手册》。</w:t>
      </w:r>
    </w:p>
    <w:p w14:paraId="4C5ABCEB">
      <w:pPr>
        <w:pStyle w:val="24"/>
        <w:spacing w:line="500" w:lineRule="exact"/>
        <w:ind w:firstLine="566" w:firstLineChars="200"/>
        <w:rPr>
          <w:rFonts w:ascii="华文仿宋" w:hAnsi="华文仿宋"/>
          <w:b/>
          <w:sz w:val="28"/>
          <w:szCs w:val="28"/>
        </w:rPr>
      </w:pPr>
      <w:r>
        <w:rPr>
          <w:rFonts w:hint="eastAsia" w:ascii="华文仿宋" w:hAnsi="华文仿宋"/>
          <w:sz w:val="28"/>
          <w:szCs w:val="28"/>
        </w:rPr>
        <w:t>（3）制作电子响应文件。电子响应文件同样需要使用上述软件进行编制。在编制过程中，如有技术性问题，请先翻阅操作手册，或致电软件开发商。</w:t>
      </w:r>
      <w:r>
        <w:rPr>
          <w:rFonts w:hint="eastAsia" w:ascii="华文仿宋" w:hAnsi="华文仿宋"/>
          <w:b/>
          <w:sz w:val="28"/>
          <w:szCs w:val="28"/>
        </w:rPr>
        <w:t>技术支持热线：4009280095、4009980000</w:t>
      </w:r>
    </w:p>
    <w:p w14:paraId="1A583710">
      <w:pPr>
        <w:pStyle w:val="24"/>
        <w:spacing w:line="500" w:lineRule="exact"/>
        <w:ind w:left="181" w:firstLine="0" w:firstLineChars="0"/>
        <w:rPr>
          <w:rFonts w:ascii="仿宋" w:hAnsi="仿宋" w:eastAsia="仿宋" w:cs="仿宋"/>
          <w:sz w:val="28"/>
          <w:szCs w:val="28"/>
        </w:rPr>
      </w:pPr>
      <w:r>
        <w:rPr>
          <w:rFonts w:hint="eastAsia" w:ascii="华文仿宋" w:hAnsi="华文仿宋"/>
          <w:sz w:val="28"/>
          <w:szCs w:val="28"/>
        </w:rPr>
        <w:t xml:space="preserve">    (4）CA锁购买：</w:t>
      </w:r>
      <w:r>
        <w:rPr>
          <w:rFonts w:hint="eastAsia" w:ascii="华文仿宋" w:hAnsi="华文仿宋"/>
          <w:color w:val="auto"/>
          <w:sz w:val="28"/>
          <w:szCs w:val="28"/>
        </w:rPr>
        <w:t>榆林市市民大厦</w:t>
      </w:r>
      <w:r>
        <w:rPr>
          <w:rFonts w:hint="eastAsia" w:ascii="华文仿宋" w:hAnsi="华文仿宋"/>
          <w:color w:val="auto"/>
          <w:sz w:val="28"/>
          <w:szCs w:val="28"/>
          <w:lang w:val="en-US" w:eastAsia="zh-CN"/>
        </w:rPr>
        <w:t>三</w:t>
      </w:r>
      <w:r>
        <w:rPr>
          <w:rFonts w:hint="eastAsia" w:ascii="华文仿宋" w:hAnsi="华文仿宋"/>
          <w:color w:val="auto"/>
          <w:sz w:val="28"/>
          <w:szCs w:val="28"/>
        </w:rPr>
        <w:t>楼购买,</w:t>
      </w:r>
      <w:r>
        <w:rPr>
          <w:rFonts w:hint="eastAsia" w:ascii="华文仿宋" w:hAnsi="华文仿宋"/>
          <w:sz w:val="28"/>
          <w:szCs w:val="28"/>
        </w:rPr>
        <w:t>或下载手机APP：陕公共资源交易服务，线上购买。联系电话：0912-3515031</w:t>
      </w:r>
    </w:p>
    <w:p w14:paraId="6AE4F7FB">
      <w:pPr>
        <w:spacing w:line="500" w:lineRule="exact"/>
        <w:ind w:firstLine="566" w:firstLineChars="200"/>
        <w:rPr>
          <w:rFonts w:ascii="华文仿宋" w:hAnsi="华文仿宋"/>
          <w:color w:val="0000FF"/>
        </w:rPr>
      </w:pPr>
      <w:r>
        <w:rPr>
          <w:rFonts w:hint="eastAsia" w:ascii="华文仿宋" w:hAnsi="华文仿宋"/>
          <w:b/>
          <w:color w:val="auto"/>
        </w:rPr>
        <w:t>4.2.2 资格响应文件</w:t>
      </w:r>
      <w:r>
        <w:rPr>
          <w:rFonts w:hint="eastAsia" w:ascii="华文仿宋" w:hAnsi="华文仿宋"/>
          <w:color w:val="auto"/>
        </w:rPr>
        <w:t>内容包括：</w:t>
      </w:r>
    </w:p>
    <w:p w14:paraId="46CE1E26">
      <w:pPr>
        <w:pStyle w:val="4"/>
        <w:ind w:firstLine="559" w:firstLineChars="198"/>
        <w:rPr>
          <w:rFonts w:hint="eastAsia" w:ascii="华文仿宋" w:hAnsi="华文仿宋"/>
          <w:color w:val="auto"/>
          <w:highlight w:val="none"/>
          <w:lang w:val="en-US" w:eastAsia="zh-CN"/>
        </w:rPr>
      </w:pPr>
      <w:r>
        <w:rPr>
          <w:rFonts w:hint="eastAsia" w:ascii="华文仿宋" w:hAnsi="华文仿宋" w:cs="仿宋"/>
          <w:b/>
        </w:rPr>
        <w:t>（1）</w:t>
      </w:r>
      <w:r>
        <w:rPr>
          <w:rFonts w:hint="eastAsia" w:ascii="仿宋" w:hAnsi="仿宋" w:eastAsia="仿宋" w:cs="仿宋"/>
          <w:b/>
          <w:bCs/>
        </w:rPr>
        <w:t>供应商性质证明文件</w:t>
      </w:r>
      <w:r>
        <w:rPr>
          <w:rFonts w:hint="eastAsia" w:ascii="宋体" w:hAnsi="宋体" w:eastAsia="宋体" w:cs="华文仿宋"/>
          <w:b w:val="0"/>
          <w:bCs/>
          <w:color w:val="auto"/>
          <w:sz w:val="24"/>
          <w:szCs w:val="24"/>
        </w:rPr>
        <w:t>（格式见</w:t>
      </w:r>
      <w:r>
        <w:rPr>
          <w:rFonts w:hint="eastAsia" w:ascii="宋体" w:hAnsi="宋体" w:eastAsia="宋体"/>
          <w:b w:val="0"/>
          <w:bCs/>
          <w:color w:val="auto"/>
          <w:sz w:val="24"/>
          <w:szCs w:val="24"/>
        </w:rPr>
        <w:t>资格响应文件</w:t>
      </w:r>
      <w:r>
        <w:rPr>
          <w:rFonts w:hint="eastAsia" w:ascii="宋体" w:hAnsi="宋体" w:eastAsia="宋体" w:cs="华文仿宋"/>
          <w:b w:val="0"/>
          <w:bCs/>
          <w:color w:val="auto"/>
          <w:sz w:val="24"/>
          <w:szCs w:val="24"/>
        </w:rPr>
        <w:t>附件</w:t>
      </w:r>
      <w:r>
        <w:rPr>
          <w:rFonts w:hint="eastAsia" w:ascii="宋体" w:hAnsi="宋体" w:eastAsia="宋体" w:cs="华文仿宋"/>
          <w:b w:val="0"/>
          <w:bCs/>
          <w:color w:val="auto"/>
          <w:sz w:val="24"/>
          <w:szCs w:val="24"/>
          <w:lang w:val="en-US" w:eastAsia="zh-CN"/>
        </w:rPr>
        <w:t>五</w:t>
      </w:r>
      <w:r>
        <w:rPr>
          <w:rFonts w:hint="eastAsia" w:ascii="宋体" w:hAnsi="宋体" w:eastAsia="宋体" w:cs="华文仿宋"/>
          <w:b w:val="0"/>
          <w:bCs/>
          <w:color w:val="auto"/>
          <w:sz w:val="24"/>
          <w:szCs w:val="24"/>
        </w:rPr>
        <w:t>）</w:t>
      </w:r>
      <w:r>
        <w:rPr>
          <w:rFonts w:hint="eastAsia" w:ascii="华文仿宋" w:hAnsi="华文仿宋"/>
          <w:color w:val="auto"/>
          <w:highlight w:val="none"/>
        </w:rPr>
        <w:t>（扫描件加盖企业公章）</w:t>
      </w:r>
      <w:r>
        <w:rPr>
          <w:rFonts w:hint="eastAsia" w:ascii="华文仿宋" w:hAnsi="华文仿宋"/>
          <w:color w:val="auto"/>
          <w:highlight w:val="none"/>
          <w:lang w:val="en-US" w:eastAsia="zh-CN"/>
        </w:rPr>
        <w:t>；</w:t>
      </w:r>
    </w:p>
    <w:p w14:paraId="04B44082">
      <w:pPr>
        <w:pStyle w:val="4"/>
        <w:ind w:firstLine="559" w:firstLineChars="198"/>
        <w:rPr>
          <w:rFonts w:hint="eastAsia" w:ascii="华文仿宋" w:hAnsi="华文仿宋" w:cs="华文仿宋"/>
          <w:color w:val="auto"/>
          <w:highlight w:val="none"/>
        </w:rPr>
      </w:pPr>
      <w:r>
        <w:rPr>
          <w:rFonts w:hint="eastAsia" w:ascii="华文仿宋" w:hAnsi="华文仿宋" w:cs="仿宋"/>
          <w:b/>
          <w:color w:val="auto"/>
        </w:rPr>
        <w:t>（</w:t>
      </w:r>
      <w:r>
        <w:rPr>
          <w:rFonts w:hint="eastAsia" w:ascii="华文仿宋" w:hAnsi="华文仿宋" w:cs="仿宋"/>
          <w:b/>
          <w:color w:val="auto"/>
          <w:lang w:val="en-US" w:eastAsia="zh-CN"/>
        </w:rPr>
        <w:t>2</w:t>
      </w:r>
      <w:r>
        <w:rPr>
          <w:rFonts w:hint="eastAsia" w:ascii="华文仿宋" w:hAnsi="华文仿宋" w:cs="仿宋"/>
          <w:b/>
          <w:color w:val="auto"/>
        </w:rPr>
        <w:t>）</w:t>
      </w:r>
      <w:r>
        <w:rPr>
          <w:rFonts w:hint="eastAsia" w:ascii="华文仿宋" w:hAnsi="华文仿宋"/>
          <w:b/>
          <w:bCs/>
          <w:color w:val="auto"/>
          <w:highlight w:val="none"/>
        </w:rPr>
        <w:t>营业执照等主体资格证明文件</w:t>
      </w:r>
      <w:r>
        <w:rPr>
          <w:rFonts w:hint="eastAsia" w:ascii="华文仿宋" w:hAnsi="华文仿宋"/>
          <w:color w:val="auto"/>
          <w:highlight w:val="none"/>
        </w:rPr>
        <w:t>（扫描件加盖企业公章）</w:t>
      </w:r>
      <w:r>
        <w:rPr>
          <w:rFonts w:hint="eastAsia" w:ascii="华文仿宋" w:hAnsi="华文仿宋"/>
          <w:color w:val="auto"/>
          <w:highlight w:val="none"/>
          <w:lang w:eastAsia="zh-CN"/>
        </w:rPr>
        <w:t>；</w:t>
      </w:r>
    </w:p>
    <w:p w14:paraId="766A94A0">
      <w:pPr>
        <w:pStyle w:val="4"/>
        <w:ind w:left="0" w:leftChars="0" w:firstLine="566" w:firstLineChars="200"/>
        <w:rPr>
          <w:rFonts w:ascii="仿宋" w:hAnsi="仿宋" w:eastAsia="仿宋" w:cs="仿宋"/>
          <w:color w:val="auto"/>
          <w:highlight w:val="none"/>
        </w:rPr>
      </w:pPr>
      <w:r>
        <w:rPr>
          <w:rFonts w:hint="eastAsia" w:ascii="华文仿宋" w:hAnsi="华文仿宋"/>
          <w:b/>
          <w:bCs/>
          <w:color w:val="auto"/>
          <w:highlight w:val="none"/>
        </w:rPr>
        <w:t>（</w:t>
      </w:r>
      <w:r>
        <w:rPr>
          <w:rFonts w:hint="eastAsia" w:ascii="华文仿宋" w:hAnsi="华文仿宋"/>
          <w:b/>
          <w:bCs/>
          <w:color w:val="auto"/>
          <w:highlight w:val="none"/>
          <w:lang w:val="en-US" w:eastAsia="zh-CN"/>
        </w:rPr>
        <w:t>3</w:t>
      </w:r>
      <w:r>
        <w:rPr>
          <w:rFonts w:hint="eastAsia" w:ascii="华文仿宋" w:hAnsi="华文仿宋"/>
          <w:b/>
          <w:bCs/>
          <w:color w:val="auto"/>
          <w:highlight w:val="none"/>
        </w:rPr>
        <w:t>）财务状况报告</w:t>
      </w:r>
      <w:r>
        <w:rPr>
          <w:rFonts w:hint="eastAsia" w:ascii="华文仿宋" w:hAnsi="华文仿宋"/>
          <w:color w:val="auto"/>
          <w:highlight w:val="none"/>
        </w:rPr>
        <w:t>（扫描件加盖企业公章）</w:t>
      </w:r>
      <w:r>
        <w:rPr>
          <w:rFonts w:hint="eastAsia" w:ascii="仿宋" w:hAnsi="仿宋" w:eastAsia="仿宋" w:cs="仿宋"/>
          <w:color w:val="auto"/>
          <w:highlight w:val="none"/>
        </w:rPr>
        <w:t>；</w:t>
      </w:r>
    </w:p>
    <w:p w14:paraId="39C19B58">
      <w:pPr>
        <w:pStyle w:val="4"/>
        <w:ind w:firstLine="559" w:firstLineChars="198"/>
        <w:rPr>
          <w:rFonts w:ascii="华文仿宋" w:hAnsi="华文仿宋" w:cs="华文仿宋"/>
          <w:color w:val="auto"/>
          <w:highlight w:val="none"/>
        </w:rPr>
      </w:pPr>
      <w:r>
        <w:rPr>
          <w:rFonts w:hint="eastAsia" w:ascii="华文仿宋" w:hAnsi="华文仿宋"/>
          <w:b/>
          <w:bCs/>
          <w:color w:val="auto"/>
          <w:highlight w:val="none"/>
        </w:rPr>
        <w:t>（</w:t>
      </w:r>
      <w:r>
        <w:rPr>
          <w:rFonts w:hint="eastAsia" w:ascii="华文仿宋" w:hAnsi="华文仿宋"/>
          <w:b/>
          <w:bCs/>
          <w:color w:val="auto"/>
          <w:highlight w:val="none"/>
          <w:lang w:val="en-US" w:eastAsia="zh-CN"/>
        </w:rPr>
        <w:t>4</w:t>
      </w:r>
      <w:r>
        <w:rPr>
          <w:rFonts w:hint="eastAsia" w:ascii="华文仿宋" w:hAnsi="华文仿宋"/>
          <w:b/>
          <w:bCs/>
          <w:color w:val="auto"/>
          <w:highlight w:val="none"/>
        </w:rPr>
        <w:t>）</w:t>
      </w:r>
      <w:r>
        <w:rPr>
          <w:rFonts w:hint="eastAsia" w:ascii="华文仿宋" w:hAnsi="华文仿宋" w:cs="Times New Roman"/>
          <w:b/>
          <w:bCs/>
          <w:color w:val="auto"/>
        </w:rPr>
        <w:t>具有履行合同所必需的设备和专业技术能力的承诺</w:t>
      </w:r>
      <w:r>
        <w:rPr>
          <w:rFonts w:hint="eastAsia" w:ascii="宋体" w:hAnsi="宋体" w:eastAsia="宋体" w:cs="华文仿宋"/>
          <w:color w:val="auto"/>
          <w:sz w:val="24"/>
          <w:szCs w:val="24"/>
        </w:rPr>
        <w:t>（格式自拟）</w:t>
      </w:r>
      <w:r>
        <w:rPr>
          <w:rFonts w:hint="eastAsia" w:ascii="宋体" w:hAnsi="宋体" w:eastAsia="宋体" w:cs="华文仿宋"/>
          <w:color w:val="auto"/>
          <w:sz w:val="24"/>
          <w:szCs w:val="24"/>
          <w:lang w:eastAsia="zh-CN"/>
        </w:rPr>
        <w:t>，</w:t>
      </w:r>
      <w:r>
        <w:rPr>
          <w:rFonts w:hint="eastAsia" w:ascii="华文仿宋" w:hAnsi="华文仿宋"/>
          <w:color w:val="auto"/>
          <w:highlight w:val="none"/>
        </w:rPr>
        <w:t>（扫描件或</w:t>
      </w:r>
      <w:r>
        <w:rPr>
          <w:rFonts w:hint="eastAsia" w:ascii="华文仿宋" w:hAnsi="华文仿宋"/>
          <w:color w:val="auto"/>
          <w:highlight w:val="none"/>
          <w:lang w:val="en-US" w:eastAsia="zh-CN"/>
        </w:rPr>
        <w:t>复印件</w:t>
      </w:r>
      <w:r>
        <w:rPr>
          <w:rFonts w:hint="eastAsia" w:ascii="华文仿宋" w:hAnsi="华文仿宋"/>
          <w:color w:val="auto"/>
          <w:highlight w:val="none"/>
        </w:rPr>
        <w:t>加盖公章）</w:t>
      </w:r>
      <w:r>
        <w:rPr>
          <w:rFonts w:hint="eastAsia" w:ascii="宋体" w:hAnsi="宋体" w:eastAsia="宋体" w:cs="华文仿宋"/>
          <w:color w:val="auto"/>
          <w:sz w:val="24"/>
          <w:szCs w:val="24"/>
          <w:lang w:eastAsia="zh-CN"/>
        </w:rPr>
        <w:t>；</w:t>
      </w:r>
    </w:p>
    <w:p w14:paraId="5B2E00A2">
      <w:pPr>
        <w:pStyle w:val="4"/>
        <w:ind w:firstLine="559" w:firstLineChars="198"/>
        <w:rPr>
          <w:rFonts w:ascii="华文仿宋" w:hAnsi="华文仿宋" w:cs="华文仿宋"/>
          <w:color w:val="auto"/>
        </w:rPr>
      </w:pPr>
      <w:r>
        <w:rPr>
          <w:rFonts w:hint="eastAsia" w:ascii="华文仿宋" w:hAnsi="华文仿宋"/>
          <w:b/>
          <w:bCs/>
          <w:color w:val="auto"/>
          <w:highlight w:val="none"/>
        </w:rPr>
        <w:t>（</w:t>
      </w:r>
      <w:r>
        <w:rPr>
          <w:rFonts w:hint="eastAsia" w:ascii="华文仿宋" w:hAnsi="华文仿宋"/>
          <w:b/>
          <w:bCs/>
          <w:color w:val="auto"/>
          <w:highlight w:val="none"/>
          <w:lang w:val="en-US" w:eastAsia="zh-CN"/>
        </w:rPr>
        <w:t>5</w:t>
      </w:r>
      <w:r>
        <w:rPr>
          <w:rFonts w:hint="eastAsia" w:ascii="华文仿宋" w:hAnsi="华文仿宋"/>
          <w:b/>
          <w:bCs/>
          <w:color w:val="auto"/>
          <w:highlight w:val="none"/>
        </w:rPr>
        <w:t>）社保缴纳证明</w:t>
      </w:r>
      <w:r>
        <w:rPr>
          <w:rFonts w:hint="eastAsia" w:ascii="华文仿宋" w:hAnsi="华文仿宋"/>
          <w:color w:val="auto"/>
          <w:highlight w:val="none"/>
        </w:rPr>
        <w:t>（扫描件加盖企业公章）</w:t>
      </w:r>
      <w:r>
        <w:rPr>
          <w:rFonts w:hint="eastAsia" w:ascii="仿宋" w:hAnsi="仿宋" w:eastAsia="仿宋" w:cs="仿宋"/>
          <w:color w:val="auto"/>
          <w:highlight w:val="none"/>
        </w:rPr>
        <w:t>；</w:t>
      </w:r>
    </w:p>
    <w:p w14:paraId="38D1CD2C">
      <w:pPr>
        <w:pStyle w:val="4"/>
        <w:ind w:firstLine="559" w:firstLineChars="198"/>
        <w:rPr>
          <w:rFonts w:hint="eastAsia" w:ascii="华文仿宋" w:hAnsi="华文仿宋" w:eastAsia="华文仿宋" w:cs="华文仿宋"/>
          <w:color w:val="auto"/>
          <w:lang w:eastAsia="zh-CN"/>
        </w:rPr>
      </w:pPr>
      <w:r>
        <w:rPr>
          <w:rFonts w:hint="eastAsia" w:ascii="华文仿宋" w:hAnsi="华文仿宋"/>
          <w:b/>
          <w:bCs/>
          <w:color w:val="auto"/>
        </w:rPr>
        <w:t>（</w:t>
      </w:r>
      <w:r>
        <w:rPr>
          <w:rFonts w:hint="eastAsia" w:ascii="华文仿宋" w:hAnsi="华文仿宋"/>
          <w:b/>
          <w:bCs/>
          <w:color w:val="auto"/>
          <w:lang w:val="en-US" w:eastAsia="zh-CN"/>
        </w:rPr>
        <w:t>6</w:t>
      </w:r>
      <w:r>
        <w:rPr>
          <w:rFonts w:hint="eastAsia" w:ascii="华文仿宋" w:hAnsi="华文仿宋"/>
          <w:b/>
          <w:bCs/>
          <w:color w:val="auto"/>
        </w:rPr>
        <w:t>）税收缴纳证明</w:t>
      </w:r>
      <w:r>
        <w:rPr>
          <w:rFonts w:hint="eastAsia" w:ascii="华文仿宋" w:hAnsi="华文仿宋"/>
          <w:color w:val="auto"/>
          <w:highlight w:val="none"/>
        </w:rPr>
        <w:t>（扫描件加盖企业公章）</w:t>
      </w:r>
      <w:r>
        <w:rPr>
          <w:rFonts w:hint="eastAsia" w:ascii="仿宋" w:hAnsi="仿宋" w:eastAsia="仿宋" w:cs="仿宋"/>
          <w:color w:val="auto"/>
        </w:rPr>
        <w:t>；</w:t>
      </w:r>
    </w:p>
    <w:p w14:paraId="0D906E0F">
      <w:pPr>
        <w:pStyle w:val="4"/>
        <w:ind w:firstLine="559" w:firstLineChars="198"/>
        <w:rPr>
          <w:rFonts w:hint="eastAsia" w:ascii="华文仿宋" w:hAnsi="华文仿宋"/>
          <w:b/>
          <w:color w:val="auto"/>
        </w:rPr>
      </w:pPr>
      <w:r>
        <w:rPr>
          <w:rFonts w:hint="eastAsia" w:ascii="华文仿宋" w:hAnsi="华文仿宋"/>
          <w:b/>
          <w:bCs/>
          <w:color w:val="auto"/>
        </w:rPr>
        <w:t>（</w:t>
      </w:r>
      <w:r>
        <w:rPr>
          <w:rFonts w:hint="eastAsia" w:ascii="华文仿宋" w:hAnsi="华文仿宋"/>
          <w:b/>
          <w:bCs/>
          <w:color w:val="auto"/>
          <w:lang w:val="en-US" w:eastAsia="zh-CN"/>
        </w:rPr>
        <w:t>7</w:t>
      </w:r>
      <w:r>
        <w:rPr>
          <w:rFonts w:hint="eastAsia" w:ascii="华文仿宋" w:hAnsi="华文仿宋"/>
          <w:b/>
          <w:bCs/>
          <w:color w:val="auto"/>
        </w:rPr>
        <w:t>）</w:t>
      </w:r>
      <w:r>
        <w:rPr>
          <w:rFonts w:hint="eastAsia" w:ascii="华文仿宋" w:hAnsi="华文仿宋" w:eastAsia="华文仿宋" w:cs="Times New Roman"/>
          <w:b/>
          <w:bCs/>
          <w:color w:val="auto"/>
          <w:kern w:val="2"/>
          <w:sz w:val="28"/>
          <w:szCs w:val="28"/>
          <w:lang w:val="en-US" w:eastAsia="zh-CN" w:bidi="ar-SA"/>
        </w:rPr>
        <w:t>信用要求：</w:t>
      </w:r>
      <w:r>
        <w:rPr>
          <w:rFonts w:hint="eastAsia" w:ascii="宋体" w:hAnsi="宋体" w:eastAsia="宋体" w:cs="华文仿宋"/>
          <w:b/>
          <w:color w:val="auto"/>
          <w:sz w:val="24"/>
          <w:szCs w:val="24"/>
          <w:lang w:val="en-US" w:eastAsia="zh-CN"/>
        </w:rPr>
        <w:t>投标人信用记录</w:t>
      </w:r>
      <w:r>
        <w:rPr>
          <w:rFonts w:hint="eastAsia" w:ascii="宋体" w:hAnsi="宋体" w:eastAsia="宋体" w:cs="华文仿宋"/>
          <w:b/>
          <w:color w:val="auto"/>
          <w:sz w:val="24"/>
          <w:szCs w:val="24"/>
        </w:rPr>
        <w:t>书面声明函</w:t>
      </w:r>
      <w:r>
        <w:rPr>
          <w:rFonts w:hint="eastAsia" w:ascii="华文仿宋" w:hAnsi="华文仿宋"/>
          <w:b w:val="0"/>
          <w:bCs/>
          <w:color w:val="auto"/>
        </w:rPr>
        <w:t>（格式见资格响应文件附件二）</w:t>
      </w:r>
      <w:r>
        <w:rPr>
          <w:rFonts w:hint="eastAsia" w:ascii="华文仿宋" w:hAnsi="华文仿宋"/>
          <w:b/>
          <w:color w:val="auto"/>
        </w:rPr>
        <w:t>及信用查询记录</w:t>
      </w:r>
      <w:r>
        <w:rPr>
          <w:rFonts w:hint="eastAsia" w:ascii="华文仿宋" w:hAnsi="华文仿宋"/>
          <w:color w:val="auto"/>
          <w:highlight w:val="none"/>
        </w:rPr>
        <w:t>（扫描件加盖企业公章）</w:t>
      </w:r>
      <w:r>
        <w:rPr>
          <w:rFonts w:hint="eastAsia" w:ascii="华文仿宋" w:hAnsi="华文仿宋"/>
          <w:b/>
          <w:color w:val="auto"/>
          <w:lang w:eastAsia="zh-CN"/>
        </w:rPr>
        <w:t>；</w:t>
      </w:r>
    </w:p>
    <w:p w14:paraId="1D73529E">
      <w:pPr>
        <w:pStyle w:val="4"/>
        <w:ind w:firstLine="559" w:firstLineChars="198"/>
        <w:rPr>
          <w:rFonts w:hint="eastAsia" w:ascii="华文仿宋" w:hAnsi="华文仿宋"/>
          <w:b/>
          <w:color w:val="auto"/>
        </w:rPr>
      </w:pPr>
      <w:r>
        <w:rPr>
          <w:rFonts w:hint="eastAsia" w:ascii="华文仿宋" w:hAnsi="华文仿宋"/>
          <w:b/>
          <w:bCs/>
          <w:color w:val="auto"/>
        </w:rPr>
        <w:t>（</w:t>
      </w:r>
      <w:r>
        <w:rPr>
          <w:rFonts w:hint="eastAsia" w:ascii="华文仿宋" w:hAnsi="华文仿宋"/>
          <w:b/>
          <w:bCs/>
          <w:color w:val="auto"/>
          <w:lang w:val="en-US" w:eastAsia="zh-CN"/>
        </w:rPr>
        <w:t>8</w:t>
      </w:r>
      <w:r>
        <w:rPr>
          <w:rFonts w:hint="eastAsia" w:ascii="华文仿宋" w:hAnsi="华文仿宋"/>
          <w:b/>
          <w:bCs/>
          <w:color w:val="auto"/>
        </w:rPr>
        <w:t>）</w:t>
      </w:r>
      <w:r>
        <w:rPr>
          <w:rFonts w:hint="eastAsia" w:ascii="华文仿宋" w:hAnsi="华文仿宋" w:cs="华文仿宋"/>
          <w:b/>
          <w:bCs/>
          <w:color w:val="auto"/>
        </w:rPr>
        <w:t>身份证明文件</w:t>
      </w:r>
      <w:r>
        <w:rPr>
          <w:rFonts w:hint="eastAsia" w:ascii="华文仿宋" w:hAnsi="华文仿宋"/>
          <w:b w:val="0"/>
          <w:bCs/>
          <w:color w:val="auto"/>
        </w:rPr>
        <w:t>（格式见资格响应文件附件一）</w:t>
      </w:r>
      <w:r>
        <w:rPr>
          <w:rFonts w:hint="eastAsia" w:ascii="华文仿宋" w:hAnsi="华文仿宋"/>
          <w:color w:val="auto"/>
          <w:highlight w:val="none"/>
        </w:rPr>
        <w:t>（扫描件加盖企业公章）</w:t>
      </w:r>
      <w:r>
        <w:rPr>
          <w:rFonts w:hint="eastAsia" w:ascii="宋体" w:hAnsi="宋体" w:eastAsia="宋体" w:cs="华文仿宋"/>
          <w:b w:val="0"/>
          <w:bCs/>
          <w:color w:val="auto"/>
          <w:sz w:val="24"/>
          <w:szCs w:val="24"/>
          <w:lang w:eastAsia="zh-CN"/>
        </w:rPr>
        <w:t>；</w:t>
      </w:r>
    </w:p>
    <w:p w14:paraId="3CBA593E">
      <w:pPr>
        <w:pStyle w:val="4"/>
        <w:ind w:firstLine="559" w:firstLineChars="198"/>
        <w:rPr>
          <w:rFonts w:ascii="华文仿宋" w:hAnsi="华文仿宋" w:cs="华文仿宋"/>
          <w:color w:val="auto"/>
          <w:kern w:val="2"/>
          <w:sz w:val="28"/>
        </w:rPr>
      </w:pPr>
      <w:r>
        <w:rPr>
          <w:rFonts w:hint="eastAsia" w:ascii="华文仿宋" w:hAnsi="华文仿宋" w:cs="华文仿宋"/>
          <w:b/>
          <w:bCs/>
          <w:color w:val="auto"/>
        </w:rPr>
        <w:t>（</w:t>
      </w:r>
      <w:r>
        <w:rPr>
          <w:rFonts w:hint="eastAsia" w:ascii="华文仿宋" w:hAnsi="华文仿宋" w:cs="华文仿宋"/>
          <w:b/>
          <w:bCs/>
          <w:color w:val="auto"/>
          <w:lang w:val="en-US" w:eastAsia="zh-CN"/>
        </w:rPr>
        <w:t>9</w:t>
      </w:r>
      <w:r>
        <w:rPr>
          <w:rFonts w:hint="eastAsia" w:ascii="华文仿宋" w:hAnsi="华文仿宋" w:cs="华文仿宋"/>
          <w:b/>
          <w:bCs/>
          <w:color w:val="auto"/>
        </w:rPr>
        <w:t>）榆林市</w:t>
      </w:r>
      <w:r>
        <w:rPr>
          <w:rFonts w:ascii="华文仿宋" w:hAnsi="华文仿宋" w:cs="华文仿宋"/>
          <w:b/>
          <w:bCs/>
          <w:color w:val="auto"/>
        </w:rPr>
        <w:t>政府采购供应商信用承诺书</w:t>
      </w:r>
      <w:r>
        <w:rPr>
          <w:rFonts w:hint="eastAsia" w:ascii="华文仿宋" w:hAnsi="华文仿宋" w:cs="华文仿宋"/>
          <w:b w:val="0"/>
          <w:bCs/>
          <w:color w:val="auto"/>
          <w:kern w:val="2"/>
          <w:sz w:val="28"/>
        </w:rPr>
        <w:t>（格式见</w:t>
      </w:r>
      <w:r>
        <w:rPr>
          <w:rFonts w:hint="eastAsia" w:ascii="华文仿宋" w:hAnsi="华文仿宋"/>
          <w:b w:val="0"/>
          <w:bCs/>
          <w:color w:val="auto"/>
        </w:rPr>
        <w:t>资格响应文件</w:t>
      </w:r>
      <w:r>
        <w:rPr>
          <w:rFonts w:hint="eastAsia" w:ascii="华文仿宋" w:hAnsi="华文仿宋" w:cs="华文仿宋"/>
          <w:b w:val="0"/>
          <w:bCs/>
          <w:color w:val="auto"/>
          <w:kern w:val="2"/>
          <w:sz w:val="28"/>
        </w:rPr>
        <w:t>附件</w:t>
      </w:r>
      <w:r>
        <w:rPr>
          <w:rFonts w:hint="eastAsia" w:ascii="华文仿宋" w:hAnsi="华文仿宋"/>
          <w:b w:val="0"/>
          <w:bCs/>
          <w:color w:val="auto"/>
        </w:rPr>
        <w:t>四</w:t>
      </w:r>
      <w:r>
        <w:rPr>
          <w:rFonts w:hint="eastAsia" w:ascii="华文仿宋" w:hAnsi="华文仿宋" w:cs="华文仿宋"/>
          <w:b w:val="0"/>
          <w:bCs/>
          <w:color w:val="auto"/>
          <w:kern w:val="2"/>
          <w:sz w:val="28"/>
        </w:rPr>
        <w:t>）</w:t>
      </w:r>
      <w:r>
        <w:rPr>
          <w:rFonts w:hint="eastAsia" w:ascii="华文仿宋" w:hAnsi="华文仿宋" w:cs="华文仿宋"/>
          <w:color w:val="auto"/>
          <w:kern w:val="2"/>
          <w:sz w:val="28"/>
        </w:rPr>
        <w:t>及网上上报截图</w:t>
      </w:r>
      <w:r>
        <w:rPr>
          <w:rFonts w:hint="eastAsia" w:ascii="华文仿宋" w:hAnsi="华文仿宋"/>
          <w:color w:val="auto"/>
          <w:highlight w:val="none"/>
        </w:rPr>
        <w:t>（扫描件加盖企业公章）</w:t>
      </w:r>
      <w:r>
        <w:rPr>
          <w:rFonts w:hint="eastAsia" w:ascii="华文仿宋" w:hAnsi="华文仿宋"/>
          <w:color w:val="auto"/>
        </w:rPr>
        <w:t>；</w:t>
      </w:r>
    </w:p>
    <w:p w14:paraId="7688A122">
      <w:pPr>
        <w:pStyle w:val="4"/>
        <w:ind w:firstLine="559" w:firstLineChars="198"/>
        <w:rPr>
          <w:rFonts w:hint="eastAsia" w:ascii="华文仿宋" w:hAnsi="华文仿宋"/>
          <w:color w:val="auto"/>
        </w:rPr>
      </w:pPr>
      <w:r>
        <w:rPr>
          <w:rFonts w:hint="eastAsia" w:ascii="华文仿宋" w:hAnsi="华文仿宋"/>
          <w:b/>
          <w:bCs/>
          <w:color w:val="auto"/>
        </w:rPr>
        <w:t>（</w:t>
      </w:r>
      <w:r>
        <w:rPr>
          <w:rFonts w:hint="eastAsia" w:ascii="华文仿宋" w:hAnsi="华文仿宋"/>
          <w:b/>
          <w:bCs/>
          <w:color w:val="auto"/>
          <w:lang w:val="en-US" w:eastAsia="zh-CN"/>
        </w:rPr>
        <w:t>10</w:t>
      </w:r>
      <w:r>
        <w:rPr>
          <w:rFonts w:hint="eastAsia" w:ascii="华文仿宋" w:hAnsi="华文仿宋"/>
          <w:b/>
          <w:bCs/>
          <w:color w:val="auto"/>
        </w:rPr>
        <w:t>）</w:t>
      </w:r>
      <w:r>
        <w:rPr>
          <w:rFonts w:hint="eastAsia" w:ascii="华文仿宋" w:hAnsi="华文仿宋" w:cs="华文仿宋"/>
          <w:b/>
          <w:bCs/>
          <w:color w:val="auto"/>
          <w:lang w:eastAsia="zh-CN"/>
        </w:rPr>
        <w:t>非联合体不分包投标声明</w:t>
      </w:r>
      <w:r>
        <w:rPr>
          <w:rFonts w:hint="eastAsia" w:ascii="华文仿宋" w:hAnsi="华文仿宋" w:cs="华文仿宋"/>
          <w:b w:val="0"/>
          <w:bCs w:val="0"/>
          <w:color w:val="auto"/>
          <w:kern w:val="2"/>
          <w:sz w:val="28"/>
        </w:rPr>
        <w:t>（格式见</w:t>
      </w:r>
      <w:r>
        <w:rPr>
          <w:rFonts w:hint="eastAsia" w:ascii="华文仿宋" w:hAnsi="华文仿宋"/>
          <w:b w:val="0"/>
          <w:bCs w:val="0"/>
          <w:color w:val="auto"/>
        </w:rPr>
        <w:t>资格响应文件</w:t>
      </w:r>
      <w:r>
        <w:rPr>
          <w:rFonts w:hint="eastAsia" w:ascii="华文仿宋" w:hAnsi="华文仿宋" w:cs="华文仿宋"/>
          <w:b w:val="0"/>
          <w:bCs w:val="0"/>
          <w:color w:val="auto"/>
          <w:kern w:val="2"/>
          <w:sz w:val="28"/>
        </w:rPr>
        <w:t>附件</w:t>
      </w:r>
      <w:r>
        <w:rPr>
          <w:rFonts w:hint="eastAsia" w:ascii="华文仿宋" w:hAnsi="华文仿宋"/>
          <w:b w:val="0"/>
          <w:bCs w:val="0"/>
          <w:color w:val="auto"/>
          <w:lang w:val="en-US" w:eastAsia="zh-CN"/>
        </w:rPr>
        <w:t>六</w:t>
      </w:r>
      <w:r>
        <w:rPr>
          <w:rFonts w:hint="eastAsia" w:ascii="华文仿宋" w:hAnsi="华文仿宋" w:cs="华文仿宋"/>
          <w:b w:val="0"/>
          <w:bCs w:val="0"/>
          <w:color w:val="auto"/>
          <w:kern w:val="2"/>
          <w:sz w:val="28"/>
        </w:rPr>
        <w:t>）</w:t>
      </w:r>
      <w:r>
        <w:rPr>
          <w:rFonts w:hint="eastAsia" w:ascii="华文仿宋" w:hAnsi="华文仿宋" w:cs="华文仿宋"/>
          <w:color w:val="auto"/>
          <w:lang w:eastAsia="zh-CN"/>
        </w:rPr>
        <w:t>；</w:t>
      </w:r>
    </w:p>
    <w:p w14:paraId="41AAF37F">
      <w:pPr>
        <w:pStyle w:val="4"/>
        <w:ind w:firstLine="559" w:firstLineChars="198"/>
        <w:rPr>
          <w:rFonts w:hint="default" w:ascii="华文仿宋" w:hAnsi="华文仿宋" w:eastAsia="华文仿宋"/>
          <w:color w:val="auto"/>
          <w:lang w:val="en-US" w:eastAsia="zh-CN"/>
        </w:rPr>
      </w:pPr>
      <w:r>
        <w:rPr>
          <w:rFonts w:hint="eastAsia" w:ascii="华文仿宋" w:hAnsi="华文仿宋"/>
          <w:b/>
          <w:bCs/>
          <w:color w:val="auto"/>
          <w:lang w:val="en-US" w:eastAsia="zh-CN"/>
        </w:rPr>
        <w:t>（11）</w:t>
      </w:r>
      <w:r>
        <w:rPr>
          <w:rFonts w:hint="eastAsia" w:ascii="华文仿宋" w:hAnsi="华文仿宋"/>
          <w:b/>
          <w:bCs/>
          <w:color w:val="auto"/>
        </w:rPr>
        <w:t>投标人企业关系关联承诺书</w:t>
      </w:r>
      <w:r>
        <w:rPr>
          <w:rFonts w:hint="eastAsia" w:ascii="华文仿宋" w:hAnsi="华文仿宋"/>
          <w:b w:val="0"/>
          <w:bCs/>
          <w:color w:val="auto"/>
        </w:rPr>
        <w:t>（格式见资格响应文件附件三）</w:t>
      </w:r>
      <w:r>
        <w:rPr>
          <w:rFonts w:hint="eastAsia" w:ascii="华文仿宋" w:hAnsi="华文仿宋"/>
          <w:color w:val="auto"/>
          <w:highlight w:val="none"/>
        </w:rPr>
        <w:t>（扫描件加盖企业公章）</w:t>
      </w:r>
      <w:r>
        <w:rPr>
          <w:rFonts w:hint="eastAsia" w:ascii="华文仿宋" w:hAnsi="华文仿宋"/>
          <w:color w:val="auto"/>
        </w:rPr>
        <w:t>；</w:t>
      </w:r>
    </w:p>
    <w:p w14:paraId="6C55FD88">
      <w:pPr>
        <w:pStyle w:val="4"/>
        <w:ind w:firstLine="559" w:firstLineChars="198"/>
        <w:rPr>
          <w:rFonts w:hint="eastAsia" w:ascii="仿宋" w:hAnsi="仿宋" w:eastAsia="华文仿宋" w:cs="仿宋"/>
          <w:lang w:val="en-US" w:eastAsia="zh-CN"/>
        </w:rPr>
      </w:pPr>
      <w:r>
        <w:rPr>
          <w:rFonts w:hint="eastAsia" w:ascii="华文仿宋" w:hAnsi="华文仿宋"/>
          <w:b/>
          <w:bCs/>
          <w:color w:val="auto"/>
          <w:lang w:val="en-US" w:eastAsia="zh-CN"/>
        </w:rPr>
        <w:t>（12）</w:t>
      </w:r>
      <w:r>
        <w:rPr>
          <w:rFonts w:hint="eastAsia" w:ascii="仿宋" w:hAnsi="仿宋" w:eastAsia="仿宋" w:cs="仿宋"/>
          <w:b/>
          <w:bCs/>
          <w:color w:val="auto"/>
          <w:lang w:val="en-US" w:eastAsia="zh-CN"/>
        </w:rPr>
        <w:t>纸质文件要求</w:t>
      </w:r>
      <w:r>
        <w:rPr>
          <w:rFonts w:hint="eastAsia" w:ascii="仿宋" w:hAnsi="仿宋" w:eastAsia="仿宋" w:cs="仿宋"/>
          <w:color w:val="auto"/>
          <w:lang w:val="en-US" w:eastAsia="zh-CN"/>
        </w:rPr>
        <w:t>：</w:t>
      </w:r>
      <w:r>
        <w:rPr>
          <w:rFonts w:hint="eastAsia" w:ascii="仿宋" w:hAnsi="仿宋" w:eastAsia="仿宋" w:cs="仿宋"/>
          <w:b/>
          <w:bCs/>
          <w:color w:val="auto"/>
        </w:rPr>
        <w:t>邮寄纸质版响应文件回执单（邮件寄出证明材料）</w:t>
      </w:r>
      <w:r>
        <w:rPr>
          <w:rFonts w:hint="eastAsia" w:ascii="仿宋" w:hAnsi="仿宋" w:eastAsia="仿宋" w:cs="仿宋"/>
          <w:b/>
          <w:bCs/>
          <w:color w:val="auto"/>
          <w:lang w:eastAsia="zh-CN"/>
        </w:rPr>
        <w:t>、</w:t>
      </w:r>
      <w:r>
        <w:rPr>
          <w:rFonts w:hint="eastAsia" w:ascii="仿宋" w:hAnsi="仿宋" w:eastAsia="仿宋" w:cs="仿宋"/>
          <w:b/>
          <w:bCs/>
          <w:color w:val="auto"/>
        </w:rPr>
        <w:t>《电子</w:t>
      </w:r>
      <w:r>
        <w:rPr>
          <w:rFonts w:hint="eastAsia" w:ascii="仿宋" w:hAnsi="仿宋" w:eastAsia="仿宋" w:cs="仿宋"/>
          <w:b/>
          <w:bCs/>
          <w:color w:val="auto"/>
          <w:lang w:val="en-US" w:eastAsia="zh-CN"/>
        </w:rPr>
        <w:t>响应</w:t>
      </w:r>
      <w:r>
        <w:rPr>
          <w:rFonts w:hint="eastAsia" w:ascii="仿宋" w:hAnsi="仿宋" w:eastAsia="仿宋" w:cs="仿宋"/>
          <w:b/>
          <w:bCs/>
          <w:color w:val="auto"/>
        </w:rPr>
        <w:t>文件与纸质</w:t>
      </w:r>
      <w:r>
        <w:rPr>
          <w:rFonts w:hint="eastAsia" w:ascii="仿宋" w:hAnsi="仿宋" w:eastAsia="仿宋" w:cs="仿宋"/>
          <w:b/>
          <w:bCs/>
          <w:color w:val="auto"/>
          <w:lang w:val="en-US" w:eastAsia="zh-CN"/>
        </w:rPr>
        <w:t>响应</w:t>
      </w:r>
      <w:r>
        <w:rPr>
          <w:rFonts w:hint="eastAsia" w:ascii="仿宋" w:hAnsi="仿宋" w:eastAsia="仿宋" w:cs="仿宋"/>
          <w:b/>
          <w:bCs/>
          <w:color w:val="auto"/>
        </w:rPr>
        <w:t>文件一致承诺书》</w:t>
      </w:r>
      <w:r>
        <w:rPr>
          <w:rFonts w:hint="eastAsia" w:ascii="宋体" w:hAnsi="宋体" w:eastAsia="宋体" w:cs="华文仿宋"/>
          <w:b w:val="0"/>
          <w:bCs/>
          <w:color w:val="auto"/>
          <w:sz w:val="24"/>
          <w:szCs w:val="24"/>
        </w:rPr>
        <w:t>（格式见</w:t>
      </w:r>
      <w:r>
        <w:rPr>
          <w:rFonts w:hint="eastAsia" w:ascii="宋体" w:hAnsi="宋体" w:eastAsia="宋体"/>
          <w:b w:val="0"/>
          <w:bCs/>
          <w:color w:val="auto"/>
          <w:sz w:val="24"/>
          <w:szCs w:val="24"/>
        </w:rPr>
        <w:t>资格响应文件</w:t>
      </w:r>
      <w:r>
        <w:rPr>
          <w:rFonts w:hint="eastAsia" w:ascii="宋体" w:hAnsi="宋体" w:eastAsia="宋体" w:cs="华文仿宋"/>
          <w:b w:val="0"/>
          <w:bCs/>
          <w:color w:val="auto"/>
          <w:sz w:val="24"/>
          <w:szCs w:val="24"/>
        </w:rPr>
        <w:t>附件</w:t>
      </w:r>
      <w:r>
        <w:rPr>
          <w:rFonts w:hint="eastAsia" w:ascii="宋体" w:hAnsi="宋体" w:eastAsia="宋体" w:cs="华文仿宋"/>
          <w:b w:val="0"/>
          <w:bCs/>
          <w:color w:val="auto"/>
          <w:sz w:val="24"/>
          <w:szCs w:val="24"/>
          <w:lang w:val="en-US" w:eastAsia="zh-CN"/>
        </w:rPr>
        <w:t>七</w:t>
      </w:r>
      <w:r>
        <w:rPr>
          <w:rFonts w:hint="eastAsia" w:ascii="宋体" w:hAnsi="宋体" w:eastAsia="宋体" w:cs="华文仿宋"/>
          <w:b w:val="0"/>
          <w:bCs/>
          <w:color w:val="auto"/>
          <w:sz w:val="24"/>
          <w:szCs w:val="24"/>
        </w:rPr>
        <w:t>）</w:t>
      </w:r>
      <w:r>
        <w:rPr>
          <w:rFonts w:hint="eastAsia" w:ascii="华文仿宋" w:hAnsi="华文仿宋"/>
          <w:color w:val="auto"/>
          <w:highlight w:val="none"/>
        </w:rPr>
        <w:t>（</w:t>
      </w:r>
      <w:r>
        <w:rPr>
          <w:rFonts w:hint="eastAsia" w:ascii="华文仿宋" w:hAnsi="华文仿宋"/>
          <w:highlight w:val="none"/>
        </w:rPr>
        <w:t>扫描件加盖企业公章）</w:t>
      </w:r>
      <w:r>
        <w:rPr>
          <w:rFonts w:hint="eastAsia" w:ascii="仿宋" w:hAnsi="仿宋" w:eastAsia="仿宋" w:cs="仿宋"/>
          <w:sz w:val="21"/>
          <w:szCs w:val="21"/>
          <w:lang w:eastAsia="zh-CN"/>
        </w:rPr>
        <w:t>。</w:t>
      </w:r>
    </w:p>
    <w:p w14:paraId="25ABEF5F">
      <w:pPr>
        <w:spacing w:line="500" w:lineRule="exact"/>
        <w:ind w:firstLine="566" w:firstLineChars="200"/>
        <w:rPr>
          <w:rFonts w:hint="eastAsia" w:ascii="仿宋" w:hAnsi="仿宋" w:eastAsia="仿宋" w:cs="仿宋"/>
        </w:rPr>
      </w:pPr>
      <w:r>
        <w:rPr>
          <w:rFonts w:hint="eastAsia" w:ascii="华文仿宋" w:hAnsi="华文仿宋" w:cs="华文仿宋"/>
          <w:b/>
        </w:rPr>
        <w:t>备注：</w:t>
      </w:r>
      <w:r>
        <w:rPr>
          <w:rFonts w:hint="eastAsia" w:ascii="仿宋" w:hAnsi="仿宋" w:eastAsia="仿宋" w:cs="仿宋"/>
        </w:rPr>
        <w:t>《法定代表人授权委托书》、《供应商书面声明函》、《供应商企业关系关联承诺书》、</w:t>
      </w:r>
      <w:r>
        <w:rPr>
          <w:rFonts w:hint="eastAsia" w:ascii="华文仿宋" w:hAnsi="华文仿宋" w:cs="华文仿宋"/>
        </w:rPr>
        <w:t>《榆林市</w:t>
      </w:r>
      <w:r>
        <w:rPr>
          <w:rFonts w:ascii="华文仿宋" w:hAnsi="华文仿宋" w:cs="华文仿宋"/>
        </w:rPr>
        <w:t>政府采购供应商信用承诺书</w:t>
      </w:r>
      <w:r>
        <w:rPr>
          <w:rFonts w:hint="eastAsia" w:ascii="华文仿宋" w:hAnsi="华文仿宋" w:cs="华文仿宋"/>
        </w:rPr>
        <w:t>》</w:t>
      </w:r>
      <w:r>
        <w:rPr>
          <w:rFonts w:hint="eastAsia" w:ascii="华文仿宋" w:hAnsi="华文仿宋" w:cs="华文仿宋"/>
          <w:lang w:eastAsia="zh-CN"/>
        </w:rPr>
        <w:t>《</w:t>
      </w:r>
      <w:r>
        <w:rPr>
          <w:rFonts w:hint="eastAsia" w:ascii="华文仿宋" w:hAnsi="华文仿宋" w:cs="华文仿宋"/>
          <w:lang w:val="en-US" w:eastAsia="zh-CN"/>
        </w:rPr>
        <w:t>中小企业申明函</w:t>
      </w:r>
      <w:r>
        <w:rPr>
          <w:rFonts w:hint="eastAsia" w:ascii="华文仿宋" w:hAnsi="华文仿宋" w:cs="华文仿宋"/>
          <w:lang w:eastAsia="zh-CN"/>
        </w:rPr>
        <w:t>》</w:t>
      </w:r>
      <w:r>
        <w:rPr>
          <w:rFonts w:hint="eastAsia" w:ascii="华文仿宋" w:hAnsi="华文仿宋" w:cs="华文仿宋"/>
          <w:lang w:val="en-US" w:eastAsia="zh-CN"/>
        </w:rPr>
        <w:t>等供应商性质证明文件、《</w:t>
      </w:r>
      <w:r>
        <w:rPr>
          <w:rFonts w:hint="eastAsia" w:ascii="华文仿宋" w:hAnsi="华文仿宋" w:cs="华文仿宋"/>
          <w:b w:val="0"/>
          <w:bCs w:val="0"/>
          <w:lang w:eastAsia="zh-CN"/>
        </w:rPr>
        <w:t>非联合体不分包投标声明</w:t>
      </w:r>
      <w:r>
        <w:rPr>
          <w:rFonts w:hint="eastAsia" w:ascii="华文仿宋" w:hAnsi="华文仿宋" w:cs="华文仿宋"/>
          <w:lang w:val="en-US" w:eastAsia="zh-CN"/>
        </w:rPr>
        <w:t>》、</w:t>
      </w:r>
      <w:r>
        <w:rPr>
          <w:rFonts w:hint="eastAsia" w:ascii="华文仿宋" w:hAnsi="华文仿宋" w:cs="华文仿宋"/>
        </w:rPr>
        <w:t>《电子</w:t>
      </w:r>
      <w:r>
        <w:rPr>
          <w:rFonts w:hint="eastAsia" w:ascii="华文仿宋" w:hAnsi="华文仿宋" w:cs="华文仿宋"/>
          <w:lang w:val="en-US" w:eastAsia="zh-CN"/>
        </w:rPr>
        <w:t>响应</w:t>
      </w:r>
      <w:r>
        <w:rPr>
          <w:rFonts w:hint="eastAsia" w:ascii="华文仿宋" w:hAnsi="华文仿宋" w:cs="华文仿宋"/>
        </w:rPr>
        <w:t>文件与纸质</w:t>
      </w:r>
      <w:r>
        <w:rPr>
          <w:rFonts w:hint="eastAsia" w:ascii="华文仿宋" w:hAnsi="华文仿宋" w:cs="华文仿宋"/>
          <w:lang w:val="en-US" w:eastAsia="zh-CN"/>
        </w:rPr>
        <w:t>响应</w:t>
      </w:r>
      <w:r>
        <w:rPr>
          <w:rFonts w:hint="eastAsia" w:ascii="华文仿宋" w:hAnsi="华文仿宋" w:cs="华文仿宋"/>
        </w:rPr>
        <w:t>文件一致承诺书》</w:t>
      </w:r>
      <w:r>
        <w:rPr>
          <w:rFonts w:hint="eastAsia" w:ascii="华文仿宋" w:hAnsi="华文仿宋" w:cs="华文仿宋"/>
          <w:lang w:val="en-US" w:eastAsia="zh-CN"/>
        </w:rPr>
        <w:t>等</w:t>
      </w:r>
      <w:r>
        <w:rPr>
          <w:rFonts w:hint="eastAsia" w:ascii="仿宋" w:hAnsi="仿宋" w:eastAsia="仿宋" w:cs="仿宋"/>
        </w:rPr>
        <w:t>格式见资格响应文件附件。</w:t>
      </w:r>
    </w:p>
    <w:p w14:paraId="1876B416">
      <w:pPr>
        <w:spacing w:line="500" w:lineRule="exact"/>
        <w:ind w:firstLine="566" w:firstLineChars="200"/>
        <w:rPr>
          <w:rFonts w:hint="eastAsia" w:ascii="华文仿宋" w:hAnsi="华文仿宋"/>
          <w:b/>
          <w:bCs/>
        </w:rPr>
      </w:pPr>
      <w:r>
        <w:rPr>
          <w:rFonts w:hint="eastAsia" w:ascii="仿宋" w:hAnsi="仿宋" w:eastAsia="仿宋" w:cs="仿宋"/>
          <w:b/>
          <w:bCs/>
        </w:rPr>
        <w:t>以上资格响应文件需逐页</w:t>
      </w:r>
      <w:r>
        <w:rPr>
          <w:rFonts w:hint="eastAsia" w:ascii="华文仿宋" w:hAnsi="华文仿宋"/>
          <w:b/>
          <w:bCs/>
        </w:rPr>
        <w:t>电子签章</w:t>
      </w:r>
      <w:r>
        <w:rPr>
          <w:rFonts w:hint="eastAsia" w:ascii="华文仿宋" w:hAnsi="华文仿宋"/>
          <w:b/>
          <w:bCs/>
          <w:lang w:eastAsia="zh-CN"/>
        </w:rPr>
        <w:t>。</w:t>
      </w:r>
      <w:r>
        <w:rPr>
          <w:rFonts w:hint="eastAsia" w:ascii="华文仿宋" w:hAnsi="华文仿宋"/>
          <w:b/>
          <w:bCs/>
          <w:lang w:val="en-US" w:eastAsia="zh-CN"/>
        </w:rPr>
        <w:t>扫描件内容应清晰可见，如因扫描件模糊无法辨认相关信息的，按无效文件处理</w:t>
      </w:r>
      <w:r>
        <w:rPr>
          <w:rFonts w:hint="eastAsia" w:ascii="华文仿宋" w:hAnsi="华文仿宋"/>
          <w:b/>
          <w:bCs/>
        </w:rPr>
        <w:t>。</w:t>
      </w:r>
    </w:p>
    <w:p w14:paraId="4960ECB8">
      <w:pPr>
        <w:keepNext w:val="0"/>
        <w:keepLines w:val="0"/>
        <w:pageBreakBefore w:val="0"/>
        <w:widowControl w:val="0"/>
        <w:kinsoku/>
        <w:wordWrap/>
        <w:overflowPunct/>
        <w:topLinePunct w:val="0"/>
        <w:autoSpaceDE/>
        <w:autoSpaceDN/>
        <w:bidi w:val="0"/>
        <w:adjustRightInd/>
        <w:snapToGrid/>
        <w:spacing w:line="500" w:lineRule="exact"/>
        <w:ind w:firstLine="559" w:firstLineChars="198"/>
        <w:contextualSpacing/>
        <w:jc w:val="left"/>
        <w:textAlignment w:val="auto"/>
        <w:rPr>
          <w:rFonts w:hint="eastAsia" w:ascii="华文仿宋" w:hAnsi="华文仿宋"/>
          <w:b/>
          <w:bCs/>
        </w:rPr>
      </w:pPr>
      <w:r>
        <w:rPr>
          <w:rFonts w:hint="eastAsia" w:ascii="仿宋" w:hAnsi="仿宋" w:eastAsia="仿宋" w:cs="仿宋"/>
          <w:b/>
          <w:bCs/>
          <w:kern w:val="2"/>
          <w:sz w:val="28"/>
          <w:szCs w:val="28"/>
          <w:lang w:val="en-US" w:eastAsia="zh-CN" w:bidi="ar-SA"/>
        </w:rPr>
        <w:t>各供应商应诚信参与采购活动，投标文件中各可辨有效证件扫描件加盖公章均视为原件，提供虚假资料的，将依法追究法律责任。</w:t>
      </w:r>
    </w:p>
    <w:p w14:paraId="54911EFF">
      <w:pPr>
        <w:tabs>
          <w:tab w:val="right" w:leader="hyphen" w:pos="8504"/>
        </w:tabs>
        <w:spacing w:line="500" w:lineRule="exact"/>
        <w:ind w:left="1981" w:leftChars="200" w:right="849" w:rightChars="300" w:hanging="1415" w:hangingChars="500"/>
        <w:rPr>
          <w:rFonts w:hint="default" w:ascii="华文仿宋" w:hAnsi="华文仿宋" w:eastAsia="华文仿宋"/>
          <w:lang w:val="en-US" w:eastAsia="zh-CN"/>
        </w:rPr>
      </w:pPr>
      <w:r>
        <w:rPr>
          <w:rFonts w:hint="eastAsia" w:ascii="华文仿宋" w:hAnsi="华文仿宋" w:cs="黑体"/>
        </w:rPr>
        <w:t xml:space="preserve">4.2.3 </w:t>
      </w:r>
      <w:r>
        <w:rPr>
          <w:rFonts w:hint="eastAsia" w:ascii="华文仿宋" w:hAnsi="华文仿宋"/>
          <w:b/>
        </w:rPr>
        <w:t>商务及技术响应文件</w:t>
      </w:r>
      <w:r>
        <w:rPr>
          <w:rFonts w:hint="eastAsia" w:ascii="华文仿宋" w:hAnsi="华文仿宋"/>
        </w:rPr>
        <w:t>内容包括</w:t>
      </w:r>
      <w:r>
        <w:rPr>
          <w:rFonts w:hint="eastAsia" w:ascii="华文仿宋" w:hAnsi="华文仿宋"/>
          <w:lang w:val="en-US" w:eastAsia="zh-CN"/>
        </w:rPr>
        <w:t xml:space="preserve">   </w:t>
      </w:r>
    </w:p>
    <w:p w14:paraId="0FF02C35">
      <w:pPr>
        <w:pStyle w:val="4"/>
        <w:ind w:firstLine="559" w:firstLineChars="198"/>
        <w:rPr>
          <w:rFonts w:hint="eastAsia" w:ascii="仿宋" w:hAnsi="仿宋" w:eastAsia="仿宋" w:cs="仿宋"/>
        </w:rPr>
      </w:pPr>
      <w:r>
        <w:rPr>
          <w:rFonts w:hint="eastAsia" w:ascii="仿宋" w:hAnsi="仿宋" w:eastAsia="仿宋" w:cs="仿宋"/>
        </w:rPr>
        <w:t>（1）响应函</w:t>
      </w:r>
    </w:p>
    <w:p w14:paraId="53FD5B0F">
      <w:pPr>
        <w:pStyle w:val="4"/>
        <w:ind w:firstLine="559" w:firstLineChars="198"/>
        <w:rPr>
          <w:rFonts w:hint="eastAsia" w:ascii="仿宋" w:hAnsi="仿宋" w:eastAsia="仿宋" w:cs="仿宋"/>
        </w:rPr>
      </w:pPr>
      <w:r>
        <w:rPr>
          <w:rFonts w:hint="eastAsia" w:ascii="仿宋" w:hAnsi="仿宋" w:eastAsia="仿宋" w:cs="仿宋"/>
        </w:rPr>
        <w:t>（2）响应报价表</w:t>
      </w:r>
    </w:p>
    <w:p w14:paraId="4E37E67E">
      <w:pPr>
        <w:pStyle w:val="4"/>
        <w:ind w:firstLine="559" w:firstLineChars="198"/>
        <w:rPr>
          <w:rFonts w:hint="eastAsia" w:ascii="仿宋" w:hAnsi="仿宋" w:eastAsia="仿宋" w:cs="仿宋"/>
        </w:rPr>
      </w:pPr>
      <w:r>
        <w:rPr>
          <w:rFonts w:hint="eastAsia" w:ascii="仿宋" w:hAnsi="仿宋" w:eastAsia="仿宋" w:cs="仿宋"/>
        </w:rPr>
        <w:t>　　 分项报价表</w:t>
      </w:r>
    </w:p>
    <w:p w14:paraId="5340CCFE">
      <w:pPr>
        <w:pStyle w:val="4"/>
        <w:numPr>
          <w:ilvl w:val="0"/>
          <w:numId w:val="3"/>
        </w:numPr>
        <w:ind w:firstLine="559" w:firstLineChars="198"/>
        <w:rPr>
          <w:rFonts w:hint="eastAsia" w:ascii="仿宋" w:hAnsi="仿宋" w:eastAsia="仿宋" w:cs="仿宋"/>
        </w:rPr>
      </w:pPr>
      <w:r>
        <w:rPr>
          <w:rFonts w:hint="eastAsia" w:ascii="仿宋" w:hAnsi="仿宋" w:eastAsia="仿宋" w:cs="仿宋"/>
        </w:rPr>
        <w:t>技术指标偏离表</w:t>
      </w:r>
    </w:p>
    <w:p w14:paraId="7522F77F">
      <w:pPr>
        <w:pStyle w:val="4"/>
        <w:numPr>
          <w:ilvl w:val="0"/>
          <w:numId w:val="3"/>
        </w:numPr>
        <w:ind w:firstLine="559" w:firstLineChars="198"/>
        <w:rPr>
          <w:rFonts w:hint="eastAsia" w:ascii="仿宋" w:hAnsi="仿宋" w:eastAsia="仿宋" w:cs="仿宋"/>
        </w:rPr>
      </w:pPr>
      <w:r>
        <w:rPr>
          <w:rFonts w:hint="eastAsia" w:ascii="仿宋" w:hAnsi="仿宋" w:eastAsia="仿宋" w:cs="仿宋"/>
        </w:rPr>
        <w:t>供应商承诺书</w:t>
      </w:r>
    </w:p>
    <w:p w14:paraId="22E43372">
      <w:pPr>
        <w:pStyle w:val="4"/>
        <w:numPr>
          <w:ilvl w:val="0"/>
          <w:numId w:val="3"/>
        </w:numPr>
        <w:ind w:firstLine="559" w:firstLineChars="198"/>
        <w:rPr>
          <w:rFonts w:hint="eastAsia" w:ascii="仿宋" w:hAnsi="仿宋" w:eastAsia="仿宋" w:cs="仿宋"/>
        </w:rPr>
      </w:pPr>
      <w:r>
        <w:rPr>
          <w:rFonts w:hint="eastAsia" w:ascii="仿宋" w:hAnsi="仿宋" w:eastAsia="仿宋" w:cs="仿宋"/>
        </w:rPr>
        <w:t>节能环保、环境标志产品明细表</w:t>
      </w:r>
    </w:p>
    <w:p w14:paraId="32F09252">
      <w:pPr>
        <w:pStyle w:val="4"/>
        <w:ind w:firstLine="559" w:firstLineChars="198"/>
        <w:rPr>
          <w:rFonts w:hint="eastAsia" w:ascii="仿宋" w:hAnsi="仿宋" w:eastAsia="仿宋" w:cs="仿宋"/>
        </w:rPr>
      </w:pPr>
      <w:r>
        <w:rPr>
          <w:rFonts w:hint="eastAsia" w:ascii="仿宋" w:hAnsi="仿宋" w:eastAsia="仿宋" w:cs="仿宋"/>
        </w:rPr>
        <w:t>（6）商务及合同主要条款响应</w:t>
      </w:r>
    </w:p>
    <w:p w14:paraId="139D7432">
      <w:pPr>
        <w:pStyle w:val="4"/>
        <w:ind w:firstLine="559" w:firstLineChars="198"/>
        <w:rPr>
          <w:rFonts w:hint="eastAsia" w:ascii="仿宋" w:hAnsi="仿宋" w:eastAsia="仿宋" w:cs="仿宋"/>
        </w:rPr>
      </w:pPr>
      <w:r>
        <w:rPr>
          <w:rFonts w:hint="eastAsia" w:ascii="仿宋" w:hAnsi="仿宋" w:eastAsia="仿宋" w:cs="仿宋"/>
        </w:rPr>
        <w:t>（7）服务方案</w:t>
      </w:r>
    </w:p>
    <w:p w14:paraId="786F586C">
      <w:pPr>
        <w:pStyle w:val="4"/>
        <w:ind w:firstLine="559" w:firstLineChars="198"/>
        <w:rPr>
          <w:rFonts w:hint="eastAsia" w:ascii="仿宋" w:hAnsi="仿宋" w:eastAsia="仿宋" w:cs="仿宋"/>
        </w:rPr>
      </w:pPr>
      <w:r>
        <w:rPr>
          <w:rFonts w:hint="eastAsia" w:ascii="仿宋" w:hAnsi="仿宋" w:eastAsia="仿宋" w:cs="仿宋"/>
        </w:rPr>
        <w:t>（8）供应商认为有利于成交的其他情况说明</w:t>
      </w:r>
    </w:p>
    <w:p w14:paraId="4068A440">
      <w:pPr>
        <w:spacing w:line="500" w:lineRule="exact"/>
        <w:ind w:firstLine="566" w:firstLineChars="200"/>
        <w:rPr>
          <w:rFonts w:ascii="华文仿宋" w:hAnsi="华文仿宋"/>
          <w:b/>
          <w:bCs/>
        </w:rPr>
      </w:pPr>
      <w:r>
        <w:rPr>
          <w:rFonts w:hint="eastAsia" w:ascii="华文仿宋" w:hAnsi="华文仿宋"/>
          <w:b/>
          <w:bCs/>
        </w:rPr>
        <w:t>4.3 投标报价</w:t>
      </w:r>
    </w:p>
    <w:p w14:paraId="00E1C02E">
      <w:pPr>
        <w:pStyle w:val="4"/>
        <w:ind w:firstLine="556" w:firstLineChars="197"/>
        <w:rPr>
          <w:rFonts w:ascii="华文仿宋" w:hAnsi="华文仿宋" w:cs="宋体"/>
        </w:rPr>
      </w:pPr>
      <w:r>
        <w:rPr>
          <w:rFonts w:hint="eastAsia" w:ascii="华文仿宋" w:hAnsi="华文仿宋" w:cs="宋体"/>
        </w:rPr>
        <w:t>4</w:t>
      </w:r>
      <w:r>
        <w:rPr>
          <w:rFonts w:ascii="华文仿宋" w:hAnsi="华文仿宋" w:cs="宋体"/>
        </w:rPr>
        <w:t>.3.1</w:t>
      </w:r>
      <w:r>
        <w:rPr>
          <w:rFonts w:hint="eastAsia" w:ascii="华文仿宋" w:hAnsi="华文仿宋" w:cs="宋体"/>
        </w:rPr>
        <w:t>投标报价是投标人响应招标项目要求的全部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14F35373">
      <w:pPr>
        <w:pStyle w:val="4"/>
        <w:ind w:firstLine="556" w:firstLineChars="197"/>
        <w:rPr>
          <w:rFonts w:ascii="华文仿宋" w:hAnsi="华文仿宋" w:cs="宋体"/>
        </w:rPr>
      </w:pPr>
      <w:r>
        <w:rPr>
          <w:rFonts w:hint="eastAsia" w:ascii="华文仿宋" w:hAnsi="华文仿宋" w:cs="宋体"/>
        </w:rPr>
        <w:t>4</w:t>
      </w:r>
      <w:r>
        <w:rPr>
          <w:rFonts w:ascii="华文仿宋" w:hAnsi="华文仿宋" w:cs="宋体"/>
        </w:rPr>
        <w:t>.3.2</w:t>
      </w:r>
      <w:r>
        <w:rPr>
          <w:rFonts w:hint="eastAsia" w:ascii="华文仿宋" w:hAnsi="华文仿宋" w:cs="宋体"/>
        </w:rPr>
        <w:t xml:space="preserve"> 投标人</w:t>
      </w:r>
      <w:r>
        <w:rPr>
          <w:rFonts w:ascii="华文仿宋" w:hAnsi="华文仿宋" w:cs="宋体"/>
        </w:rPr>
        <w:t>应严格</w:t>
      </w:r>
      <w:r>
        <w:rPr>
          <w:rFonts w:hint="eastAsia" w:ascii="华文仿宋" w:hAnsi="华文仿宋" w:cs="宋体"/>
        </w:rPr>
        <w:t>按照《投标文件构成及格式》中《</w:t>
      </w:r>
      <w:r>
        <w:rPr>
          <w:rFonts w:ascii="华文仿宋" w:hAnsi="华文仿宋" w:cs="宋体"/>
        </w:rPr>
        <w:t>开标一览表</w:t>
      </w:r>
      <w:r>
        <w:rPr>
          <w:rFonts w:hint="eastAsia" w:ascii="华文仿宋" w:hAnsi="华文仿宋" w:cs="宋体"/>
        </w:rPr>
        <w:t>》的相关要求填写。</w:t>
      </w:r>
    </w:p>
    <w:p w14:paraId="6F2107CE">
      <w:pPr>
        <w:spacing w:line="500" w:lineRule="exact"/>
        <w:ind w:firstLine="566" w:firstLineChars="200"/>
        <w:rPr>
          <w:rFonts w:ascii="华文仿宋" w:hAnsi="华文仿宋"/>
        </w:rPr>
      </w:pPr>
      <w:r>
        <w:rPr>
          <w:rFonts w:hint="eastAsia" w:ascii="华文仿宋" w:hAnsi="华文仿宋"/>
          <w:bCs/>
        </w:rPr>
        <w:t>4</w:t>
      </w:r>
      <w:r>
        <w:rPr>
          <w:rFonts w:ascii="华文仿宋" w:hAnsi="华文仿宋"/>
          <w:bCs/>
        </w:rPr>
        <w:t>.3.</w:t>
      </w:r>
      <w:r>
        <w:rPr>
          <w:rFonts w:hint="eastAsia" w:ascii="华文仿宋" w:hAnsi="华文仿宋"/>
          <w:bCs/>
        </w:rPr>
        <w:t>3</w:t>
      </w:r>
      <w:r>
        <w:rPr>
          <w:rFonts w:hint="eastAsia" w:ascii="华文仿宋" w:hAnsi="华文仿宋"/>
        </w:rPr>
        <w:t xml:space="preserve"> 投标</w:t>
      </w:r>
      <w:r>
        <w:rPr>
          <w:rFonts w:ascii="华文仿宋" w:hAnsi="华文仿宋"/>
        </w:rPr>
        <w:t>报价货币：</w:t>
      </w:r>
      <w:r>
        <w:rPr>
          <w:rFonts w:hint="eastAsia" w:ascii="华文仿宋" w:hAnsi="华文仿宋" w:cs="华文仿宋"/>
          <w:b/>
        </w:rPr>
        <w:t>人民币</w:t>
      </w:r>
      <w:r>
        <w:rPr>
          <w:rFonts w:hint="eastAsia" w:ascii="华文仿宋" w:hAnsi="华文仿宋" w:cs="华文仿宋"/>
        </w:rPr>
        <w:t>；</w:t>
      </w:r>
      <w:r>
        <w:rPr>
          <w:rFonts w:hint="eastAsia" w:ascii="华文仿宋" w:hAnsi="华文仿宋" w:cs="华文仿宋"/>
          <w:b/>
          <w:bCs/>
        </w:rPr>
        <w:t>单位：元</w:t>
      </w:r>
      <w:r>
        <w:rPr>
          <w:rFonts w:hint="eastAsia" w:ascii="华文仿宋" w:hAnsi="华文仿宋" w:cs="华文仿宋"/>
          <w:bCs/>
        </w:rPr>
        <w:t>，</w:t>
      </w:r>
      <w:r>
        <w:rPr>
          <w:rFonts w:hint="eastAsia" w:ascii="华文仿宋" w:hAnsi="华文仿宋" w:cs="华文仿宋"/>
          <w:b/>
        </w:rPr>
        <w:t>保留小数点后两位</w:t>
      </w:r>
      <w:r>
        <w:rPr>
          <w:rFonts w:ascii="华文仿宋" w:hAnsi="华文仿宋"/>
        </w:rPr>
        <w:t>。</w:t>
      </w:r>
    </w:p>
    <w:p w14:paraId="2FC59CCF">
      <w:pPr>
        <w:pStyle w:val="4"/>
        <w:ind w:firstLine="559" w:firstLineChars="198"/>
        <w:rPr>
          <w:rFonts w:ascii="华文仿宋" w:hAnsi="华文仿宋" w:cs="华文仿宋"/>
        </w:rPr>
      </w:pPr>
      <w:r>
        <w:rPr>
          <w:rFonts w:hint="eastAsia" w:ascii="华文仿宋" w:hAnsi="华文仿宋" w:cs="华文仿宋"/>
        </w:rPr>
        <w:t>4.3.4投标报价只能提交唯一报价，并且在合同履行过程中是固定不变的，任何有选择的报价将不予接受，按无效投标处理。</w:t>
      </w:r>
    </w:p>
    <w:p w14:paraId="35FF6CC9">
      <w:pPr>
        <w:pStyle w:val="4"/>
        <w:ind w:firstLine="559" w:firstLineChars="198"/>
        <w:rPr>
          <w:rFonts w:ascii="华文仿宋" w:hAnsi="华文仿宋" w:cs="华文仿宋"/>
        </w:rPr>
      </w:pPr>
      <w:r>
        <w:rPr>
          <w:rFonts w:hint="eastAsia" w:ascii="华文仿宋" w:hAnsi="华文仿宋" w:cs="华文仿宋"/>
        </w:rPr>
        <w:t>4.3.5投标文件报价出现前后不一致的，除招标文件另有规定外，按照下列规定修正：</w:t>
      </w:r>
    </w:p>
    <w:p w14:paraId="1DAE489A">
      <w:pPr>
        <w:pStyle w:val="4"/>
        <w:ind w:firstLine="559" w:firstLineChars="198"/>
        <w:rPr>
          <w:rFonts w:ascii="华文仿宋" w:hAnsi="华文仿宋" w:cs="华文仿宋"/>
        </w:rPr>
      </w:pPr>
      <w:r>
        <w:rPr>
          <w:rFonts w:hint="eastAsia" w:ascii="华文仿宋" w:hAnsi="华文仿宋" w:cs="华文仿宋"/>
        </w:rPr>
        <w:t>（1）投标文件中开标一览表内容与投标文件中相应内容不一致的，以开标一览表为准；</w:t>
      </w:r>
    </w:p>
    <w:p w14:paraId="75785DBF">
      <w:pPr>
        <w:pStyle w:val="4"/>
        <w:ind w:firstLine="559" w:firstLineChars="198"/>
        <w:rPr>
          <w:rFonts w:ascii="华文仿宋" w:hAnsi="华文仿宋" w:cs="华文仿宋"/>
        </w:rPr>
      </w:pPr>
      <w:r>
        <w:rPr>
          <w:rFonts w:hint="eastAsia" w:ascii="华文仿宋" w:hAnsi="华文仿宋" w:cs="华文仿宋"/>
        </w:rPr>
        <w:t>（2）大写金额和小写金额不一致的，以大写金额为准；</w:t>
      </w:r>
    </w:p>
    <w:p w14:paraId="2A519CEB">
      <w:pPr>
        <w:pStyle w:val="4"/>
        <w:ind w:firstLine="559" w:firstLineChars="198"/>
        <w:rPr>
          <w:rFonts w:ascii="华文仿宋" w:hAnsi="华文仿宋" w:cs="华文仿宋"/>
        </w:rPr>
      </w:pPr>
      <w:r>
        <w:rPr>
          <w:rFonts w:hint="eastAsia" w:ascii="华文仿宋" w:hAnsi="华文仿宋" w:cs="华文仿宋"/>
        </w:rPr>
        <w:t>（3）单价金额小数点或者百分比有明显错位的，以开标一览表的总价为准，并修改单价；</w:t>
      </w:r>
    </w:p>
    <w:p w14:paraId="369CCBC5">
      <w:pPr>
        <w:pStyle w:val="4"/>
        <w:ind w:firstLine="559" w:firstLineChars="198"/>
        <w:rPr>
          <w:rFonts w:ascii="华文仿宋" w:hAnsi="华文仿宋" w:cs="华文仿宋"/>
        </w:rPr>
      </w:pPr>
      <w:r>
        <w:rPr>
          <w:rFonts w:hint="eastAsia" w:ascii="华文仿宋" w:hAnsi="华文仿宋" w:cs="华文仿宋"/>
        </w:rPr>
        <w:t>（4）总价金额与按单价汇总金额不一致的，以单价金额计算结果为准；</w:t>
      </w:r>
    </w:p>
    <w:p w14:paraId="2A5A43A5">
      <w:pPr>
        <w:pStyle w:val="4"/>
        <w:ind w:firstLine="559" w:firstLineChars="198"/>
        <w:rPr>
          <w:rFonts w:ascii="华文仿宋" w:hAnsi="华文仿宋" w:cs="华文仿宋"/>
        </w:rPr>
      </w:pPr>
      <w:r>
        <w:rPr>
          <w:rFonts w:hint="eastAsia" w:ascii="华文仿宋" w:hAnsi="华文仿宋" w:cs="华文仿宋"/>
        </w:rPr>
        <w:t>同时出现两种以上不一致的，按照前款规定的顺序修正。修正后的报价经投标人确认后产生约束力，投标人不确认的，其投标无效。</w:t>
      </w:r>
    </w:p>
    <w:p w14:paraId="40AD0146">
      <w:pPr>
        <w:pStyle w:val="4"/>
        <w:ind w:firstLine="559" w:firstLineChars="198"/>
        <w:rPr>
          <w:rFonts w:hint="eastAsia" w:ascii="华文仿宋" w:hAnsi="华文仿宋" w:cs="华文仿宋"/>
        </w:rPr>
      </w:pPr>
      <w:r>
        <w:rPr>
          <w:rFonts w:hint="eastAsia" w:ascii="华文仿宋" w:hAnsi="华文仿宋" w:cs="华文仿宋"/>
        </w:rPr>
        <w:t>4.3.6因投标人对招标文件理解不透、误解、疏漏或对市场行情了解不清造成的后果和风险，均由投标人自己负责。</w:t>
      </w:r>
    </w:p>
    <w:p w14:paraId="2E1279F9">
      <w:pPr>
        <w:spacing w:line="500" w:lineRule="exact"/>
        <w:ind w:firstLine="566" w:firstLineChars="200"/>
        <w:rPr>
          <w:rFonts w:ascii="华文仿宋" w:hAnsi="华文仿宋"/>
          <w:b/>
          <w:bCs/>
        </w:rPr>
      </w:pPr>
      <w:r>
        <w:rPr>
          <w:rFonts w:hint="eastAsia" w:ascii="华文仿宋" w:hAnsi="华文仿宋" w:cs="仿宋"/>
          <w:b/>
        </w:rPr>
        <w:t xml:space="preserve">4.4  </w:t>
      </w:r>
      <w:r>
        <w:rPr>
          <w:rFonts w:hint="eastAsia" w:ascii="华文仿宋" w:hAnsi="华文仿宋"/>
          <w:b/>
          <w:bCs/>
        </w:rPr>
        <w:t>投标保证金</w:t>
      </w:r>
    </w:p>
    <w:p w14:paraId="144D8211">
      <w:pPr>
        <w:spacing w:line="336" w:lineRule="auto"/>
        <w:ind w:firstLine="566" w:firstLineChars="200"/>
        <w:rPr>
          <w:rFonts w:ascii="仿宋" w:hAnsi="仿宋" w:eastAsia="仿宋" w:cs="仿宋"/>
        </w:rPr>
      </w:pPr>
      <w:r>
        <w:rPr>
          <w:rFonts w:hint="eastAsia" w:ascii="仿宋" w:hAnsi="仿宋" w:eastAsia="仿宋" w:cs="仿宋"/>
          <w:lang w:val="en-US" w:eastAsia="zh-CN"/>
        </w:rPr>
        <w:t>应</w:t>
      </w:r>
      <w:r>
        <w:rPr>
          <w:rFonts w:hint="eastAsia" w:ascii="仿宋" w:hAnsi="仿宋" w:eastAsia="仿宋" w:cs="仿宋"/>
        </w:rPr>
        <w:t>榆林市财政局《关于进一步促进政府采购公平竞争优化营商环境》的通知（榆政财采发【2022】14号）文件要求，本项目不收取</w:t>
      </w:r>
      <w:r>
        <w:rPr>
          <w:rFonts w:hint="eastAsia" w:ascii="仿宋" w:hAnsi="仿宋" w:eastAsia="仿宋" w:cs="仿宋"/>
          <w:lang w:val="en-US" w:eastAsia="zh-CN"/>
        </w:rPr>
        <w:t>投标</w:t>
      </w:r>
      <w:r>
        <w:rPr>
          <w:rFonts w:hint="eastAsia" w:ascii="仿宋" w:hAnsi="仿宋" w:eastAsia="仿宋" w:cs="仿宋"/>
        </w:rPr>
        <w:t>保证金。</w:t>
      </w:r>
    </w:p>
    <w:p w14:paraId="25F690D4">
      <w:pPr>
        <w:spacing w:line="500" w:lineRule="exact"/>
        <w:ind w:firstLine="566" w:firstLineChars="200"/>
        <w:rPr>
          <w:rFonts w:ascii="华文仿宋" w:hAnsi="华文仿宋" w:cs="宋体"/>
          <w:b/>
        </w:rPr>
      </w:pPr>
      <w:r>
        <w:rPr>
          <w:rFonts w:hint="eastAsia" w:ascii="华文仿宋" w:hAnsi="华文仿宋" w:cs="仿宋"/>
          <w:b/>
        </w:rPr>
        <w:t xml:space="preserve">4.5 </w:t>
      </w:r>
      <w:r>
        <w:rPr>
          <w:rFonts w:hint="eastAsia" w:ascii="华文仿宋" w:hAnsi="华文仿宋" w:cs="宋体"/>
          <w:b/>
        </w:rPr>
        <w:t>投标文件的签署及规定</w:t>
      </w:r>
    </w:p>
    <w:p w14:paraId="2FA7F451">
      <w:pPr>
        <w:pStyle w:val="4"/>
        <w:ind w:firstLine="556" w:firstLineChars="197"/>
        <w:rPr>
          <w:rFonts w:ascii="华文仿宋" w:hAnsi="华文仿宋"/>
        </w:rPr>
      </w:pPr>
      <w:r>
        <w:rPr>
          <w:rFonts w:hint="eastAsia" w:ascii="华文仿宋" w:hAnsi="华文仿宋" w:cs="仿宋"/>
        </w:rPr>
        <w:t>4.5.1</w:t>
      </w:r>
      <w:r>
        <w:rPr>
          <w:rFonts w:hint="eastAsia" w:ascii="华文仿宋" w:hAnsi="华文仿宋"/>
        </w:rPr>
        <w:t xml:space="preserve"> 投标人在投标文件中指定的页面落款处，按招标文件要求加盖公章或签字。</w:t>
      </w:r>
    </w:p>
    <w:p w14:paraId="37617C31">
      <w:pPr>
        <w:pStyle w:val="4"/>
        <w:ind w:firstLine="556" w:firstLineChars="197"/>
        <w:rPr>
          <w:rFonts w:ascii="华文仿宋" w:hAnsi="华文仿宋"/>
        </w:rPr>
      </w:pPr>
      <w:r>
        <w:rPr>
          <w:rFonts w:hint="eastAsia" w:ascii="华文仿宋" w:hAnsi="华文仿宋" w:cs="仿宋"/>
        </w:rPr>
        <w:t>4.5.2</w:t>
      </w:r>
      <w:r>
        <w:rPr>
          <w:rFonts w:hint="eastAsia" w:ascii="华文仿宋" w:hAnsi="华文仿宋"/>
        </w:rPr>
        <w:t xml:space="preserve"> 由被授权人签字的投标文件需同时提交经投标人法定代表人签署的授权委托书，格式、内容均应符合招标文件要求，否则投标文件无效；</w:t>
      </w:r>
      <w:r>
        <w:rPr>
          <w:rFonts w:ascii="华文仿宋" w:hAnsi="华文仿宋"/>
        </w:rPr>
        <w:t>投标人为自然人的，应当由本人签字并附身份证明</w:t>
      </w:r>
      <w:r>
        <w:rPr>
          <w:rFonts w:hint="eastAsia" w:ascii="华文仿宋" w:hAnsi="华文仿宋"/>
        </w:rPr>
        <w:t>。</w:t>
      </w:r>
    </w:p>
    <w:p w14:paraId="377DDF16">
      <w:pPr>
        <w:pStyle w:val="4"/>
        <w:ind w:firstLine="556" w:firstLineChars="197"/>
        <w:rPr>
          <w:rFonts w:ascii="华文仿宋" w:hAnsi="华文仿宋"/>
        </w:rPr>
      </w:pPr>
      <w:r>
        <w:rPr>
          <w:rFonts w:hint="eastAsia" w:ascii="华文仿宋" w:hAnsi="华文仿宋" w:cs="仿宋"/>
        </w:rPr>
        <w:t>4.5.3</w:t>
      </w:r>
      <w:r>
        <w:rPr>
          <w:rFonts w:hint="eastAsia" w:ascii="华文仿宋" w:hAnsi="华文仿宋"/>
        </w:rPr>
        <w:t xml:space="preserve"> 投标人名称应填写全称，同时加盖公章。</w:t>
      </w:r>
    </w:p>
    <w:p w14:paraId="31F4EB85">
      <w:pPr>
        <w:pStyle w:val="4"/>
        <w:ind w:firstLine="556" w:firstLineChars="197"/>
        <w:rPr>
          <w:rFonts w:ascii="华文仿宋" w:hAnsi="华文仿宋"/>
        </w:rPr>
      </w:pPr>
      <w:r>
        <w:rPr>
          <w:rFonts w:hint="eastAsia" w:ascii="华文仿宋" w:hAnsi="华文仿宋" w:cs="仿宋"/>
        </w:rPr>
        <w:t>4.5.4</w:t>
      </w:r>
      <w:r>
        <w:rPr>
          <w:rFonts w:hint="eastAsia" w:ascii="仿宋" w:hAnsi="仿宋" w:eastAsia="仿宋" w:cs="仿宋"/>
        </w:rPr>
        <w:t>投标文件的任何行间插字、涂改和增删，须有法定代表人或被授权人在改动处签字并加盖公章方为有效。</w:t>
      </w:r>
    </w:p>
    <w:p w14:paraId="7CB737B1">
      <w:pPr>
        <w:pStyle w:val="4"/>
        <w:ind w:firstLine="556" w:firstLineChars="197"/>
        <w:rPr>
          <w:rFonts w:ascii="华文仿宋" w:hAnsi="华文仿宋"/>
        </w:rPr>
      </w:pPr>
      <w:r>
        <w:rPr>
          <w:rFonts w:hint="eastAsia" w:ascii="华文仿宋" w:hAnsi="华文仿宋" w:cs="仿宋"/>
        </w:rPr>
        <w:t>4.5.5</w:t>
      </w:r>
      <w:r>
        <w:rPr>
          <w:rFonts w:hint="eastAsia" w:ascii="华文仿宋" w:hAnsi="华文仿宋"/>
        </w:rPr>
        <w:t>投标文件</w:t>
      </w:r>
      <w:r>
        <w:rPr>
          <w:rFonts w:hint="eastAsia" w:ascii="华文仿宋" w:hAnsi="华文仿宋"/>
          <w:b/>
        </w:rPr>
        <w:t>因字迹潦草、图片模糊或表达不清</w:t>
      </w:r>
      <w:r>
        <w:rPr>
          <w:rFonts w:hint="eastAsia" w:ascii="华文仿宋" w:hAnsi="华文仿宋"/>
        </w:rPr>
        <w:t>所引起的一切后果由投标人负责。</w:t>
      </w:r>
    </w:p>
    <w:p w14:paraId="43A471E3">
      <w:pPr>
        <w:pStyle w:val="4"/>
        <w:ind w:firstLine="556" w:firstLineChars="197"/>
        <w:rPr>
          <w:rFonts w:ascii="华文仿宋" w:hAnsi="华文仿宋" w:cs="仿宋"/>
          <w:b/>
        </w:rPr>
      </w:pPr>
      <w:r>
        <w:rPr>
          <w:rFonts w:hint="eastAsia" w:ascii="华文仿宋" w:hAnsi="华文仿宋" w:cs="仿宋"/>
          <w:b/>
        </w:rPr>
        <w:t>4.6投标文件的密封及标记</w:t>
      </w:r>
    </w:p>
    <w:p w14:paraId="5E3A6C44">
      <w:pPr>
        <w:pStyle w:val="4"/>
        <w:ind w:firstLine="556" w:firstLineChars="197"/>
        <w:rPr>
          <w:rFonts w:ascii="华文仿宋" w:hAnsi="华文仿宋" w:cs="华文仿宋"/>
        </w:rPr>
      </w:pPr>
      <w:r>
        <w:rPr>
          <w:rFonts w:hint="eastAsia" w:ascii="华文仿宋" w:hAnsi="华文仿宋" w:cs="仿宋"/>
          <w:b/>
        </w:rPr>
        <w:t>4.6.1投标文件应按以下要求</w:t>
      </w:r>
      <w:r>
        <w:rPr>
          <w:rFonts w:hint="eastAsia" w:ascii="华文仿宋" w:hAnsi="华文仿宋" w:cs="华文仿宋"/>
          <w:b/>
        </w:rPr>
        <w:t>封装</w:t>
      </w:r>
      <w:r>
        <w:rPr>
          <w:rFonts w:hint="eastAsia" w:ascii="华文仿宋" w:hAnsi="华文仿宋" w:cs="华文仿宋"/>
        </w:rPr>
        <w:t>：</w:t>
      </w:r>
    </w:p>
    <w:p w14:paraId="07DB58B1">
      <w:pPr>
        <w:pStyle w:val="4"/>
        <w:ind w:firstLine="556" w:firstLineChars="197"/>
        <w:rPr>
          <w:rFonts w:ascii="华文仿宋" w:hAnsi="华文仿宋" w:cs="华文仿宋"/>
        </w:rPr>
      </w:pPr>
      <w:r>
        <w:rPr>
          <w:rFonts w:hint="eastAsia" w:ascii="华文仿宋" w:hAnsi="华文仿宋" w:cs="华文仿宋"/>
        </w:rPr>
        <w:t>本次</w:t>
      </w:r>
      <w:r>
        <w:rPr>
          <w:rFonts w:hint="eastAsia" w:ascii="华文仿宋" w:hAnsi="华文仿宋" w:cs="华文仿宋"/>
          <w:lang w:val="en-US" w:eastAsia="zh-CN"/>
        </w:rPr>
        <w:t>投</w:t>
      </w:r>
      <w:r>
        <w:rPr>
          <w:rFonts w:hint="eastAsia" w:ascii="华文仿宋" w:hAnsi="华文仿宋" w:cs="华文仿宋"/>
        </w:rPr>
        <w:t>标需邮寄的纸质投标文件包括</w:t>
      </w:r>
      <w:r>
        <w:rPr>
          <w:rFonts w:hint="eastAsia" w:ascii="华文仿宋" w:hAnsi="华文仿宋" w:cs="华文仿宋"/>
          <w:b/>
        </w:rPr>
        <w:t>3</w:t>
      </w:r>
      <w:r>
        <w:rPr>
          <w:rFonts w:hint="eastAsia" w:ascii="华文仿宋" w:hAnsi="华文仿宋" w:cs="华文仿宋"/>
        </w:rPr>
        <w:t>部分：</w:t>
      </w:r>
    </w:p>
    <w:p w14:paraId="236F195A">
      <w:pPr>
        <w:pStyle w:val="4"/>
        <w:ind w:firstLine="556" w:firstLineChars="197"/>
        <w:rPr>
          <w:rFonts w:ascii="华文仿宋" w:hAnsi="华文仿宋" w:cs="华文仿宋"/>
        </w:rPr>
      </w:pPr>
      <w:r>
        <w:rPr>
          <w:rFonts w:hint="eastAsia" w:ascii="华文仿宋" w:hAnsi="华文仿宋" w:cs="华文仿宋"/>
          <w:b/>
        </w:rPr>
        <w:t>A资格证明文件:一式</w:t>
      </w:r>
      <w:r>
        <w:rPr>
          <w:rFonts w:hint="eastAsia" w:ascii="华文仿宋" w:hAnsi="华文仿宋" w:cs="华文仿宋"/>
        </w:rPr>
        <w:t>3份；</w:t>
      </w:r>
    </w:p>
    <w:p w14:paraId="4715CF08">
      <w:pPr>
        <w:pStyle w:val="4"/>
        <w:ind w:firstLine="556" w:firstLineChars="197"/>
        <w:rPr>
          <w:rFonts w:ascii="华文仿宋" w:hAnsi="华文仿宋" w:cs="华文仿宋"/>
        </w:rPr>
      </w:pPr>
      <w:r>
        <w:rPr>
          <w:rFonts w:hint="eastAsia" w:ascii="华文仿宋" w:hAnsi="华文仿宋" w:cs="华文仿宋"/>
          <w:b/>
        </w:rPr>
        <w:t>B商务及技术响应文件：一式</w:t>
      </w:r>
      <w:r>
        <w:rPr>
          <w:rFonts w:hint="eastAsia" w:ascii="华文仿宋" w:hAnsi="华文仿宋" w:cs="华文仿宋"/>
        </w:rPr>
        <w:t>3份；</w:t>
      </w:r>
    </w:p>
    <w:p w14:paraId="6CB8C42E">
      <w:pPr>
        <w:pStyle w:val="4"/>
        <w:ind w:firstLine="556" w:firstLineChars="197"/>
        <w:rPr>
          <w:rFonts w:ascii="华文仿宋" w:hAnsi="华文仿宋" w:cs="华文仿宋"/>
        </w:rPr>
      </w:pPr>
      <w:r>
        <w:rPr>
          <w:rFonts w:hint="eastAsia" w:ascii="华文仿宋" w:hAnsi="华文仿宋" w:cs="华文仿宋"/>
          <w:b/>
        </w:rPr>
        <w:t>C电子响应文件：</w:t>
      </w:r>
      <w:r>
        <w:rPr>
          <w:rFonts w:hint="eastAsia" w:ascii="华文仿宋" w:hAnsi="华文仿宋" w:cs="华文仿宋"/>
          <w:b w:val="0"/>
          <w:bCs/>
          <w:lang w:val="en-US" w:eastAsia="zh-CN"/>
        </w:rPr>
        <w:t>签章后PDF版文件</w:t>
      </w:r>
      <w:r>
        <w:rPr>
          <w:rFonts w:hint="eastAsia" w:ascii="华文仿宋" w:hAnsi="华文仿宋" w:cs="华文仿宋"/>
          <w:b/>
        </w:rPr>
        <w:t>一式</w:t>
      </w:r>
      <w:r>
        <w:rPr>
          <w:rFonts w:hint="eastAsia" w:ascii="华文仿宋" w:hAnsi="华文仿宋" w:cs="华文仿宋"/>
          <w:b/>
          <w:lang w:val="en-US" w:eastAsia="zh-CN"/>
        </w:rPr>
        <w:t>3</w:t>
      </w:r>
      <w:r>
        <w:rPr>
          <w:rFonts w:hint="eastAsia" w:ascii="华文仿宋" w:hAnsi="华文仿宋" w:cs="华文仿宋"/>
          <w:b/>
        </w:rPr>
        <w:t>份</w:t>
      </w:r>
      <w:r>
        <w:rPr>
          <w:rFonts w:hint="eastAsia" w:ascii="华文仿宋" w:hAnsi="华文仿宋" w:cs="华文仿宋"/>
        </w:rPr>
        <w:t>（U盘），内容包括A、B两部分所有内容；</w:t>
      </w:r>
    </w:p>
    <w:p w14:paraId="121F75E8">
      <w:pPr>
        <w:pStyle w:val="4"/>
        <w:ind w:firstLine="559" w:firstLineChars="198"/>
        <w:rPr>
          <w:rFonts w:ascii="仿宋" w:hAnsi="仿宋" w:eastAsia="仿宋" w:cs="仿宋"/>
        </w:rPr>
      </w:pPr>
      <w:r>
        <w:rPr>
          <w:rFonts w:hint="eastAsia" w:ascii="华文仿宋" w:hAnsi="华文仿宋" w:cs="宋体"/>
        </w:rPr>
        <w:t>4.6.2</w:t>
      </w:r>
      <w:r>
        <w:rPr>
          <w:rFonts w:hint="eastAsia" w:ascii="华文仿宋" w:hAnsi="华文仿宋" w:cs="宋体"/>
          <w:b/>
        </w:rPr>
        <w:t xml:space="preserve"> </w:t>
      </w:r>
      <w:r>
        <w:rPr>
          <w:rFonts w:hint="eastAsia" w:ascii="华文仿宋" w:hAnsi="华文仿宋" w:cs="宋体"/>
        </w:rPr>
        <w:t>如果投标人未按上述要求投递投标文件、误投等，造成后续质疑，投诉等无法查证或因投标文件不全导致在财政监督部门无法备案的，采购代理机构将按有关规定记录不诚信行为，并上报财政监督部门。</w:t>
      </w:r>
    </w:p>
    <w:p w14:paraId="10B1547D">
      <w:pPr>
        <w:spacing w:line="500" w:lineRule="exact"/>
        <w:ind w:firstLine="566" w:firstLineChars="200"/>
        <w:rPr>
          <w:rFonts w:ascii="华文仿宋" w:hAnsi="华文仿宋" w:cs="仿宋"/>
          <w:b/>
        </w:rPr>
      </w:pPr>
      <w:r>
        <w:rPr>
          <w:rFonts w:hint="eastAsia" w:ascii="华文仿宋" w:hAnsi="华文仿宋" w:cs="仿宋"/>
          <w:b/>
        </w:rPr>
        <w:t>4.7 投标文件的递交</w:t>
      </w:r>
    </w:p>
    <w:p w14:paraId="77DD0DA4">
      <w:pPr>
        <w:pStyle w:val="4"/>
        <w:ind w:firstLine="559" w:firstLineChars="198"/>
        <w:rPr>
          <w:rFonts w:ascii="华文仿宋" w:hAnsi="华文仿宋" w:cs="宋体"/>
        </w:rPr>
      </w:pPr>
      <w:bookmarkStart w:id="26" w:name="_Toc22977"/>
      <w:bookmarkStart w:id="27" w:name="_Toc19646"/>
      <w:bookmarkStart w:id="28" w:name="_Toc9816"/>
      <w:r>
        <w:rPr>
          <w:rFonts w:hint="eastAsia" w:ascii="华文仿宋" w:hAnsi="华文仿宋" w:cs="宋体"/>
        </w:rPr>
        <w:t>4.7.1电子响应文件可于提交响应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6EAEA3F3">
      <w:pPr>
        <w:pStyle w:val="4"/>
        <w:ind w:firstLine="559" w:firstLineChars="198"/>
        <w:rPr>
          <w:rFonts w:hint="eastAsia" w:ascii="仿宋" w:hAnsi="仿宋" w:eastAsia="仿宋" w:cs="仿宋"/>
          <w:b/>
          <w:bCs/>
        </w:rPr>
      </w:pPr>
      <w:r>
        <w:rPr>
          <w:rFonts w:hint="eastAsia" w:ascii="华文仿宋" w:hAnsi="华文仿宋" w:cs="宋体"/>
        </w:rPr>
        <w:t>4.7.2</w:t>
      </w:r>
      <w:r>
        <w:rPr>
          <w:rFonts w:hint="eastAsia" w:ascii="华文仿宋" w:hAnsi="华文仿宋" w:cs="宋体"/>
          <w:b/>
          <w:bCs/>
        </w:rPr>
        <w:t>纸质响应文件的递交，因不见面开标系统的启用和县财政监管部门的备案需要，投标人需在投标文件递交截止时间前且在电子投标文件递交前按照代理机构地址寄出纸质投标文件，并将邮寄回执附在电子投标文件资格审查资料中（邮寄回执证明材料要作为资格审查的一项内容</w:t>
      </w:r>
      <w:r>
        <w:rPr>
          <w:rFonts w:hint="eastAsia" w:ascii="仿宋" w:hAnsi="仿宋" w:eastAsia="仿宋" w:cs="仿宋"/>
          <w:b/>
          <w:bCs/>
        </w:rPr>
        <w:t>），未邮寄纸质版投标文件的资格审查不予通过。</w:t>
      </w:r>
      <w:r>
        <w:rPr>
          <w:rFonts w:hint="eastAsia" w:ascii="仿宋" w:hAnsi="仿宋" w:eastAsia="仿宋" w:cs="仿宋"/>
          <w:b/>
          <w:bCs/>
          <w:lang w:eastAsia="zh-CN"/>
        </w:rPr>
        <w:t>（</w:t>
      </w:r>
      <w:r>
        <w:rPr>
          <w:rFonts w:hint="eastAsia" w:ascii="仿宋" w:hAnsi="仿宋" w:eastAsia="仿宋" w:cs="仿宋"/>
          <w:b/>
          <w:bCs/>
          <w:lang w:val="en-US" w:eastAsia="zh-CN"/>
        </w:rPr>
        <w:t>纸质版响应文件不需提供邮寄回执证明材料</w:t>
      </w:r>
      <w:r>
        <w:rPr>
          <w:rFonts w:hint="eastAsia" w:ascii="仿宋" w:hAnsi="仿宋" w:eastAsia="仿宋" w:cs="仿宋"/>
          <w:b/>
          <w:bCs/>
          <w:lang w:eastAsia="zh-CN"/>
        </w:rPr>
        <w:t>）</w:t>
      </w:r>
      <w:r>
        <w:rPr>
          <w:rFonts w:hint="eastAsia" w:ascii="仿宋" w:hAnsi="仿宋" w:eastAsia="仿宋" w:cs="仿宋"/>
          <w:b/>
          <w:bCs/>
        </w:rPr>
        <w:t>。</w:t>
      </w:r>
    </w:p>
    <w:p w14:paraId="024AF5AA">
      <w:pPr>
        <w:pStyle w:val="4"/>
        <w:ind w:firstLine="559" w:firstLineChars="198"/>
        <w:rPr>
          <w:rFonts w:ascii="华文仿宋" w:hAnsi="华文仿宋" w:cs="宋体"/>
          <w:b/>
        </w:rPr>
      </w:pPr>
      <w:r>
        <w:rPr>
          <w:rFonts w:hint="eastAsia" w:ascii="华文仿宋" w:hAnsi="华文仿宋" w:cs="宋体"/>
          <w:b/>
        </w:rPr>
        <w:t>4.8投标截止时间</w:t>
      </w:r>
    </w:p>
    <w:p w14:paraId="27479BA9">
      <w:pPr>
        <w:pStyle w:val="4"/>
        <w:ind w:firstLine="559" w:firstLineChars="198"/>
        <w:rPr>
          <w:rFonts w:ascii="华文仿宋" w:hAnsi="华文仿宋" w:cs="宋体"/>
        </w:rPr>
      </w:pPr>
      <w:r>
        <w:rPr>
          <w:rFonts w:hint="eastAsia" w:ascii="华文仿宋" w:hAnsi="华文仿宋" w:cs="宋体"/>
        </w:rPr>
        <w:t>4.8.1投标人必须在招标文件规定的递交截止时间之前递交投标文件，采购代理机构在投标截止时间后拒绝接收任何投标文件或补充材料。</w:t>
      </w:r>
    </w:p>
    <w:p w14:paraId="705D2C11">
      <w:pPr>
        <w:pStyle w:val="4"/>
        <w:ind w:firstLine="559" w:firstLineChars="198"/>
        <w:rPr>
          <w:rFonts w:ascii="华文仿宋" w:hAnsi="华文仿宋" w:cs="宋体"/>
        </w:rPr>
      </w:pPr>
      <w:r>
        <w:rPr>
          <w:rFonts w:hint="eastAsia" w:ascii="华文仿宋" w:hAnsi="华文仿宋" w:cs="宋体"/>
        </w:rPr>
        <w:t>4.8.2采购人推迟投标截止时间的，采购代理机构将以书面形式通知所有投标人；采购人、采购代理机构和投标人的权利和义务将受到新的截止期的约束。</w:t>
      </w:r>
    </w:p>
    <w:p w14:paraId="0D1D0A2F">
      <w:pPr>
        <w:pStyle w:val="4"/>
        <w:ind w:firstLine="559" w:firstLineChars="198"/>
        <w:rPr>
          <w:rFonts w:ascii="华文仿宋" w:hAnsi="华文仿宋" w:cs="宋体"/>
          <w:b/>
        </w:rPr>
      </w:pPr>
      <w:r>
        <w:rPr>
          <w:rFonts w:hint="eastAsia" w:ascii="华文仿宋" w:hAnsi="华文仿宋" w:cs="宋体"/>
          <w:b/>
        </w:rPr>
        <w:t>4.9 投标文件的补充、修改和撤回</w:t>
      </w:r>
      <w:bookmarkEnd w:id="26"/>
      <w:bookmarkEnd w:id="27"/>
      <w:bookmarkEnd w:id="28"/>
    </w:p>
    <w:p w14:paraId="3C0A9C8B">
      <w:pPr>
        <w:pStyle w:val="4"/>
        <w:ind w:firstLine="559" w:firstLineChars="198"/>
        <w:rPr>
          <w:rFonts w:ascii="仿宋" w:hAnsi="仿宋" w:eastAsia="仿宋" w:cs="仿宋"/>
        </w:rPr>
      </w:pPr>
      <w:r>
        <w:rPr>
          <w:rFonts w:ascii="华文仿宋" w:hAnsi="华文仿宋" w:cs="宋体"/>
        </w:rPr>
        <w:t>4.</w:t>
      </w:r>
      <w:r>
        <w:rPr>
          <w:rFonts w:hint="eastAsia" w:ascii="华文仿宋" w:hAnsi="华文仿宋" w:cs="宋体"/>
        </w:rPr>
        <w:t>9</w:t>
      </w:r>
      <w:r>
        <w:rPr>
          <w:rFonts w:ascii="华文仿宋" w:hAnsi="华文仿宋" w:cs="宋体"/>
        </w:rPr>
        <w:t>.1</w:t>
      </w:r>
      <w:r>
        <w:rPr>
          <w:rFonts w:hint="eastAsia" w:ascii="仿宋" w:hAnsi="仿宋" w:eastAsia="仿宋" w:cs="仿宋"/>
        </w:rPr>
        <w:t>投标人在递交响应文件后，且在提交响应文件截止时间前，可以对所提交的响应文件进行补充、修改或撤回。</w:t>
      </w:r>
    </w:p>
    <w:p w14:paraId="0CFB9D6C">
      <w:pPr>
        <w:pStyle w:val="4"/>
        <w:ind w:firstLine="559" w:firstLineChars="198"/>
        <w:rPr>
          <w:rFonts w:ascii="华文仿宋" w:hAnsi="华文仿宋" w:cs="宋体"/>
        </w:rPr>
      </w:pPr>
      <w:r>
        <w:rPr>
          <w:rFonts w:hint="eastAsia" w:ascii="华文仿宋" w:hAnsi="华文仿宋" w:cs="宋体"/>
        </w:rPr>
        <w:t xml:space="preserve">4.9.2对电子响应文件进行补充、修改的，应先从电子交易平台上撤回旧版，再重新提交新版。 </w:t>
      </w:r>
    </w:p>
    <w:p w14:paraId="7B8CEF5A">
      <w:pPr>
        <w:pStyle w:val="86"/>
        <w:tabs>
          <w:tab w:val="left" w:pos="0"/>
        </w:tabs>
        <w:spacing w:line="500" w:lineRule="exact"/>
        <w:ind w:left="567" w:firstLine="0" w:firstLineChars="0"/>
        <w:rPr>
          <w:rFonts w:ascii="华文仿宋" w:hAnsi="华文仿宋" w:cs="宋体"/>
        </w:rPr>
      </w:pPr>
      <w:r>
        <w:rPr>
          <w:rFonts w:hint="eastAsia" w:ascii="华文仿宋" w:hAnsi="华文仿宋" w:cs="宋体"/>
        </w:rPr>
        <w:t>4</w:t>
      </w:r>
      <w:r>
        <w:rPr>
          <w:rFonts w:ascii="华文仿宋" w:hAnsi="华文仿宋" w:cs="宋体"/>
        </w:rPr>
        <w:t>.9.3</w:t>
      </w:r>
      <w:r>
        <w:rPr>
          <w:rFonts w:hint="eastAsia" w:ascii="华文仿宋" w:hAnsi="华文仿宋" w:cs="宋体"/>
        </w:rPr>
        <w:t>响应文件提交截止时间后，投标人不得对其响应文件做任何修改。</w:t>
      </w:r>
    </w:p>
    <w:p w14:paraId="3C832B09">
      <w:pPr>
        <w:pStyle w:val="4"/>
        <w:ind w:firstLine="559" w:firstLineChars="198"/>
        <w:rPr>
          <w:rFonts w:ascii="华文仿宋" w:hAnsi="华文仿宋" w:cs="宋体"/>
          <w:b/>
        </w:rPr>
      </w:pPr>
      <w:r>
        <w:rPr>
          <w:rFonts w:hint="eastAsia" w:ascii="华文仿宋" w:hAnsi="华文仿宋" w:cs="宋体"/>
          <w:b/>
        </w:rPr>
        <w:t>4.10投标人提交响应文件时，出现下列情况之一的，其响应文件将被拒绝接收：</w:t>
      </w:r>
    </w:p>
    <w:p w14:paraId="2C8F132E">
      <w:pPr>
        <w:pStyle w:val="4"/>
        <w:ind w:firstLine="559" w:firstLineChars="198"/>
        <w:rPr>
          <w:rFonts w:ascii="华文仿宋" w:hAnsi="华文仿宋" w:cs="宋体"/>
        </w:rPr>
      </w:pPr>
      <w:r>
        <w:rPr>
          <w:rFonts w:hint="eastAsia" w:ascii="华文仿宋" w:hAnsi="华文仿宋" w:cs="宋体"/>
        </w:rPr>
        <w:t>（1）逾期提交电子响应文件的；</w:t>
      </w:r>
    </w:p>
    <w:p w14:paraId="3BC2E78A">
      <w:pPr>
        <w:pStyle w:val="4"/>
        <w:ind w:firstLine="559" w:firstLineChars="198"/>
        <w:rPr>
          <w:rFonts w:ascii="华文仿宋" w:hAnsi="华文仿宋" w:cs="宋体"/>
        </w:rPr>
      </w:pPr>
      <w:r>
        <w:rPr>
          <w:rFonts w:hint="eastAsia" w:ascii="华文仿宋" w:hAnsi="华文仿宋" w:cs="宋体"/>
        </w:rPr>
        <w:t>（2）提交的响应文件与本项目不相符的。</w:t>
      </w:r>
    </w:p>
    <w:p w14:paraId="3688FC6E">
      <w:pPr>
        <w:spacing w:line="336" w:lineRule="auto"/>
        <w:jc w:val="center"/>
        <w:rPr>
          <w:rFonts w:ascii="黑体" w:hAnsi="黑体" w:eastAsia="黑体" w:cs="宋体"/>
          <w:b/>
          <w:sz w:val="30"/>
          <w:szCs w:val="30"/>
        </w:rPr>
      </w:pPr>
      <w:bookmarkStart w:id="29" w:name="_Toc6752"/>
      <w:bookmarkStart w:id="30" w:name="_Toc12874"/>
      <w:bookmarkStart w:id="31" w:name="_Toc27069"/>
      <w:bookmarkStart w:id="32" w:name="_Toc56066545"/>
      <w:r>
        <w:rPr>
          <w:rStyle w:val="59"/>
          <w:rFonts w:hint="eastAsia" w:ascii="黑体" w:hAnsi="黑体" w:eastAsia="黑体" w:cs="仿宋"/>
          <w:b w:val="0"/>
          <w:bCs w:val="0"/>
          <w:sz w:val="30"/>
          <w:szCs w:val="30"/>
        </w:rPr>
        <w:t>五、</w:t>
      </w:r>
      <w:bookmarkEnd w:id="29"/>
      <w:bookmarkEnd w:id="30"/>
      <w:bookmarkEnd w:id="31"/>
      <w:bookmarkEnd w:id="32"/>
      <w:r>
        <w:rPr>
          <w:rFonts w:hint="eastAsia" w:ascii="黑体" w:hAnsi="黑体" w:eastAsia="黑体" w:cs="宋体"/>
          <w:b/>
          <w:sz w:val="30"/>
          <w:szCs w:val="30"/>
        </w:rPr>
        <w:t>开 标</w:t>
      </w:r>
    </w:p>
    <w:p w14:paraId="56184AD4">
      <w:pPr>
        <w:spacing w:line="500" w:lineRule="exact"/>
        <w:ind w:firstLine="566" w:firstLineChars="200"/>
        <w:rPr>
          <w:rFonts w:ascii="华文仿宋" w:hAnsi="华文仿宋" w:cs="华文仿宋"/>
        </w:rPr>
      </w:pPr>
      <w:r>
        <w:rPr>
          <w:rFonts w:hint="eastAsia" w:ascii="仿宋" w:hAnsi="仿宋" w:eastAsia="仿宋" w:cs="仿宋"/>
          <w:b/>
          <w:bCs/>
        </w:rPr>
        <w:t>5.1</w:t>
      </w:r>
      <w:r>
        <w:rPr>
          <w:rFonts w:hint="eastAsia" w:ascii="华文仿宋" w:hAnsi="华文仿宋" w:cs="华文仿宋"/>
        </w:rPr>
        <w:t>府谷县政府投资和采购服务中心负责组织开标、评标工作，整个过程受政府采购监管机构的监督、管理。</w:t>
      </w:r>
    </w:p>
    <w:p w14:paraId="598FFC7E">
      <w:pPr>
        <w:spacing w:line="500" w:lineRule="exact"/>
        <w:ind w:firstLine="553" w:firstLineChars="196"/>
        <w:rPr>
          <w:rFonts w:hint="eastAsia"/>
          <w:b/>
          <w:bCs/>
          <w:spacing w:val="-3"/>
          <w:sz w:val="28"/>
          <w:szCs w:val="28"/>
          <w:lang w:val="en-US" w:eastAsia="zh-CN"/>
        </w:rPr>
      </w:pPr>
      <w:r>
        <w:rPr>
          <w:rFonts w:hint="eastAsia" w:ascii="仿宋" w:hAnsi="仿宋" w:eastAsia="仿宋" w:cs="仿宋"/>
          <w:b/>
          <w:bCs/>
        </w:rPr>
        <w:t>5.2</w:t>
      </w:r>
      <w:r>
        <w:rPr>
          <w:rFonts w:hint="eastAsia" w:ascii="华文仿宋" w:hAnsi="华文仿宋" w:cs="华文仿宋"/>
        </w:rPr>
        <w:t>府谷县政府投资和采购服务中心在招标文件规定的时间和地点</w:t>
      </w:r>
      <w:r>
        <w:rPr>
          <w:rFonts w:hint="eastAsia" w:ascii="仿宋" w:hAnsi="仿宋" w:eastAsia="仿宋" w:cs="仿宋"/>
        </w:rPr>
        <w:t>组织开标，</w:t>
      </w:r>
      <w:r>
        <w:rPr>
          <w:rFonts w:hint="eastAsia" w:ascii="仿宋" w:hAnsi="仿宋" w:eastAsia="仿宋" w:cs="仿宋"/>
          <w:b w:val="0"/>
          <w:bCs/>
        </w:rPr>
        <w:t>投标人须派代表在响应文件递交截止时间前</w:t>
      </w:r>
      <w:r>
        <w:rPr>
          <w:rFonts w:hint="eastAsia" w:ascii="仿宋" w:hAnsi="仿宋" w:eastAsia="仿宋" w:cs="仿宋"/>
          <w:b w:val="0"/>
          <w:bCs/>
          <w:lang w:val="en-US" w:eastAsia="zh-CN"/>
        </w:rPr>
        <w:t>,</w:t>
      </w:r>
      <w:r>
        <w:rPr>
          <w:rFonts w:hint="eastAsia" w:ascii="仿宋" w:hAnsi="仿宋" w:eastAsia="仿宋" w:cs="仿宋"/>
          <w:b w:val="0"/>
          <w:bCs/>
        </w:rPr>
        <w:t>在</w:t>
      </w:r>
      <w:r>
        <w:rPr>
          <w:rFonts w:hint="eastAsia" w:ascii="仿宋" w:hAnsi="仿宋" w:eastAsia="仿宋" w:cs="仿宋"/>
          <w:b w:val="0"/>
          <w:bCs/>
          <w:lang w:val="zh-CN" w:eastAsia="zh-CN"/>
        </w:rPr>
        <w:t>全国公共资源交易平台（陕西省.榆林市）（</w:t>
      </w:r>
      <w:r>
        <w:rPr>
          <w:rFonts w:hint="eastAsia" w:ascii="仿宋" w:hAnsi="仿宋" w:eastAsia="仿宋" w:cs="仿宋"/>
          <w:b w:val="0"/>
          <w:bCs/>
          <w:lang w:val="zh-CN" w:eastAsia="zh-CN"/>
        </w:rPr>
        <w:fldChar w:fldCharType="begin"/>
      </w:r>
      <w:r>
        <w:rPr>
          <w:rFonts w:hint="eastAsia" w:ascii="仿宋" w:hAnsi="仿宋" w:eastAsia="仿宋" w:cs="仿宋"/>
          <w:b w:val="0"/>
          <w:bCs/>
          <w:lang w:val="zh-CN" w:eastAsia="zh-CN"/>
        </w:rPr>
        <w:instrText xml:space="preserve"> HYPERLINK "http://yl.sxggzyjy.cn/"</w:instrText>
      </w:r>
      <w:r>
        <w:rPr>
          <w:rFonts w:hint="eastAsia" w:ascii="仿宋" w:hAnsi="仿宋" w:eastAsia="仿宋" w:cs="仿宋"/>
          <w:b w:val="0"/>
          <w:bCs/>
          <w:lang w:val="zh-CN" w:eastAsia="zh-CN"/>
        </w:rPr>
        <w:fldChar w:fldCharType="separate"/>
      </w:r>
      <w:r>
        <w:rPr>
          <w:rFonts w:hint="eastAsia" w:ascii="仿宋" w:hAnsi="仿宋" w:eastAsia="仿宋" w:cs="仿宋"/>
          <w:b w:val="0"/>
          <w:bCs/>
          <w:lang w:val="zh-CN" w:eastAsia="zh-CN"/>
        </w:rPr>
        <w:t>http://yl.sxggzyjy.cn/</w:t>
      </w:r>
      <w:r>
        <w:rPr>
          <w:rFonts w:hint="eastAsia" w:ascii="仿宋" w:hAnsi="仿宋" w:eastAsia="仿宋" w:cs="仿宋"/>
          <w:b w:val="0"/>
          <w:bCs/>
          <w:lang w:val="zh-CN" w:eastAsia="zh-CN"/>
        </w:rPr>
        <w:fldChar w:fldCharType="end"/>
      </w:r>
      <w:r>
        <w:rPr>
          <w:rFonts w:hint="eastAsia" w:ascii="仿宋" w:hAnsi="仿宋" w:eastAsia="仿宋" w:cs="仿宋"/>
          <w:b w:val="0"/>
          <w:bCs/>
          <w:lang w:val="zh-CN" w:eastAsia="zh-CN"/>
        </w:rPr>
        <w:t>）</w:t>
      </w:r>
      <w:r>
        <w:rPr>
          <w:rFonts w:hint="eastAsia" w:ascii="仿宋" w:hAnsi="仿宋" w:eastAsia="仿宋" w:cs="仿宋"/>
          <w:b w:val="0"/>
          <w:bCs/>
        </w:rPr>
        <w:t>榆林市不见面开标大厅系统在线签到参与开标。</w:t>
      </w:r>
    </w:p>
    <w:p w14:paraId="2DE66B71">
      <w:pPr>
        <w:spacing w:line="500" w:lineRule="exact"/>
        <w:ind w:firstLine="566" w:firstLineChars="200"/>
        <w:rPr>
          <w:rFonts w:hint="eastAsia" w:ascii="华文仿宋" w:hAnsi="华文仿宋" w:cs="华文仿宋"/>
        </w:rPr>
      </w:pPr>
      <w:r>
        <w:rPr>
          <w:rFonts w:hint="eastAsia" w:ascii="仿宋" w:hAnsi="仿宋" w:eastAsia="仿宋" w:cs="仿宋"/>
          <w:b/>
          <w:bCs/>
        </w:rPr>
        <w:t>5.3</w:t>
      </w:r>
      <w:r>
        <w:rPr>
          <w:rFonts w:hint="eastAsia" w:ascii="华文仿宋" w:hAnsi="华文仿宋" w:cs="华文仿宋"/>
        </w:rPr>
        <w:t>宣布</w:t>
      </w:r>
      <w:r>
        <w:rPr>
          <w:rFonts w:hint="eastAsia" w:ascii="华文仿宋" w:hAnsi="华文仿宋" w:cs="华文仿宋"/>
          <w:lang w:val="en-US" w:eastAsia="zh-CN"/>
        </w:rPr>
        <w:t>开标</w:t>
      </w:r>
      <w:r>
        <w:rPr>
          <w:rFonts w:hint="eastAsia" w:ascii="华文仿宋" w:hAnsi="华文仿宋" w:cs="华文仿宋"/>
        </w:rPr>
        <w:t>纪律、公布</w:t>
      </w:r>
      <w:r>
        <w:rPr>
          <w:rFonts w:hint="eastAsia" w:ascii="华文仿宋" w:hAnsi="华文仿宋" w:cs="华文仿宋"/>
          <w:lang w:val="en-US" w:eastAsia="zh-CN"/>
        </w:rPr>
        <w:t>投标</w:t>
      </w:r>
      <w:r>
        <w:rPr>
          <w:rFonts w:hint="eastAsia" w:ascii="华文仿宋" w:hAnsi="华文仿宋" w:cs="华文仿宋"/>
        </w:rPr>
        <w:t>文件递交情况。</w:t>
      </w:r>
    </w:p>
    <w:p w14:paraId="0DAC347C">
      <w:pPr>
        <w:spacing w:line="500" w:lineRule="exact"/>
        <w:ind w:firstLine="566" w:firstLineChars="200"/>
        <w:rPr>
          <w:rFonts w:hint="default" w:ascii="华文仿宋" w:hAnsi="华文仿宋" w:eastAsia="华文仿宋" w:cs="华文仿宋"/>
          <w:b w:val="0"/>
          <w:bCs w:val="0"/>
          <w:lang w:val="en-US" w:eastAsia="zh-CN"/>
        </w:rPr>
      </w:pPr>
      <w:r>
        <w:rPr>
          <w:rFonts w:hint="eastAsia" w:ascii="华文仿宋" w:hAnsi="华文仿宋" w:cs="华文仿宋"/>
          <w:b w:val="0"/>
          <w:bCs w:val="0"/>
          <w:lang w:val="en-US" w:eastAsia="zh-CN"/>
        </w:rPr>
        <w:t>递交投标文件的投标人不足三家的，予以废标。</w:t>
      </w:r>
    </w:p>
    <w:p w14:paraId="5522FB32">
      <w:pPr>
        <w:spacing w:line="500" w:lineRule="exact"/>
        <w:ind w:firstLine="553" w:firstLineChars="196"/>
        <w:rPr>
          <w:rFonts w:hint="eastAsia" w:ascii="仿宋" w:hAnsi="仿宋" w:eastAsia="仿宋" w:cs="仿宋"/>
          <w:bCs/>
        </w:rPr>
      </w:pPr>
      <w:r>
        <w:rPr>
          <w:rFonts w:hint="eastAsia" w:ascii="仿宋" w:hAnsi="仿宋" w:eastAsia="仿宋" w:cs="仿宋"/>
          <w:b/>
          <w:bCs/>
        </w:rPr>
        <w:t>5.4</w:t>
      </w:r>
      <w:r>
        <w:rPr>
          <w:rFonts w:hint="eastAsia" w:ascii="仿宋" w:hAnsi="仿宋" w:eastAsia="仿宋" w:cs="仿宋"/>
        </w:rPr>
        <w:t>开标时，投标人应</w:t>
      </w:r>
      <w:r>
        <w:rPr>
          <w:rFonts w:hint="eastAsia" w:ascii="仿宋" w:hAnsi="仿宋" w:eastAsia="仿宋" w:cs="仿宋"/>
          <w:b/>
          <w:bCs/>
        </w:rPr>
        <w:t>在规定时间内，在榆林市不见面开标大厅系统使用电子响应文件加密时所用的数字认证证书（CA 锁）自行解密电子投标文件。未在规定时间内解密的，视为投标无效。</w:t>
      </w:r>
      <w:r>
        <w:rPr>
          <w:rFonts w:hint="eastAsia" w:ascii="仿宋" w:hAnsi="仿宋" w:eastAsia="仿宋" w:cs="仿宋"/>
          <w:bCs/>
        </w:rPr>
        <w:t>（因系统问题或其他原因导致在规定时间内所有投标人均无法解密或解密不足三家的除外）</w:t>
      </w:r>
    </w:p>
    <w:p w14:paraId="459D872F">
      <w:pPr>
        <w:spacing w:line="500" w:lineRule="exact"/>
        <w:ind w:firstLine="553" w:firstLineChars="196"/>
        <w:rPr>
          <w:rFonts w:hint="default" w:ascii="仿宋" w:hAnsi="仿宋" w:eastAsia="仿宋" w:cs="仿宋"/>
          <w:b w:val="0"/>
          <w:bCs/>
          <w:lang w:val="en-US" w:eastAsia="zh-CN"/>
        </w:rPr>
      </w:pPr>
      <w:r>
        <w:rPr>
          <w:rFonts w:hint="eastAsia" w:ascii="仿宋" w:hAnsi="仿宋" w:eastAsia="仿宋" w:cs="仿宋"/>
          <w:b w:val="0"/>
          <w:bCs/>
          <w:lang w:val="en-US" w:eastAsia="zh-CN"/>
        </w:rPr>
        <w:t>成功解密投标文件的投标人不足三家的，予以废标。</w:t>
      </w:r>
    </w:p>
    <w:p w14:paraId="09C1B119">
      <w:pPr>
        <w:spacing w:line="500" w:lineRule="exact"/>
        <w:ind w:firstLine="553" w:firstLineChars="196"/>
        <w:rPr>
          <w:rFonts w:ascii="华文仿宋" w:hAnsi="华文仿宋" w:cs="华文仿宋"/>
        </w:rPr>
      </w:pPr>
      <w:r>
        <w:rPr>
          <w:rFonts w:hint="eastAsia" w:ascii="仿宋" w:hAnsi="仿宋" w:eastAsia="仿宋" w:cs="仿宋"/>
          <w:b/>
          <w:bCs/>
        </w:rPr>
        <w:t>5.5</w:t>
      </w:r>
      <w:r>
        <w:rPr>
          <w:rFonts w:hint="eastAsia" w:ascii="华文仿宋" w:hAnsi="华文仿宋" w:cs="华文仿宋"/>
        </w:rPr>
        <w:t>导入已解密的投标文件，并进行开标、唱标。</w:t>
      </w:r>
    </w:p>
    <w:p w14:paraId="3B8017A6">
      <w:pPr>
        <w:spacing w:line="500" w:lineRule="exact"/>
        <w:ind w:firstLine="566" w:firstLineChars="200"/>
        <w:rPr>
          <w:rFonts w:ascii="华文仿宋" w:hAnsi="华文仿宋" w:cs="华文仿宋"/>
        </w:rPr>
      </w:pPr>
      <w:r>
        <w:rPr>
          <w:rFonts w:hint="eastAsia" w:ascii="仿宋" w:hAnsi="仿宋" w:eastAsia="仿宋" w:cs="仿宋"/>
          <w:b/>
          <w:bCs/>
        </w:rPr>
        <w:t>5.6</w:t>
      </w:r>
      <w:r>
        <w:rPr>
          <w:rFonts w:hint="eastAsia" w:ascii="华文仿宋" w:hAnsi="华文仿宋" w:cs="华文仿宋"/>
        </w:rPr>
        <w:t>投标人对开标会议过程和开标记录有疑义，以及认为采购人、府谷县政府投资和采购服务中心相关工作人员有需要回避情形的，应当场提出询问或回避申请，采购人、府谷县政府投资和采购服务中心应当及时处理。</w:t>
      </w:r>
    </w:p>
    <w:p w14:paraId="2C01DC88">
      <w:pPr>
        <w:spacing w:line="500" w:lineRule="exact"/>
        <w:ind w:firstLine="566" w:firstLineChars="200"/>
        <w:rPr>
          <w:rFonts w:ascii="华文仿宋" w:hAnsi="华文仿宋" w:cs="华文仿宋"/>
        </w:rPr>
      </w:pPr>
      <w:r>
        <w:rPr>
          <w:rFonts w:hint="eastAsia" w:ascii="仿宋" w:hAnsi="仿宋" w:eastAsia="仿宋" w:cs="仿宋"/>
          <w:b/>
          <w:bCs/>
        </w:rPr>
        <w:t>5.7</w:t>
      </w:r>
      <w:r>
        <w:rPr>
          <w:rFonts w:hint="eastAsia" w:ascii="华文仿宋" w:hAnsi="华文仿宋" w:cs="华文仿宋"/>
        </w:rPr>
        <w:t>投标人在投标文件解密后未参加开标会的，视同认可开标结果。</w:t>
      </w:r>
    </w:p>
    <w:p w14:paraId="5636E3C8">
      <w:pPr>
        <w:spacing w:line="500" w:lineRule="exact"/>
        <w:ind w:firstLine="566" w:firstLineChars="200"/>
        <w:rPr>
          <w:rFonts w:ascii="华文仿宋" w:hAnsi="华文仿宋" w:cs="华文仿宋"/>
          <w:b/>
        </w:rPr>
      </w:pPr>
      <w:r>
        <w:rPr>
          <w:rFonts w:hint="eastAsia" w:ascii="仿宋" w:hAnsi="仿宋" w:eastAsia="仿宋" w:cs="仿宋"/>
          <w:b/>
          <w:bCs/>
        </w:rPr>
        <w:t>5.8</w:t>
      </w:r>
      <w:r>
        <w:rPr>
          <w:rFonts w:hint="eastAsia" w:ascii="华文仿宋" w:hAnsi="华文仿宋" w:cs="华文仿宋"/>
          <w:b/>
        </w:rPr>
        <w:t>在开启环节出现下列情况之一的，其响应文件视为</w:t>
      </w:r>
      <w:r>
        <w:rPr>
          <w:rFonts w:hint="eastAsia" w:ascii="华文仿宋" w:hAnsi="华文仿宋" w:cs="华文仿宋"/>
          <w:b/>
          <w:color w:val="FF0000"/>
        </w:rPr>
        <w:t>无效</w:t>
      </w:r>
      <w:r>
        <w:rPr>
          <w:rFonts w:hint="eastAsia" w:ascii="华文仿宋" w:hAnsi="华文仿宋" w:cs="华文仿宋"/>
          <w:b/>
        </w:rPr>
        <w:t>文件：</w:t>
      </w:r>
    </w:p>
    <w:p w14:paraId="05BED793">
      <w:pPr>
        <w:spacing w:line="500" w:lineRule="exact"/>
        <w:ind w:firstLine="566" w:firstLineChars="200"/>
        <w:rPr>
          <w:rFonts w:ascii="华文仿宋" w:hAnsi="华文仿宋" w:cs="华文仿宋"/>
        </w:rPr>
      </w:pPr>
      <w:r>
        <w:rPr>
          <w:rFonts w:hint="eastAsia" w:ascii="华文仿宋" w:hAnsi="华文仿宋" w:cs="华文仿宋"/>
        </w:rPr>
        <w:t>（1）投标人拒绝对电子响应文件进行解密的；</w:t>
      </w:r>
    </w:p>
    <w:p w14:paraId="5A6BBBEA">
      <w:pPr>
        <w:spacing w:line="500" w:lineRule="exact"/>
        <w:ind w:firstLine="566" w:firstLineChars="200"/>
        <w:rPr>
          <w:rFonts w:ascii="华文仿宋" w:hAnsi="华文仿宋" w:cs="华文仿宋"/>
        </w:rPr>
      </w:pPr>
      <w:r>
        <w:rPr>
          <w:rFonts w:hint="eastAsia" w:ascii="华文仿宋" w:hAnsi="华文仿宋" w:cs="华文仿宋"/>
        </w:rPr>
        <w:t>（2）投标人在规定时间内无法解密响应文件的；</w:t>
      </w:r>
      <w:r>
        <w:rPr>
          <w:rFonts w:ascii="华文仿宋" w:hAnsi="华文仿宋" w:cs="华文仿宋"/>
        </w:rPr>
        <w:t xml:space="preserve"> </w:t>
      </w:r>
    </w:p>
    <w:p w14:paraId="6703733F">
      <w:pPr>
        <w:spacing w:line="500" w:lineRule="exact"/>
        <w:ind w:firstLine="566" w:firstLineChars="200"/>
        <w:rPr>
          <w:rFonts w:ascii="华文仿宋" w:hAnsi="华文仿宋" w:cs="华文仿宋"/>
        </w:rPr>
      </w:pPr>
      <w:r>
        <w:rPr>
          <w:rFonts w:hint="eastAsia" w:ascii="华文仿宋" w:hAnsi="华文仿宋" w:cs="华文仿宋"/>
        </w:rPr>
        <w:t>（3）上传的电子响应文件无法打开的；</w:t>
      </w:r>
    </w:p>
    <w:p w14:paraId="0295CE3C">
      <w:pPr>
        <w:spacing w:line="500" w:lineRule="exact"/>
        <w:ind w:firstLine="566" w:firstLineChars="200"/>
        <w:rPr>
          <w:rFonts w:ascii="华文仿宋" w:hAnsi="华文仿宋" w:cs="华文仿宋"/>
        </w:rPr>
      </w:pPr>
      <w:r>
        <w:rPr>
          <w:rFonts w:hint="eastAsia" w:ascii="华文仿宋" w:hAnsi="华文仿宋" w:cs="华文仿宋"/>
        </w:rPr>
        <w:t>（4）政府采购法律法规规定的其他无效情形。</w:t>
      </w:r>
    </w:p>
    <w:p w14:paraId="76F05A54">
      <w:pPr>
        <w:spacing w:line="500" w:lineRule="exact"/>
        <w:ind w:firstLine="566" w:firstLineChars="200"/>
        <w:rPr>
          <w:rFonts w:ascii="仿宋" w:hAnsi="仿宋" w:eastAsia="仿宋"/>
        </w:rPr>
      </w:pPr>
      <w:r>
        <w:rPr>
          <w:rFonts w:hint="eastAsia" w:ascii="仿宋" w:hAnsi="仿宋" w:eastAsia="仿宋" w:cs="仿宋"/>
          <w:b/>
          <w:bCs/>
        </w:rPr>
        <w:t>5.9</w:t>
      </w:r>
      <w:r>
        <w:rPr>
          <w:rFonts w:hint="eastAsia" w:ascii="仿宋" w:hAnsi="仿宋" w:eastAsia="仿宋"/>
        </w:rPr>
        <w:t>特殊情形下的应急处置：</w:t>
      </w:r>
    </w:p>
    <w:p w14:paraId="6EAD8AA3">
      <w:pPr>
        <w:spacing w:line="336" w:lineRule="auto"/>
        <w:ind w:firstLine="555"/>
        <w:jc w:val="left"/>
        <w:rPr>
          <w:rFonts w:ascii="仿宋" w:hAnsi="仿宋" w:eastAsia="仿宋"/>
        </w:rPr>
      </w:pPr>
      <w:r>
        <w:rPr>
          <w:rFonts w:hint="eastAsia" w:ascii="仿宋" w:hAnsi="仿宋" w:eastAsia="仿宋"/>
        </w:rPr>
        <w:t>在开标、评审过程中，如因停电、断网、电子化系统故障等特殊原因导致电子化开、评审无法正常进行时，将视文件解密情况特殊处理。</w:t>
      </w:r>
    </w:p>
    <w:p w14:paraId="4FAB052D">
      <w:pPr>
        <w:spacing w:line="336" w:lineRule="auto"/>
        <w:ind w:firstLine="555"/>
        <w:jc w:val="left"/>
        <w:rPr>
          <w:rFonts w:hint="eastAsia" w:ascii="仿宋" w:hAnsi="仿宋" w:eastAsia="仿宋"/>
        </w:rPr>
      </w:pPr>
      <w:r>
        <w:rPr>
          <w:rFonts w:hint="eastAsia" w:ascii="仿宋" w:hAnsi="仿宋" w:eastAsia="仿宋"/>
        </w:rPr>
        <w:t>1、开标时文件未解密的，将另行确定时间继续完成开标程序；</w:t>
      </w:r>
    </w:p>
    <w:p w14:paraId="58423EE6">
      <w:pPr>
        <w:spacing w:line="336" w:lineRule="auto"/>
        <w:ind w:firstLine="555"/>
        <w:jc w:val="left"/>
        <w:rPr>
          <w:rFonts w:ascii="仿宋" w:hAnsi="仿宋" w:eastAsia="仿宋"/>
        </w:rPr>
      </w:pPr>
      <w:r>
        <w:rPr>
          <w:rFonts w:hint="eastAsia" w:ascii="仿宋" w:hAnsi="仿宋" w:eastAsia="仿宋"/>
        </w:rPr>
        <w:t>2、开标后文件已解密但评审结论未形成的，将发布废标公告，重新组</w:t>
      </w:r>
    </w:p>
    <w:p w14:paraId="033B4877">
      <w:pPr>
        <w:spacing w:line="336" w:lineRule="auto"/>
        <w:jc w:val="left"/>
        <w:rPr>
          <w:rFonts w:ascii="仿宋" w:hAnsi="仿宋" w:eastAsia="仿宋"/>
        </w:rPr>
      </w:pPr>
      <w:r>
        <w:rPr>
          <w:rFonts w:hint="eastAsia" w:ascii="仿宋" w:hAnsi="仿宋" w:eastAsia="仿宋"/>
        </w:rPr>
        <w:t>织采购活动；</w:t>
      </w:r>
    </w:p>
    <w:p w14:paraId="7E947AF6">
      <w:pPr>
        <w:spacing w:line="336" w:lineRule="auto"/>
        <w:ind w:firstLine="555"/>
        <w:jc w:val="left"/>
        <w:rPr>
          <w:rFonts w:ascii="仿宋" w:hAnsi="仿宋" w:eastAsia="仿宋"/>
        </w:rPr>
      </w:pPr>
      <w:r>
        <w:rPr>
          <w:rFonts w:hint="eastAsia" w:ascii="仿宋" w:hAnsi="仿宋" w:eastAsia="仿宋"/>
        </w:rPr>
        <w:t>3、开标后文件已解密且评审结论已形成的，待特殊情况排除后，继续</w:t>
      </w:r>
    </w:p>
    <w:p w14:paraId="5CD17056">
      <w:pPr>
        <w:spacing w:line="336" w:lineRule="auto"/>
        <w:jc w:val="left"/>
        <w:rPr>
          <w:rFonts w:ascii="仿宋" w:hAnsi="仿宋" w:eastAsia="仿宋"/>
        </w:rPr>
      </w:pPr>
      <w:r>
        <w:rPr>
          <w:rFonts w:hint="eastAsia" w:ascii="仿宋" w:hAnsi="仿宋" w:eastAsia="仿宋"/>
        </w:rPr>
        <w:t>完成评审活动。</w:t>
      </w:r>
    </w:p>
    <w:p w14:paraId="76AE147D">
      <w:pPr>
        <w:spacing w:line="336" w:lineRule="auto"/>
        <w:ind w:firstLine="555"/>
        <w:jc w:val="center"/>
        <w:rPr>
          <w:rFonts w:ascii="黑体" w:hAnsi="黑体" w:eastAsia="黑体" w:cs="宋体"/>
          <w:sz w:val="30"/>
          <w:szCs w:val="30"/>
        </w:rPr>
      </w:pPr>
      <w:r>
        <w:rPr>
          <w:rFonts w:hint="eastAsia" w:ascii="黑体" w:hAnsi="黑体" w:eastAsia="黑体" w:cs="宋体"/>
          <w:sz w:val="30"/>
          <w:szCs w:val="30"/>
        </w:rPr>
        <w:t>六、资格审查</w:t>
      </w:r>
    </w:p>
    <w:p w14:paraId="684954FF">
      <w:pPr>
        <w:keepNext w:val="0"/>
        <w:keepLines w:val="0"/>
        <w:pageBreakBefore w:val="0"/>
        <w:widowControl w:val="0"/>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rPr>
      </w:pPr>
      <w:r>
        <w:rPr>
          <w:rFonts w:hint="eastAsia" w:ascii="仿宋" w:hAnsi="仿宋" w:eastAsia="仿宋" w:cs="仿宋"/>
          <w:b/>
          <w:bCs/>
        </w:rPr>
        <w:t>6.1</w:t>
      </w:r>
      <w:r>
        <w:rPr>
          <w:rFonts w:hint="eastAsia" w:ascii="华文仿宋" w:hAnsi="华文仿宋" w:cs="华文仿宋"/>
        </w:rPr>
        <w:t>投标人的资格由采购人组建的资审小组进行审查。资审小组由3人及以上单数组成，资审小组组长由采购人代表担任，成员由采购人和府谷县政府投资和采购服务中心人员组成。</w:t>
      </w:r>
      <w:r>
        <w:rPr>
          <w:rFonts w:ascii="华文仿宋" w:hAnsi="华文仿宋" w:cs="华文仿宋"/>
        </w:rPr>
        <w:t>开标结束后，</w:t>
      </w:r>
      <w:r>
        <w:rPr>
          <w:rFonts w:hint="eastAsia" w:ascii="华文仿宋" w:hAnsi="华文仿宋" w:cs="华文仿宋"/>
        </w:rPr>
        <w:t>资审小组依据招标文件的资格审查标准，对投标人递交的资格证明文件进行审查。</w:t>
      </w:r>
    </w:p>
    <w:p w14:paraId="63456793">
      <w:pPr>
        <w:spacing w:line="500" w:lineRule="exact"/>
        <w:ind w:firstLine="566" w:firstLineChars="200"/>
        <w:rPr>
          <w:rFonts w:ascii="Calibri" w:hAnsi="Calibri"/>
          <w:b/>
          <w:bCs/>
        </w:rPr>
      </w:pPr>
      <w:r>
        <w:rPr>
          <w:rFonts w:hint="eastAsia" w:ascii="仿宋" w:hAnsi="仿宋" w:eastAsia="仿宋" w:cs="仿宋"/>
          <w:b/>
          <w:bCs/>
        </w:rPr>
        <w:t>6.2</w:t>
      </w:r>
      <w:r>
        <w:rPr>
          <w:rFonts w:hint="eastAsia" w:ascii="Calibri" w:hAnsi="Calibri"/>
          <w:b/>
          <w:bCs/>
        </w:rPr>
        <w:t>出现下列情形的，投标文件将被视为</w:t>
      </w:r>
      <w:r>
        <w:rPr>
          <w:rFonts w:hint="eastAsia" w:ascii="Calibri" w:hAnsi="Calibri"/>
          <w:b/>
          <w:bCs/>
          <w:color w:val="FF0000"/>
        </w:rPr>
        <w:t>无效</w:t>
      </w:r>
      <w:r>
        <w:rPr>
          <w:rFonts w:hint="eastAsia" w:ascii="Calibri" w:hAnsi="Calibri"/>
          <w:b/>
          <w:bCs/>
        </w:rPr>
        <w:t>：</w:t>
      </w:r>
    </w:p>
    <w:p w14:paraId="3918A319">
      <w:pPr>
        <w:spacing w:line="500" w:lineRule="exact"/>
        <w:ind w:firstLine="566" w:firstLineChars="200"/>
        <w:rPr>
          <w:rFonts w:ascii="Calibri" w:hAnsi="Calibri"/>
        </w:rPr>
      </w:pPr>
      <w:r>
        <w:rPr>
          <w:rFonts w:ascii="Calibri" w:hAnsi="Calibri"/>
        </w:rPr>
        <w:t>6.</w:t>
      </w:r>
      <w:r>
        <w:rPr>
          <w:rFonts w:hint="eastAsia" w:ascii="Calibri" w:hAnsi="Calibri"/>
        </w:rPr>
        <w:t>2</w:t>
      </w:r>
      <w:r>
        <w:rPr>
          <w:rFonts w:ascii="Calibri" w:hAnsi="Calibri"/>
        </w:rPr>
        <w:t>.1</w:t>
      </w:r>
      <w:r>
        <w:rPr>
          <w:rFonts w:hint="eastAsia" w:ascii="Calibri" w:hAnsi="Calibri"/>
        </w:rPr>
        <w:t xml:space="preserve"> 不具备招标文件中规定的资格要求的；</w:t>
      </w:r>
    </w:p>
    <w:p w14:paraId="6F55AF2D">
      <w:pPr>
        <w:spacing w:line="500" w:lineRule="exact"/>
        <w:ind w:firstLine="566" w:firstLineChars="200"/>
        <w:rPr>
          <w:rFonts w:ascii="Calibri" w:hAnsi="Calibri"/>
        </w:rPr>
      </w:pPr>
      <w:r>
        <w:rPr>
          <w:rFonts w:hint="eastAsia" w:ascii="Calibri" w:hAnsi="Calibri"/>
        </w:rPr>
        <w:t>6.2.2 未按招标文件要求提供</w:t>
      </w:r>
      <w:r>
        <w:t>资格</w:t>
      </w:r>
      <w:r>
        <w:rPr>
          <w:rFonts w:hint="eastAsia"/>
        </w:rPr>
        <w:t>证明文件</w:t>
      </w:r>
      <w:r>
        <w:rPr>
          <w:rFonts w:hint="eastAsia" w:ascii="Calibri" w:hAnsi="Calibri"/>
        </w:rPr>
        <w:t>，或未按招标文件要求加盖公章的；</w:t>
      </w:r>
    </w:p>
    <w:p w14:paraId="65A507A4">
      <w:pPr>
        <w:spacing w:line="500" w:lineRule="exact"/>
        <w:ind w:firstLine="566" w:firstLineChars="200"/>
        <w:rPr>
          <w:rFonts w:ascii="Calibri" w:hAnsi="Calibri"/>
        </w:rPr>
      </w:pPr>
      <w:r>
        <w:rPr>
          <w:rFonts w:ascii="Calibri" w:hAnsi="Calibri"/>
        </w:rPr>
        <w:t>6.</w:t>
      </w:r>
      <w:r>
        <w:rPr>
          <w:rFonts w:hint="eastAsia" w:ascii="Calibri" w:hAnsi="Calibri"/>
        </w:rPr>
        <w:t>2</w:t>
      </w:r>
      <w:r>
        <w:rPr>
          <w:rFonts w:ascii="Calibri" w:hAnsi="Calibri"/>
        </w:rPr>
        <w:t>.</w:t>
      </w:r>
      <w:r>
        <w:rPr>
          <w:rFonts w:hint="eastAsia" w:ascii="Calibri" w:hAnsi="Calibri"/>
        </w:rPr>
        <w:t>3 资审小组认为投标人的资格证明文件存在疑点，要求投标人现场提供</w:t>
      </w:r>
      <w:r>
        <w:rPr>
          <w:rFonts w:hint="eastAsia"/>
        </w:rPr>
        <w:t>证明文件</w:t>
      </w:r>
      <w:r>
        <w:rPr>
          <w:rFonts w:hint="eastAsia" w:ascii="Calibri" w:hAnsi="Calibri"/>
        </w:rPr>
        <w:t>，投标人不能在规定时限内提供</w:t>
      </w:r>
      <w:r>
        <w:rPr>
          <w:rFonts w:hint="eastAsia"/>
        </w:rPr>
        <w:t>符合招标文件要求的证明文件的</w:t>
      </w:r>
      <w:r>
        <w:rPr>
          <w:rFonts w:hint="eastAsia" w:ascii="Calibri" w:hAnsi="Calibri"/>
        </w:rPr>
        <w:t>。</w:t>
      </w:r>
    </w:p>
    <w:p w14:paraId="7C382B9C">
      <w:pPr>
        <w:spacing w:line="500" w:lineRule="exact"/>
        <w:ind w:firstLine="566" w:firstLineChars="200"/>
        <w:rPr>
          <w:rFonts w:ascii="华文仿宋" w:hAnsi="华文仿宋" w:cs="华文仿宋"/>
        </w:rPr>
      </w:pPr>
      <w:r>
        <w:rPr>
          <w:rFonts w:hint="eastAsia" w:ascii="仿宋" w:hAnsi="仿宋" w:eastAsia="仿宋" w:cs="仿宋"/>
          <w:b/>
        </w:rPr>
        <w:t>6.3</w:t>
      </w:r>
      <w:r>
        <w:rPr>
          <w:rFonts w:hint="eastAsia" w:ascii="华文仿宋" w:hAnsi="华文仿宋" w:cs="华文仿宋"/>
        </w:rPr>
        <w:t>资格审查结束后，资审小组成员应当对审查结果进行签字确认，并告知</w:t>
      </w:r>
      <w:r>
        <w:rPr>
          <w:rFonts w:hint="eastAsia" w:ascii="华文仿宋" w:hAnsi="华文仿宋" w:cs="华文仿宋"/>
          <w:lang w:val="en-US" w:eastAsia="zh-CN"/>
        </w:rPr>
        <w:t>无效投标人</w:t>
      </w:r>
      <w:r>
        <w:rPr>
          <w:rFonts w:hint="eastAsia" w:ascii="华文仿宋" w:hAnsi="华文仿宋" w:cs="华文仿宋"/>
        </w:rPr>
        <w:t>资格审查未通过的原因。</w:t>
      </w:r>
    </w:p>
    <w:p w14:paraId="17A4B0A9">
      <w:pPr>
        <w:spacing w:line="500" w:lineRule="exact"/>
        <w:ind w:firstLine="566" w:firstLineChars="200"/>
        <w:rPr>
          <w:rFonts w:ascii="仿宋" w:hAnsi="仿宋" w:eastAsia="仿宋" w:cs="仿宋"/>
        </w:rPr>
      </w:pPr>
      <w:r>
        <w:rPr>
          <w:rFonts w:hint="eastAsia" w:ascii="仿宋" w:hAnsi="仿宋" w:eastAsia="仿宋" w:cs="仿宋"/>
          <w:b/>
        </w:rPr>
        <w:t>6.4</w:t>
      </w:r>
      <w:r>
        <w:rPr>
          <w:rFonts w:hint="eastAsia" w:ascii="仿宋" w:hAnsi="仿宋" w:eastAsia="仿宋" w:cs="仿宋"/>
        </w:rPr>
        <w:t>资格审查结束后，资审小组成员应当对审查结果进行系统确认。并对资格审查未通过的供应商的响应文件进行无效确认。</w:t>
      </w:r>
    </w:p>
    <w:p w14:paraId="131DACAD">
      <w:pPr>
        <w:pStyle w:val="4"/>
        <w:ind w:firstLine="556" w:firstLineChars="197"/>
      </w:pPr>
      <w:r>
        <w:rPr>
          <w:rFonts w:hint="eastAsia" w:ascii="仿宋" w:hAnsi="仿宋" w:eastAsia="仿宋" w:cs="仿宋"/>
          <w:b/>
        </w:rPr>
        <w:t>6.5</w:t>
      </w:r>
      <w:r>
        <w:rPr>
          <w:rFonts w:hint="eastAsia" w:ascii="华文仿宋" w:hAnsi="华文仿宋" w:cs="华文仿宋"/>
        </w:rPr>
        <w:t>投标人对资格审查结果有疑问的，可以向采购人提出询问，采购人将及时答复。投标人认为资格审查结果使自己的权益受到损害的，可以在7个工作日内，以书面形式向采购人提出质疑。</w:t>
      </w:r>
    </w:p>
    <w:p w14:paraId="64BA0103">
      <w:pPr>
        <w:pStyle w:val="4"/>
        <w:ind w:firstLine="559" w:firstLineChars="198"/>
        <w:rPr>
          <w:rFonts w:ascii="黑体" w:hAnsi="黑体" w:eastAsia="黑体"/>
          <w:b/>
          <w:sz w:val="30"/>
          <w:szCs w:val="30"/>
        </w:rPr>
      </w:pPr>
      <w:r>
        <w:rPr>
          <w:rFonts w:hint="eastAsia" w:ascii="仿宋" w:hAnsi="仿宋" w:eastAsia="仿宋" w:cs="仿宋"/>
          <w:b/>
        </w:rPr>
        <w:t>6.6</w:t>
      </w:r>
      <w:r>
        <w:rPr>
          <w:rFonts w:hint="eastAsia"/>
        </w:rPr>
        <w:t>资格审查合格投标人不足</w:t>
      </w:r>
      <w:r>
        <w:rPr>
          <w:rFonts w:hint="eastAsia"/>
          <w:lang w:val="en-US" w:eastAsia="zh-CN"/>
        </w:rPr>
        <w:t>三</w:t>
      </w:r>
      <w:r>
        <w:rPr>
          <w:rFonts w:hint="eastAsia"/>
        </w:rPr>
        <w:t>家的，不得进行评标。</w:t>
      </w:r>
    </w:p>
    <w:p w14:paraId="063E4DF7">
      <w:pPr>
        <w:pStyle w:val="4"/>
        <w:ind w:firstLine="599" w:firstLineChars="198"/>
        <w:jc w:val="center"/>
        <w:rPr>
          <w:rFonts w:ascii="黑体" w:hAnsi="黑体" w:eastAsia="黑体"/>
          <w:b/>
          <w:sz w:val="30"/>
          <w:szCs w:val="30"/>
        </w:rPr>
      </w:pPr>
      <w:r>
        <w:rPr>
          <w:rFonts w:hint="eastAsia" w:ascii="黑体" w:hAnsi="黑体" w:eastAsia="黑体"/>
          <w:b/>
          <w:sz w:val="30"/>
          <w:szCs w:val="30"/>
        </w:rPr>
        <w:t>七</w:t>
      </w:r>
      <w:r>
        <w:rPr>
          <w:rFonts w:ascii="黑体" w:hAnsi="黑体" w:eastAsia="黑体"/>
          <w:b/>
          <w:sz w:val="30"/>
          <w:szCs w:val="30"/>
        </w:rPr>
        <w:t>、</w:t>
      </w:r>
      <w:r>
        <w:rPr>
          <w:rFonts w:hint="eastAsia" w:ascii="黑体" w:hAnsi="黑体" w:eastAsia="黑体"/>
          <w:b/>
          <w:sz w:val="30"/>
          <w:szCs w:val="30"/>
        </w:rPr>
        <w:t>组织</w:t>
      </w:r>
      <w:r>
        <w:rPr>
          <w:rFonts w:ascii="黑体" w:hAnsi="黑体" w:eastAsia="黑体"/>
          <w:b/>
          <w:sz w:val="30"/>
          <w:szCs w:val="30"/>
        </w:rPr>
        <w:t>评标</w:t>
      </w:r>
    </w:p>
    <w:p w14:paraId="5367F81B">
      <w:pPr>
        <w:pStyle w:val="22"/>
        <w:spacing w:beforeAutospacing="0" w:afterAutospacing="0" w:line="500" w:lineRule="exact"/>
        <w:ind w:firstLine="556" w:firstLineChars="197"/>
        <w:rPr>
          <w:rFonts w:ascii="华文仿宋" w:hAnsi="华文仿宋" w:cs="仿宋"/>
          <w:b/>
          <w:bCs/>
          <w:color w:val="333333"/>
          <w:sz w:val="28"/>
        </w:rPr>
      </w:pPr>
      <w:r>
        <w:rPr>
          <w:rFonts w:hint="eastAsia" w:ascii="仿宋" w:hAnsi="仿宋" w:eastAsia="仿宋" w:cs="仿宋"/>
          <w:b/>
          <w:kern w:val="2"/>
          <w:sz w:val="28"/>
        </w:rPr>
        <w:t>7.1</w:t>
      </w:r>
      <w:r>
        <w:rPr>
          <w:rFonts w:hint="eastAsia" w:ascii="华文仿宋" w:hAnsi="华文仿宋" w:cs="仿宋"/>
          <w:b/>
          <w:bCs/>
          <w:color w:val="333333"/>
          <w:sz w:val="28"/>
          <w:shd w:val="clear" w:color="auto" w:fill="FFFFFF"/>
        </w:rPr>
        <w:t>采购代理机构负责组织评标工作，并履行下列职责：</w:t>
      </w:r>
    </w:p>
    <w:p w14:paraId="59EAC688">
      <w:pPr>
        <w:pStyle w:val="22"/>
        <w:spacing w:beforeAutospacing="0" w:afterAutospacing="0" w:line="500" w:lineRule="exact"/>
        <w:ind w:firstLine="566" w:firstLineChars="200"/>
        <w:rPr>
          <w:rFonts w:ascii="华文仿宋" w:hAnsi="华文仿宋" w:cs="仿宋"/>
          <w:sz w:val="28"/>
        </w:rPr>
      </w:pPr>
      <w:r>
        <w:rPr>
          <w:rFonts w:hint="eastAsia" w:ascii="华文仿宋" w:hAnsi="华文仿宋" w:cs="仿宋"/>
          <w:sz w:val="28"/>
          <w:shd w:val="clear" w:color="auto" w:fill="FFFFFF"/>
        </w:rPr>
        <w:t>（1）核对评审专家身份和采购人代表授权函，对评审专家在政府采购活动中的职责履行情况予以记录，并及时将有关违法违规行为向财政部门报告;</w:t>
      </w:r>
    </w:p>
    <w:p w14:paraId="19F87CAE">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（2）宣布评审纪律;</w:t>
      </w:r>
    </w:p>
    <w:p w14:paraId="7C60A835">
      <w:pPr>
        <w:pStyle w:val="22"/>
        <w:spacing w:beforeAutospacing="0" w:afterAutospacing="0" w:line="500" w:lineRule="exact"/>
        <w:ind w:firstLine="566" w:firstLineChars="200"/>
        <w:rPr>
          <w:rFonts w:ascii="华文仿宋" w:hAnsi="华文仿宋" w:cs="仿宋"/>
          <w:color w:val="FF0000"/>
          <w:sz w:val="28"/>
        </w:rPr>
      </w:pPr>
      <w:r>
        <w:rPr>
          <w:rFonts w:hint="eastAsia" w:ascii="华文仿宋" w:hAnsi="华文仿宋" w:cs="仿宋"/>
          <w:sz w:val="28"/>
          <w:shd w:val="clear" w:color="auto" w:fill="FFFFFF"/>
        </w:rPr>
        <w:t>（3）公布投标人名单，告知评审专家应当回避的情形;</w:t>
      </w:r>
    </w:p>
    <w:p w14:paraId="22CC0DE2">
      <w:pPr>
        <w:pStyle w:val="22"/>
        <w:spacing w:beforeAutospacing="0" w:afterAutospacing="0" w:line="500" w:lineRule="exact"/>
        <w:ind w:firstLine="566" w:firstLineChars="200"/>
        <w:rPr>
          <w:rFonts w:ascii="华文仿宋" w:hAnsi="华文仿宋" w:cs="仿宋"/>
          <w:sz w:val="28"/>
        </w:rPr>
      </w:pPr>
      <w:r>
        <w:rPr>
          <w:rFonts w:hint="eastAsia" w:ascii="华文仿宋" w:hAnsi="华文仿宋" w:cs="仿宋"/>
          <w:sz w:val="28"/>
          <w:shd w:val="clear" w:color="auto" w:fill="FFFFFF"/>
        </w:rPr>
        <w:t>（4）组织评标委员会推选评审组长，采购人代表不得担任组长;</w:t>
      </w:r>
    </w:p>
    <w:p w14:paraId="28A50C32">
      <w:pPr>
        <w:pStyle w:val="22"/>
        <w:spacing w:beforeAutospacing="0" w:afterAutospacing="0" w:line="500" w:lineRule="exact"/>
        <w:ind w:firstLine="566" w:firstLineChars="200"/>
        <w:rPr>
          <w:rFonts w:ascii="华文仿宋" w:hAnsi="华文仿宋" w:cs="仿宋"/>
          <w:sz w:val="28"/>
        </w:rPr>
      </w:pPr>
      <w:r>
        <w:rPr>
          <w:rFonts w:hint="eastAsia" w:ascii="华文仿宋" w:hAnsi="华文仿宋" w:cs="仿宋"/>
          <w:sz w:val="28"/>
          <w:shd w:val="clear" w:color="auto" w:fill="FFFFFF"/>
        </w:rPr>
        <w:t>（5）在评审期间采取必要的通讯管理措施，保证评审活动不受外界干扰;</w:t>
      </w:r>
    </w:p>
    <w:p w14:paraId="73B2501D">
      <w:pPr>
        <w:pStyle w:val="22"/>
        <w:spacing w:beforeAutospacing="0" w:afterAutospacing="0" w:line="500" w:lineRule="exact"/>
        <w:ind w:firstLine="566" w:firstLineChars="200"/>
        <w:rPr>
          <w:rFonts w:ascii="华文仿宋" w:hAnsi="华文仿宋" w:cs="仿宋"/>
          <w:sz w:val="28"/>
        </w:rPr>
      </w:pPr>
      <w:r>
        <w:rPr>
          <w:rFonts w:hint="eastAsia" w:ascii="华文仿宋" w:hAnsi="华文仿宋" w:cs="仿宋"/>
          <w:sz w:val="28"/>
          <w:shd w:val="clear" w:color="auto" w:fill="FFFFFF"/>
        </w:rPr>
        <w:t>（6）根据评标委员会的要求介绍政府采购相关政策法规、招标文件;</w:t>
      </w:r>
    </w:p>
    <w:p w14:paraId="1B0777D4">
      <w:pPr>
        <w:pStyle w:val="22"/>
        <w:spacing w:beforeAutospacing="0" w:afterAutospacing="0" w:line="500" w:lineRule="exact"/>
        <w:ind w:firstLine="566" w:firstLineChars="200"/>
        <w:rPr>
          <w:rFonts w:ascii="华文仿宋" w:hAnsi="华文仿宋" w:cs="仿宋"/>
          <w:sz w:val="28"/>
        </w:rPr>
      </w:pPr>
      <w:r>
        <w:rPr>
          <w:rFonts w:hint="eastAsia" w:ascii="华文仿宋" w:hAnsi="华文仿宋" w:cs="仿宋"/>
          <w:sz w:val="28"/>
          <w:shd w:val="clear" w:color="auto" w:fill="FFFFFF"/>
        </w:rPr>
        <w:t>（7）维护评审秩序，监督评标委员会依照招标文件规定的评标程序、方法和标准进行独立评审，及时制止和纠正采购人代表、评审专家的倾向性言论或者违法违规行为;</w:t>
      </w:r>
    </w:p>
    <w:p w14:paraId="06ECEA95">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（8）核对评审结果;</w:t>
      </w:r>
    </w:p>
    <w:p w14:paraId="01605013">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（9）评审工作完成后，按照规定要求采购人向评审专家支付劳务报酬和异地评审差旅费，不得向评审专家以外的其他人员支付评审劳务报酬;</w:t>
      </w:r>
    </w:p>
    <w:p w14:paraId="6B0AEF75">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（10）处理与评标有关的其他事项。</w:t>
      </w:r>
    </w:p>
    <w:p w14:paraId="71979C87">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b/>
          <w:bCs/>
          <w:sz w:val="28"/>
          <w:shd w:val="clear" w:color="auto" w:fill="FFFFFF"/>
        </w:rPr>
        <w:t xml:space="preserve">7.2 </w:t>
      </w:r>
      <w:r>
        <w:rPr>
          <w:rFonts w:hint="eastAsia" w:ascii="华文仿宋" w:hAnsi="华文仿宋" w:cs="仿宋"/>
          <w:sz w:val="28"/>
          <w:shd w:val="clear" w:color="auto" w:fill="FFFFFF"/>
        </w:rPr>
        <w:t>采购人可以在评审前说明项目背景和采购需求，说明内容不得含有歧视性、倾向性意见，不得超出招标文件所述范围。</w:t>
      </w:r>
    </w:p>
    <w:p w14:paraId="58856050">
      <w:pPr>
        <w:pStyle w:val="22"/>
        <w:spacing w:beforeAutospacing="0" w:afterAutospacing="0" w:line="500" w:lineRule="exact"/>
        <w:ind w:firstLine="556" w:firstLineChars="197"/>
        <w:rPr>
          <w:rFonts w:ascii="华文仿宋" w:hAnsi="华文仿宋" w:cs="仿宋"/>
          <w:b/>
          <w:bCs/>
          <w:sz w:val="28"/>
        </w:rPr>
      </w:pPr>
      <w:r>
        <w:rPr>
          <w:rFonts w:hint="eastAsia" w:ascii="华文仿宋" w:hAnsi="华文仿宋" w:cs="仿宋"/>
          <w:b/>
          <w:bCs/>
          <w:sz w:val="28"/>
          <w:shd w:val="clear" w:color="auto" w:fill="FFFFFF"/>
        </w:rPr>
        <w:t>7.3 评标委员会负责具体评审事务，并独立履行下列职责：</w:t>
      </w:r>
    </w:p>
    <w:p w14:paraId="4A677AD8">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7.3.1严格遵守评审工作纪律,按照客观、公正、审慎的原则，根据招标文件规定的评审程序、评审方法和评审标准进行独立评审；</w:t>
      </w:r>
    </w:p>
    <w:p w14:paraId="554BA88F">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7.3.2现招标文件内容违反国家有关强制性规定或者招标文件存在歧义、重大缺陷导致评审工作无法进行时,应当停止评审并向采购人或者采购代理机构书面说明情况；</w:t>
      </w:r>
    </w:p>
    <w:p w14:paraId="0AB6433B">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7.3.3审查、评价投标文件是否符合招标文件的商务、技术等实质性要求，要求投标人对投标文件有关事项作出澄清或者说明；</w:t>
      </w:r>
    </w:p>
    <w:p w14:paraId="71F5DD1E">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7.3.4对投标文件进行比较和评价；</w:t>
      </w:r>
    </w:p>
    <w:p w14:paraId="04AE80A8">
      <w:pPr>
        <w:pStyle w:val="22"/>
        <w:spacing w:beforeAutospacing="0" w:afterAutospacing="0" w:line="500" w:lineRule="exact"/>
        <w:ind w:firstLine="566" w:firstLineChars="200"/>
        <w:rPr>
          <w:rFonts w:ascii="华文仿宋" w:hAnsi="华文仿宋" w:cs="仿宋"/>
          <w:sz w:val="28"/>
          <w:shd w:val="clear" w:color="auto" w:fill="FFFFFF"/>
        </w:rPr>
      </w:pPr>
      <w:r>
        <w:rPr>
          <w:rFonts w:hint="eastAsia" w:ascii="华文仿宋" w:hAnsi="华文仿宋" w:cs="仿宋"/>
          <w:sz w:val="28"/>
          <w:shd w:val="clear" w:color="auto" w:fill="FFFFFF"/>
        </w:rPr>
        <w:t>7.3.5确定中标候选人名单，以及根据采购人委托直接确定中标人，编写评审报告；</w:t>
      </w:r>
    </w:p>
    <w:p w14:paraId="6A086F33">
      <w:pPr>
        <w:pStyle w:val="22"/>
        <w:spacing w:beforeAutospacing="0" w:afterAutospacing="0" w:line="500" w:lineRule="exact"/>
        <w:ind w:firstLine="566" w:firstLineChars="200"/>
        <w:rPr>
          <w:rFonts w:ascii="华文仿宋" w:hAnsi="华文仿宋" w:cs="仿宋"/>
          <w:color w:val="333333"/>
          <w:sz w:val="28"/>
          <w:shd w:val="clear" w:color="auto" w:fill="FFFFFF"/>
        </w:rPr>
      </w:pPr>
      <w:r>
        <w:rPr>
          <w:rFonts w:hint="eastAsia" w:ascii="华文仿宋" w:hAnsi="华文仿宋" w:cs="仿宋"/>
          <w:color w:val="333333"/>
          <w:sz w:val="28"/>
          <w:shd w:val="clear" w:color="auto" w:fill="FFFFFF"/>
        </w:rPr>
        <w:t>7.3.6配合答复投标人的询问、质疑和投诉等事项,不得泄露评审文件、评审情况和在评审过程中获悉的商业秘密；</w:t>
      </w:r>
    </w:p>
    <w:p w14:paraId="01073D52">
      <w:pPr>
        <w:pStyle w:val="22"/>
        <w:widowControl w:val="0"/>
        <w:spacing w:beforeAutospacing="0" w:afterAutospacing="0" w:line="500" w:lineRule="exact"/>
        <w:ind w:firstLine="566" w:firstLineChars="200"/>
        <w:rPr>
          <w:rFonts w:ascii="华文仿宋" w:hAnsi="华文仿宋" w:cs="仿宋"/>
          <w:color w:val="333333"/>
          <w:sz w:val="28"/>
          <w:shd w:val="clear" w:color="auto" w:fill="FFFFFF"/>
        </w:rPr>
      </w:pPr>
      <w:r>
        <w:rPr>
          <w:rFonts w:hint="eastAsia" w:ascii="华文仿宋" w:hAnsi="华文仿宋" w:cs="仿宋"/>
          <w:color w:val="333333"/>
          <w:sz w:val="28"/>
          <w:shd w:val="clear" w:color="auto" w:fill="FFFFFF"/>
        </w:rPr>
        <w:t>7.3.7向采购人、采购代理机构或者有关部门报告评审中发现的违法行为。</w:t>
      </w:r>
    </w:p>
    <w:p w14:paraId="3368D080">
      <w:pPr>
        <w:spacing w:line="500" w:lineRule="exact"/>
        <w:ind w:firstLine="566" w:firstLineChars="200"/>
        <w:rPr>
          <w:rFonts w:ascii="华文仿宋" w:hAnsi="华文仿宋" w:cs="华文仿宋"/>
          <w:b/>
          <w:bCs/>
        </w:rPr>
      </w:pPr>
      <w:r>
        <w:rPr>
          <w:rFonts w:hint="eastAsia" w:ascii="华文仿宋" w:hAnsi="华文仿宋" w:cs="仿宋"/>
          <w:b/>
          <w:color w:val="333333"/>
          <w:kern w:val="0"/>
          <w:shd w:val="clear" w:color="auto" w:fill="FFFFFF"/>
        </w:rPr>
        <w:t>7.4</w:t>
      </w:r>
      <w:r>
        <w:rPr>
          <w:rFonts w:hint="eastAsia" w:ascii="华文仿宋" w:hAnsi="华文仿宋" w:cs="华文仿宋"/>
          <w:b/>
          <w:bCs/>
        </w:rPr>
        <w:t>组建评标委员会</w:t>
      </w:r>
    </w:p>
    <w:p w14:paraId="2805656B">
      <w:pPr>
        <w:spacing w:line="500" w:lineRule="exact"/>
        <w:ind w:firstLine="566" w:firstLineChars="200"/>
      </w:pPr>
      <w:r>
        <w:rPr>
          <w:rFonts w:hint="eastAsia" w:ascii="华文仿宋" w:hAnsi="华文仿宋" w:cs="仿宋"/>
          <w:color w:val="333333"/>
          <w:kern w:val="0"/>
          <w:shd w:val="clear" w:color="auto" w:fill="FFFFFF"/>
        </w:rPr>
        <w:t>7.4.1</w:t>
      </w:r>
      <w:r>
        <w:t>为了确保评标工作的公平、公正，依据政府采购法和政府采购相关法规、规章，成立评标委员会</w:t>
      </w:r>
      <w:r>
        <w:rPr>
          <w:rFonts w:hint="eastAsia"/>
        </w:rPr>
        <w:t>。</w:t>
      </w:r>
      <w:r>
        <w:t>评标委员会由采购人代表和</w:t>
      </w:r>
      <w:r>
        <w:rPr>
          <w:rFonts w:hint="eastAsia"/>
        </w:rPr>
        <w:t>评审</w:t>
      </w:r>
      <w:r>
        <w:t>专家组成，成员人数为</w:t>
      </w:r>
      <w:r>
        <w:rPr>
          <w:rFonts w:hint="eastAsia"/>
        </w:rPr>
        <w:t>5</w:t>
      </w:r>
      <w:r>
        <w:t>人以上单数。其中，</w:t>
      </w:r>
      <w:r>
        <w:rPr>
          <w:rFonts w:hint="eastAsia"/>
        </w:rPr>
        <w:t>评审</w:t>
      </w:r>
      <w:r>
        <w:t>专家不得少于成员总数的三分之二。</w:t>
      </w:r>
    </w:p>
    <w:p w14:paraId="533AC7F7">
      <w:pPr>
        <w:spacing w:line="500" w:lineRule="exact"/>
        <w:ind w:firstLine="566" w:firstLineChars="200"/>
      </w:pPr>
      <w:r>
        <w:rPr>
          <w:rFonts w:hint="eastAsia"/>
        </w:rPr>
        <w:t>评审专家对本单位的采购项目只能作为采购人代表参与评标。采购代理机构工作人员不得参加由本机构代理的政府采购项目的评标。</w:t>
      </w:r>
    </w:p>
    <w:p w14:paraId="2B9D903F">
      <w:pPr>
        <w:spacing w:line="500" w:lineRule="exact"/>
        <w:ind w:firstLine="566" w:firstLineChars="200"/>
      </w:pPr>
      <w:r>
        <w:rPr>
          <w:rFonts w:hint="eastAsia"/>
        </w:rPr>
        <w:t>评标委员会成员名单在评标结果公告前应当保密。</w:t>
      </w:r>
    </w:p>
    <w:p w14:paraId="15688E12">
      <w:pPr>
        <w:spacing w:line="500" w:lineRule="exact"/>
        <w:ind w:firstLine="566" w:firstLineChars="200"/>
      </w:pPr>
      <w:r>
        <w:rPr>
          <w:rFonts w:hint="eastAsia" w:ascii="华文仿宋" w:hAnsi="华文仿宋" w:cs="华文仿宋"/>
        </w:rPr>
        <w:t>7.4.2</w:t>
      </w:r>
      <w:r>
        <w:t>评标专家从政府采购评审专家库内相关专业的专家名单中随机抽取。</w:t>
      </w:r>
      <w:r>
        <w:rPr>
          <w:rFonts w:hint="eastAsia"/>
        </w:rPr>
        <w:t>对技术复杂、专业性强的采购项目，通过随机方式难以确定合适评审专家的，经主管预算单位同意，采购人可以自行选定相应专业领域的评审专家。自行选定评审专家的，应当优先选择本单位以外的评审专家。</w:t>
      </w:r>
    </w:p>
    <w:p w14:paraId="657760CF">
      <w:pPr>
        <w:spacing w:line="500" w:lineRule="exact"/>
        <w:ind w:firstLine="566" w:firstLineChars="200"/>
      </w:pPr>
      <w:r>
        <w:rPr>
          <w:rFonts w:hint="eastAsia" w:ascii="华文仿宋" w:hAnsi="华文仿宋" w:cs="华文仿宋"/>
        </w:rPr>
        <w:t>7.4.3</w:t>
      </w:r>
      <w:r>
        <w:rPr>
          <w:rFonts w:hint="eastAsia"/>
        </w:rPr>
        <w:t>评标中因评标委员会成员缺席、回避或者健康等特殊原因导致评标委员会组成不符合规定的，</w:t>
      </w:r>
      <w:r>
        <w:rPr>
          <w:rFonts w:hint="eastAsia" w:ascii="仿宋" w:hAnsi="仿宋" w:eastAsia="仿宋"/>
        </w:rPr>
        <w:t>府谷县政府投资和采购服务中心</w:t>
      </w:r>
      <w:r>
        <w:rPr>
          <w:rFonts w:hint="eastAsia"/>
        </w:rPr>
        <w:t>将依法补足后继续评标。被更换的评标委员会成员所作出的评标意见无效。无法及时补足评标委员会成员的，</w:t>
      </w:r>
      <w:r>
        <w:rPr>
          <w:rFonts w:hint="eastAsia" w:ascii="仿宋" w:hAnsi="仿宋" w:eastAsia="仿宋"/>
        </w:rPr>
        <w:t>府谷县政府投资和采购服务中心</w:t>
      </w:r>
      <w:r>
        <w:rPr>
          <w:rFonts w:hint="eastAsia"/>
        </w:rPr>
        <w:t>将停止评标活动，封存所有投标文件和开标、评标资料，依法重新组建评标委员会进行评标。原评标委员会所作出的评标意见无效。</w:t>
      </w:r>
    </w:p>
    <w:p w14:paraId="369D5B6F">
      <w:pPr>
        <w:spacing w:line="500" w:lineRule="exact"/>
        <w:ind w:firstLine="566" w:firstLineChars="200"/>
      </w:pPr>
      <w:r>
        <w:rPr>
          <w:rFonts w:hint="eastAsia" w:ascii="仿宋" w:hAnsi="仿宋" w:eastAsia="仿宋"/>
        </w:rPr>
        <w:t>府谷县政府投资和采购服务中心</w:t>
      </w:r>
      <w:r>
        <w:rPr>
          <w:rFonts w:hint="eastAsia"/>
        </w:rPr>
        <w:t>将变更、重新组建评标委员会的情况予以记录，并随采购文件一并存档。</w:t>
      </w:r>
    </w:p>
    <w:p w14:paraId="0F356240">
      <w:pPr>
        <w:pStyle w:val="3"/>
        <w:spacing w:line="500" w:lineRule="exact"/>
        <w:ind w:firstLine="566" w:firstLineChars="200"/>
        <w:rPr>
          <w:rFonts w:ascii="Calibri Light" w:hAnsi="Calibri Light"/>
          <w:sz w:val="28"/>
          <w:szCs w:val="28"/>
        </w:rPr>
      </w:pPr>
      <w:r>
        <w:rPr>
          <w:rFonts w:ascii="Calibri Light" w:hAnsi="Calibri Light"/>
          <w:sz w:val="28"/>
          <w:szCs w:val="28"/>
        </w:rPr>
        <w:t>7.5评标方法：</w:t>
      </w:r>
      <w:r>
        <w:rPr>
          <w:rFonts w:hint="eastAsia" w:ascii="Calibri Light" w:hAnsi="Calibri Light"/>
          <w:sz w:val="28"/>
          <w:szCs w:val="28"/>
        </w:rPr>
        <w:t xml:space="preserve">本次评审采用综合评分法。   </w:t>
      </w:r>
      <w:r>
        <w:rPr>
          <w:rFonts w:hint="eastAsia" w:ascii="Calibri Light" w:hAnsi="Calibri Light"/>
          <w:color w:val="FF0000"/>
          <w:sz w:val="28"/>
          <w:szCs w:val="28"/>
        </w:rPr>
        <w:t xml:space="preserve">   </w:t>
      </w:r>
      <w:r>
        <w:rPr>
          <w:rFonts w:hint="eastAsia" w:ascii="Calibri Light" w:hAnsi="Calibri Light"/>
          <w:sz w:val="28"/>
          <w:szCs w:val="28"/>
        </w:rPr>
        <w:t xml:space="preserve">         </w:t>
      </w:r>
    </w:p>
    <w:p w14:paraId="7A681DC0">
      <w:pPr>
        <w:spacing w:line="500" w:lineRule="exact"/>
        <w:ind w:firstLine="566" w:firstLineChars="200"/>
      </w:pPr>
      <w:r>
        <w:t>综合评分法</w:t>
      </w:r>
      <w:r>
        <w:rPr>
          <w:rFonts w:hint="eastAsia"/>
        </w:rPr>
        <w:t>，是指投标文件满足招标文件全部实质性要求，且按照评审因素的量化指标评审得分最高的投标人为中标候选人的评标方法。</w:t>
      </w:r>
    </w:p>
    <w:p w14:paraId="6179ED67">
      <w:pPr>
        <w:pStyle w:val="3"/>
        <w:spacing w:line="500" w:lineRule="exact"/>
        <w:ind w:firstLine="566" w:firstLineChars="200"/>
        <w:rPr>
          <w:rFonts w:ascii="Calibri Light" w:hAnsi="Calibri Light"/>
          <w:sz w:val="28"/>
          <w:szCs w:val="28"/>
        </w:rPr>
      </w:pPr>
      <w:r>
        <w:rPr>
          <w:rFonts w:hint="eastAsia" w:ascii="Calibri Light" w:hAnsi="Calibri Light"/>
          <w:sz w:val="28"/>
          <w:szCs w:val="28"/>
        </w:rPr>
        <w:t>7.6</w:t>
      </w:r>
      <w:r>
        <w:rPr>
          <w:rFonts w:ascii="Calibri Light" w:hAnsi="Calibri Light"/>
          <w:sz w:val="28"/>
          <w:szCs w:val="28"/>
        </w:rPr>
        <w:t>评标程序</w:t>
      </w:r>
    </w:p>
    <w:p w14:paraId="5C4E9556">
      <w:pPr>
        <w:numPr>
          <w:ilvl w:val="255"/>
          <w:numId w:val="0"/>
        </w:numPr>
        <w:spacing w:line="500" w:lineRule="exact"/>
        <w:ind w:firstLine="566" w:firstLineChars="200"/>
      </w:pPr>
      <w:r>
        <w:rPr>
          <w:rFonts w:hint="eastAsia"/>
          <w:b/>
        </w:rPr>
        <w:t>7.6.1</w:t>
      </w:r>
      <w:r>
        <w:rPr>
          <w:rFonts w:hint="eastAsia"/>
        </w:rPr>
        <w:t>分步评审，每一步评审不符合招标文件要求者，不得进入下一步评审，全部评审合格的投标人，进入最后的打分，最后按得分由高向低排序，</w:t>
      </w:r>
      <w:r>
        <w:rPr>
          <w:rFonts w:hint="eastAsia"/>
          <w:b/>
        </w:rPr>
        <w:t>推荐3名中标候选人。</w:t>
      </w:r>
    </w:p>
    <w:p w14:paraId="1D8CDB0F">
      <w:pPr>
        <w:spacing w:line="500" w:lineRule="exact"/>
        <w:ind w:firstLine="566" w:firstLineChars="200"/>
        <w:rPr>
          <w:b/>
          <w:bCs/>
        </w:rPr>
      </w:pPr>
      <w:r>
        <w:rPr>
          <w:rFonts w:hint="eastAsia"/>
          <w:b/>
          <w:bCs/>
        </w:rPr>
        <w:t>7.6.2投标文件的符合性审查</w:t>
      </w:r>
    </w:p>
    <w:p w14:paraId="4638187B">
      <w:pPr>
        <w:spacing w:line="500" w:lineRule="exact"/>
        <w:ind w:firstLine="566" w:firstLineChars="200"/>
      </w:pPr>
      <w:r>
        <w:rPr>
          <w:rFonts w:hint="eastAsia"/>
        </w:rPr>
        <w:t>评标委员会</w:t>
      </w:r>
      <w:r>
        <w:t>依据招标文件的规定，对投标文件的有效性、完整性</w:t>
      </w:r>
      <w:r>
        <w:rPr>
          <w:rFonts w:hint="eastAsia"/>
        </w:rPr>
        <w:t>和对招标文件的响应程度</w:t>
      </w:r>
      <w:r>
        <w:t>进行审查</w:t>
      </w:r>
      <w:r>
        <w:rPr>
          <w:rFonts w:hint="eastAsia"/>
        </w:rPr>
        <w:t>，以确定是否对招标文件的全部实质性要求作出响应</w:t>
      </w:r>
      <w:r>
        <w:t>。</w:t>
      </w:r>
    </w:p>
    <w:p w14:paraId="7BAC4ED3">
      <w:pPr>
        <w:spacing w:line="500" w:lineRule="exact"/>
        <w:ind w:firstLine="566" w:firstLineChars="200"/>
      </w:pPr>
      <w:r>
        <w:rPr>
          <w:rFonts w:hint="eastAsia"/>
        </w:rPr>
        <w:t>评标委员会要审查每份投标文件是否实质上响应了招标文件的要求。实质上没有响应招标文件要求的投标作无效投标处理。投标人不得通过修正或撤销不符之处而使其投标成为实质上响应的投标。</w:t>
      </w:r>
    </w:p>
    <w:p w14:paraId="771466B6">
      <w:pPr>
        <w:spacing w:line="500" w:lineRule="exact"/>
        <w:ind w:firstLine="566" w:firstLineChars="200"/>
        <w:rPr>
          <w:b/>
          <w:bCs/>
        </w:rPr>
      </w:pPr>
      <w:r>
        <w:rPr>
          <w:rFonts w:hint="eastAsia"/>
          <w:b/>
          <w:bCs/>
        </w:rPr>
        <w:t>7.6.3 投标文件的修正原则</w:t>
      </w:r>
    </w:p>
    <w:p w14:paraId="32CAC701">
      <w:pPr>
        <w:spacing w:line="500" w:lineRule="exact"/>
        <w:ind w:firstLine="566" w:firstLineChars="200"/>
        <w:contextualSpacing/>
        <w:rPr>
          <w:rFonts w:ascii="华文仿宋" w:hAnsi="华文仿宋"/>
        </w:rPr>
      </w:pPr>
      <w:r>
        <w:rPr>
          <w:rFonts w:hint="eastAsia" w:ascii="华文仿宋" w:hAnsi="华文仿宋"/>
        </w:rPr>
        <w:t>（1）</w:t>
      </w:r>
      <w:r>
        <w:rPr>
          <w:rFonts w:hint="eastAsia" w:ascii="仿宋" w:hAnsi="仿宋" w:eastAsia="仿宋" w:cs="仿宋"/>
          <w:lang w:val="en-US" w:eastAsia="zh-CN"/>
        </w:rPr>
        <w:t>投标</w:t>
      </w:r>
      <w:r>
        <w:rPr>
          <w:rFonts w:hint="eastAsia" w:ascii="仿宋" w:hAnsi="仿宋" w:eastAsia="仿宋" w:cs="仿宋"/>
        </w:rPr>
        <w:t>报价的大写金额和小写金额不一致的，以大写金额为准</w:t>
      </w:r>
      <w:r>
        <w:rPr>
          <w:rFonts w:hint="eastAsia" w:ascii="华文仿宋" w:hAnsi="华文仿宋"/>
        </w:rPr>
        <w:t>；</w:t>
      </w:r>
    </w:p>
    <w:p w14:paraId="5AEDDD94">
      <w:pPr>
        <w:spacing w:line="500" w:lineRule="exact"/>
        <w:ind w:firstLine="566" w:firstLineChars="200"/>
        <w:contextualSpacing/>
        <w:rPr>
          <w:rFonts w:ascii="仿宋" w:hAnsi="仿宋" w:eastAsia="仿宋" w:cs="仿宋"/>
        </w:rPr>
      </w:pPr>
      <w:r>
        <w:rPr>
          <w:rFonts w:hint="eastAsia" w:ascii="华文仿宋" w:hAnsi="华文仿宋"/>
        </w:rPr>
        <w:t>（2）</w:t>
      </w:r>
      <w:r>
        <w:rPr>
          <w:rFonts w:hint="eastAsia" w:ascii="仿宋" w:hAnsi="仿宋" w:eastAsia="仿宋" w:cs="仿宋"/>
        </w:rPr>
        <w:t>总价金额与按单价汇总金额不一致的，以单价金额计算结果为准；</w:t>
      </w:r>
    </w:p>
    <w:p w14:paraId="7486A915">
      <w:pPr>
        <w:spacing w:line="500" w:lineRule="exact"/>
        <w:ind w:firstLine="566" w:firstLineChars="200"/>
        <w:contextualSpacing/>
        <w:rPr>
          <w:rFonts w:ascii="华文仿宋" w:hAnsi="华文仿宋"/>
        </w:rPr>
      </w:pPr>
      <w:r>
        <w:rPr>
          <w:rFonts w:hint="eastAsia" w:ascii="华文仿宋" w:hAnsi="华文仿宋"/>
        </w:rPr>
        <w:t>（3）文字与图表不符时以文字为准；</w:t>
      </w:r>
    </w:p>
    <w:p w14:paraId="4263E363">
      <w:pPr>
        <w:spacing w:line="500" w:lineRule="exact"/>
        <w:ind w:firstLine="566" w:firstLineChars="200"/>
        <w:contextualSpacing/>
        <w:rPr>
          <w:rFonts w:ascii="华文仿宋" w:hAnsi="华文仿宋"/>
        </w:rPr>
      </w:pPr>
      <w:r>
        <w:rPr>
          <w:rFonts w:hint="eastAsia" w:ascii="华文仿宋" w:hAnsi="华文仿宋"/>
        </w:rPr>
        <w:t>（4）多处内容交叉不符时，以评标委员会评审结果为准；</w:t>
      </w:r>
    </w:p>
    <w:p w14:paraId="691A2E4E">
      <w:pPr>
        <w:spacing w:line="500" w:lineRule="exact"/>
        <w:ind w:firstLine="566" w:firstLineChars="200"/>
        <w:contextualSpacing/>
        <w:rPr>
          <w:rFonts w:ascii="华文仿宋" w:hAnsi="华文仿宋"/>
        </w:rPr>
      </w:pPr>
      <w:r>
        <w:rPr>
          <w:rFonts w:hint="eastAsia" w:ascii="华文仿宋" w:hAnsi="华文仿宋"/>
        </w:rPr>
        <w:t>按上述修正错误的原则及方法调整或修正的投标文件，投标人同意后签字确认，调整后的投标文件对投标人起约束作用。如果投标人不接受修正后的投标文件，则其投标活动将被拒绝。</w:t>
      </w:r>
    </w:p>
    <w:p w14:paraId="602A2FC3">
      <w:pPr>
        <w:spacing w:line="500" w:lineRule="exact"/>
        <w:ind w:firstLine="566" w:firstLineChars="200"/>
        <w:rPr>
          <w:b/>
        </w:rPr>
      </w:pPr>
      <w:r>
        <w:rPr>
          <w:rFonts w:hint="eastAsia"/>
          <w:b/>
        </w:rPr>
        <w:t>7.6.4 投标文件的</w:t>
      </w:r>
      <w:r>
        <w:rPr>
          <w:b/>
        </w:rPr>
        <w:t>澄清</w:t>
      </w:r>
    </w:p>
    <w:p w14:paraId="68ADBA69">
      <w:pPr>
        <w:spacing w:line="500" w:lineRule="exact"/>
        <w:ind w:firstLine="566" w:firstLineChars="200"/>
      </w:pPr>
      <w:r>
        <w:t>（1）评标委员会在对投标文件的</w:t>
      </w:r>
      <w:r>
        <w:rPr>
          <w:rFonts w:hint="eastAsia"/>
        </w:rPr>
        <w:t>有效性、完整性</w:t>
      </w:r>
      <w:r>
        <w:t>和</w:t>
      </w:r>
      <w:r>
        <w:rPr>
          <w:rFonts w:hint="eastAsia"/>
        </w:rPr>
        <w:t>响应性</w:t>
      </w:r>
      <w:r>
        <w:t>进行审查时，可以要求</w:t>
      </w:r>
      <w:r>
        <w:rPr>
          <w:rFonts w:hint="eastAsia"/>
        </w:rPr>
        <w:t>投标人</w:t>
      </w:r>
      <w:r>
        <w:t>对投标文件中含义不明确、同类问题表述不一致或者有明显文字和计算错误的内容等</w:t>
      </w:r>
      <w:r>
        <w:rPr>
          <w:rFonts w:hint="eastAsia"/>
        </w:rPr>
        <w:t>做出</w:t>
      </w:r>
      <w:r>
        <w:t>必要的澄清、说明或者</w:t>
      </w:r>
      <w:r>
        <w:rPr>
          <w:rFonts w:hint="eastAsia"/>
        </w:rPr>
        <w:t>补正</w:t>
      </w:r>
      <w:r>
        <w:t>。</w:t>
      </w:r>
    </w:p>
    <w:p w14:paraId="1C20060E">
      <w:pPr>
        <w:spacing w:line="500" w:lineRule="exact"/>
        <w:ind w:firstLine="566" w:firstLineChars="200"/>
      </w:pPr>
      <w:r>
        <w:rPr>
          <w:rFonts w:hint="eastAsia"/>
        </w:rPr>
        <w:t>（2）依照《中华人民共和国民法典》中的过失责任原则，澄清、说明或补正前评标委员会将按最不利于投标人的原则对投标文件做出评判。</w:t>
      </w:r>
    </w:p>
    <w:p w14:paraId="4DE532AB">
      <w:pPr>
        <w:spacing w:line="500" w:lineRule="exact"/>
        <w:ind w:firstLine="566" w:firstLineChars="200"/>
      </w:pPr>
      <w:r>
        <w:t>（3）评标委员会要求</w:t>
      </w:r>
      <w:r>
        <w:rPr>
          <w:rFonts w:hint="eastAsia"/>
        </w:rPr>
        <w:t>投标人</w:t>
      </w:r>
      <w:r>
        <w:t>澄清、说明或者</w:t>
      </w:r>
      <w:r>
        <w:rPr>
          <w:rFonts w:hint="eastAsia"/>
        </w:rPr>
        <w:t>补正</w:t>
      </w:r>
      <w:r>
        <w:t>投标文件应当以书面形式</w:t>
      </w:r>
      <w:r>
        <w:rPr>
          <w:rFonts w:hint="eastAsia"/>
        </w:rPr>
        <w:t>做出</w:t>
      </w:r>
      <w:r>
        <w:t>。</w:t>
      </w:r>
      <w:r>
        <w:rPr>
          <w:rFonts w:hint="eastAsia"/>
        </w:rPr>
        <w:t>投标人</w:t>
      </w:r>
      <w:r>
        <w:t>应当在规定的澄清时限内按评标委员会要求的方式</w:t>
      </w:r>
      <w:r>
        <w:rPr>
          <w:rFonts w:hint="eastAsia"/>
        </w:rPr>
        <w:t>，</w:t>
      </w:r>
      <w:r>
        <w:t>以书面形式提交</w:t>
      </w:r>
      <w:r>
        <w:rPr>
          <w:rFonts w:hint="eastAsia"/>
        </w:rPr>
        <w:t>。投标人</w:t>
      </w:r>
      <w:r>
        <w:t>的澄清、说明或者</w:t>
      </w:r>
      <w:r>
        <w:rPr>
          <w:rFonts w:hint="eastAsia"/>
        </w:rPr>
        <w:t>补</w:t>
      </w:r>
      <w:r>
        <w:t>正应当由法定代表人或其授权代表签字或者加盖公章。投标人为自然人的</w:t>
      </w:r>
      <w:r>
        <w:rPr>
          <w:rFonts w:hint="eastAsia"/>
        </w:rPr>
        <w:t>，</w:t>
      </w:r>
      <w:r>
        <w:t>应由本人签字</w:t>
      </w:r>
      <w:r>
        <w:rPr>
          <w:rFonts w:hint="eastAsia"/>
        </w:rPr>
        <w:t>。</w:t>
      </w:r>
    </w:p>
    <w:p w14:paraId="274490BE">
      <w:pPr>
        <w:spacing w:line="500" w:lineRule="exact"/>
        <w:ind w:firstLine="566" w:firstLineChars="200"/>
      </w:pPr>
      <w:r>
        <w:t>（4）</w:t>
      </w:r>
      <w:r>
        <w:rPr>
          <w:rFonts w:hint="eastAsia"/>
        </w:rPr>
        <w:t>投标人的澄清、说明或者补正不得超出投标文件的范围或者改变投标文件的实质性内容。澄清、说明或者补正的内容将作为</w:t>
      </w:r>
      <w:r>
        <w:rPr>
          <w:rFonts w:hint="eastAsia" w:ascii="仿宋" w:hAnsi="仿宋" w:eastAsia="仿宋"/>
          <w:kern w:val="0"/>
        </w:rPr>
        <w:t>合同</w:t>
      </w:r>
      <w:r>
        <w:rPr>
          <w:rFonts w:hint="eastAsia"/>
        </w:rPr>
        <w:t>履行的重要依据。</w:t>
      </w:r>
    </w:p>
    <w:p w14:paraId="609AA79F">
      <w:pPr>
        <w:spacing w:line="500" w:lineRule="exact"/>
        <w:ind w:firstLine="566" w:firstLineChars="200"/>
        <w:rPr>
          <w:b/>
        </w:rPr>
      </w:pPr>
      <w:r>
        <w:rPr>
          <w:b/>
        </w:rPr>
        <w:t>7.6.</w:t>
      </w:r>
      <w:r>
        <w:rPr>
          <w:rFonts w:hint="eastAsia"/>
          <w:b/>
        </w:rPr>
        <w:t xml:space="preserve">5 </w:t>
      </w:r>
      <w:r>
        <w:rPr>
          <w:b/>
        </w:rPr>
        <w:t>综合比较与评价</w:t>
      </w:r>
    </w:p>
    <w:p w14:paraId="3662292F">
      <w:pPr>
        <w:spacing w:line="500" w:lineRule="exact"/>
        <w:ind w:firstLine="566" w:firstLineChars="200"/>
      </w:pPr>
      <w:r>
        <w:rPr>
          <w:rFonts w:hint="eastAsia"/>
        </w:rPr>
        <w:t>采用综合评分法的，</w:t>
      </w:r>
      <w:r>
        <w:t>评标委员会按</w:t>
      </w:r>
      <w:r>
        <w:rPr>
          <w:rFonts w:hint="eastAsia"/>
        </w:rPr>
        <w:t>“评审要素及分值一览表”</w:t>
      </w:r>
      <w:r>
        <w:t>中规定的评标标准，对通过符合性审查的投标文件进行商务和技术评估，综合比较与评价。</w:t>
      </w:r>
    </w:p>
    <w:p w14:paraId="2414311B">
      <w:pPr>
        <w:spacing w:line="500" w:lineRule="exact"/>
        <w:ind w:firstLine="566" w:firstLineChars="200"/>
        <w:rPr>
          <w:rFonts w:hint="eastAsia" w:ascii="华文仿宋" w:hAnsi="华文仿宋"/>
          <w:bCs/>
          <w:highlight w:val="none"/>
        </w:rPr>
      </w:pPr>
      <w:r>
        <w:rPr>
          <w:rFonts w:hint="eastAsia"/>
          <w:b/>
          <w:highlight w:val="none"/>
        </w:rPr>
        <w:t>7.6.6</w:t>
      </w:r>
      <w:r>
        <w:rPr>
          <w:rFonts w:hint="eastAsia" w:ascii="华文仿宋" w:hAnsi="华文仿宋"/>
          <w:b/>
          <w:highlight w:val="none"/>
        </w:rPr>
        <w:t>评审价格的价格扣除原则</w:t>
      </w:r>
    </w:p>
    <w:p w14:paraId="6A1CC38A">
      <w:pPr>
        <w:spacing w:line="500" w:lineRule="exact"/>
        <w:ind w:firstLine="566" w:firstLineChars="200"/>
        <w:rPr>
          <w:rFonts w:hint="eastAsia" w:ascii="华文仿宋" w:hAnsi="华文仿宋"/>
          <w:bCs/>
        </w:rPr>
      </w:pPr>
      <w:r>
        <w:rPr>
          <w:rFonts w:hint="eastAsia" w:ascii="华文仿宋" w:hAnsi="华文仿宋"/>
          <w:bCs/>
          <w:highlight w:val="none"/>
        </w:rPr>
        <w:t>对于非专门面向中小企业的采购项目，对符合价格扣除条件的小型和微型企业（定义参照第二章投标人须知2.5落实的政府采购政策）提供的投标报价给予</w:t>
      </w:r>
      <w:r>
        <w:rPr>
          <w:rFonts w:hint="eastAsia" w:ascii="华文仿宋" w:hAnsi="华文仿宋"/>
          <w:b/>
          <w:highlight w:val="none"/>
          <w:u w:val="single"/>
          <w:lang w:val="en-US" w:eastAsia="zh-CN"/>
        </w:rPr>
        <w:t>/</w:t>
      </w:r>
      <w:r>
        <w:rPr>
          <w:rFonts w:hint="eastAsia" w:ascii="华文仿宋" w:hAnsi="华文仿宋"/>
          <w:bCs/>
          <w:highlight w:val="none"/>
        </w:rPr>
        <w:t>的价格扣除（各种计算数字“四舍五入”保留小数点后两位）。用扣除后的价格参与评审排序，除此之外的其他情形均不适用本款规定。未提供《中小企业声明函》的不享受价格扣除。残疾人福利性单位和监狱企业视同小</w:t>
      </w:r>
      <w:r>
        <w:rPr>
          <w:rFonts w:hint="eastAsia" w:ascii="华文仿宋" w:hAnsi="华文仿宋"/>
          <w:bCs/>
        </w:rPr>
        <w:t>型、微型企业。投标人价格扣除规则只记一次，不因投标人多重身份而累计。</w:t>
      </w:r>
    </w:p>
    <w:p w14:paraId="74B90904">
      <w:pPr>
        <w:spacing w:line="500" w:lineRule="exact"/>
        <w:ind w:firstLine="566" w:firstLineChars="200"/>
        <w:rPr>
          <w:rFonts w:cs="Times New Roman"/>
          <w:b/>
          <w:bCs/>
        </w:rPr>
      </w:pPr>
      <w:r>
        <w:rPr>
          <w:rFonts w:hint="eastAsia" w:ascii="仿宋" w:hAnsi="仿宋" w:eastAsia="仿宋" w:cs="仿宋"/>
          <w:b/>
        </w:rPr>
        <w:t>本次采购为专门面向</w:t>
      </w:r>
      <w:r>
        <w:rPr>
          <w:rFonts w:hint="eastAsia" w:ascii="仿宋" w:hAnsi="仿宋" w:eastAsia="仿宋" w:cs="仿宋"/>
          <w:b/>
          <w:lang w:val="en-US" w:eastAsia="zh-CN"/>
        </w:rPr>
        <w:t>中小</w:t>
      </w:r>
      <w:r>
        <w:rPr>
          <w:rFonts w:hint="eastAsia" w:ascii="仿宋" w:hAnsi="仿宋" w:eastAsia="仿宋" w:cs="仿宋"/>
          <w:b/>
        </w:rPr>
        <w:t>企业采购项目，故不再执行价格评审优惠的扶持政策。</w:t>
      </w:r>
    </w:p>
    <w:p w14:paraId="1335D03A">
      <w:pPr>
        <w:spacing w:line="500" w:lineRule="exact"/>
        <w:ind w:firstLine="566" w:firstLineChars="200"/>
        <w:rPr>
          <w:rFonts w:ascii="华文仿宋" w:hAnsi="华文仿宋"/>
          <w:b/>
        </w:rPr>
      </w:pPr>
      <w:r>
        <w:rPr>
          <w:rFonts w:hint="eastAsia" w:ascii="华文仿宋" w:hAnsi="华文仿宋"/>
          <w:b/>
        </w:rPr>
        <w:t>7.6.7出现下列情形的，投标人投标</w:t>
      </w:r>
      <w:r>
        <w:rPr>
          <w:rFonts w:hint="eastAsia" w:ascii="华文仿宋" w:hAnsi="华文仿宋"/>
          <w:b/>
          <w:color w:val="FF0000"/>
        </w:rPr>
        <w:t>无效：</w:t>
      </w:r>
    </w:p>
    <w:p w14:paraId="00A3F059">
      <w:pPr>
        <w:snapToGrid w:val="0"/>
        <w:spacing w:line="500" w:lineRule="exact"/>
        <w:ind w:firstLine="566" w:firstLineChars="200"/>
        <w:rPr>
          <w:rFonts w:ascii="华文仿宋" w:hAnsi="华文仿宋"/>
          <w:bCs/>
        </w:rPr>
      </w:pPr>
      <w:r>
        <w:rPr>
          <w:rFonts w:hint="eastAsia" w:ascii="华文仿宋" w:hAnsi="华文仿宋"/>
          <w:bCs/>
        </w:rPr>
        <w:t>（1）投标报价出现本章“4.3 投标报价”所列需要修正情形，但投标人对修正后的报价不予确认的；</w:t>
      </w:r>
    </w:p>
    <w:p w14:paraId="7A1A8FA5">
      <w:pPr>
        <w:snapToGrid w:val="0"/>
        <w:spacing w:line="500" w:lineRule="exact"/>
        <w:ind w:firstLine="566" w:firstLineChars="200"/>
        <w:rPr>
          <w:rFonts w:hint="eastAsia" w:ascii="华文仿宋" w:hAnsi="华文仿宋"/>
          <w:bCs/>
        </w:rPr>
      </w:pPr>
      <w:r>
        <w:rPr>
          <w:rFonts w:hint="eastAsia" w:ascii="华文仿宋" w:hAnsi="华文仿宋"/>
          <w:bCs/>
        </w:rPr>
        <w:t>（2）</w:t>
      </w:r>
      <w:r>
        <w:rPr>
          <w:rFonts w:hint="eastAsia" w:ascii="华文仿宋" w:hAnsi="华文仿宋"/>
          <w:bCs/>
          <w:lang w:val="en-US" w:eastAsia="zh-CN"/>
        </w:rPr>
        <w:t>投标报价达到《关于推动解决政府采购异常低价问题的通知》（财库〔2026〕2号）规定的启动异常低价投标审查程序标准的，</w:t>
      </w:r>
      <w:r>
        <w:rPr>
          <w:rFonts w:hint="eastAsia" w:ascii="华文仿宋" w:hAnsi="华文仿宋"/>
          <w:bCs/>
        </w:rPr>
        <w:t>评标委员会</w:t>
      </w:r>
      <w:r>
        <w:rPr>
          <w:rFonts w:hint="eastAsia" w:ascii="华文仿宋" w:hAnsi="华文仿宋"/>
          <w:bCs/>
          <w:lang w:val="en-US" w:eastAsia="zh-CN"/>
        </w:rPr>
        <w:t>将启动异常低价投标审查</w:t>
      </w:r>
      <w:r>
        <w:rPr>
          <w:rFonts w:hint="eastAsia" w:ascii="华文仿宋" w:hAnsi="华文仿宋"/>
          <w:bCs/>
        </w:rPr>
        <w:t>，投标人</w:t>
      </w:r>
      <w:r>
        <w:rPr>
          <w:rFonts w:hint="eastAsia" w:ascii="华文仿宋" w:hAnsi="华文仿宋"/>
          <w:bCs/>
          <w:lang w:val="en-US" w:eastAsia="zh-CN"/>
        </w:rPr>
        <w:t>需按要求在规定时间内对投标价格作出解释，并提供项目具体成本测算等与报价合理性相关的</w:t>
      </w:r>
      <w:r>
        <w:rPr>
          <w:rFonts w:hint="eastAsia" w:ascii="华文仿宋" w:hAnsi="华文仿宋"/>
          <w:bCs/>
        </w:rPr>
        <w:t>书面说明</w:t>
      </w:r>
      <w:r>
        <w:rPr>
          <w:rFonts w:hint="eastAsia" w:ascii="华文仿宋" w:hAnsi="华文仿宋"/>
          <w:bCs/>
          <w:lang w:val="en-US" w:eastAsia="zh-CN"/>
        </w:rPr>
        <w:t>及</w:t>
      </w:r>
      <w:r>
        <w:rPr>
          <w:rFonts w:hint="eastAsia" w:ascii="华文仿宋" w:hAnsi="华文仿宋"/>
          <w:bCs/>
        </w:rPr>
        <w:t>必要</w:t>
      </w:r>
      <w:r>
        <w:rPr>
          <w:rFonts w:hint="eastAsia" w:ascii="华文仿宋" w:hAnsi="华文仿宋"/>
          <w:bCs/>
          <w:lang w:val="en-US" w:eastAsia="zh-CN"/>
        </w:rPr>
        <w:t>的</w:t>
      </w:r>
      <w:r>
        <w:rPr>
          <w:rFonts w:hint="eastAsia" w:ascii="华文仿宋" w:hAnsi="华文仿宋"/>
          <w:bCs/>
        </w:rPr>
        <w:t>证明材料，投标人不能</w:t>
      </w:r>
      <w:r>
        <w:rPr>
          <w:rFonts w:hint="eastAsia" w:ascii="华文仿宋" w:hAnsi="华文仿宋"/>
          <w:bCs/>
          <w:lang w:val="en-US" w:eastAsia="zh-CN"/>
        </w:rPr>
        <w:t>在规定时间内按要求</w:t>
      </w:r>
      <w:r>
        <w:rPr>
          <w:rFonts w:hint="eastAsia" w:ascii="华文仿宋" w:hAnsi="华文仿宋"/>
          <w:bCs/>
        </w:rPr>
        <w:t>证明其报价合理性的。</w:t>
      </w:r>
    </w:p>
    <w:p w14:paraId="455860D0">
      <w:pPr>
        <w:snapToGrid w:val="0"/>
        <w:spacing w:line="500" w:lineRule="exact"/>
        <w:ind w:firstLine="566" w:firstLineChars="200"/>
        <w:rPr>
          <w:rFonts w:hint="eastAsia" w:ascii="华文仿宋" w:hAnsi="华文仿宋"/>
          <w:b/>
          <w:bCs w:val="0"/>
          <w:lang w:val="en-US" w:eastAsia="zh-CN"/>
        </w:rPr>
      </w:pPr>
      <w:r>
        <w:rPr>
          <w:rFonts w:hint="eastAsia" w:ascii="华文仿宋" w:hAnsi="华文仿宋"/>
          <w:b/>
          <w:bCs w:val="0"/>
          <w:lang w:val="en-US" w:eastAsia="zh-CN"/>
        </w:rPr>
        <w:t>强化政府采购异常低价审查，政府采购评审中出现下列情形之一的，评审委员会应当启动异常低价投标（响应）审查程序： </w:t>
      </w:r>
    </w:p>
    <w:p w14:paraId="5E7DDC8B">
      <w:pPr>
        <w:snapToGrid w:val="0"/>
        <w:spacing w:line="500" w:lineRule="exact"/>
        <w:ind w:firstLine="566" w:firstLineChars="200"/>
        <w:rPr>
          <w:rFonts w:hint="eastAsia" w:ascii="华文仿宋" w:hAnsi="华文仿宋"/>
          <w:bCs/>
          <w:lang w:val="en-US" w:eastAsia="zh-CN"/>
        </w:rPr>
      </w:pPr>
      <w:r>
        <w:rPr>
          <w:rFonts w:hint="eastAsia" w:ascii="华文仿宋" w:hAnsi="华文仿宋"/>
          <w:bCs/>
          <w:lang w:val="en-US" w:eastAsia="zh-CN"/>
        </w:rPr>
        <w:t>1.投标（响应）报价低于全部通过符合性审查供应商投标（响应）报价平均值50%的，即投标（响应）报价&lt;全部通过符合性审查供应商投标（响应）报价平均值×50%； </w:t>
      </w:r>
    </w:p>
    <w:p w14:paraId="6E87E20B">
      <w:pPr>
        <w:snapToGrid w:val="0"/>
        <w:spacing w:line="500" w:lineRule="exact"/>
        <w:ind w:firstLine="566" w:firstLineChars="200"/>
        <w:rPr>
          <w:rFonts w:hint="eastAsia" w:ascii="华文仿宋" w:hAnsi="华文仿宋"/>
          <w:bCs/>
          <w:lang w:val="en-US" w:eastAsia="zh-CN"/>
        </w:rPr>
      </w:pPr>
      <w:r>
        <w:rPr>
          <w:rFonts w:hint="eastAsia" w:ascii="华文仿宋" w:hAnsi="华文仿宋"/>
          <w:bCs/>
          <w:lang w:val="en-US" w:eastAsia="zh-CN"/>
        </w:rPr>
        <w:t>2.投标（响应）报价低于通过符合性审查的次低报价供应商投标（响应）报价50%的，即投标（响应）报价&lt;通过符合性审查的次低报价供应商投标（响应）报价×50%； </w:t>
      </w:r>
    </w:p>
    <w:p w14:paraId="5D3C42A6">
      <w:pPr>
        <w:snapToGrid w:val="0"/>
        <w:spacing w:line="500" w:lineRule="exact"/>
        <w:ind w:firstLine="566" w:firstLineChars="200"/>
        <w:rPr>
          <w:rFonts w:hint="eastAsia" w:ascii="华文仿宋" w:hAnsi="华文仿宋"/>
          <w:bCs/>
          <w:lang w:val="en-US" w:eastAsia="zh-CN"/>
        </w:rPr>
      </w:pPr>
      <w:r>
        <w:rPr>
          <w:rFonts w:hint="eastAsia" w:ascii="华文仿宋" w:hAnsi="华文仿宋"/>
          <w:bCs/>
          <w:lang w:val="en-US" w:eastAsia="zh-CN"/>
        </w:rPr>
        <w:t>3.投标（响应）报价低于采购项目最高限价45%的，即投标（响应）报价&lt;采购项目最高限价×45%； </w:t>
      </w:r>
    </w:p>
    <w:p w14:paraId="027EFB8A">
      <w:pPr>
        <w:snapToGrid w:val="0"/>
        <w:spacing w:line="500" w:lineRule="exact"/>
        <w:ind w:firstLine="566" w:firstLineChars="200"/>
      </w:pPr>
      <w:r>
        <w:rPr>
          <w:rFonts w:hint="eastAsia" w:ascii="华文仿宋" w:hAnsi="华文仿宋"/>
          <w:bCs/>
          <w:lang w:val="en-US" w:eastAsia="zh-CN"/>
        </w:rPr>
        <w:t>4.评审委员会基于专业判断，认为供应商报价过低，有可能影响产品质量或者不能诚信履约的其他情形。</w:t>
      </w:r>
    </w:p>
    <w:p w14:paraId="7C98A4F7">
      <w:pPr>
        <w:spacing w:line="500" w:lineRule="exact"/>
        <w:ind w:firstLine="566" w:firstLineChars="200"/>
        <w:rPr>
          <w:b/>
        </w:rPr>
      </w:pPr>
      <w:r>
        <w:rPr>
          <w:b/>
        </w:rPr>
        <w:t>7.6.</w:t>
      </w:r>
      <w:r>
        <w:rPr>
          <w:rFonts w:hint="eastAsia"/>
          <w:b/>
        </w:rPr>
        <w:t>8</w:t>
      </w:r>
      <w:r>
        <w:rPr>
          <w:b/>
        </w:rPr>
        <w:t>推荐中标候选</w:t>
      </w:r>
      <w:r>
        <w:rPr>
          <w:rFonts w:hint="eastAsia"/>
          <w:b/>
        </w:rPr>
        <w:t>人</w:t>
      </w:r>
    </w:p>
    <w:p w14:paraId="6F039D12">
      <w:pPr>
        <w:spacing w:line="500" w:lineRule="exact"/>
        <w:ind w:firstLine="566" w:firstLineChars="200"/>
      </w:pPr>
      <w:r>
        <w:t>采用综合评分法的</w:t>
      </w:r>
      <w:r>
        <w:rPr>
          <w:rFonts w:hint="eastAsia"/>
        </w:rPr>
        <w:t>，</w:t>
      </w:r>
      <w:r>
        <w:t>评标结果按评审后得分由高到低的顺序</w:t>
      </w:r>
      <w:r>
        <w:rPr>
          <w:rFonts w:hint="eastAsia"/>
        </w:rPr>
        <w:t>推荐3名中标候选人。</w:t>
      </w:r>
      <w:r>
        <w:t>得分相同的</w:t>
      </w:r>
      <w:r>
        <w:rPr>
          <w:rFonts w:hint="eastAsia"/>
        </w:rPr>
        <w:t>，按</w:t>
      </w:r>
      <w:r>
        <w:t>投标报价由低到高顺序排列</w:t>
      </w:r>
      <w:r>
        <w:rPr>
          <w:rFonts w:hint="eastAsia"/>
        </w:rPr>
        <w:t>。</w:t>
      </w:r>
      <w:r>
        <w:t>得分且投标报价相同的并列</w:t>
      </w:r>
      <w:r>
        <w:rPr>
          <w:rFonts w:hint="eastAsia"/>
        </w:rPr>
        <w:t>。投标文件满足招标文件全部实质性要求，且按照评审因素的量化指标评审得分最高的投标人为排名第一的中标候选人。</w:t>
      </w:r>
    </w:p>
    <w:p w14:paraId="7CEDD380">
      <w:pPr>
        <w:spacing w:line="500" w:lineRule="exact"/>
        <w:ind w:firstLine="566" w:firstLineChars="200"/>
        <w:rPr>
          <w:b/>
        </w:rPr>
      </w:pPr>
      <w:r>
        <w:rPr>
          <w:b/>
        </w:rPr>
        <w:t>7.6.</w:t>
      </w:r>
      <w:r>
        <w:rPr>
          <w:rFonts w:hint="eastAsia"/>
          <w:b/>
        </w:rPr>
        <w:t>9</w:t>
      </w:r>
      <w:r>
        <w:rPr>
          <w:b/>
        </w:rPr>
        <w:t>编写</w:t>
      </w:r>
      <w:r>
        <w:rPr>
          <w:rFonts w:hint="eastAsia"/>
          <w:b/>
        </w:rPr>
        <w:t>评标报告</w:t>
      </w:r>
    </w:p>
    <w:p w14:paraId="315C23C8">
      <w:pPr>
        <w:autoSpaceDE w:val="0"/>
        <w:autoSpaceDN w:val="0"/>
        <w:adjustRightInd w:val="0"/>
        <w:spacing w:line="500" w:lineRule="exact"/>
        <w:ind w:firstLine="566" w:firstLineChars="200"/>
      </w:pPr>
      <w:r>
        <w:t>评标委员会根据评标情况编制</w:t>
      </w:r>
      <w:r>
        <w:rPr>
          <w:rFonts w:hint="eastAsia"/>
        </w:rPr>
        <w:t>评标报告</w:t>
      </w:r>
      <w:r>
        <w:t>，评标委员会成员对需要共同认定的事项存在争议的，应当按照少数服从多数的原则</w:t>
      </w:r>
      <w:r>
        <w:rPr>
          <w:rFonts w:hint="eastAsia"/>
        </w:rPr>
        <w:t>做出</w:t>
      </w:r>
      <w:r>
        <w:t>结论。持不同意见的评标委员会成员应当在</w:t>
      </w:r>
      <w:r>
        <w:rPr>
          <w:rFonts w:hint="eastAsia"/>
        </w:rPr>
        <w:t>评标报告</w:t>
      </w:r>
      <w:r>
        <w:t>上签署不同意见及理由，否则视为同意评标报告。对拒绝说明理由的</w:t>
      </w:r>
      <w:r>
        <w:rPr>
          <w:rFonts w:hint="eastAsia"/>
        </w:rPr>
        <w:t>，</w:t>
      </w:r>
      <w:r>
        <w:t>须报政府采购监管部门处理</w:t>
      </w:r>
      <w:r>
        <w:rPr>
          <w:rFonts w:hint="eastAsia"/>
        </w:rPr>
        <w:t>，</w:t>
      </w:r>
      <w:r>
        <w:t>并将其评审情况如实记入考核表</w:t>
      </w:r>
      <w:r>
        <w:rPr>
          <w:rFonts w:hint="eastAsia"/>
        </w:rPr>
        <w:t>。</w:t>
      </w:r>
    </w:p>
    <w:p w14:paraId="4830AF90">
      <w:pPr>
        <w:spacing w:line="500" w:lineRule="exact"/>
        <w:ind w:firstLine="566" w:firstLineChars="200"/>
      </w:pPr>
      <w:r>
        <w:rPr>
          <w:rFonts w:hint="eastAsia"/>
        </w:rPr>
        <w:t>评标结果汇总完成后，除下列情形外，任何人不得修改评标结果：</w:t>
      </w:r>
    </w:p>
    <w:p w14:paraId="458148F9">
      <w:pPr>
        <w:spacing w:line="500" w:lineRule="exact"/>
        <w:ind w:firstLine="566" w:firstLineChars="200"/>
      </w:pPr>
      <w:r>
        <w:rPr>
          <w:rFonts w:hint="eastAsia"/>
        </w:rPr>
        <w:t>（1）分值汇总计算错误的；</w:t>
      </w:r>
    </w:p>
    <w:p w14:paraId="25DDD766">
      <w:pPr>
        <w:spacing w:line="500" w:lineRule="exact"/>
        <w:ind w:firstLine="566" w:firstLineChars="200"/>
      </w:pPr>
      <w:r>
        <w:rPr>
          <w:rFonts w:hint="eastAsia"/>
        </w:rPr>
        <w:t>（2）分项评分超出评分标准范围的；</w:t>
      </w:r>
    </w:p>
    <w:p w14:paraId="7335CD0A">
      <w:pPr>
        <w:spacing w:line="500" w:lineRule="exact"/>
        <w:ind w:firstLine="566" w:firstLineChars="200"/>
      </w:pPr>
      <w:r>
        <w:rPr>
          <w:rFonts w:hint="eastAsia"/>
        </w:rPr>
        <w:t>（3）评标委员会成员对客观评审因素评分不一致的；</w:t>
      </w:r>
    </w:p>
    <w:p w14:paraId="0FBEE461">
      <w:pPr>
        <w:spacing w:line="500" w:lineRule="exact"/>
        <w:ind w:firstLine="566" w:firstLineChars="200"/>
      </w:pPr>
      <w:r>
        <w:rPr>
          <w:rFonts w:hint="eastAsia"/>
        </w:rPr>
        <w:t>（4）经评标委员会认定评分畸高、畸低的。</w:t>
      </w:r>
    </w:p>
    <w:p w14:paraId="741BB991">
      <w:pPr>
        <w:autoSpaceDE w:val="0"/>
        <w:autoSpaceDN w:val="0"/>
        <w:adjustRightInd w:val="0"/>
        <w:spacing w:line="500" w:lineRule="exact"/>
        <w:ind w:firstLine="566" w:firstLineChars="200"/>
      </w:pPr>
      <w:r>
        <w:rPr>
          <w:rFonts w:hint="eastAsia"/>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684EED5">
      <w:pPr>
        <w:spacing w:line="500" w:lineRule="exact"/>
        <w:ind w:firstLine="566" w:firstLineChars="200"/>
        <w:rPr>
          <w:b/>
        </w:rPr>
      </w:pPr>
      <w:r>
        <w:rPr>
          <w:b/>
        </w:rPr>
        <w:t>7.7</w:t>
      </w:r>
      <w:r>
        <w:rPr>
          <w:rFonts w:hint="eastAsia"/>
          <w:b/>
        </w:rPr>
        <w:t>有下列情形之一的，视为投标人串通投标，其投标</w:t>
      </w:r>
      <w:r>
        <w:rPr>
          <w:rFonts w:hint="eastAsia"/>
          <w:b/>
          <w:color w:val="FF0000"/>
        </w:rPr>
        <w:t>无效</w:t>
      </w:r>
      <w:r>
        <w:rPr>
          <w:rFonts w:hint="eastAsia"/>
          <w:b/>
        </w:rPr>
        <w:t>：</w:t>
      </w:r>
    </w:p>
    <w:p w14:paraId="0FF268B4">
      <w:pPr>
        <w:spacing w:line="500" w:lineRule="exact"/>
        <w:ind w:firstLine="566" w:firstLineChars="200"/>
      </w:pPr>
      <w:r>
        <w:rPr>
          <w:rFonts w:hint="eastAsia"/>
        </w:rPr>
        <w:t>（1）不同投标人的投标文件由同一单位或者个人编制；</w:t>
      </w:r>
    </w:p>
    <w:p w14:paraId="09AA4447">
      <w:pPr>
        <w:spacing w:line="500" w:lineRule="exact"/>
        <w:ind w:firstLine="566" w:firstLineChars="200"/>
      </w:pPr>
      <w:r>
        <w:rPr>
          <w:rFonts w:hint="eastAsia"/>
        </w:rPr>
        <w:t>（2）不同投标人的投标文件由同一台电脑编制；</w:t>
      </w:r>
    </w:p>
    <w:p w14:paraId="23D9EB24">
      <w:pPr>
        <w:spacing w:line="500" w:lineRule="exact"/>
        <w:ind w:firstLine="566" w:firstLineChars="200"/>
      </w:pPr>
      <w:r>
        <w:rPr>
          <w:rFonts w:hint="eastAsia"/>
        </w:rPr>
        <w:t>（3）不同投标人委托同一单位或者个人办理投标事宜；</w:t>
      </w:r>
    </w:p>
    <w:p w14:paraId="65F31580">
      <w:pPr>
        <w:spacing w:line="500" w:lineRule="exact"/>
        <w:ind w:firstLine="566" w:firstLineChars="200"/>
      </w:pPr>
      <w:r>
        <w:rPr>
          <w:rFonts w:hint="eastAsia"/>
        </w:rPr>
        <w:t>（4）不同投标人的投标文件载明的项目管理成员或者联系人员为同一人；</w:t>
      </w:r>
    </w:p>
    <w:p w14:paraId="1B0109EB">
      <w:pPr>
        <w:spacing w:line="500" w:lineRule="exact"/>
        <w:ind w:firstLine="566" w:firstLineChars="200"/>
      </w:pPr>
      <w:r>
        <w:rPr>
          <w:rFonts w:hint="eastAsia"/>
        </w:rPr>
        <w:t>（5）不同投标人的投标文件异常一致或者投标报价呈规律性差异；</w:t>
      </w:r>
    </w:p>
    <w:p w14:paraId="6EA31A2C">
      <w:pPr>
        <w:ind w:firstLine="556" w:firstLineChars="197"/>
      </w:pPr>
      <w:r>
        <w:rPr>
          <w:rFonts w:hint="eastAsia"/>
        </w:rPr>
        <w:t>（6）不同投标人的投标文件相互混装；</w:t>
      </w:r>
    </w:p>
    <w:p w14:paraId="47D112DA">
      <w:pPr>
        <w:ind w:firstLine="556" w:firstLineChars="197"/>
      </w:pPr>
      <w:r>
        <w:rPr>
          <w:rFonts w:hint="eastAsia"/>
        </w:rPr>
        <w:t>（7）政府采购法律法规及招标文件规定的其他情形。</w:t>
      </w:r>
    </w:p>
    <w:p w14:paraId="383921D2">
      <w:pPr>
        <w:pStyle w:val="3"/>
        <w:spacing w:line="500" w:lineRule="exact"/>
        <w:ind w:firstLine="606" w:firstLineChars="200"/>
        <w:jc w:val="center"/>
        <w:rPr>
          <w:rFonts w:ascii="黑体" w:hAnsi="黑体" w:eastAsia="黑体"/>
          <w:sz w:val="30"/>
          <w:szCs w:val="30"/>
        </w:rPr>
      </w:pPr>
      <w:r>
        <w:rPr>
          <w:rFonts w:hint="eastAsia" w:ascii="黑体" w:hAnsi="黑体" w:eastAsia="黑体"/>
          <w:sz w:val="30"/>
          <w:szCs w:val="30"/>
        </w:rPr>
        <w:t>八</w:t>
      </w:r>
      <w:r>
        <w:rPr>
          <w:rFonts w:ascii="黑体" w:hAnsi="黑体" w:eastAsia="黑体"/>
          <w:sz w:val="30"/>
          <w:szCs w:val="30"/>
        </w:rPr>
        <w:t>、</w:t>
      </w:r>
      <w:r>
        <w:rPr>
          <w:rFonts w:hint="eastAsia" w:ascii="黑体" w:hAnsi="黑体" w:eastAsia="黑体"/>
          <w:sz w:val="30"/>
          <w:szCs w:val="30"/>
        </w:rPr>
        <w:t>中</w:t>
      </w:r>
      <w:r>
        <w:rPr>
          <w:rFonts w:ascii="黑体" w:hAnsi="黑体" w:eastAsia="黑体"/>
          <w:sz w:val="30"/>
          <w:szCs w:val="30"/>
        </w:rPr>
        <w:t>标</w:t>
      </w:r>
    </w:p>
    <w:p w14:paraId="258E64E7">
      <w:pPr>
        <w:spacing w:line="500" w:lineRule="exact"/>
        <w:ind w:firstLine="566" w:firstLineChars="200"/>
      </w:pPr>
      <w:r>
        <w:rPr>
          <w:b/>
        </w:rPr>
        <w:t>8.1</w:t>
      </w:r>
      <w:r>
        <w:rPr>
          <w:rFonts w:hint="eastAsia"/>
        </w:rPr>
        <w:t>府谷县政府投资和采购服务中心</w:t>
      </w:r>
      <w:r>
        <w:t>在评标工作结束后2个工作日内将</w:t>
      </w:r>
      <w:r>
        <w:rPr>
          <w:rFonts w:hint="eastAsia"/>
        </w:rPr>
        <w:t>评标报告</w:t>
      </w:r>
      <w:r>
        <w:t>送采购人。</w:t>
      </w:r>
    </w:p>
    <w:p w14:paraId="30CA1439">
      <w:pPr>
        <w:spacing w:line="500" w:lineRule="exact"/>
        <w:ind w:firstLine="566" w:firstLineChars="200"/>
      </w:pPr>
      <w:r>
        <w:rPr>
          <w:b/>
        </w:rPr>
        <w:t>8.2</w:t>
      </w:r>
      <w:r>
        <w:t>采购人在收到</w:t>
      </w:r>
      <w:r>
        <w:rPr>
          <w:rFonts w:hint="eastAsia"/>
        </w:rPr>
        <w:t>评标报告</w:t>
      </w:r>
      <w:r>
        <w:t>之日起5个工作日内，</w:t>
      </w:r>
      <w:r>
        <w:rPr>
          <w:rFonts w:hint="eastAsia"/>
        </w:rPr>
        <w:t>在</w:t>
      </w:r>
      <w:r>
        <w:t>评标报告确定的中标候选人名单中按顺序确定中标</w:t>
      </w:r>
      <w:r>
        <w:rPr>
          <w:rFonts w:hint="eastAsia"/>
        </w:rPr>
        <w:t>人</w:t>
      </w:r>
      <w:r>
        <w:t>。</w:t>
      </w:r>
      <w:r>
        <w:rPr>
          <w:rFonts w:hint="eastAsia"/>
        </w:rPr>
        <w:t>采购人在收到评标报告5个工作日内未按评标报告推荐的中标候选人顺序确定中标人，又不能说明合法理由的，视同按评标报告推荐的顺序确定排名第一的中标候选人为中标人</w:t>
      </w:r>
      <w:r>
        <w:t>。</w:t>
      </w:r>
    </w:p>
    <w:p w14:paraId="6D63DEA9">
      <w:pPr>
        <w:spacing w:line="500" w:lineRule="exact"/>
        <w:ind w:firstLine="556" w:firstLineChars="197"/>
        <w:rPr>
          <w:color w:val="FF0000"/>
        </w:rPr>
      </w:pPr>
      <w:r>
        <w:rPr>
          <w:rFonts w:hint="eastAsia"/>
          <w:b/>
        </w:rPr>
        <w:t>8.3</w:t>
      </w:r>
      <w:r>
        <w:rPr>
          <w:rFonts w:hint="eastAsia"/>
        </w:rPr>
        <w:t xml:space="preserve"> 府谷县政府投资和采购服务中心</w:t>
      </w:r>
      <w:r>
        <w:t>将在中标</w:t>
      </w:r>
      <w:r>
        <w:rPr>
          <w:rFonts w:hint="eastAsia"/>
        </w:rPr>
        <w:t>人</w:t>
      </w:r>
      <w:r>
        <w:t>确定之日起</w:t>
      </w:r>
      <w:r>
        <w:rPr>
          <w:rFonts w:hint="eastAsia"/>
        </w:rPr>
        <w:t>2个工作日内，</w:t>
      </w:r>
      <w:r>
        <w:t>在【</w:t>
      </w:r>
      <w:r>
        <w:fldChar w:fldCharType="begin"/>
      </w:r>
      <w:r>
        <w:instrText xml:space="preserve"> HYPERLINK "http://www.ccgp-shaanxi.gov.cn" </w:instrText>
      </w:r>
      <w:r>
        <w:fldChar w:fldCharType="separate"/>
      </w:r>
      <w:r>
        <w:rPr>
          <w:rStyle w:val="36"/>
          <w:sz w:val="28"/>
          <w:szCs w:val="28"/>
        </w:rPr>
        <w:t>陕西省政府采购网</w:t>
      </w:r>
      <w:r>
        <w:rPr>
          <w:rStyle w:val="36"/>
          <w:sz w:val="28"/>
          <w:szCs w:val="28"/>
        </w:rPr>
        <w:fldChar w:fldCharType="end"/>
      </w:r>
      <w:r>
        <w:rPr>
          <w:rFonts w:hint="eastAsia"/>
        </w:rPr>
        <w:t>（www.ccgp-shaanxi.gov.cn）</w:t>
      </w:r>
      <w:r>
        <w:rPr>
          <w:rStyle w:val="36"/>
          <w:color w:val="auto"/>
          <w:sz w:val="28"/>
          <w:szCs w:val="28"/>
        </w:rPr>
        <w:t>】</w:t>
      </w:r>
      <w:r>
        <w:rPr>
          <w:rStyle w:val="36"/>
          <w:rFonts w:hint="eastAsia"/>
          <w:color w:val="auto"/>
          <w:sz w:val="28"/>
          <w:szCs w:val="28"/>
        </w:rPr>
        <w:t>、</w:t>
      </w:r>
      <w:r>
        <w:rPr>
          <w:rFonts w:hint="eastAsia" w:ascii="华文仿宋" w:hAnsi="华文仿宋" w:cs="华文仿宋"/>
        </w:rPr>
        <w:t>【全国公共资源交易平台（陕西省）（http://www.sxggzyjy.cn/）】</w:t>
      </w:r>
      <w:r>
        <w:t>上</w:t>
      </w:r>
      <w:r>
        <w:rPr>
          <w:rFonts w:hint="eastAsia"/>
        </w:rPr>
        <w:t>公告</w:t>
      </w:r>
      <w:r>
        <w:t>中标结果</w:t>
      </w:r>
      <w:r>
        <w:rPr>
          <w:rFonts w:hint="eastAsia"/>
        </w:rPr>
        <w:t>。中标公告期限为1个工作日。同时，府谷县政府投资和采购服务中心向中标人发出中标通知书。</w:t>
      </w:r>
    </w:p>
    <w:p w14:paraId="06D4DA03">
      <w:pPr>
        <w:spacing w:line="500" w:lineRule="exact"/>
        <w:ind w:firstLine="566" w:firstLineChars="200"/>
      </w:pPr>
      <w:r>
        <w:rPr>
          <w:b/>
        </w:rPr>
        <w:t>8.4</w:t>
      </w:r>
      <w:r>
        <w:rPr>
          <w:rFonts w:hint="eastAsia"/>
        </w:rPr>
        <w:t>中标通知书发出后，采购人不得违法改变中标结果，中标人无正当理由不得放弃中标。</w:t>
      </w:r>
    </w:p>
    <w:p w14:paraId="2796CEA9">
      <w:pPr>
        <w:pStyle w:val="3"/>
        <w:spacing w:line="500" w:lineRule="exact"/>
        <w:ind w:firstLine="606" w:firstLineChars="200"/>
        <w:jc w:val="center"/>
        <w:rPr>
          <w:rFonts w:ascii="黑体" w:hAnsi="黑体" w:eastAsia="黑体"/>
          <w:sz w:val="30"/>
          <w:szCs w:val="30"/>
        </w:rPr>
      </w:pPr>
      <w:r>
        <w:rPr>
          <w:rFonts w:hint="eastAsia" w:ascii="黑体" w:hAnsi="黑体" w:eastAsia="黑体"/>
          <w:sz w:val="30"/>
          <w:szCs w:val="30"/>
        </w:rPr>
        <w:t>九</w:t>
      </w:r>
      <w:r>
        <w:rPr>
          <w:rFonts w:ascii="黑体" w:hAnsi="黑体" w:eastAsia="黑体"/>
          <w:sz w:val="30"/>
          <w:szCs w:val="30"/>
        </w:rPr>
        <w:t>、</w:t>
      </w:r>
      <w:r>
        <w:rPr>
          <w:rFonts w:hint="eastAsia" w:ascii="黑体" w:hAnsi="黑体" w:eastAsia="黑体"/>
          <w:sz w:val="30"/>
          <w:szCs w:val="30"/>
        </w:rPr>
        <w:t>签订政府采购合同</w:t>
      </w:r>
    </w:p>
    <w:p w14:paraId="668C33A7">
      <w:pPr>
        <w:spacing w:line="500" w:lineRule="exact"/>
        <w:ind w:firstLine="566" w:firstLineChars="200"/>
        <w:rPr>
          <w:rFonts w:ascii="华文仿宋" w:hAnsi="华文仿宋" w:cs="华文仿宋"/>
        </w:rPr>
      </w:pPr>
      <w:r>
        <w:rPr>
          <w:rFonts w:hint="eastAsia" w:ascii="仿宋" w:hAnsi="仿宋" w:eastAsia="仿宋" w:cs="仿宋"/>
          <w:b/>
          <w:kern w:val="0"/>
        </w:rPr>
        <w:t>9.1按照《榆林市财政局关于进一步优化政府采购营商环境有关事项的通知》（榆政财采发【2023】8号）文件要求，</w:t>
      </w:r>
      <w:r>
        <w:rPr>
          <w:rFonts w:hint="eastAsia" w:ascii="华文仿宋" w:hAnsi="华文仿宋" w:cs="华文仿宋"/>
          <w:b/>
        </w:rPr>
        <w:t>自中标通知书发出之日起1</w:t>
      </w:r>
      <w:r>
        <w:rPr>
          <w:rFonts w:ascii="华文仿宋" w:hAnsi="华文仿宋" w:cs="华文仿宋"/>
          <w:b/>
        </w:rPr>
        <w:t>0日内</w:t>
      </w:r>
      <w:r>
        <w:rPr>
          <w:rFonts w:ascii="华文仿宋" w:hAnsi="华文仿宋" w:cs="华文仿宋"/>
        </w:rPr>
        <w:t>，</w:t>
      </w:r>
      <w:r>
        <w:rPr>
          <w:rFonts w:hint="eastAsia" w:ascii="华文仿宋" w:hAnsi="华文仿宋" w:cs="华文仿宋"/>
          <w:b/>
        </w:rPr>
        <w:t>采购人与中标人应当</w:t>
      </w:r>
      <w:r>
        <w:rPr>
          <w:rFonts w:ascii="华文仿宋" w:hAnsi="华文仿宋" w:cs="华文仿宋"/>
          <w:b/>
        </w:rPr>
        <w:t>按照</w:t>
      </w:r>
      <w:r>
        <w:rPr>
          <w:rFonts w:hint="eastAsia" w:ascii="华文仿宋" w:hAnsi="华文仿宋" w:cs="华文仿宋"/>
          <w:b/>
        </w:rPr>
        <w:t>招标</w:t>
      </w:r>
      <w:r>
        <w:rPr>
          <w:rFonts w:ascii="华文仿宋" w:hAnsi="华文仿宋" w:cs="华文仿宋"/>
          <w:b/>
        </w:rPr>
        <w:t>文件和中标人投标文件的规定</w:t>
      </w:r>
      <w:r>
        <w:rPr>
          <w:rFonts w:hint="eastAsia" w:ascii="华文仿宋" w:hAnsi="华文仿宋" w:cs="华文仿宋"/>
          <w:b/>
        </w:rPr>
        <w:t>，</w:t>
      </w:r>
      <w:r>
        <w:rPr>
          <w:rFonts w:ascii="华文仿宋" w:hAnsi="华文仿宋" w:cs="华文仿宋"/>
          <w:b/>
        </w:rPr>
        <w:t>签订书面合同。</w:t>
      </w:r>
      <w:r>
        <w:rPr>
          <w:rFonts w:ascii="华文仿宋" w:hAnsi="华文仿宋" w:cs="华文仿宋"/>
        </w:rPr>
        <w:t>所签订的政府采购合同不得对招标文件和中标人的投标文件内容作出实质性修改</w:t>
      </w:r>
      <w:r>
        <w:rPr>
          <w:rFonts w:hint="eastAsia" w:ascii="华文仿宋" w:hAnsi="华文仿宋" w:cs="华文仿宋"/>
        </w:rPr>
        <w:t>。</w:t>
      </w:r>
    </w:p>
    <w:p w14:paraId="14EA4CE1">
      <w:pPr>
        <w:spacing w:line="500" w:lineRule="exact"/>
        <w:ind w:firstLine="566" w:firstLineChars="200"/>
        <w:rPr>
          <w:rFonts w:ascii="华文仿宋" w:hAnsi="华文仿宋" w:cs="华文仿宋"/>
        </w:rPr>
      </w:pPr>
      <w:r>
        <w:rPr>
          <w:rFonts w:hint="eastAsia" w:ascii="华文仿宋" w:hAnsi="华文仿宋" w:cs="华文仿宋"/>
        </w:rPr>
        <w:t>采购人不得向中标人提出任何不合理的要求作为签订合同的条件。</w:t>
      </w:r>
    </w:p>
    <w:p w14:paraId="498268B0">
      <w:pPr>
        <w:spacing w:line="500" w:lineRule="exact"/>
        <w:ind w:firstLine="566" w:firstLineChars="200"/>
        <w:rPr>
          <w:rFonts w:ascii="华文仿宋" w:hAnsi="华文仿宋" w:cs="华文仿宋"/>
        </w:rPr>
      </w:pPr>
      <w:r>
        <w:rPr>
          <w:rFonts w:hint="eastAsia" w:ascii="仿宋" w:hAnsi="仿宋" w:eastAsia="仿宋" w:cs="仿宋"/>
          <w:b/>
          <w:kern w:val="0"/>
        </w:rPr>
        <w:t>9.2</w:t>
      </w:r>
      <w:r>
        <w:rPr>
          <w:rFonts w:hint="eastAsia" w:ascii="华文仿宋" w:hAnsi="华文仿宋" w:cs="华文仿宋"/>
        </w:rPr>
        <w:t>中标人拒绝与采购人签订合同的，采购人可以按照评审报告推荐的中标候选人名单排序，确定下一候选人为中标人，也可以重新开展政府采购活动。拒绝签订政府采购合同的中标人不得参加对该项目重新开展的采购活动。</w:t>
      </w:r>
    </w:p>
    <w:p w14:paraId="285EC861">
      <w:pPr>
        <w:spacing w:line="500" w:lineRule="exact"/>
        <w:ind w:firstLine="566" w:firstLineChars="200"/>
        <w:rPr>
          <w:rFonts w:ascii="仿宋" w:hAnsi="仿宋" w:eastAsia="仿宋" w:cs="仿宋"/>
        </w:rPr>
      </w:pPr>
      <w:r>
        <w:rPr>
          <w:rFonts w:hint="eastAsia" w:ascii="仿宋" w:hAnsi="仿宋" w:eastAsia="仿宋" w:cs="仿宋"/>
          <w:b/>
          <w:kern w:val="0"/>
        </w:rPr>
        <w:t>9.3</w:t>
      </w:r>
      <w:r>
        <w:rPr>
          <w:rFonts w:hint="eastAsia" w:ascii="华文仿宋" w:hAnsi="华文仿宋" w:cs="华文仿宋"/>
        </w:rPr>
        <w:t>招标文件、中标人的投标文件、澄清、</w:t>
      </w:r>
      <w:r>
        <w:rPr>
          <w:rFonts w:hint="eastAsia" w:ascii="仿宋" w:hAnsi="仿宋" w:eastAsia="仿宋" w:cs="仿宋"/>
        </w:rPr>
        <w:t>《中标通知书》及其说明文件、承诺</w:t>
      </w:r>
      <w:r>
        <w:rPr>
          <w:rFonts w:hint="eastAsia" w:ascii="华文仿宋" w:hAnsi="华文仿宋" w:cs="华文仿宋"/>
        </w:rPr>
        <w:t>等，均作为签订采购合同的依据，</w:t>
      </w:r>
      <w:r>
        <w:rPr>
          <w:rFonts w:hint="eastAsia" w:ascii="仿宋" w:hAnsi="仿宋" w:eastAsia="仿宋" w:cs="仿宋"/>
        </w:rPr>
        <w:t>作为采购合同的组成部分。</w:t>
      </w:r>
    </w:p>
    <w:p w14:paraId="63ACD2BC">
      <w:pPr>
        <w:widowControl w:val="0"/>
        <w:spacing w:line="500" w:lineRule="exact"/>
        <w:ind w:firstLine="566" w:firstLineChars="200"/>
        <w:rPr>
          <w:rFonts w:ascii="仿宋" w:hAnsi="仿宋" w:eastAsia="仿宋" w:cs="仿宋"/>
          <w:kern w:val="0"/>
        </w:rPr>
      </w:pPr>
      <w:r>
        <w:rPr>
          <w:rFonts w:hint="eastAsia" w:ascii="仿宋" w:hAnsi="仿宋" w:eastAsia="仿宋" w:cs="仿宋"/>
          <w:b/>
          <w:kern w:val="0"/>
        </w:rPr>
        <w:t>9.4</w:t>
      </w:r>
      <w:r>
        <w:rPr>
          <w:rFonts w:hint="eastAsia" w:ascii="仿宋" w:hAnsi="仿宋" w:eastAsia="仿宋" w:cs="仿宋"/>
          <w:kern w:val="0"/>
        </w:rPr>
        <w:t>政府采购合同应当包括采购人与中标人的名称和住所、标的、数量、质量、价款或者报酬、履行期限及地点和方式、验收要求、违约责任、解决争议的方法等内容。</w:t>
      </w:r>
    </w:p>
    <w:p w14:paraId="15410FC6">
      <w:pPr>
        <w:widowControl w:val="0"/>
        <w:spacing w:line="500" w:lineRule="exact"/>
        <w:ind w:firstLine="566" w:firstLineChars="200"/>
        <w:rPr>
          <w:rFonts w:ascii="仿宋" w:hAnsi="仿宋" w:eastAsia="仿宋" w:cs="仿宋"/>
          <w:kern w:val="0"/>
        </w:rPr>
      </w:pPr>
      <w:r>
        <w:rPr>
          <w:rFonts w:hint="eastAsia" w:ascii="仿宋" w:hAnsi="仿宋" w:eastAsia="仿宋" w:cs="仿宋"/>
          <w:b/>
          <w:kern w:val="0"/>
        </w:rPr>
        <w:t>9.5</w:t>
      </w:r>
      <w:r>
        <w:rPr>
          <w:rFonts w:hint="eastAsia" w:ascii="仿宋" w:hAnsi="仿宋" w:eastAsia="仿宋" w:cs="仿宋"/>
          <w:kern w:val="0"/>
        </w:rPr>
        <w:t>采购人与中标人应当根据合同的约定依法履行合同义务。政府采购合同的履行、违约责任和解决争议的方法等适用《中华人民共和国民法典》。</w:t>
      </w:r>
    </w:p>
    <w:p w14:paraId="7AF9DD89">
      <w:pPr>
        <w:spacing w:line="500" w:lineRule="exact"/>
        <w:ind w:firstLine="566" w:firstLineChars="200"/>
        <w:rPr>
          <w:rFonts w:ascii="仿宋" w:hAnsi="仿宋" w:eastAsia="仿宋" w:cs="仿宋"/>
          <w:kern w:val="0"/>
        </w:rPr>
      </w:pPr>
      <w:r>
        <w:rPr>
          <w:rFonts w:hint="eastAsia" w:ascii="仿宋" w:hAnsi="仿宋" w:eastAsia="仿宋" w:cs="仿宋"/>
          <w:b/>
          <w:kern w:val="0"/>
        </w:rPr>
        <w:t>9.6</w:t>
      </w:r>
      <w:r>
        <w:rPr>
          <w:rFonts w:hint="eastAsia" w:ascii="仿宋" w:hAnsi="仿宋" w:eastAsia="仿宋" w:cs="仿宋"/>
          <w:kern w:val="0"/>
        </w:rPr>
        <w:t>采购人应当及时对采购项目进行验收。采购人可以邀请参加本项目的其他投标人或者第三方机构参与验收。参与验收的投标人或者第三方机构的意见作为验收书的参考资料一并存档。</w:t>
      </w:r>
    </w:p>
    <w:p w14:paraId="3C6F39C3">
      <w:pPr>
        <w:spacing w:line="500" w:lineRule="exact"/>
        <w:ind w:firstLine="566" w:firstLineChars="200"/>
        <w:rPr>
          <w:rFonts w:ascii="仿宋" w:hAnsi="仿宋" w:eastAsia="仿宋" w:cs="仿宋"/>
          <w:kern w:val="0"/>
        </w:rPr>
      </w:pPr>
      <w:r>
        <w:rPr>
          <w:rFonts w:hint="eastAsia" w:ascii="仿宋" w:hAnsi="仿宋" w:eastAsia="仿宋" w:cs="仿宋"/>
          <w:b/>
          <w:kern w:val="0"/>
        </w:rPr>
        <w:t>9.7</w:t>
      </w:r>
      <w:r>
        <w:rPr>
          <w:rFonts w:hint="eastAsia" w:ascii="仿宋" w:hAnsi="仿宋" w:eastAsia="仿宋" w:cs="仿宋"/>
          <w:kern w:val="0"/>
        </w:rPr>
        <w:t>采购人应当加强对中标人的履约管理，并按照采购合同约定，及时向中标人支付采购资金。对于中标人违反采购合同约定的行为，采购人应当及时处理，依法追究其违约责任。</w:t>
      </w:r>
    </w:p>
    <w:p w14:paraId="1B9B8904">
      <w:pPr>
        <w:spacing w:line="500" w:lineRule="exact"/>
        <w:ind w:firstLine="566" w:firstLineChars="200"/>
        <w:rPr>
          <w:color w:val="FF0000"/>
        </w:rPr>
      </w:pPr>
      <w:r>
        <w:rPr>
          <w:rFonts w:hint="eastAsia" w:ascii="仿宋" w:hAnsi="仿宋" w:eastAsia="仿宋" w:cs="仿宋"/>
          <w:b/>
          <w:kern w:val="0"/>
        </w:rPr>
        <w:t>9.8</w:t>
      </w:r>
      <w:r>
        <w:rPr>
          <w:rFonts w:hint="eastAsia" w:ascii="华文仿宋" w:hAnsi="华文仿宋" w:cs="华文仿宋"/>
          <w:bCs/>
        </w:rPr>
        <w:t>采购人按有关规定将政府采购合同报送监管机构备案。</w:t>
      </w:r>
    </w:p>
    <w:p w14:paraId="79475298">
      <w:pPr>
        <w:pStyle w:val="3"/>
        <w:spacing w:line="500" w:lineRule="exact"/>
        <w:ind w:firstLine="606" w:firstLineChars="200"/>
        <w:jc w:val="center"/>
        <w:rPr>
          <w:rFonts w:ascii="黑体" w:hAnsi="黑体" w:eastAsia="黑体"/>
          <w:sz w:val="30"/>
          <w:szCs w:val="30"/>
        </w:rPr>
      </w:pPr>
      <w:r>
        <w:rPr>
          <w:rFonts w:ascii="黑体" w:hAnsi="黑体" w:eastAsia="黑体"/>
          <w:sz w:val="30"/>
          <w:szCs w:val="30"/>
        </w:rPr>
        <w:t>十、其他</w:t>
      </w:r>
    </w:p>
    <w:p w14:paraId="6602D3CC">
      <w:pPr>
        <w:spacing w:line="500" w:lineRule="exact"/>
        <w:ind w:firstLine="566" w:firstLineChars="200"/>
      </w:pPr>
      <w:r>
        <w:rPr>
          <w:b/>
        </w:rPr>
        <w:t>10.1</w:t>
      </w:r>
      <w:r>
        <w:rPr>
          <w:rFonts w:hint="eastAsia"/>
        </w:rPr>
        <w:t>评标委员会发现招标文件存在歧义、重大缺陷导致评标工作无法进行，或者招标文件内容违反国家有关强制性规定的，应当停止评标工作，与采购人或者府谷县政府投资和采购服务中心沟通并作书面记录。采购人或者府谷县政府投资和采购服务中心确认后，应当修改招标文件，重新组织采购活动。</w:t>
      </w:r>
    </w:p>
    <w:p w14:paraId="27B7D55A">
      <w:pPr>
        <w:spacing w:line="500" w:lineRule="exact"/>
        <w:ind w:firstLine="566" w:firstLineChars="200"/>
      </w:pPr>
      <w:r>
        <w:rPr>
          <w:b/>
        </w:rPr>
        <w:t>10.2</w:t>
      </w:r>
      <w:r>
        <w:t>根据《政府采购法》第三十六条规定，在招标采购中，出现下列情形之一的，本项目按废标处理：</w:t>
      </w:r>
    </w:p>
    <w:p w14:paraId="14E615B4">
      <w:pPr>
        <w:spacing w:line="500" w:lineRule="exact"/>
        <w:ind w:firstLine="566" w:firstLineChars="200"/>
      </w:pPr>
      <w:r>
        <w:t>1、出现影响采购公正的违法、违规行为的；</w:t>
      </w:r>
    </w:p>
    <w:p w14:paraId="3AB486D7">
      <w:pPr>
        <w:spacing w:line="500" w:lineRule="exact"/>
        <w:ind w:firstLine="566" w:firstLineChars="200"/>
      </w:pPr>
      <w:r>
        <w:rPr>
          <w:rFonts w:hint="eastAsia"/>
        </w:rPr>
        <w:t>2、投标人的报价均超过了采购预算，采购人不能支付的；</w:t>
      </w:r>
    </w:p>
    <w:p w14:paraId="60D28741">
      <w:pPr>
        <w:spacing w:line="500" w:lineRule="exact"/>
        <w:ind w:firstLine="566" w:firstLineChars="200"/>
      </w:pPr>
      <w:r>
        <w:rPr>
          <w:rFonts w:hint="eastAsia"/>
          <w:lang w:val="en-US" w:eastAsia="zh-CN"/>
        </w:rPr>
        <w:t>3</w:t>
      </w:r>
      <w:r>
        <w:t>、因重大变故，采购任务取消的。</w:t>
      </w:r>
    </w:p>
    <w:p w14:paraId="739BF166">
      <w:pPr>
        <w:spacing w:line="500" w:lineRule="exact"/>
        <w:ind w:firstLine="566" w:firstLineChars="200"/>
      </w:pPr>
      <w:r>
        <w:t>废标后，</w:t>
      </w:r>
      <w:r>
        <w:rPr>
          <w:rFonts w:hint="eastAsia"/>
        </w:rPr>
        <w:t>由府谷县政府投资和采购服务中心发布废标公告。</w:t>
      </w:r>
      <w:r>
        <w:t>除采购任务取消外，</w:t>
      </w:r>
      <w:r>
        <w:rPr>
          <w:rFonts w:hint="eastAsia"/>
        </w:rPr>
        <w:t>本项目</w:t>
      </w:r>
      <w:r>
        <w:t>将重新组织招标。</w:t>
      </w:r>
    </w:p>
    <w:p w14:paraId="78D23C18">
      <w:pPr>
        <w:spacing w:line="500" w:lineRule="exact"/>
        <w:ind w:firstLine="556" w:firstLineChars="197"/>
      </w:pPr>
      <w:r>
        <w:rPr>
          <w:rFonts w:hint="eastAsia"/>
          <w:b/>
        </w:rPr>
        <w:t>10.3</w:t>
      </w:r>
      <w:r>
        <w:rPr>
          <w:rFonts w:hint="eastAsia"/>
        </w:rPr>
        <w:t>在递交投标文件阶段、投标文件解密阶段、资格审查阶段或评标委员会评标阶段，当出现有效投标投标人不足3家时，</w:t>
      </w:r>
      <w:r>
        <w:t>除采购任务取消外，</w:t>
      </w:r>
      <w:r>
        <w:rPr>
          <w:rFonts w:hint="eastAsia"/>
        </w:rPr>
        <w:t>按照以下方式处理：</w:t>
      </w:r>
    </w:p>
    <w:p w14:paraId="2CB3F608">
      <w:pPr>
        <w:widowControl w:val="0"/>
        <w:spacing w:line="500" w:lineRule="exact"/>
        <w:ind w:firstLine="566" w:firstLineChars="200"/>
      </w:pPr>
      <w:r>
        <w:rPr>
          <w:rFonts w:hint="eastAsia"/>
        </w:rPr>
        <w:t>1、招标文件存在不合理条款或者招标程序不符合规定的，采购人、采购代理机构改正后依法重新招标；</w:t>
      </w:r>
    </w:p>
    <w:p w14:paraId="3581B75C">
      <w:pPr>
        <w:widowControl w:val="0"/>
        <w:spacing w:line="500" w:lineRule="exact"/>
        <w:ind w:firstLine="566" w:firstLineChars="200"/>
      </w:pPr>
      <w:r>
        <w:rPr>
          <w:rFonts w:hint="eastAsia"/>
        </w:rPr>
        <w:t>2、招标文件没有不合理条款、招标程序符合规定，需要采用其他采购方式采购的，采购人应当依法报财政部门批准。</w:t>
      </w:r>
    </w:p>
    <w:p w14:paraId="60A2BEA6">
      <w:pPr>
        <w:spacing w:line="500" w:lineRule="exact"/>
        <w:ind w:firstLine="566" w:firstLineChars="200"/>
      </w:pPr>
      <w:r>
        <w:rPr>
          <w:b/>
        </w:rPr>
        <w:t>10.4</w:t>
      </w:r>
      <w:r>
        <w:rPr>
          <w:rFonts w:hint="eastAsia"/>
        </w:rPr>
        <w:t>采购代理机构将采取必要措施，保证评标在严格保密的情况下进行。除采购人代表、评标现场组织人员外，采购人的其他工作人员以及与评标工作无关的人员不得进入评标现场。</w:t>
      </w:r>
    </w:p>
    <w:p w14:paraId="6BA13988">
      <w:pPr>
        <w:spacing w:line="500" w:lineRule="exact"/>
        <w:ind w:firstLine="566" w:firstLineChars="200"/>
      </w:pPr>
      <w:r>
        <w:rPr>
          <w:rFonts w:hint="eastAsia"/>
        </w:rPr>
        <w:t>有关人员对评标情况以及在评标过程中获悉的国家秘密、商业秘密负有保密责任。</w:t>
      </w:r>
    </w:p>
    <w:p w14:paraId="5B61F23C">
      <w:pPr>
        <w:spacing w:line="500" w:lineRule="exact"/>
        <w:ind w:firstLine="566" w:firstLineChars="200"/>
      </w:pPr>
      <w:r>
        <w:rPr>
          <w:rFonts w:hint="eastAsia"/>
          <w:b/>
        </w:rPr>
        <w:t xml:space="preserve">10.5 </w:t>
      </w:r>
      <w:r>
        <w:t>招标文件未明确的其他事项，按《政府采购法》及其相关法律法规执行。</w:t>
      </w:r>
    </w:p>
    <w:p w14:paraId="25877B50">
      <w:pPr>
        <w:spacing w:line="500" w:lineRule="exact"/>
        <w:ind w:firstLine="566" w:firstLineChars="200"/>
        <w:jc w:val="center"/>
        <w:rPr>
          <w:rFonts w:ascii="黑体" w:hAnsi="黑体" w:eastAsia="黑体"/>
          <w:b/>
        </w:rPr>
      </w:pPr>
      <w:r>
        <w:rPr>
          <w:rFonts w:hint="eastAsia" w:ascii="黑体" w:hAnsi="黑体" w:eastAsia="黑体"/>
          <w:b/>
        </w:rPr>
        <w:t>十一、采购代理服务费：免费</w:t>
      </w:r>
    </w:p>
    <w:p w14:paraId="6BD9400C">
      <w:pPr>
        <w:spacing w:line="500" w:lineRule="exact"/>
        <w:ind w:firstLine="566"/>
        <w:rPr>
          <w:u w:val="single"/>
        </w:rPr>
      </w:pPr>
    </w:p>
    <w:p w14:paraId="33A21E51">
      <w:pPr>
        <w:autoSpaceDE w:val="0"/>
        <w:autoSpaceDN w:val="0"/>
        <w:spacing w:line="240" w:lineRule="auto"/>
        <w:ind w:firstLine="426" w:firstLineChars="200"/>
        <w:jc w:val="left"/>
        <w:rPr>
          <w:rFonts w:ascii="宋体" w:hAnsi="宋体" w:eastAsia="宋体" w:cs="宋体"/>
          <w:color w:val="000000"/>
          <w:kern w:val="0"/>
          <w:sz w:val="21"/>
          <w:szCs w:val="21"/>
        </w:rPr>
      </w:pPr>
    </w:p>
    <w:p w14:paraId="12998325">
      <w:pPr>
        <w:autoSpaceDE w:val="0"/>
        <w:autoSpaceDN w:val="0"/>
        <w:spacing w:line="240" w:lineRule="auto"/>
        <w:ind w:firstLine="426" w:firstLineChars="200"/>
        <w:jc w:val="left"/>
        <w:rPr>
          <w:rFonts w:ascii="宋体" w:hAnsi="宋体" w:eastAsia="宋体" w:cs="宋体"/>
          <w:color w:val="000000"/>
          <w:kern w:val="0"/>
          <w:sz w:val="21"/>
          <w:szCs w:val="21"/>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417" w:bottom="1440" w:left="1417" w:header="850" w:footer="992" w:gutter="0"/>
          <w:pgNumType w:fmt="decimal" w:start="1"/>
          <w:cols w:space="720" w:num="1"/>
          <w:docGrid w:type="linesAndChars" w:linePitch="381" w:charSpace="704"/>
        </w:sectPr>
      </w:pPr>
    </w:p>
    <w:p w14:paraId="3A417104">
      <w:pPr>
        <w:pStyle w:val="2"/>
        <w:rPr>
          <w:rFonts w:ascii="黑体" w:hAnsi="黑体" w:eastAsia="黑体"/>
          <w:b w:val="0"/>
          <w:color w:val="auto"/>
          <w:sz w:val="32"/>
          <w:szCs w:val="32"/>
        </w:rPr>
      </w:pPr>
      <w:bookmarkStart w:id="33" w:name="_Toc495014920"/>
      <w:bookmarkStart w:id="34" w:name="_Toc495012821"/>
      <w:bookmarkStart w:id="35" w:name="_Toc495012771"/>
      <w:bookmarkStart w:id="36" w:name="_Toc495014585"/>
      <w:bookmarkStart w:id="37" w:name="_Toc495014954"/>
      <w:bookmarkStart w:id="38" w:name="_Toc445306493"/>
      <w:bookmarkStart w:id="39" w:name="_Toc424636365"/>
      <w:bookmarkStart w:id="40" w:name="_Toc495014649"/>
      <w:bookmarkStart w:id="41" w:name="_Toc495014611"/>
      <w:r>
        <w:rPr>
          <w:rFonts w:ascii="黑体" w:hAnsi="黑体" w:eastAsia="黑体"/>
          <w:b w:val="0"/>
          <w:color w:val="auto"/>
          <w:sz w:val="32"/>
          <w:szCs w:val="32"/>
        </w:rPr>
        <w:t>第三章</w:t>
      </w:r>
      <w:r>
        <w:rPr>
          <w:rFonts w:hint="eastAsia" w:ascii="黑体" w:hAnsi="黑体" w:eastAsia="黑体"/>
          <w:b w:val="0"/>
          <w:color w:val="auto"/>
          <w:sz w:val="32"/>
          <w:szCs w:val="32"/>
        </w:rPr>
        <w:t xml:space="preserve">  评审办法及标准</w:t>
      </w:r>
    </w:p>
    <w:p w14:paraId="504F64F1">
      <w:pPr>
        <w:spacing w:line="360" w:lineRule="auto"/>
        <w:ind w:firstLine="561" w:firstLineChars="200"/>
        <w:rPr>
          <w:b/>
        </w:rPr>
      </w:pPr>
      <w:bookmarkStart w:id="42" w:name="_Toc363463332"/>
      <w:r>
        <w:rPr>
          <w:rFonts w:hint="eastAsia"/>
          <w:b/>
        </w:rPr>
        <w:t>一、评审</w:t>
      </w:r>
      <w:bookmarkEnd w:id="42"/>
      <w:r>
        <w:rPr>
          <w:rFonts w:hint="eastAsia"/>
          <w:b/>
        </w:rPr>
        <w:t>办法</w:t>
      </w:r>
    </w:p>
    <w:p w14:paraId="5FA99B59">
      <w:pPr>
        <w:spacing w:line="500" w:lineRule="exact"/>
        <w:ind w:firstLine="560" w:firstLineChars="200"/>
        <w:rPr>
          <w:rFonts w:hint="eastAsia"/>
          <w:lang w:eastAsia="zh-CN"/>
        </w:rPr>
      </w:pPr>
      <w:r>
        <w:rPr>
          <w:rFonts w:hint="eastAsia"/>
        </w:rPr>
        <w:t>按照《中华人民共和国政府采购法》和《中华人民共和国政府采购法实施条例》及《政府采购货物和服务招标投标管理办法》（财政部令第87号）等相关法律法规，本次评审采用</w:t>
      </w:r>
      <w:r>
        <w:rPr>
          <w:rFonts w:hint="eastAsia"/>
          <w:b/>
        </w:rPr>
        <w:t>综合评分法</w:t>
      </w:r>
      <w:r>
        <w:rPr>
          <w:rFonts w:hint="eastAsia"/>
          <w:lang w:eastAsia="zh-CN"/>
        </w:rPr>
        <w:t>。</w:t>
      </w:r>
      <w:bookmarkStart w:id="43" w:name="_Toc363463333"/>
    </w:p>
    <w:p w14:paraId="2FB3B5AF">
      <w:pPr>
        <w:spacing w:line="500" w:lineRule="exact"/>
        <w:ind w:firstLine="561" w:firstLineChars="200"/>
        <w:rPr>
          <w:b/>
        </w:rPr>
      </w:pPr>
      <w:r>
        <w:rPr>
          <w:rFonts w:hint="eastAsia"/>
          <w:b/>
        </w:rPr>
        <w:t>二、评标程序</w:t>
      </w:r>
      <w:bookmarkEnd w:id="43"/>
    </w:p>
    <w:p w14:paraId="0179A449">
      <w:pPr>
        <w:spacing w:line="500" w:lineRule="exact"/>
        <w:ind w:firstLine="560" w:firstLineChars="200"/>
        <w:rPr>
          <w:b/>
        </w:rPr>
      </w:pPr>
      <w:r>
        <w:rPr>
          <w:rFonts w:hint="eastAsia"/>
        </w:rPr>
        <w:t>开标（签到、解密）后，按照资格审查、符合性审查、综合评估打分、推荐中标候选人名单的工作程序进行评审。在上一步评审中按无效投标处理的投标人，不进入下一步的评审。</w:t>
      </w:r>
    </w:p>
    <w:p w14:paraId="5B5CEEFD">
      <w:pPr>
        <w:spacing w:line="500" w:lineRule="exact"/>
        <w:ind w:firstLine="562" w:firstLineChars="200"/>
        <w:jc w:val="center"/>
        <w:rPr>
          <w:rFonts w:hint="default" w:ascii="黑体" w:hAnsi="黑体" w:eastAsia="黑体"/>
          <w:b/>
          <w:lang w:val="en-US" w:eastAsia="zh-CN"/>
        </w:rPr>
      </w:pPr>
      <w:r>
        <w:rPr>
          <w:rFonts w:hint="eastAsia" w:ascii="黑体" w:hAnsi="黑体" w:eastAsia="黑体"/>
          <w:b/>
        </w:rPr>
        <w:t>（一）资格审查</w:t>
      </w:r>
      <w:r>
        <w:rPr>
          <w:rFonts w:hint="eastAsia" w:ascii="黑体" w:hAnsi="黑体" w:eastAsia="黑体"/>
          <w:b/>
          <w:lang w:val="en-US" w:eastAsia="zh-CN"/>
        </w:rPr>
        <w:t xml:space="preserve">   </w:t>
      </w:r>
    </w:p>
    <w:p w14:paraId="146D4BAC">
      <w:pPr>
        <w:spacing w:line="360" w:lineRule="auto"/>
        <w:jc w:val="left"/>
        <w:rPr>
          <w:rFonts w:ascii="华文仿宋" w:hAnsi="华文仿宋" w:cs="华文仿宋"/>
          <w:b/>
          <w:bCs/>
        </w:rPr>
      </w:pPr>
      <w:r>
        <w:rPr>
          <w:rFonts w:hint="eastAsia" w:ascii="华文仿宋" w:hAnsi="华文仿宋" w:cs="华文仿宋"/>
          <w:b/>
          <w:bCs/>
        </w:rPr>
        <w:t>资格审查标准</w:t>
      </w:r>
    </w:p>
    <w:tbl>
      <w:tblPr>
        <w:tblStyle w:val="25"/>
        <w:tblW w:w="8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515"/>
        <w:gridCol w:w="5709"/>
        <w:gridCol w:w="621"/>
      </w:tblGrid>
      <w:tr w14:paraId="4CF2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66" w:type="dxa"/>
            <w:tcBorders>
              <w:top w:val="single" w:color="auto" w:sz="4" w:space="0"/>
              <w:left w:val="single" w:color="auto" w:sz="4" w:space="0"/>
              <w:bottom w:val="single" w:color="auto" w:sz="4" w:space="0"/>
              <w:right w:val="single" w:color="auto" w:sz="4" w:space="0"/>
            </w:tcBorders>
            <w:shd w:val="clear" w:color="auto" w:fill="D9D9D9"/>
            <w:vAlign w:val="center"/>
          </w:tcPr>
          <w:p w14:paraId="7BE58D37">
            <w:pPr>
              <w:spacing w:line="320" w:lineRule="exact"/>
              <w:jc w:val="center"/>
              <w:rPr>
                <w:rFonts w:hint="eastAsia" w:ascii="华文仿宋" w:hAnsi="华文仿宋" w:eastAsia="华文仿宋" w:cs="华文仿宋"/>
                <w:b/>
                <w:bCs/>
                <w:kern w:val="0"/>
                <w:sz w:val="24"/>
                <w:szCs w:val="24"/>
              </w:rPr>
            </w:pPr>
            <w:r>
              <w:rPr>
                <w:rFonts w:hint="eastAsia" w:ascii="华文仿宋" w:hAnsi="华文仿宋" w:eastAsia="华文仿宋" w:cs="华文仿宋"/>
                <w:b/>
                <w:bCs/>
                <w:kern w:val="0"/>
                <w:sz w:val="24"/>
                <w:szCs w:val="24"/>
              </w:rPr>
              <w:t>序号</w:t>
            </w:r>
          </w:p>
        </w:tc>
        <w:tc>
          <w:tcPr>
            <w:tcW w:w="1515" w:type="dxa"/>
            <w:tcBorders>
              <w:top w:val="single" w:color="auto" w:sz="4" w:space="0"/>
              <w:left w:val="single" w:color="auto" w:sz="4" w:space="0"/>
              <w:bottom w:val="single" w:color="auto" w:sz="4" w:space="0"/>
              <w:right w:val="single" w:color="auto" w:sz="4" w:space="0"/>
            </w:tcBorders>
            <w:shd w:val="clear" w:color="auto" w:fill="D9D9D9"/>
            <w:vAlign w:val="center"/>
          </w:tcPr>
          <w:p w14:paraId="3D146BA6">
            <w:pPr>
              <w:spacing w:line="320" w:lineRule="exact"/>
              <w:jc w:val="center"/>
              <w:rPr>
                <w:rFonts w:hint="eastAsia" w:ascii="华文仿宋" w:hAnsi="华文仿宋" w:eastAsia="华文仿宋" w:cs="华文仿宋"/>
                <w:b/>
                <w:bCs/>
                <w:kern w:val="0"/>
                <w:sz w:val="24"/>
                <w:szCs w:val="24"/>
              </w:rPr>
            </w:pPr>
            <w:r>
              <w:rPr>
                <w:rFonts w:hint="eastAsia" w:ascii="华文仿宋" w:hAnsi="华文仿宋" w:eastAsia="华文仿宋" w:cs="华文仿宋"/>
                <w:b/>
                <w:bCs/>
                <w:kern w:val="0"/>
                <w:sz w:val="24"/>
                <w:szCs w:val="24"/>
              </w:rPr>
              <w:t>资格审查项</w:t>
            </w:r>
          </w:p>
        </w:tc>
        <w:tc>
          <w:tcPr>
            <w:tcW w:w="5709" w:type="dxa"/>
            <w:tcBorders>
              <w:top w:val="single" w:color="auto" w:sz="4" w:space="0"/>
              <w:left w:val="single" w:color="auto" w:sz="4" w:space="0"/>
              <w:bottom w:val="single" w:color="auto" w:sz="4" w:space="0"/>
              <w:right w:val="single" w:color="auto" w:sz="4" w:space="0"/>
            </w:tcBorders>
            <w:shd w:val="clear" w:color="auto" w:fill="D9D9D9"/>
            <w:vAlign w:val="center"/>
          </w:tcPr>
          <w:p w14:paraId="07CCE9E4">
            <w:pPr>
              <w:spacing w:line="320" w:lineRule="exact"/>
              <w:jc w:val="center"/>
              <w:rPr>
                <w:rFonts w:hint="eastAsia" w:ascii="华文仿宋" w:hAnsi="华文仿宋" w:eastAsia="华文仿宋" w:cs="华文仿宋"/>
                <w:b/>
                <w:bCs/>
                <w:kern w:val="0"/>
                <w:sz w:val="24"/>
                <w:szCs w:val="24"/>
              </w:rPr>
            </w:pPr>
            <w:r>
              <w:rPr>
                <w:rFonts w:hint="eastAsia" w:ascii="华文仿宋" w:hAnsi="华文仿宋" w:eastAsia="华文仿宋" w:cs="华文仿宋"/>
                <w:b/>
                <w:bCs/>
                <w:kern w:val="0"/>
                <w:sz w:val="24"/>
                <w:szCs w:val="24"/>
              </w:rPr>
              <w:t>通过条件</w:t>
            </w:r>
          </w:p>
        </w:tc>
        <w:tc>
          <w:tcPr>
            <w:tcW w:w="621" w:type="dxa"/>
            <w:tcBorders>
              <w:top w:val="single" w:color="auto" w:sz="4" w:space="0"/>
              <w:left w:val="single" w:color="auto" w:sz="4" w:space="0"/>
              <w:bottom w:val="single" w:color="auto" w:sz="4" w:space="0"/>
              <w:right w:val="single" w:color="auto" w:sz="4" w:space="0"/>
            </w:tcBorders>
            <w:shd w:val="clear" w:color="auto" w:fill="D9D9D9"/>
            <w:vAlign w:val="center"/>
          </w:tcPr>
          <w:p w14:paraId="4C41DA18">
            <w:pPr>
              <w:spacing w:line="320" w:lineRule="exact"/>
              <w:jc w:val="center"/>
              <w:rPr>
                <w:rFonts w:hint="eastAsia" w:ascii="华文仿宋" w:hAnsi="华文仿宋" w:eastAsia="华文仿宋" w:cs="华文仿宋"/>
                <w:b/>
                <w:bCs/>
                <w:kern w:val="0"/>
                <w:sz w:val="24"/>
                <w:szCs w:val="24"/>
              </w:rPr>
            </w:pPr>
            <w:r>
              <w:rPr>
                <w:rFonts w:hint="eastAsia" w:ascii="华文仿宋" w:hAnsi="华文仿宋" w:eastAsia="华文仿宋" w:cs="华文仿宋"/>
                <w:b/>
                <w:bCs/>
                <w:kern w:val="0"/>
                <w:sz w:val="24"/>
                <w:szCs w:val="24"/>
              </w:rPr>
              <w:t>备注</w:t>
            </w:r>
          </w:p>
        </w:tc>
      </w:tr>
      <w:tr w14:paraId="5D56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779E1303">
            <w:pPr>
              <w:spacing w:line="240" w:lineRule="auto"/>
              <w:jc w:val="center"/>
              <w:rPr>
                <w:rFonts w:hint="eastAsia" w:ascii="华文仿宋" w:hAnsi="华文仿宋" w:eastAsia="华文仿宋" w:cs="华文仿宋"/>
                <w:b/>
                <w:sz w:val="24"/>
                <w:szCs w:val="24"/>
              </w:rPr>
            </w:pPr>
            <w:r>
              <w:rPr>
                <w:rFonts w:hint="eastAsia" w:ascii="华文仿宋" w:hAnsi="华文仿宋" w:eastAsia="华文仿宋" w:cs="华文仿宋"/>
                <w:b/>
                <w:sz w:val="24"/>
                <w:szCs w:val="24"/>
              </w:rPr>
              <w:t>1</w:t>
            </w:r>
          </w:p>
        </w:tc>
        <w:tc>
          <w:tcPr>
            <w:tcW w:w="1515" w:type="dxa"/>
            <w:tcBorders>
              <w:top w:val="single" w:color="auto" w:sz="4" w:space="0"/>
              <w:left w:val="single" w:color="auto" w:sz="4" w:space="0"/>
              <w:bottom w:val="single" w:color="auto" w:sz="4" w:space="0"/>
              <w:right w:val="single" w:color="auto" w:sz="4" w:space="0"/>
            </w:tcBorders>
            <w:vAlign w:val="center"/>
          </w:tcPr>
          <w:p w14:paraId="2209BDD5">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供应商性质证明文件</w:t>
            </w:r>
          </w:p>
        </w:tc>
        <w:tc>
          <w:tcPr>
            <w:tcW w:w="5709" w:type="dxa"/>
            <w:tcBorders>
              <w:top w:val="single" w:color="auto" w:sz="4" w:space="0"/>
              <w:left w:val="single" w:color="auto" w:sz="4" w:space="0"/>
              <w:bottom w:val="single" w:color="auto" w:sz="4" w:space="0"/>
              <w:right w:val="single" w:color="auto" w:sz="4" w:space="0"/>
            </w:tcBorders>
            <w:vAlign w:val="center"/>
          </w:tcPr>
          <w:p w14:paraId="7B908971">
            <w:pPr>
              <w:keepNext w:val="0"/>
              <w:keepLines w:val="0"/>
              <w:widowControl/>
              <w:suppressLineNumbers w:val="0"/>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rPr>
              <w:t>本项目专门面向中小企业采购，</w:t>
            </w:r>
            <w:r>
              <w:rPr>
                <w:rFonts w:hint="eastAsia" w:ascii="华文仿宋" w:hAnsi="华文仿宋" w:eastAsia="华文仿宋" w:cs="华文仿宋"/>
                <w:sz w:val="24"/>
                <w:szCs w:val="24"/>
                <w:lang w:val="en-US" w:eastAsia="zh-CN"/>
              </w:rPr>
              <w:t xml:space="preserve">本项目为专门面向中小企业项目，投标人所投产品的制造商应为中型企业、小型企业、微型企业或监狱企业或残疾人福利性 </w:t>
            </w:r>
          </w:p>
          <w:p w14:paraId="65955156">
            <w:pPr>
              <w:keepNext w:val="0"/>
              <w:keepLines w:val="0"/>
              <w:widowControl/>
              <w:suppressLineNumbers w:val="0"/>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lang w:val="en-US" w:eastAsia="zh-CN"/>
              </w:rPr>
              <w:t xml:space="preserve">单位。投标人所投产品的制造商为中小企业的，提供《中小企业声明函》，且中小企业的划分标准所属行业为工业；投标人所投产品的制造商为监狱企业的，应提供监狱企业的证明文件；投标人所投产品的 </w:t>
            </w:r>
          </w:p>
          <w:p w14:paraId="2D6AB5D3">
            <w:pPr>
              <w:keepNext w:val="0"/>
              <w:keepLines w:val="0"/>
              <w:widowControl/>
              <w:suppressLineNumbers w:val="0"/>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lang w:val="en-US" w:eastAsia="zh-CN"/>
              </w:rPr>
              <w:t>制造商为残疾人福利性单位的，应提供《残疾人福利性单位声明函》（监狱企业或残疾人福利性单位视同小型、微型企业）。</w:t>
            </w:r>
          </w:p>
          <w:p w14:paraId="36624E65">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rPr>
              <w:t>（格式见资格响应文件附件</w:t>
            </w:r>
            <w:r>
              <w:rPr>
                <w:rFonts w:hint="eastAsia" w:ascii="华文仿宋" w:hAnsi="华文仿宋" w:eastAsia="华文仿宋" w:cs="华文仿宋"/>
                <w:sz w:val="24"/>
                <w:szCs w:val="24"/>
                <w:lang w:val="en-US" w:eastAsia="zh-CN"/>
              </w:rPr>
              <w:t>五</w:t>
            </w:r>
            <w:r>
              <w:rPr>
                <w:rFonts w:hint="eastAsia" w:ascii="华文仿宋" w:hAnsi="华文仿宋" w:eastAsia="华文仿宋" w:cs="华文仿宋"/>
                <w:sz w:val="24"/>
                <w:szCs w:val="24"/>
              </w:rPr>
              <w:t>）</w:t>
            </w:r>
          </w:p>
          <w:p w14:paraId="772C7B67">
            <w:pPr>
              <w:spacing w:before="40" w:after="40" w:line="240" w:lineRule="auto"/>
              <w:jc w:val="left"/>
              <w:rPr>
                <w:rFonts w:hint="eastAsia" w:ascii="华文仿宋" w:hAnsi="华文仿宋" w:eastAsia="华文仿宋" w:cs="华文仿宋"/>
                <w:sz w:val="24"/>
                <w:szCs w:val="24"/>
                <w:lang w:val="en-US" w:eastAsia="zh-CN"/>
              </w:rPr>
            </w:pP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3102C14A">
            <w:pPr>
              <w:spacing w:before="40" w:after="40" w:line="240" w:lineRule="auto"/>
              <w:jc w:val="center"/>
              <w:rPr>
                <w:rFonts w:hint="eastAsia" w:ascii="华文仿宋" w:hAnsi="华文仿宋" w:eastAsia="华文仿宋" w:cs="华文仿宋"/>
                <w:b/>
                <w:sz w:val="24"/>
                <w:szCs w:val="24"/>
              </w:rPr>
            </w:pPr>
          </w:p>
        </w:tc>
      </w:tr>
      <w:tr w14:paraId="3E9B4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28A86E20">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2</w:t>
            </w:r>
          </w:p>
        </w:tc>
        <w:tc>
          <w:tcPr>
            <w:tcW w:w="1515" w:type="dxa"/>
            <w:tcBorders>
              <w:top w:val="single" w:color="auto" w:sz="4" w:space="0"/>
              <w:left w:val="single" w:color="auto" w:sz="4" w:space="0"/>
              <w:bottom w:val="single" w:color="auto" w:sz="4" w:space="0"/>
              <w:right w:val="single" w:color="auto" w:sz="4" w:space="0"/>
            </w:tcBorders>
            <w:shd w:val="clear" w:color="auto" w:fill="auto"/>
            <w:vAlign w:val="center"/>
          </w:tcPr>
          <w:p w14:paraId="38F71FB9">
            <w:pPr>
              <w:spacing w:line="240" w:lineRule="auto"/>
              <w:jc w:val="center"/>
              <w:rPr>
                <w:rFonts w:hint="eastAsia" w:ascii="华文仿宋" w:hAnsi="华文仿宋" w:eastAsia="华文仿宋" w:cs="华文仿宋"/>
                <w:b/>
                <w:kern w:val="28"/>
                <w:sz w:val="24"/>
                <w:szCs w:val="24"/>
                <w:lang w:val="en-US" w:eastAsia="zh-CN" w:bidi="ar-SA"/>
              </w:rPr>
            </w:pPr>
            <w:r>
              <w:rPr>
                <w:rFonts w:hint="eastAsia" w:ascii="华文仿宋" w:hAnsi="华文仿宋" w:eastAsia="华文仿宋" w:cs="华文仿宋"/>
                <w:b/>
                <w:kern w:val="28"/>
                <w:sz w:val="24"/>
                <w:szCs w:val="24"/>
              </w:rPr>
              <w:t>营业执照等主体资格证明文件</w:t>
            </w:r>
          </w:p>
        </w:tc>
        <w:tc>
          <w:tcPr>
            <w:tcW w:w="5709" w:type="dxa"/>
            <w:tcBorders>
              <w:top w:val="single" w:color="auto" w:sz="4" w:space="0"/>
              <w:left w:val="single" w:color="auto" w:sz="4" w:space="0"/>
              <w:bottom w:val="single" w:color="auto" w:sz="4" w:space="0"/>
              <w:right w:val="single" w:color="auto" w:sz="4" w:space="0"/>
            </w:tcBorders>
            <w:shd w:val="clear" w:color="auto" w:fill="auto"/>
            <w:vAlign w:val="center"/>
          </w:tcPr>
          <w:p w14:paraId="62E1EA1C">
            <w:pPr>
              <w:spacing w:before="40" w:after="40" w:line="240" w:lineRule="auto"/>
              <w:jc w:val="left"/>
              <w:rPr>
                <w:rFonts w:hint="eastAsia" w:ascii="华文仿宋" w:hAnsi="华文仿宋" w:eastAsia="华文仿宋" w:cs="华文仿宋"/>
                <w:sz w:val="24"/>
                <w:szCs w:val="24"/>
                <w:lang w:eastAsia="zh-CN"/>
              </w:rPr>
            </w:pPr>
            <w:r>
              <w:rPr>
                <w:rFonts w:hint="eastAsia" w:ascii="华文仿宋" w:hAnsi="华文仿宋" w:eastAsia="华文仿宋" w:cs="华文仿宋"/>
                <w:sz w:val="24"/>
                <w:szCs w:val="24"/>
              </w:rPr>
              <w:t>具有独立承担民事责任能力的法人、其他组织或自然人。企业法人提供有效的营业执</w:t>
            </w:r>
            <w:r>
              <w:rPr>
                <w:rFonts w:hint="eastAsia" w:ascii="华文仿宋" w:hAnsi="华文仿宋" w:eastAsia="华文仿宋" w:cs="华文仿宋"/>
                <w:sz w:val="24"/>
                <w:szCs w:val="24"/>
                <w:lang w:val="en-US" w:eastAsia="zh-CN"/>
              </w:rPr>
              <w:t>照</w:t>
            </w:r>
            <w:r>
              <w:rPr>
                <w:rFonts w:hint="eastAsia" w:ascii="华文仿宋" w:hAnsi="华文仿宋" w:eastAsia="华文仿宋" w:cs="华文仿宋"/>
                <w:sz w:val="24"/>
                <w:szCs w:val="24"/>
              </w:rPr>
              <w:t>（附202</w:t>
            </w:r>
            <w:r>
              <w:rPr>
                <w:rFonts w:hint="eastAsia" w:ascii="华文仿宋" w:hAnsi="华文仿宋" w:cs="华文仿宋"/>
                <w:sz w:val="24"/>
                <w:szCs w:val="24"/>
                <w:lang w:val="en-US" w:eastAsia="zh-CN"/>
              </w:rPr>
              <w:t>4</w:t>
            </w:r>
            <w:r>
              <w:rPr>
                <w:rFonts w:hint="eastAsia" w:ascii="华文仿宋" w:hAnsi="华文仿宋" w:eastAsia="华文仿宋" w:cs="华文仿宋"/>
                <w:sz w:val="24"/>
                <w:szCs w:val="24"/>
              </w:rPr>
              <w:t>年</w:t>
            </w:r>
            <w:r>
              <w:rPr>
                <w:rFonts w:hint="eastAsia" w:ascii="华文仿宋" w:hAnsi="华文仿宋" w:eastAsia="华文仿宋" w:cs="华文仿宋"/>
                <w:sz w:val="24"/>
                <w:szCs w:val="24"/>
                <w:lang w:val="en-US" w:eastAsia="zh-CN"/>
              </w:rPr>
              <w:t>或202</w:t>
            </w:r>
            <w:r>
              <w:rPr>
                <w:rFonts w:hint="eastAsia" w:ascii="华文仿宋" w:hAnsi="华文仿宋" w:cs="华文仿宋"/>
                <w:sz w:val="24"/>
                <w:szCs w:val="24"/>
                <w:lang w:val="en-US" w:eastAsia="zh-CN"/>
              </w:rPr>
              <w:t>5</w:t>
            </w:r>
            <w:r>
              <w:rPr>
                <w:rFonts w:hint="eastAsia" w:ascii="华文仿宋" w:hAnsi="华文仿宋" w:eastAsia="华文仿宋" w:cs="华文仿宋"/>
                <w:sz w:val="24"/>
                <w:szCs w:val="24"/>
                <w:lang w:val="en-US" w:eastAsia="zh-CN"/>
              </w:rPr>
              <w:t>年</w:t>
            </w:r>
            <w:r>
              <w:rPr>
                <w:rFonts w:hint="eastAsia" w:ascii="华文仿宋" w:hAnsi="华文仿宋" w:eastAsia="华文仿宋" w:cs="华文仿宋"/>
                <w:sz w:val="24"/>
                <w:szCs w:val="24"/>
              </w:rPr>
              <w:t>企业年度报告书）；其他组织应提供合法有效的登记证明文件；自然人参与的提供其身份证</w:t>
            </w:r>
            <w:r>
              <w:rPr>
                <w:rFonts w:hint="eastAsia" w:ascii="华文仿宋" w:hAnsi="华文仿宋" w:eastAsia="华文仿宋" w:cs="华文仿宋"/>
                <w:sz w:val="24"/>
                <w:szCs w:val="24"/>
                <w:lang w:eastAsia="zh-CN"/>
              </w:rPr>
              <w:t>。</w:t>
            </w:r>
          </w:p>
          <w:p w14:paraId="6F895323">
            <w:pPr>
              <w:spacing w:before="40" w:after="40" w:line="240" w:lineRule="auto"/>
              <w:jc w:val="left"/>
              <w:rPr>
                <w:rFonts w:hint="eastAsia" w:ascii="华文仿宋" w:hAnsi="华文仿宋" w:eastAsia="华文仿宋" w:cs="华文仿宋"/>
                <w:kern w:val="2"/>
                <w:sz w:val="24"/>
                <w:szCs w:val="24"/>
                <w:lang w:val="en-US" w:eastAsia="zh-CN" w:bidi="ar-SA"/>
              </w:rPr>
            </w:pP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2A3D9107">
            <w:pPr>
              <w:spacing w:before="40" w:after="40" w:line="240" w:lineRule="auto"/>
              <w:jc w:val="center"/>
              <w:rPr>
                <w:rFonts w:hint="eastAsia" w:ascii="华文仿宋" w:hAnsi="华文仿宋" w:eastAsia="华文仿宋" w:cs="华文仿宋"/>
                <w:b/>
                <w:sz w:val="24"/>
                <w:szCs w:val="24"/>
              </w:rPr>
            </w:pPr>
          </w:p>
        </w:tc>
      </w:tr>
      <w:tr w14:paraId="5C239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2"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3E821492">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3</w:t>
            </w:r>
          </w:p>
        </w:tc>
        <w:tc>
          <w:tcPr>
            <w:tcW w:w="1515" w:type="dxa"/>
            <w:tcBorders>
              <w:top w:val="single" w:color="auto" w:sz="4" w:space="0"/>
              <w:left w:val="single" w:color="auto" w:sz="4" w:space="0"/>
              <w:bottom w:val="single" w:color="auto" w:sz="4" w:space="0"/>
              <w:right w:val="single" w:color="auto" w:sz="4" w:space="0"/>
            </w:tcBorders>
            <w:vAlign w:val="center"/>
          </w:tcPr>
          <w:p w14:paraId="29982290">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财务状况报告</w:t>
            </w:r>
          </w:p>
        </w:tc>
        <w:tc>
          <w:tcPr>
            <w:tcW w:w="5709" w:type="dxa"/>
            <w:tcBorders>
              <w:top w:val="single" w:color="auto" w:sz="4" w:space="0"/>
              <w:left w:val="single" w:color="auto" w:sz="4" w:space="0"/>
              <w:bottom w:val="single" w:color="auto" w:sz="4" w:space="0"/>
              <w:right w:val="single" w:color="auto" w:sz="4" w:space="0"/>
            </w:tcBorders>
            <w:vAlign w:val="center"/>
          </w:tcPr>
          <w:p w14:paraId="3844872C">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bCs/>
                <w:sz w:val="24"/>
                <w:szCs w:val="24"/>
                <w:lang w:val="en-US" w:eastAsia="zh-CN"/>
              </w:rPr>
              <w:t>财务状况良好。</w:t>
            </w:r>
            <w:r>
              <w:rPr>
                <w:rFonts w:hint="eastAsia" w:ascii="华文仿宋" w:hAnsi="华文仿宋" w:eastAsia="华文仿宋" w:cs="华文仿宋"/>
                <w:bCs/>
                <w:sz w:val="24"/>
                <w:szCs w:val="24"/>
              </w:rPr>
              <w:t>提供202</w:t>
            </w:r>
            <w:r>
              <w:rPr>
                <w:rFonts w:hint="eastAsia" w:ascii="华文仿宋" w:hAnsi="华文仿宋" w:eastAsia="华文仿宋" w:cs="华文仿宋"/>
                <w:bCs/>
                <w:sz w:val="24"/>
                <w:szCs w:val="24"/>
                <w:lang w:val="en-US" w:eastAsia="zh-CN"/>
              </w:rPr>
              <w:t>4</w:t>
            </w:r>
            <w:r>
              <w:rPr>
                <w:rFonts w:hint="eastAsia" w:ascii="华文仿宋" w:hAnsi="华文仿宋" w:eastAsia="华文仿宋" w:cs="华文仿宋"/>
                <w:bCs/>
                <w:sz w:val="24"/>
                <w:szCs w:val="24"/>
              </w:rPr>
              <w:t>年度</w:t>
            </w:r>
            <w:r>
              <w:rPr>
                <w:rFonts w:hint="eastAsia" w:ascii="华文仿宋" w:hAnsi="华文仿宋" w:eastAsia="华文仿宋" w:cs="华文仿宋"/>
                <w:bCs/>
                <w:sz w:val="24"/>
                <w:szCs w:val="24"/>
                <w:lang w:val="en-US" w:eastAsia="zh-CN"/>
              </w:rPr>
              <w:t>或2025年度</w:t>
            </w:r>
            <w:r>
              <w:rPr>
                <w:rFonts w:hint="eastAsia" w:ascii="华文仿宋" w:hAnsi="华文仿宋" w:eastAsia="华文仿宋" w:cs="华文仿宋"/>
                <w:bCs/>
                <w:sz w:val="24"/>
                <w:szCs w:val="24"/>
              </w:rPr>
              <w:t>财务审计报告</w:t>
            </w:r>
            <w:r>
              <w:rPr>
                <w:rFonts w:hint="eastAsia" w:ascii="华文仿宋" w:hAnsi="华文仿宋" w:eastAsia="华文仿宋" w:cs="华文仿宋"/>
                <w:bCs/>
                <w:sz w:val="24"/>
                <w:szCs w:val="24"/>
                <w:lang w:val="en-US" w:eastAsia="zh-CN"/>
              </w:rPr>
              <w:t>（</w:t>
            </w:r>
            <w:r>
              <w:rPr>
                <w:rFonts w:hint="eastAsia" w:ascii="华文仿宋" w:hAnsi="华文仿宋" w:eastAsia="华文仿宋" w:cs="华文仿宋"/>
                <w:bCs/>
                <w:sz w:val="24"/>
                <w:szCs w:val="24"/>
              </w:rPr>
              <w:t>包括审计报告、资产负债表、利润表、现金流量表，</w:t>
            </w:r>
            <w:r>
              <w:rPr>
                <w:rFonts w:hint="eastAsia" w:ascii="华文仿宋" w:hAnsi="华文仿宋" w:eastAsia="华文仿宋" w:cs="华文仿宋"/>
                <w:bCs/>
                <w:sz w:val="24"/>
                <w:szCs w:val="24"/>
                <w:lang w:val="zh-CN" w:eastAsia="zh-CN"/>
              </w:rPr>
              <w:t>成立时间至提交投标文件递交截止时间不足一年的须提供成立以来的财务报表，至少包括资产负债表、利润表、现金流量表</w:t>
            </w:r>
            <w:r>
              <w:rPr>
                <w:rFonts w:hint="eastAsia" w:ascii="华文仿宋" w:hAnsi="华文仿宋" w:eastAsia="华文仿宋" w:cs="华文仿宋"/>
                <w:bCs/>
                <w:sz w:val="24"/>
                <w:szCs w:val="24"/>
                <w:lang w:val="en-US" w:eastAsia="zh-CN"/>
              </w:rPr>
              <w:t>）</w:t>
            </w:r>
            <w:r>
              <w:rPr>
                <w:rFonts w:hint="eastAsia" w:ascii="华文仿宋" w:hAnsi="华文仿宋" w:eastAsia="华文仿宋" w:cs="华文仿宋"/>
                <w:bCs/>
                <w:sz w:val="24"/>
                <w:szCs w:val="24"/>
              </w:rPr>
              <w:t>或</w:t>
            </w:r>
            <w:r>
              <w:rPr>
                <w:rFonts w:hint="eastAsia" w:ascii="华文仿宋" w:hAnsi="华文仿宋" w:eastAsia="华文仿宋" w:cs="华文仿宋"/>
                <w:bCs/>
                <w:sz w:val="24"/>
                <w:szCs w:val="24"/>
                <w:lang w:val="en-US" w:eastAsia="zh-CN"/>
              </w:rPr>
              <w:t>基本开户</w:t>
            </w:r>
            <w:r>
              <w:rPr>
                <w:rFonts w:hint="eastAsia" w:ascii="华文仿宋" w:hAnsi="华文仿宋" w:eastAsia="华文仿宋" w:cs="华文仿宋"/>
                <w:bCs/>
                <w:sz w:val="24"/>
                <w:szCs w:val="24"/>
              </w:rPr>
              <w:t>银行出具的开标时间前三个月内资信证明</w:t>
            </w:r>
            <w:r>
              <w:rPr>
                <w:rFonts w:hint="eastAsia" w:ascii="华文仿宋" w:hAnsi="华文仿宋" w:eastAsia="华文仿宋" w:cs="华文仿宋"/>
                <w:bCs/>
                <w:sz w:val="24"/>
                <w:szCs w:val="24"/>
                <w:lang w:eastAsia="zh-CN"/>
              </w:rPr>
              <w:t>；</w:t>
            </w:r>
            <w:r>
              <w:rPr>
                <w:rFonts w:hint="eastAsia" w:ascii="华文仿宋" w:hAnsi="华文仿宋" w:eastAsia="华文仿宋" w:cs="华文仿宋"/>
                <w:bCs/>
                <w:sz w:val="24"/>
                <w:szCs w:val="24"/>
              </w:rPr>
              <w:t>其他组织和自然人提供</w:t>
            </w:r>
            <w:r>
              <w:rPr>
                <w:rFonts w:hint="eastAsia" w:ascii="华文仿宋" w:hAnsi="华文仿宋" w:eastAsia="华文仿宋" w:cs="华文仿宋"/>
                <w:bCs/>
                <w:sz w:val="24"/>
                <w:szCs w:val="24"/>
                <w:lang w:val="en-US" w:eastAsia="zh-CN"/>
              </w:rPr>
              <w:t>基本开户</w:t>
            </w:r>
            <w:r>
              <w:rPr>
                <w:rFonts w:hint="eastAsia" w:ascii="华文仿宋" w:hAnsi="华文仿宋" w:eastAsia="华文仿宋" w:cs="华文仿宋"/>
                <w:bCs/>
                <w:sz w:val="24"/>
                <w:szCs w:val="24"/>
              </w:rPr>
              <w:t>银行出具的开标时间前三个月内资信证明</w:t>
            </w:r>
            <w:r>
              <w:rPr>
                <w:rFonts w:hint="eastAsia" w:ascii="华文仿宋" w:hAnsi="华文仿宋" w:eastAsia="华文仿宋" w:cs="华文仿宋"/>
                <w:bCs/>
                <w:sz w:val="24"/>
                <w:szCs w:val="24"/>
                <w:lang w:eastAsia="zh-CN"/>
              </w:rPr>
              <w:t>。</w:t>
            </w: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7D5D5DC7">
            <w:pPr>
              <w:spacing w:before="40" w:after="40" w:line="240" w:lineRule="auto"/>
              <w:jc w:val="center"/>
              <w:rPr>
                <w:rFonts w:hint="eastAsia" w:ascii="华文仿宋" w:hAnsi="华文仿宋" w:eastAsia="华文仿宋" w:cs="华文仿宋"/>
                <w:b/>
                <w:sz w:val="24"/>
                <w:szCs w:val="24"/>
              </w:rPr>
            </w:pPr>
          </w:p>
        </w:tc>
      </w:tr>
      <w:tr w14:paraId="5507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6300CF86">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4</w:t>
            </w:r>
          </w:p>
        </w:tc>
        <w:tc>
          <w:tcPr>
            <w:tcW w:w="1515" w:type="dxa"/>
            <w:tcBorders>
              <w:top w:val="single" w:color="auto" w:sz="4" w:space="0"/>
              <w:left w:val="single" w:color="auto" w:sz="4" w:space="0"/>
              <w:bottom w:val="single" w:color="auto" w:sz="4" w:space="0"/>
              <w:right w:val="single" w:color="auto" w:sz="4" w:space="0"/>
            </w:tcBorders>
            <w:vAlign w:val="center"/>
          </w:tcPr>
          <w:p w14:paraId="62E3F840">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设备和专业技术能力</w:t>
            </w:r>
          </w:p>
        </w:tc>
        <w:tc>
          <w:tcPr>
            <w:tcW w:w="5709" w:type="dxa"/>
            <w:tcBorders>
              <w:top w:val="single" w:color="auto" w:sz="4" w:space="0"/>
              <w:left w:val="single" w:color="auto" w:sz="4" w:space="0"/>
              <w:bottom w:val="single" w:color="auto" w:sz="4" w:space="0"/>
              <w:right w:val="single" w:color="auto" w:sz="4" w:space="0"/>
            </w:tcBorders>
            <w:vAlign w:val="center"/>
          </w:tcPr>
          <w:p w14:paraId="13C66C10">
            <w:pPr>
              <w:spacing w:before="40" w:after="40" w:line="240" w:lineRule="auto"/>
              <w:jc w:val="left"/>
              <w:rPr>
                <w:rFonts w:hint="eastAsia" w:ascii="华文仿宋" w:hAnsi="华文仿宋" w:eastAsia="华文仿宋" w:cs="华文仿宋"/>
                <w:sz w:val="24"/>
                <w:szCs w:val="24"/>
                <w:lang w:eastAsia="zh-CN"/>
              </w:rPr>
            </w:pPr>
            <w:r>
              <w:rPr>
                <w:rFonts w:hint="eastAsia" w:ascii="华文仿宋" w:hAnsi="华文仿宋" w:eastAsia="华文仿宋" w:cs="华文仿宋"/>
                <w:kern w:val="28"/>
                <w:sz w:val="24"/>
                <w:szCs w:val="24"/>
              </w:rPr>
              <w:t>具有履行合同所需的设备和专业技术能力</w:t>
            </w:r>
            <w:r>
              <w:rPr>
                <w:rFonts w:hint="eastAsia" w:ascii="华文仿宋" w:hAnsi="华文仿宋" w:eastAsia="华文仿宋" w:cs="华文仿宋"/>
                <w:kern w:val="28"/>
                <w:sz w:val="24"/>
                <w:szCs w:val="24"/>
                <w:lang w:eastAsia="zh-CN"/>
              </w:rPr>
              <w:t>。</w:t>
            </w:r>
            <w:r>
              <w:rPr>
                <w:rFonts w:hint="eastAsia" w:ascii="华文仿宋" w:hAnsi="华文仿宋" w:eastAsia="华文仿宋" w:cs="华文仿宋"/>
                <w:bCs/>
                <w:sz w:val="24"/>
                <w:szCs w:val="24"/>
              </w:rPr>
              <w:t>提供具有履行合同所必需的设备和专业技术能力的承诺（格式自拟）</w:t>
            </w:r>
            <w:r>
              <w:rPr>
                <w:rFonts w:hint="eastAsia" w:ascii="华文仿宋" w:hAnsi="华文仿宋" w:eastAsia="华文仿宋" w:cs="华文仿宋"/>
                <w:bCs/>
                <w:sz w:val="24"/>
                <w:szCs w:val="24"/>
                <w:lang w:eastAsia="zh-CN"/>
              </w:rPr>
              <w:t>。</w:t>
            </w: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6775ACC4">
            <w:pPr>
              <w:spacing w:before="40" w:after="40" w:line="240" w:lineRule="auto"/>
              <w:jc w:val="center"/>
              <w:rPr>
                <w:rFonts w:hint="eastAsia" w:ascii="华文仿宋" w:hAnsi="华文仿宋" w:eastAsia="华文仿宋" w:cs="华文仿宋"/>
                <w:b/>
                <w:sz w:val="24"/>
                <w:szCs w:val="24"/>
              </w:rPr>
            </w:pPr>
          </w:p>
        </w:tc>
      </w:tr>
      <w:tr w14:paraId="2AEA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714DB85B">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5</w:t>
            </w:r>
          </w:p>
        </w:tc>
        <w:tc>
          <w:tcPr>
            <w:tcW w:w="1515" w:type="dxa"/>
            <w:tcBorders>
              <w:top w:val="single" w:color="auto" w:sz="4" w:space="0"/>
              <w:left w:val="single" w:color="auto" w:sz="4" w:space="0"/>
              <w:bottom w:val="single" w:color="auto" w:sz="4" w:space="0"/>
              <w:right w:val="single" w:color="auto" w:sz="4" w:space="0"/>
            </w:tcBorders>
            <w:vAlign w:val="center"/>
          </w:tcPr>
          <w:p w14:paraId="04D58B1B">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社保缴纳证明</w:t>
            </w:r>
          </w:p>
        </w:tc>
        <w:tc>
          <w:tcPr>
            <w:tcW w:w="5709" w:type="dxa"/>
            <w:tcBorders>
              <w:top w:val="single" w:color="auto" w:sz="4" w:space="0"/>
              <w:left w:val="single" w:color="auto" w:sz="4" w:space="0"/>
              <w:bottom w:val="single" w:color="auto" w:sz="4" w:space="0"/>
              <w:right w:val="single" w:color="auto" w:sz="4" w:space="0"/>
            </w:tcBorders>
            <w:vAlign w:val="center"/>
          </w:tcPr>
          <w:p w14:paraId="66A7269B">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kern w:val="28"/>
                <w:sz w:val="24"/>
                <w:szCs w:val="24"/>
              </w:rPr>
              <w:t>依法缴纳社保</w:t>
            </w:r>
            <w:r>
              <w:rPr>
                <w:rFonts w:hint="eastAsia" w:ascii="华文仿宋" w:hAnsi="华文仿宋" w:eastAsia="华文仿宋" w:cs="华文仿宋"/>
                <w:kern w:val="28"/>
                <w:sz w:val="24"/>
                <w:szCs w:val="24"/>
                <w:lang w:eastAsia="zh-CN"/>
              </w:rPr>
              <w:t>。</w:t>
            </w:r>
            <w:r>
              <w:rPr>
                <w:rFonts w:hint="eastAsia" w:ascii="华文仿宋" w:hAnsi="华文仿宋" w:eastAsia="华文仿宋" w:cs="华文仿宋"/>
                <w:bCs/>
                <w:sz w:val="24"/>
                <w:szCs w:val="24"/>
              </w:rPr>
              <w:t>提供社保经办机构出具的</w:t>
            </w:r>
            <w:r>
              <w:rPr>
                <w:rFonts w:hint="eastAsia" w:ascii="华文仿宋" w:hAnsi="华文仿宋" w:cs="华文仿宋"/>
                <w:bCs/>
                <w:sz w:val="24"/>
                <w:szCs w:val="24"/>
                <w:lang w:eastAsia="zh-CN"/>
              </w:rPr>
              <w:t>2026年</w:t>
            </w:r>
            <w:r>
              <w:rPr>
                <w:rFonts w:hint="eastAsia" w:ascii="华文仿宋" w:hAnsi="华文仿宋" w:cs="华文仿宋"/>
                <w:bCs/>
                <w:sz w:val="24"/>
                <w:szCs w:val="24"/>
                <w:lang w:val="en-US" w:eastAsia="zh-CN"/>
              </w:rPr>
              <w:t>3</w:t>
            </w:r>
            <w:r>
              <w:rPr>
                <w:rFonts w:hint="eastAsia" w:ascii="华文仿宋" w:hAnsi="华文仿宋" w:cs="华文仿宋"/>
                <w:bCs/>
                <w:sz w:val="24"/>
                <w:szCs w:val="24"/>
                <w:lang w:eastAsia="zh-CN"/>
              </w:rPr>
              <w:t>月至</w:t>
            </w:r>
            <w:r>
              <w:rPr>
                <w:rFonts w:hint="eastAsia" w:ascii="华文仿宋" w:hAnsi="华文仿宋" w:cs="华文仿宋"/>
                <w:bCs/>
                <w:sz w:val="24"/>
                <w:szCs w:val="24"/>
                <w:lang w:val="en-US" w:eastAsia="zh-CN"/>
              </w:rPr>
              <w:t>5</w:t>
            </w:r>
            <w:r>
              <w:rPr>
                <w:rFonts w:hint="eastAsia" w:ascii="华文仿宋" w:hAnsi="华文仿宋" w:cs="华文仿宋"/>
                <w:bCs/>
                <w:sz w:val="24"/>
                <w:szCs w:val="24"/>
                <w:lang w:eastAsia="zh-CN"/>
              </w:rPr>
              <w:t>月份内</w:t>
            </w:r>
            <w:r>
              <w:rPr>
                <w:rFonts w:hint="eastAsia" w:ascii="华文仿宋" w:hAnsi="华文仿宋" w:eastAsia="华文仿宋" w:cs="华文仿宋"/>
                <w:bCs/>
                <w:sz w:val="24"/>
                <w:szCs w:val="24"/>
              </w:rPr>
              <w:t>至少1个月的社会保障资金缴费证明材料（五险一金其中一项即可，应可查询），依法不需要缴纳社会保障资金的单位应提供相关证明材料</w:t>
            </w:r>
            <w:r>
              <w:rPr>
                <w:rFonts w:hint="eastAsia" w:ascii="华文仿宋" w:hAnsi="华文仿宋" w:eastAsia="华文仿宋" w:cs="华文仿宋"/>
                <w:bCs/>
                <w:sz w:val="24"/>
                <w:szCs w:val="24"/>
                <w:lang w:eastAsia="zh-CN"/>
              </w:rPr>
              <w:t>。</w:t>
            </w: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40AE7FDD">
            <w:pPr>
              <w:spacing w:before="40" w:after="40" w:line="240" w:lineRule="auto"/>
              <w:jc w:val="center"/>
              <w:rPr>
                <w:rFonts w:hint="eastAsia" w:ascii="华文仿宋" w:hAnsi="华文仿宋" w:eastAsia="华文仿宋" w:cs="华文仿宋"/>
                <w:sz w:val="24"/>
                <w:szCs w:val="24"/>
              </w:rPr>
            </w:pPr>
          </w:p>
        </w:tc>
      </w:tr>
      <w:tr w14:paraId="35DB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3E16011E">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6</w:t>
            </w:r>
          </w:p>
        </w:tc>
        <w:tc>
          <w:tcPr>
            <w:tcW w:w="1515" w:type="dxa"/>
            <w:tcBorders>
              <w:top w:val="single" w:color="auto" w:sz="4" w:space="0"/>
              <w:left w:val="single" w:color="auto" w:sz="4" w:space="0"/>
              <w:bottom w:val="single" w:color="auto" w:sz="4" w:space="0"/>
              <w:right w:val="single" w:color="auto" w:sz="4" w:space="0"/>
            </w:tcBorders>
            <w:vAlign w:val="center"/>
          </w:tcPr>
          <w:p w14:paraId="5A3C7681">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税收缴纳证明</w:t>
            </w:r>
          </w:p>
        </w:tc>
        <w:tc>
          <w:tcPr>
            <w:tcW w:w="5709" w:type="dxa"/>
            <w:tcBorders>
              <w:top w:val="single" w:color="auto" w:sz="4" w:space="0"/>
              <w:left w:val="single" w:color="auto" w:sz="4" w:space="0"/>
              <w:bottom w:val="single" w:color="auto" w:sz="4" w:space="0"/>
              <w:right w:val="single" w:color="auto" w:sz="4" w:space="0"/>
            </w:tcBorders>
            <w:vAlign w:val="center"/>
          </w:tcPr>
          <w:p w14:paraId="57376134">
            <w:pPr>
              <w:spacing w:before="40" w:after="40" w:line="240" w:lineRule="auto"/>
              <w:jc w:val="left"/>
              <w:rPr>
                <w:rFonts w:hint="eastAsia" w:ascii="华文仿宋" w:hAnsi="华文仿宋" w:eastAsia="华文仿宋" w:cs="华文仿宋"/>
                <w:bCs/>
                <w:sz w:val="24"/>
                <w:szCs w:val="24"/>
                <w:lang w:eastAsia="zh-CN"/>
              </w:rPr>
            </w:pPr>
            <w:r>
              <w:rPr>
                <w:rFonts w:hint="eastAsia" w:ascii="华文仿宋" w:hAnsi="华文仿宋" w:eastAsia="华文仿宋" w:cs="华文仿宋"/>
                <w:bCs/>
                <w:sz w:val="24"/>
                <w:szCs w:val="24"/>
              </w:rPr>
              <w:t>依法缴纳税收</w:t>
            </w:r>
            <w:r>
              <w:rPr>
                <w:rFonts w:hint="eastAsia" w:ascii="华文仿宋" w:hAnsi="华文仿宋" w:eastAsia="华文仿宋" w:cs="华文仿宋"/>
                <w:bCs/>
                <w:sz w:val="24"/>
                <w:szCs w:val="24"/>
                <w:lang w:eastAsia="zh-CN"/>
              </w:rPr>
              <w:t>。</w:t>
            </w:r>
            <w:r>
              <w:rPr>
                <w:rFonts w:hint="eastAsia" w:ascii="华文仿宋" w:hAnsi="华文仿宋" w:eastAsia="华文仿宋" w:cs="华文仿宋"/>
                <w:bCs/>
                <w:sz w:val="24"/>
                <w:szCs w:val="24"/>
              </w:rPr>
              <w:t>提供</w:t>
            </w:r>
            <w:r>
              <w:rPr>
                <w:rFonts w:hint="eastAsia" w:ascii="华文仿宋" w:hAnsi="华文仿宋" w:cs="华文仿宋"/>
                <w:bCs/>
                <w:sz w:val="24"/>
                <w:szCs w:val="24"/>
                <w:lang w:val="en-US" w:eastAsia="zh-CN"/>
              </w:rPr>
              <w:t>2025年12月至2026年5月内</w:t>
            </w:r>
            <w:r>
              <w:rPr>
                <w:rFonts w:hint="eastAsia" w:ascii="华文仿宋" w:hAnsi="华文仿宋" w:eastAsia="华文仿宋" w:cs="华文仿宋"/>
                <w:bCs/>
                <w:sz w:val="24"/>
                <w:szCs w:val="24"/>
                <w:lang w:val="en-US" w:eastAsia="zh-CN"/>
              </w:rPr>
              <w:t>至少1个月的</w:t>
            </w:r>
            <w:r>
              <w:rPr>
                <w:rFonts w:hint="eastAsia" w:ascii="华文仿宋" w:hAnsi="华文仿宋" w:eastAsia="华文仿宋" w:cs="华文仿宋"/>
                <w:bCs/>
                <w:sz w:val="24"/>
                <w:szCs w:val="24"/>
              </w:rPr>
              <w:t>纳税证明或完税证明，纳税证明或完税证明上应有代收机构或税务机关的公章或业务专用章。依法免税的供应商应提供相关文件证明材料</w:t>
            </w:r>
            <w:r>
              <w:rPr>
                <w:rFonts w:hint="eastAsia" w:ascii="华文仿宋" w:hAnsi="华文仿宋" w:eastAsia="华文仿宋" w:cs="华文仿宋"/>
                <w:bCs/>
                <w:sz w:val="24"/>
                <w:szCs w:val="24"/>
                <w:lang w:eastAsia="zh-CN"/>
              </w:rPr>
              <w:t>。</w:t>
            </w:r>
          </w:p>
          <w:p w14:paraId="5590157F">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68BE804D">
            <w:pPr>
              <w:spacing w:before="40" w:after="40" w:line="240" w:lineRule="auto"/>
              <w:jc w:val="center"/>
              <w:rPr>
                <w:rFonts w:hint="eastAsia" w:ascii="华文仿宋" w:hAnsi="华文仿宋" w:eastAsia="华文仿宋" w:cs="华文仿宋"/>
                <w:b/>
                <w:sz w:val="24"/>
                <w:szCs w:val="24"/>
              </w:rPr>
            </w:pPr>
          </w:p>
        </w:tc>
      </w:tr>
      <w:tr w14:paraId="31D6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484DE010">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7</w:t>
            </w:r>
          </w:p>
        </w:tc>
        <w:tc>
          <w:tcPr>
            <w:tcW w:w="1515" w:type="dxa"/>
            <w:tcBorders>
              <w:top w:val="single" w:color="auto" w:sz="4" w:space="0"/>
              <w:left w:val="single" w:color="auto" w:sz="4" w:space="0"/>
              <w:bottom w:val="single" w:color="auto" w:sz="4" w:space="0"/>
              <w:right w:val="single" w:color="auto" w:sz="4" w:space="0"/>
            </w:tcBorders>
            <w:vAlign w:val="center"/>
          </w:tcPr>
          <w:p w14:paraId="1719FACE">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信用记录</w:t>
            </w:r>
          </w:p>
        </w:tc>
        <w:tc>
          <w:tcPr>
            <w:tcW w:w="5709" w:type="dxa"/>
            <w:tcBorders>
              <w:top w:val="single" w:color="auto" w:sz="4" w:space="0"/>
              <w:left w:val="single" w:color="auto" w:sz="4" w:space="0"/>
              <w:bottom w:val="single" w:color="auto" w:sz="4" w:space="0"/>
              <w:right w:val="single" w:color="auto" w:sz="4" w:space="0"/>
            </w:tcBorders>
            <w:vAlign w:val="center"/>
          </w:tcPr>
          <w:p w14:paraId="5FEB8557">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kern w:val="28"/>
                <w:sz w:val="24"/>
                <w:szCs w:val="24"/>
              </w:rPr>
              <w:t>商业信誉良好</w:t>
            </w:r>
            <w:r>
              <w:rPr>
                <w:rFonts w:hint="eastAsia" w:ascii="华文仿宋" w:hAnsi="华文仿宋" w:eastAsia="华文仿宋" w:cs="华文仿宋"/>
                <w:kern w:val="28"/>
                <w:sz w:val="24"/>
                <w:szCs w:val="24"/>
                <w:lang w:eastAsia="zh-CN"/>
              </w:rPr>
              <w:t>。</w:t>
            </w:r>
            <w:r>
              <w:rPr>
                <w:rFonts w:hint="eastAsia" w:ascii="华文仿宋" w:hAnsi="华文仿宋" w:eastAsia="华文仿宋" w:cs="华文仿宋"/>
                <w:sz w:val="24"/>
                <w:szCs w:val="24"/>
                <w:lang w:val="en-US" w:eastAsia="zh-CN"/>
              </w:rPr>
              <w:t>提供供应商在参加本次政府采购活动前3年内的经营活动中没有重大违法记录；未被列入【“信用中国”网站(</w:t>
            </w:r>
            <w:r>
              <w:rPr>
                <w:rFonts w:hint="eastAsia" w:ascii="华文仿宋" w:hAnsi="华文仿宋" w:eastAsia="华文仿宋" w:cs="华文仿宋"/>
                <w:sz w:val="24"/>
                <w:szCs w:val="24"/>
                <w:lang w:val="en-US" w:eastAsia="zh-CN"/>
              </w:rPr>
              <w:fldChar w:fldCharType="begin"/>
            </w:r>
            <w:r>
              <w:rPr>
                <w:rFonts w:hint="eastAsia" w:ascii="华文仿宋" w:hAnsi="华文仿宋" w:eastAsia="华文仿宋" w:cs="华文仿宋"/>
                <w:sz w:val="24"/>
                <w:szCs w:val="24"/>
                <w:lang w:val="en-US" w:eastAsia="zh-CN"/>
              </w:rPr>
              <w:instrText xml:space="preserve"> HYPERLINK "http://www.creditchina.gov.cn" </w:instrText>
            </w:r>
            <w:r>
              <w:rPr>
                <w:rFonts w:hint="eastAsia" w:ascii="华文仿宋" w:hAnsi="华文仿宋" w:eastAsia="华文仿宋" w:cs="华文仿宋"/>
                <w:sz w:val="24"/>
                <w:szCs w:val="24"/>
                <w:lang w:val="en-US" w:eastAsia="zh-CN"/>
              </w:rPr>
              <w:fldChar w:fldCharType="separate"/>
            </w:r>
            <w:r>
              <w:rPr>
                <w:rFonts w:hint="eastAsia" w:ascii="华文仿宋" w:hAnsi="华文仿宋" w:eastAsia="华文仿宋" w:cs="华文仿宋"/>
                <w:sz w:val="24"/>
                <w:szCs w:val="24"/>
                <w:lang w:val="en-US" w:eastAsia="zh-CN"/>
              </w:rPr>
              <w:t>www.creditchina.gov.cn</w:t>
            </w:r>
            <w:r>
              <w:rPr>
                <w:rFonts w:hint="eastAsia" w:ascii="华文仿宋" w:hAnsi="华文仿宋" w:eastAsia="华文仿宋" w:cs="华文仿宋"/>
                <w:sz w:val="24"/>
                <w:szCs w:val="24"/>
                <w:lang w:val="en-US" w:eastAsia="zh-CN"/>
              </w:rPr>
              <w:fldChar w:fldCharType="end"/>
            </w:r>
            <w:r>
              <w:rPr>
                <w:rFonts w:hint="eastAsia" w:ascii="华文仿宋" w:hAnsi="华文仿宋" w:eastAsia="华文仿宋" w:cs="华文仿宋"/>
                <w:sz w:val="24"/>
                <w:szCs w:val="24"/>
                <w:lang w:val="en-US" w:eastAsia="zh-CN"/>
              </w:rPr>
              <w:t>)】失信被执行人、重大税收违法案件当事人名单；不处于【中国政府采购网(</w:t>
            </w:r>
            <w:r>
              <w:rPr>
                <w:rFonts w:hint="eastAsia" w:ascii="华文仿宋" w:hAnsi="华文仿宋" w:eastAsia="华文仿宋" w:cs="华文仿宋"/>
                <w:sz w:val="24"/>
                <w:szCs w:val="24"/>
                <w:lang w:val="en-US" w:eastAsia="zh-CN"/>
              </w:rPr>
              <w:fldChar w:fldCharType="begin"/>
            </w:r>
            <w:r>
              <w:rPr>
                <w:rFonts w:hint="eastAsia" w:ascii="华文仿宋" w:hAnsi="华文仿宋" w:eastAsia="华文仿宋" w:cs="华文仿宋"/>
                <w:sz w:val="24"/>
                <w:szCs w:val="24"/>
                <w:lang w:val="en-US" w:eastAsia="zh-CN"/>
              </w:rPr>
              <w:instrText xml:space="preserve"> HYPERLINK "http://www.ccgp.gov.cn" </w:instrText>
            </w:r>
            <w:r>
              <w:rPr>
                <w:rFonts w:hint="eastAsia" w:ascii="华文仿宋" w:hAnsi="华文仿宋" w:eastAsia="华文仿宋" w:cs="华文仿宋"/>
                <w:sz w:val="24"/>
                <w:szCs w:val="24"/>
                <w:lang w:val="en-US" w:eastAsia="zh-CN"/>
              </w:rPr>
              <w:fldChar w:fldCharType="separate"/>
            </w:r>
            <w:r>
              <w:rPr>
                <w:rFonts w:hint="eastAsia" w:ascii="华文仿宋" w:hAnsi="华文仿宋" w:eastAsia="华文仿宋" w:cs="华文仿宋"/>
                <w:sz w:val="24"/>
                <w:szCs w:val="24"/>
                <w:lang w:val="en-US" w:eastAsia="zh-CN"/>
              </w:rPr>
              <w:t>www.ccgp.gov.cn</w:t>
            </w:r>
            <w:r>
              <w:rPr>
                <w:rFonts w:hint="eastAsia" w:ascii="华文仿宋" w:hAnsi="华文仿宋" w:eastAsia="华文仿宋" w:cs="华文仿宋"/>
                <w:sz w:val="24"/>
                <w:szCs w:val="24"/>
                <w:lang w:val="en-US" w:eastAsia="zh-CN"/>
              </w:rPr>
              <w:fldChar w:fldCharType="end"/>
            </w:r>
            <w:r>
              <w:rPr>
                <w:rFonts w:hint="eastAsia" w:ascii="华文仿宋" w:hAnsi="华文仿宋" w:eastAsia="华文仿宋" w:cs="华文仿宋"/>
                <w:sz w:val="24"/>
                <w:szCs w:val="24"/>
                <w:lang w:val="en-US" w:eastAsia="zh-CN"/>
              </w:rPr>
              <w:t>)】“政府采购严重违法失信行为信息记录”中的禁止参加政府采购活动期间；供应商及其法定代表人在中国裁判文书（</w:t>
            </w:r>
            <w:r>
              <w:rPr>
                <w:rFonts w:hint="eastAsia" w:ascii="华文仿宋" w:hAnsi="华文仿宋" w:eastAsia="华文仿宋" w:cs="华文仿宋"/>
                <w:sz w:val="24"/>
                <w:szCs w:val="24"/>
                <w:lang w:val="en-US" w:eastAsia="zh-CN"/>
              </w:rPr>
              <w:fldChar w:fldCharType="begin"/>
            </w:r>
            <w:r>
              <w:rPr>
                <w:rFonts w:hint="eastAsia" w:ascii="华文仿宋" w:hAnsi="华文仿宋" w:eastAsia="华文仿宋" w:cs="华文仿宋"/>
                <w:sz w:val="24"/>
                <w:szCs w:val="24"/>
                <w:lang w:val="en-US" w:eastAsia="zh-CN"/>
              </w:rPr>
              <w:instrText xml:space="preserve"> HYPERLINK "http://wenshu.court.gov.cn/" </w:instrText>
            </w:r>
            <w:r>
              <w:rPr>
                <w:rFonts w:hint="eastAsia" w:ascii="华文仿宋" w:hAnsi="华文仿宋" w:eastAsia="华文仿宋" w:cs="华文仿宋"/>
                <w:sz w:val="24"/>
                <w:szCs w:val="24"/>
                <w:lang w:val="en-US" w:eastAsia="zh-CN"/>
              </w:rPr>
              <w:fldChar w:fldCharType="separate"/>
            </w:r>
            <w:r>
              <w:rPr>
                <w:rFonts w:hint="eastAsia" w:ascii="华文仿宋" w:hAnsi="华文仿宋" w:eastAsia="华文仿宋" w:cs="华文仿宋"/>
                <w:sz w:val="24"/>
                <w:szCs w:val="24"/>
                <w:lang w:val="en-US" w:eastAsia="zh-CN"/>
              </w:rPr>
              <w:t>http://wenshu.court.gov.cn/</w:t>
            </w:r>
            <w:r>
              <w:rPr>
                <w:rFonts w:hint="eastAsia" w:ascii="华文仿宋" w:hAnsi="华文仿宋" w:eastAsia="华文仿宋" w:cs="华文仿宋"/>
                <w:sz w:val="24"/>
                <w:szCs w:val="24"/>
                <w:lang w:val="en-US" w:eastAsia="zh-CN"/>
              </w:rPr>
              <w:fldChar w:fldCharType="end"/>
            </w:r>
            <w:r>
              <w:rPr>
                <w:rFonts w:hint="eastAsia" w:ascii="华文仿宋" w:hAnsi="华文仿宋" w:eastAsia="华文仿宋" w:cs="华文仿宋"/>
                <w:sz w:val="24"/>
                <w:szCs w:val="24"/>
                <w:lang w:val="en-US" w:eastAsia="zh-CN"/>
              </w:rPr>
              <w:t>）近三年内没有行贿犯罪行为</w:t>
            </w:r>
            <w:r>
              <w:rPr>
                <w:rFonts w:hint="eastAsia" w:ascii="华文仿宋" w:hAnsi="华文仿宋" w:eastAsia="华文仿宋" w:cs="华文仿宋"/>
                <w:sz w:val="24"/>
                <w:szCs w:val="24"/>
              </w:rPr>
              <w:t>的《</w:t>
            </w:r>
            <w:r>
              <w:rPr>
                <w:rFonts w:hint="eastAsia" w:ascii="华文仿宋" w:hAnsi="华文仿宋" w:eastAsia="华文仿宋" w:cs="华文仿宋"/>
                <w:sz w:val="24"/>
                <w:szCs w:val="24"/>
                <w:lang w:val="en-US" w:eastAsia="zh-CN"/>
              </w:rPr>
              <w:t>投标人信用记录</w:t>
            </w:r>
            <w:r>
              <w:rPr>
                <w:rFonts w:hint="eastAsia" w:ascii="华文仿宋" w:hAnsi="华文仿宋" w:eastAsia="华文仿宋" w:cs="华文仿宋"/>
                <w:sz w:val="24"/>
                <w:szCs w:val="24"/>
              </w:rPr>
              <w:t>书面声明函》</w:t>
            </w:r>
            <w:r>
              <w:rPr>
                <w:rFonts w:hint="eastAsia" w:ascii="华文仿宋" w:hAnsi="华文仿宋" w:eastAsia="华文仿宋" w:cs="华文仿宋"/>
                <w:sz w:val="24"/>
                <w:szCs w:val="24"/>
                <w:lang w:val="en-US" w:eastAsia="zh-CN"/>
              </w:rPr>
              <w:t>（格式见资格响应文件附件二）</w:t>
            </w:r>
            <w:r>
              <w:rPr>
                <w:rFonts w:hint="eastAsia" w:ascii="华文仿宋" w:hAnsi="华文仿宋" w:eastAsia="华文仿宋" w:cs="华文仿宋"/>
                <w:sz w:val="24"/>
                <w:szCs w:val="24"/>
              </w:rPr>
              <w:t>。</w:t>
            </w:r>
          </w:p>
          <w:p w14:paraId="0ADF6927">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rPr>
              <w:t>同时提供【“信用中国”网站(</w:t>
            </w:r>
            <w:r>
              <w:rPr>
                <w:rFonts w:hint="eastAsia" w:ascii="华文仿宋" w:hAnsi="华文仿宋" w:eastAsia="华文仿宋" w:cs="华文仿宋"/>
                <w:sz w:val="24"/>
                <w:szCs w:val="24"/>
              </w:rPr>
              <w:fldChar w:fldCharType="begin"/>
            </w:r>
            <w:r>
              <w:rPr>
                <w:rFonts w:hint="eastAsia" w:ascii="华文仿宋" w:hAnsi="华文仿宋" w:eastAsia="华文仿宋" w:cs="华文仿宋"/>
                <w:sz w:val="24"/>
                <w:szCs w:val="24"/>
              </w:rPr>
              <w:instrText xml:space="preserve"> HYPERLINK "http://www.creditchina.gov.cn" </w:instrText>
            </w:r>
            <w:r>
              <w:rPr>
                <w:rFonts w:hint="eastAsia" w:ascii="华文仿宋" w:hAnsi="华文仿宋" w:eastAsia="华文仿宋" w:cs="华文仿宋"/>
                <w:sz w:val="24"/>
                <w:szCs w:val="24"/>
              </w:rPr>
              <w:fldChar w:fldCharType="separate"/>
            </w:r>
            <w:r>
              <w:rPr>
                <w:rFonts w:hint="eastAsia" w:ascii="华文仿宋" w:hAnsi="华文仿宋" w:eastAsia="华文仿宋" w:cs="华文仿宋"/>
                <w:sz w:val="24"/>
                <w:szCs w:val="24"/>
              </w:rPr>
              <w:t>www.creditchina.gov.cn</w:t>
            </w:r>
            <w:r>
              <w:rPr>
                <w:rFonts w:hint="eastAsia" w:ascii="华文仿宋" w:hAnsi="华文仿宋" w:eastAsia="华文仿宋" w:cs="华文仿宋"/>
                <w:sz w:val="24"/>
                <w:szCs w:val="24"/>
              </w:rPr>
              <w:fldChar w:fldCharType="end"/>
            </w:r>
            <w:r>
              <w:rPr>
                <w:rFonts w:hint="eastAsia" w:ascii="华文仿宋" w:hAnsi="华文仿宋" w:eastAsia="华文仿宋" w:cs="华文仿宋"/>
                <w:sz w:val="24"/>
                <w:szCs w:val="24"/>
              </w:rPr>
              <w:t>)】、【“中国政府采购网”(</w:t>
            </w:r>
            <w:r>
              <w:rPr>
                <w:rFonts w:hint="eastAsia" w:ascii="华文仿宋" w:hAnsi="华文仿宋" w:eastAsia="华文仿宋" w:cs="华文仿宋"/>
                <w:sz w:val="24"/>
                <w:szCs w:val="24"/>
              </w:rPr>
              <w:fldChar w:fldCharType="begin"/>
            </w:r>
            <w:r>
              <w:rPr>
                <w:rFonts w:hint="eastAsia" w:ascii="华文仿宋" w:hAnsi="华文仿宋" w:eastAsia="华文仿宋" w:cs="华文仿宋"/>
                <w:sz w:val="24"/>
                <w:szCs w:val="24"/>
              </w:rPr>
              <w:instrText xml:space="preserve"> HYPERLINK "http://www.ccgp.gov.cn" </w:instrText>
            </w:r>
            <w:r>
              <w:rPr>
                <w:rFonts w:hint="eastAsia" w:ascii="华文仿宋" w:hAnsi="华文仿宋" w:eastAsia="华文仿宋" w:cs="华文仿宋"/>
                <w:sz w:val="24"/>
                <w:szCs w:val="24"/>
              </w:rPr>
              <w:fldChar w:fldCharType="separate"/>
            </w:r>
            <w:r>
              <w:rPr>
                <w:rFonts w:hint="eastAsia" w:ascii="华文仿宋" w:hAnsi="华文仿宋" w:eastAsia="华文仿宋" w:cs="华文仿宋"/>
                <w:sz w:val="24"/>
                <w:szCs w:val="24"/>
              </w:rPr>
              <w:t>www.ccgp.gov.cn</w:t>
            </w:r>
            <w:r>
              <w:rPr>
                <w:rFonts w:hint="eastAsia" w:ascii="华文仿宋" w:hAnsi="华文仿宋" w:eastAsia="华文仿宋" w:cs="华文仿宋"/>
                <w:sz w:val="24"/>
                <w:szCs w:val="24"/>
              </w:rPr>
              <w:fldChar w:fldCharType="end"/>
            </w:r>
            <w:r>
              <w:rPr>
                <w:rFonts w:hint="eastAsia" w:ascii="华文仿宋" w:hAnsi="华文仿宋" w:eastAsia="华文仿宋" w:cs="华文仿宋"/>
                <w:sz w:val="24"/>
                <w:szCs w:val="24"/>
              </w:rPr>
              <w:t>)】</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【中国裁判文书网（</w:t>
            </w:r>
            <w:r>
              <w:rPr>
                <w:rFonts w:hint="eastAsia" w:ascii="华文仿宋" w:hAnsi="华文仿宋" w:eastAsia="华文仿宋" w:cs="华文仿宋"/>
                <w:sz w:val="24"/>
                <w:szCs w:val="24"/>
              </w:rPr>
              <w:fldChar w:fldCharType="begin"/>
            </w:r>
            <w:r>
              <w:rPr>
                <w:rFonts w:hint="eastAsia" w:ascii="华文仿宋" w:hAnsi="华文仿宋" w:eastAsia="华文仿宋" w:cs="华文仿宋"/>
                <w:sz w:val="24"/>
                <w:szCs w:val="24"/>
              </w:rPr>
              <w:instrText xml:space="preserve"> HYPERLINK "http://wenshu.court.gov.cn/" </w:instrText>
            </w:r>
            <w:r>
              <w:rPr>
                <w:rFonts w:hint="eastAsia" w:ascii="华文仿宋" w:hAnsi="华文仿宋" w:eastAsia="华文仿宋" w:cs="华文仿宋"/>
                <w:sz w:val="24"/>
                <w:szCs w:val="24"/>
              </w:rPr>
              <w:fldChar w:fldCharType="separate"/>
            </w:r>
            <w:r>
              <w:rPr>
                <w:rFonts w:hint="eastAsia" w:ascii="华文仿宋" w:hAnsi="华文仿宋" w:eastAsia="华文仿宋" w:cs="华文仿宋"/>
                <w:sz w:val="24"/>
                <w:szCs w:val="24"/>
              </w:rPr>
              <w:t>http://wenshu.court.gov.cn/</w:t>
            </w:r>
            <w:r>
              <w:rPr>
                <w:rFonts w:hint="eastAsia" w:ascii="华文仿宋" w:hAnsi="华文仿宋" w:eastAsia="华文仿宋" w:cs="华文仿宋"/>
                <w:sz w:val="24"/>
                <w:szCs w:val="24"/>
              </w:rPr>
              <w:fldChar w:fldCharType="end"/>
            </w:r>
            <w:r>
              <w:rPr>
                <w:rFonts w:hint="eastAsia" w:ascii="华文仿宋" w:hAnsi="华文仿宋" w:eastAsia="华文仿宋" w:cs="华文仿宋"/>
                <w:sz w:val="24"/>
                <w:szCs w:val="24"/>
              </w:rPr>
              <w:t>）】查询的相关信用记录的企业信用报告或完整截图（查询时段为本项目</w:t>
            </w:r>
            <w:r>
              <w:rPr>
                <w:rFonts w:hint="eastAsia" w:ascii="华文仿宋" w:hAnsi="华文仿宋" w:eastAsia="华文仿宋" w:cs="华文仿宋"/>
                <w:sz w:val="24"/>
                <w:szCs w:val="24"/>
                <w:lang w:val="en-US" w:eastAsia="zh-CN"/>
              </w:rPr>
              <w:t>招标</w:t>
            </w:r>
            <w:r>
              <w:rPr>
                <w:rFonts w:hint="eastAsia" w:ascii="华文仿宋" w:hAnsi="华文仿宋" w:eastAsia="华文仿宋" w:cs="华文仿宋"/>
                <w:sz w:val="24"/>
                <w:szCs w:val="24"/>
              </w:rPr>
              <w:t>公告发布之日</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lang w:val="en-US" w:eastAsia="zh-CN"/>
              </w:rPr>
              <w:t>含当日</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起至提交响应文件截止之日</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lang w:val="en-US" w:eastAsia="zh-CN"/>
              </w:rPr>
              <w:t>含当日</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至）</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45B304A8">
            <w:pPr>
              <w:spacing w:before="40" w:after="40" w:line="240" w:lineRule="auto"/>
              <w:jc w:val="center"/>
              <w:rPr>
                <w:rFonts w:hint="eastAsia" w:ascii="华文仿宋" w:hAnsi="华文仿宋" w:eastAsia="华文仿宋" w:cs="华文仿宋"/>
                <w:b/>
                <w:sz w:val="24"/>
                <w:szCs w:val="24"/>
              </w:rPr>
            </w:pPr>
          </w:p>
        </w:tc>
      </w:tr>
      <w:tr w14:paraId="0F272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0EE53AAF">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8</w:t>
            </w:r>
          </w:p>
        </w:tc>
        <w:tc>
          <w:tcPr>
            <w:tcW w:w="1515" w:type="dxa"/>
            <w:tcBorders>
              <w:top w:val="single" w:color="auto" w:sz="4" w:space="0"/>
              <w:left w:val="single" w:color="auto" w:sz="4" w:space="0"/>
              <w:bottom w:val="single" w:color="auto" w:sz="4" w:space="0"/>
              <w:right w:val="single" w:color="auto" w:sz="4" w:space="0"/>
            </w:tcBorders>
            <w:vAlign w:val="center"/>
          </w:tcPr>
          <w:p w14:paraId="389BD036">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身份证明文件</w:t>
            </w:r>
          </w:p>
        </w:tc>
        <w:tc>
          <w:tcPr>
            <w:tcW w:w="5709" w:type="dxa"/>
            <w:tcBorders>
              <w:top w:val="single" w:color="auto" w:sz="4" w:space="0"/>
              <w:left w:val="single" w:color="auto" w:sz="4" w:space="0"/>
              <w:bottom w:val="single" w:color="auto" w:sz="4" w:space="0"/>
              <w:right w:val="single" w:color="auto" w:sz="4" w:space="0"/>
            </w:tcBorders>
            <w:vAlign w:val="center"/>
          </w:tcPr>
          <w:p w14:paraId="441601A5">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kern w:val="28"/>
                <w:sz w:val="24"/>
                <w:szCs w:val="24"/>
              </w:rPr>
              <w:t>具备相应的身份证明文件</w:t>
            </w:r>
            <w:r>
              <w:rPr>
                <w:rFonts w:hint="eastAsia" w:ascii="华文仿宋" w:hAnsi="华文仿宋" w:eastAsia="华文仿宋" w:cs="华文仿宋"/>
                <w:kern w:val="28"/>
                <w:sz w:val="24"/>
                <w:szCs w:val="24"/>
                <w:lang w:eastAsia="zh-CN"/>
              </w:rPr>
              <w:t>。</w:t>
            </w:r>
            <w:r>
              <w:rPr>
                <w:rFonts w:hint="eastAsia" w:ascii="华文仿宋" w:hAnsi="华文仿宋" w:eastAsia="华文仿宋" w:cs="华文仿宋"/>
                <w:sz w:val="24"/>
                <w:szCs w:val="24"/>
              </w:rPr>
              <w:t>法定代表人参加投标的，须提供本人身份证；法定代表人授权他人参加投标的，被授权人必须在投标人提供的社保机构出具的社保缴纳名单中，并提供法定代表人授权委托书。自然人参加投标的，提供</w:t>
            </w:r>
            <w:r>
              <w:rPr>
                <w:rFonts w:hint="eastAsia" w:ascii="华文仿宋" w:hAnsi="华文仿宋" w:eastAsia="华文仿宋" w:cs="华文仿宋"/>
                <w:sz w:val="24"/>
                <w:szCs w:val="24"/>
                <w:lang w:val="en-US" w:eastAsia="zh-CN"/>
              </w:rPr>
              <w:t>本人</w:t>
            </w:r>
            <w:r>
              <w:rPr>
                <w:rFonts w:hint="eastAsia" w:ascii="华文仿宋" w:hAnsi="华文仿宋" w:eastAsia="华文仿宋" w:cs="华文仿宋"/>
                <w:sz w:val="24"/>
                <w:szCs w:val="24"/>
              </w:rPr>
              <w:t>身份证</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《法定代表人授权委托书》（格式见资格响应文件附件一）</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6859DADF">
            <w:pPr>
              <w:spacing w:before="40" w:after="40" w:line="240" w:lineRule="auto"/>
              <w:jc w:val="center"/>
              <w:rPr>
                <w:rFonts w:hint="eastAsia" w:ascii="华文仿宋" w:hAnsi="华文仿宋" w:eastAsia="华文仿宋" w:cs="华文仿宋"/>
                <w:b/>
                <w:sz w:val="24"/>
                <w:szCs w:val="24"/>
              </w:rPr>
            </w:pPr>
          </w:p>
        </w:tc>
      </w:tr>
      <w:tr w14:paraId="35EF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75268B74">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9</w:t>
            </w:r>
          </w:p>
        </w:tc>
        <w:tc>
          <w:tcPr>
            <w:tcW w:w="1515" w:type="dxa"/>
            <w:tcBorders>
              <w:top w:val="single" w:color="auto" w:sz="4" w:space="0"/>
              <w:left w:val="single" w:color="auto" w:sz="4" w:space="0"/>
              <w:bottom w:val="single" w:color="auto" w:sz="4" w:space="0"/>
              <w:right w:val="single" w:color="auto" w:sz="4" w:space="0"/>
            </w:tcBorders>
            <w:vAlign w:val="center"/>
          </w:tcPr>
          <w:p w14:paraId="5800B809">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信用承诺书</w:t>
            </w:r>
          </w:p>
        </w:tc>
        <w:tc>
          <w:tcPr>
            <w:tcW w:w="5709" w:type="dxa"/>
            <w:tcBorders>
              <w:top w:val="single" w:color="auto" w:sz="4" w:space="0"/>
              <w:left w:val="single" w:color="auto" w:sz="4" w:space="0"/>
              <w:bottom w:val="single" w:color="auto" w:sz="4" w:space="0"/>
              <w:right w:val="single" w:color="auto" w:sz="4" w:space="0"/>
            </w:tcBorders>
            <w:vAlign w:val="center"/>
          </w:tcPr>
          <w:p w14:paraId="5E4914E8">
            <w:pPr>
              <w:spacing w:before="40" w:after="40" w:line="240" w:lineRule="auto"/>
              <w:jc w:val="left"/>
              <w:rPr>
                <w:rFonts w:hint="eastAsia" w:ascii="华文仿宋" w:hAnsi="华文仿宋" w:eastAsia="华文仿宋" w:cs="华文仿宋"/>
                <w:sz w:val="24"/>
                <w:szCs w:val="24"/>
                <w:lang w:eastAsia="zh-CN"/>
              </w:rPr>
            </w:pPr>
            <w:r>
              <w:rPr>
                <w:rFonts w:hint="eastAsia" w:ascii="华文仿宋" w:hAnsi="华文仿宋" w:eastAsia="华文仿宋" w:cs="华文仿宋"/>
                <w:sz w:val="24"/>
                <w:szCs w:val="24"/>
              </w:rPr>
              <w:t>信用承诺书已上传至“信用中国（陕西榆林）”平台</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提供《榆林市政府采购供应商信用承诺书》（格式见资格响应文件附件四）及网上上报截图</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lang w:val="en-US" w:eastAsia="zh-CN"/>
              </w:rPr>
              <w:t>截图需包含附件内容，内容清晰可辩）。</w:t>
            </w:r>
          </w:p>
          <w:p w14:paraId="56A8909E">
            <w:pPr>
              <w:spacing w:before="40" w:after="40" w:line="240" w:lineRule="auto"/>
              <w:jc w:val="left"/>
              <w:rPr>
                <w:rFonts w:hint="eastAsia" w:ascii="华文仿宋" w:hAnsi="华文仿宋" w:eastAsia="华文仿宋" w:cs="华文仿宋"/>
                <w:color w:val="FF0000"/>
                <w:sz w:val="24"/>
                <w:szCs w:val="24"/>
              </w:rPr>
            </w:pP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6FDE5973">
            <w:pPr>
              <w:spacing w:before="40" w:after="40" w:line="240" w:lineRule="auto"/>
              <w:jc w:val="center"/>
              <w:rPr>
                <w:rFonts w:hint="eastAsia" w:ascii="华文仿宋" w:hAnsi="华文仿宋" w:eastAsia="华文仿宋" w:cs="华文仿宋"/>
                <w:b/>
                <w:sz w:val="24"/>
                <w:szCs w:val="24"/>
              </w:rPr>
            </w:pPr>
          </w:p>
        </w:tc>
      </w:tr>
      <w:tr w14:paraId="0235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14:paraId="2EFCB4EC">
            <w:pPr>
              <w:spacing w:line="240" w:lineRule="auto"/>
              <w:jc w:val="center"/>
              <w:rPr>
                <w:rFonts w:hint="eastAsia" w:ascii="华文仿宋" w:hAnsi="华文仿宋" w:eastAsia="华文仿宋" w:cs="华文仿宋"/>
                <w:b/>
                <w:kern w:val="2"/>
                <w:sz w:val="24"/>
                <w:szCs w:val="24"/>
                <w:lang w:val="en-US" w:eastAsia="zh-CN" w:bidi="ar-SA"/>
              </w:rPr>
            </w:pPr>
            <w:r>
              <w:rPr>
                <w:rFonts w:hint="eastAsia" w:ascii="华文仿宋" w:hAnsi="华文仿宋" w:eastAsia="华文仿宋" w:cs="华文仿宋"/>
                <w:b/>
                <w:sz w:val="24"/>
                <w:szCs w:val="24"/>
                <w:lang w:val="en-US" w:eastAsia="zh-CN"/>
              </w:rPr>
              <w:t>10</w:t>
            </w:r>
          </w:p>
        </w:tc>
        <w:tc>
          <w:tcPr>
            <w:tcW w:w="1515" w:type="dxa"/>
            <w:tcBorders>
              <w:top w:val="single" w:color="auto" w:sz="4" w:space="0"/>
              <w:left w:val="single" w:color="auto" w:sz="4" w:space="0"/>
              <w:bottom w:val="single" w:color="auto" w:sz="4" w:space="0"/>
              <w:right w:val="single" w:color="auto" w:sz="4" w:space="0"/>
            </w:tcBorders>
            <w:shd w:val="clear" w:color="auto" w:fill="auto"/>
            <w:vAlign w:val="center"/>
          </w:tcPr>
          <w:p w14:paraId="1B687A9B">
            <w:pPr>
              <w:spacing w:line="240" w:lineRule="auto"/>
              <w:jc w:val="center"/>
              <w:rPr>
                <w:rFonts w:hint="eastAsia" w:ascii="华文仿宋" w:hAnsi="华文仿宋" w:eastAsia="华文仿宋" w:cs="华文仿宋"/>
                <w:b/>
                <w:kern w:val="28"/>
                <w:sz w:val="24"/>
                <w:szCs w:val="24"/>
                <w:lang w:val="en-US" w:eastAsia="zh-CN" w:bidi="ar-SA"/>
              </w:rPr>
            </w:pPr>
            <w:r>
              <w:rPr>
                <w:rFonts w:hint="eastAsia" w:ascii="华文仿宋" w:hAnsi="华文仿宋" w:eastAsia="华文仿宋" w:cs="华文仿宋"/>
                <w:b/>
                <w:kern w:val="28"/>
                <w:sz w:val="24"/>
                <w:szCs w:val="24"/>
              </w:rPr>
              <w:t>本项目不接受联合体投标，不允许分包</w:t>
            </w:r>
            <w:r>
              <w:rPr>
                <w:rFonts w:hint="eastAsia" w:ascii="华文仿宋" w:hAnsi="华文仿宋" w:eastAsia="华文仿宋" w:cs="华文仿宋"/>
                <w:b/>
                <w:kern w:val="28"/>
                <w:sz w:val="24"/>
                <w:szCs w:val="24"/>
                <w:lang w:val="en-US" w:eastAsia="zh-CN"/>
              </w:rPr>
              <w:t>转包</w:t>
            </w:r>
          </w:p>
        </w:tc>
        <w:tc>
          <w:tcPr>
            <w:tcW w:w="5709" w:type="dxa"/>
            <w:tcBorders>
              <w:top w:val="single" w:color="auto" w:sz="4" w:space="0"/>
              <w:left w:val="single" w:color="auto" w:sz="4" w:space="0"/>
              <w:bottom w:val="single" w:color="auto" w:sz="4" w:space="0"/>
              <w:right w:val="single" w:color="auto" w:sz="4" w:space="0"/>
            </w:tcBorders>
            <w:shd w:val="clear" w:color="auto" w:fill="auto"/>
            <w:vAlign w:val="center"/>
          </w:tcPr>
          <w:p w14:paraId="32A8C4CF">
            <w:pPr>
              <w:spacing w:before="40" w:after="40" w:line="240" w:lineRule="auto"/>
              <w:jc w:val="left"/>
              <w:rPr>
                <w:rFonts w:hint="eastAsia" w:ascii="华文仿宋" w:hAnsi="华文仿宋" w:eastAsia="华文仿宋" w:cs="华文仿宋"/>
                <w:sz w:val="24"/>
                <w:szCs w:val="24"/>
                <w:lang w:val="en-US" w:eastAsia="zh-CN"/>
              </w:rPr>
            </w:pPr>
            <w:r>
              <w:rPr>
                <w:rFonts w:hint="eastAsia" w:ascii="华文仿宋" w:hAnsi="华文仿宋" w:eastAsia="华文仿宋" w:cs="华文仿宋"/>
                <w:sz w:val="24"/>
                <w:szCs w:val="24"/>
              </w:rPr>
              <w:t>投标人应提供《非联合体不分包投标声明》（格式见资格响应文件附件</w:t>
            </w:r>
            <w:r>
              <w:rPr>
                <w:rFonts w:hint="eastAsia" w:ascii="华文仿宋" w:hAnsi="华文仿宋" w:eastAsia="华文仿宋" w:cs="华文仿宋"/>
                <w:sz w:val="24"/>
                <w:szCs w:val="24"/>
                <w:lang w:val="en-US" w:eastAsia="zh-CN"/>
              </w:rPr>
              <w:t>六</w:t>
            </w:r>
            <w:r>
              <w:rPr>
                <w:rFonts w:hint="eastAsia" w:ascii="华文仿宋" w:hAnsi="华文仿宋" w:eastAsia="华文仿宋" w:cs="华文仿宋"/>
                <w:sz w:val="24"/>
                <w:szCs w:val="24"/>
              </w:rPr>
              <w:t>），视为独立投标，不分包</w:t>
            </w:r>
            <w:r>
              <w:rPr>
                <w:rFonts w:hint="eastAsia" w:ascii="华文仿宋" w:hAnsi="华文仿宋" w:eastAsia="华文仿宋" w:cs="华文仿宋"/>
                <w:sz w:val="24"/>
                <w:szCs w:val="24"/>
                <w:lang w:val="en-US" w:eastAsia="zh-CN"/>
              </w:rPr>
              <w:t>转包。</w:t>
            </w:r>
          </w:p>
          <w:p w14:paraId="0DA740B3">
            <w:pPr>
              <w:spacing w:before="40" w:after="40" w:line="240" w:lineRule="auto"/>
              <w:jc w:val="left"/>
              <w:rPr>
                <w:rFonts w:hint="eastAsia" w:ascii="华文仿宋" w:hAnsi="华文仿宋" w:eastAsia="华文仿宋" w:cs="华文仿宋"/>
                <w:b/>
                <w:color w:val="FF0000"/>
                <w:kern w:val="2"/>
                <w:sz w:val="24"/>
                <w:szCs w:val="24"/>
                <w:lang w:val="en-US" w:eastAsia="zh-CN" w:bidi="ar-SA"/>
              </w:rPr>
            </w:pPr>
            <w:r>
              <w:rPr>
                <w:rFonts w:hint="eastAsia" w:ascii="华文仿宋" w:hAnsi="华文仿宋" w:eastAsia="华文仿宋" w:cs="华文仿宋"/>
                <w:sz w:val="24"/>
                <w:szCs w:val="24"/>
              </w:rPr>
              <w:t>（扫描件加盖企业公章）</w:t>
            </w:r>
          </w:p>
        </w:tc>
        <w:tc>
          <w:tcPr>
            <w:tcW w:w="621" w:type="dxa"/>
            <w:tcBorders>
              <w:top w:val="single" w:color="auto" w:sz="4" w:space="0"/>
              <w:left w:val="single" w:color="auto" w:sz="4" w:space="0"/>
              <w:bottom w:val="single" w:color="auto" w:sz="4" w:space="0"/>
              <w:right w:val="single" w:color="auto" w:sz="4" w:space="0"/>
            </w:tcBorders>
            <w:vAlign w:val="center"/>
          </w:tcPr>
          <w:p w14:paraId="4E589369">
            <w:pPr>
              <w:spacing w:before="40" w:after="40" w:line="240" w:lineRule="auto"/>
              <w:jc w:val="center"/>
              <w:rPr>
                <w:rFonts w:hint="eastAsia" w:ascii="华文仿宋" w:hAnsi="华文仿宋" w:eastAsia="华文仿宋" w:cs="华文仿宋"/>
                <w:b/>
                <w:sz w:val="24"/>
                <w:szCs w:val="24"/>
              </w:rPr>
            </w:pPr>
          </w:p>
        </w:tc>
      </w:tr>
      <w:tr w14:paraId="3D67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5C3C059D">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11</w:t>
            </w:r>
          </w:p>
        </w:tc>
        <w:tc>
          <w:tcPr>
            <w:tcW w:w="1515" w:type="dxa"/>
            <w:tcBorders>
              <w:top w:val="single" w:color="auto" w:sz="4" w:space="0"/>
              <w:left w:val="single" w:color="auto" w:sz="4" w:space="0"/>
              <w:bottom w:val="single" w:color="auto" w:sz="4" w:space="0"/>
              <w:right w:val="single" w:color="auto" w:sz="4" w:space="0"/>
            </w:tcBorders>
            <w:vAlign w:val="center"/>
          </w:tcPr>
          <w:p w14:paraId="55BB5CB2">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投标人关联情况</w:t>
            </w:r>
          </w:p>
        </w:tc>
        <w:tc>
          <w:tcPr>
            <w:tcW w:w="5709" w:type="dxa"/>
            <w:tcBorders>
              <w:top w:val="single" w:color="auto" w:sz="4" w:space="0"/>
              <w:left w:val="single" w:color="auto" w:sz="4" w:space="0"/>
              <w:bottom w:val="single" w:color="auto" w:sz="4" w:space="0"/>
              <w:right w:val="single" w:color="auto" w:sz="4" w:space="0"/>
            </w:tcBorders>
            <w:vAlign w:val="center"/>
          </w:tcPr>
          <w:p w14:paraId="4A467FF4">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rPr>
              <w:t>单位负责人为同一人或存在直接控股、管理关系的不同单位，不得同时参加本项目投标活动</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rPr>
              <w:t>若与其他投标人存在单位负责人为同一人或者存在直接控股、管理关系的，则投标无效。</w:t>
            </w:r>
            <w:r>
              <w:rPr>
                <w:rFonts w:hint="eastAsia" w:ascii="华文仿宋" w:hAnsi="华文仿宋" w:eastAsia="华文仿宋" w:cs="华文仿宋"/>
                <w:sz w:val="24"/>
                <w:szCs w:val="24"/>
                <w:lang w:eastAsia="zh-CN"/>
              </w:rPr>
              <w:t>提供</w:t>
            </w:r>
            <w:r>
              <w:rPr>
                <w:rFonts w:hint="eastAsia" w:ascii="华文仿宋" w:hAnsi="华文仿宋" w:eastAsia="华文仿宋" w:cs="华文仿宋"/>
                <w:sz w:val="24"/>
                <w:szCs w:val="24"/>
              </w:rPr>
              <w:t>《投标人企业关系关联承诺书》（格式见资格响应文件附件三）</w:t>
            </w:r>
            <w:r>
              <w:rPr>
                <w:rFonts w:hint="eastAsia" w:ascii="华文仿宋" w:hAnsi="华文仿宋" w:eastAsia="华文仿宋" w:cs="华文仿宋"/>
                <w:sz w:val="24"/>
                <w:szCs w:val="24"/>
                <w:lang w:eastAsia="zh-CN"/>
              </w:rPr>
              <w:t>。</w:t>
            </w:r>
          </w:p>
        </w:tc>
        <w:tc>
          <w:tcPr>
            <w:tcW w:w="621" w:type="dxa"/>
            <w:tcBorders>
              <w:top w:val="single" w:color="auto" w:sz="4" w:space="0"/>
              <w:left w:val="single" w:color="auto" w:sz="4" w:space="0"/>
              <w:bottom w:val="single" w:color="auto" w:sz="4" w:space="0"/>
              <w:right w:val="single" w:color="auto" w:sz="4" w:space="0"/>
            </w:tcBorders>
            <w:vAlign w:val="center"/>
          </w:tcPr>
          <w:p w14:paraId="6EAB4A7D">
            <w:pPr>
              <w:spacing w:before="40" w:after="40" w:line="240" w:lineRule="auto"/>
              <w:jc w:val="center"/>
              <w:rPr>
                <w:rFonts w:hint="eastAsia" w:ascii="华文仿宋" w:hAnsi="华文仿宋" w:eastAsia="华文仿宋" w:cs="华文仿宋"/>
                <w:b/>
                <w:sz w:val="24"/>
                <w:szCs w:val="24"/>
              </w:rPr>
            </w:pPr>
          </w:p>
        </w:tc>
      </w:tr>
      <w:tr w14:paraId="42D9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14:paraId="1F9EA287">
            <w:pPr>
              <w:spacing w:line="240" w:lineRule="auto"/>
              <w:jc w:val="center"/>
              <w:rPr>
                <w:rFonts w:hint="eastAsia" w:ascii="华文仿宋" w:hAnsi="华文仿宋" w:eastAsia="华文仿宋" w:cs="华文仿宋"/>
                <w:b/>
                <w:sz w:val="24"/>
                <w:szCs w:val="24"/>
                <w:lang w:val="en-US" w:eastAsia="zh-CN"/>
              </w:rPr>
            </w:pPr>
            <w:r>
              <w:rPr>
                <w:rFonts w:hint="eastAsia" w:ascii="华文仿宋" w:hAnsi="华文仿宋" w:eastAsia="华文仿宋" w:cs="华文仿宋"/>
                <w:b/>
                <w:sz w:val="24"/>
                <w:szCs w:val="24"/>
                <w:lang w:val="en-US" w:eastAsia="zh-CN"/>
              </w:rPr>
              <w:t>12</w:t>
            </w:r>
          </w:p>
        </w:tc>
        <w:tc>
          <w:tcPr>
            <w:tcW w:w="1515" w:type="dxa"/>
            <w:tcBorders>
              <w:top w:val="single" w:color="auto" w:sz="4" w:space="0"/>
              <w:left w:val="single" w:color="auto" w:sz="4" w:space="0"/>
              <w:bottom w:val="single" w:color="auto" w:sz="4" w:space="0"/>
              <w:right w:val="single" w:color="auto" w:sz="4" w:space="0"/>
            </w:tcBorders>
            <w:vAlign w:val="center"/>
          </w:tcPr>
          <w:p w14:paraId="1460B680">
            <w:pPr>
              <w:spacing w:line="240" w:lineRule="auto"/>
              <w:jc w:val="center"/>
              <w:rPr>
                <w:rFonts w:hint="eastAsia" w:ascii="华文仿宋" w:hAnsi="华文仿宋" w:eastAsia="华文仿宋" w:cs="华文仿宋"/>
                <w:b/>
                <w:kern w:val="28"/>
                <w:sz w:val="24"/>
                <w:szCs w:val="24"/>
              </w:rPr>
            </w:pPr>
            <w:r>
              <w:rPr>
                <w:rFonts w:hint="eastAsia" w:ascii="华文仿宋" w:hAnsi="华文仿宋" w:eastAsia="华文仿宋" w:cs="华文仿宋"/>
                <w:b/>
                <w:kern w:val="28"/>
                <w:sz w:val="24"/>
                <w:szCs w:val="24"/>
              </w:rPr>
              <w:t>纸质文件要求</w:t>
            </w:r>
          </w:p>
        </w:tc>
        <w:tc>
          <w:tcPr>
            <w:tcW w:w="5709" w:type="dxa"/>
            <w:tcBorders>
              <w:top w:val="single" w:color="auto" w:sz="4" w:space="0"/>
              <w:left w:val="single" w:color="auto" w:sz="4" w:space="0"/>
              <w:bottom w:val="single" w:color="auto" w:sz="4" w:space="0"/>
              <w:right w:val="single" w:color="auto" w:sz="4" w:space="0"/>
            </w:tcBorders>
            <w:vAlign w:val="center"/>
          </w:tcPr>
          <w:p w14:paraId="697B5F1B">
            <w:pPr>
              <w:spacing w:line="240" w:lineRule="auto"/>
              <w:jc w:val="both"/>
              <w:rPr>
                <w:rFonts w:hint="eastAsia" w:ascii="华文仿宋" w:hAnsi="华文仿宋" w:eastAsia="华文仿宋" w:cs="华文仿宋"/>
                <w:sz w:val="24"/>
                <w:szCs w:val="24"/>
                <w:lang w:eastAsia="zh-CN"/>
              </w:rPr>
            </w:pPr>
            <w:r>
              <w:rPr>
                <w:rFonts w:hint="eastAsia" w:ascii="华文仿宋" w:hAnsi="华文仿宋" w:eastAsia="华文仿宋" w:cs="华文仿宋"/>
                <w:sz w:val="24"/>
                <w:szCs w:val="24"/>
              </w:rPr>
              <w:t>纸质</w:t>
            </w:r>
            <w:r>
              <w:rPr>
                <w:rFonts w:hint="eastAsia" w:ascii="华文仿宋" w:hAnsi="华文仿宋" w:eastAsia="华文仿宋" w:cs="华文仿宋"/>
                <w:sz w:val="24"/>
                <w:szCs w:val="24"/>
                <w:lang w:val="en-US" w:eastAsia="zh-CN"/>
              </w:rPr>
              <w:t>投标</w:t>
            </w:r>
            <w:r>
              <w:rPr>
                <w:rFonts w:hint="eastAsia" w:ascii="华文仿宋" w:hAnsi="华文仿宋" w:eastAsia="华文仿宋" w:cs="华文仿宋"/>
                <w:sz w:val="24"/>
                <w:szCs w:val="24"/>
              </w:rPr>
              <w:t>文件于</w:t>
            </w:r>
            <w:r>
              <w:rPr>
                <w:rFonts w:hint="eastAsia" w:ascii="华文仿宋" w:hAnsi="华文仿宋" w:eastAsia="华文仿宋" w:cs="华文仿宋"/>
                <w:sz w:val="24"/>
                <w:szCs w:val="24"/>
                <w:lang w:val="en-US" w:eastAsia="zh-CN"/>
              </w:rPr>
              <w:t>投标</w:t>
            </w:r>
            <w:r>
              <w:rPr>
                <w:rFonts w:hint="eastAsia" w:ascii="华文仿宋" w:hAnsi="华文仿宋" w:eastAsia="华文仿宋" w:cs="华文仿宋"/>
                <w:sz w:val="24"/>
                <w:szCs w:val="24"/>
              </w:rPr>
              <w:t>文件递交截止时间前已寄出</w:t>
            </w:r>
            <w:r>
              <w:rPr>
                <w:rFonts w:hint="eastAsia" w:ascii="华文仿宋" w:hAnsi="华文仿宋" w:eastAsia="华文仿宋" w:cs="华文仿宋"/>
                <w:sz w:val="24"/>
                <w:szCs w:val="24"/>
                <w:lang w:eastAsia="zh-CN"/>
              </w:rPr>
              <w:t>。</w:t>
            </w:r>
            <w:r>
              <w:rPr>
                <w:rFonts w:hint="eastAsia" w:ascii="华文仿宋" w:hAnsi="华文仿宋" w:eastAsia="华文仿宋" w:cs="华文仿宋"/>
                <w:sz w:val="24"/>
                <w:szCs w:val="24"/>
                <w:lang w:val="en-US" w:eastAsia="zh-CN"/>
              </w:rPr>
              <w:t>提供</w:t>
            </w:r>
            <w:r>
              <w:rPr>
                <w:rFonts w:hint="eastAsia" w:ascii="华文仿宋" w:hAnsi="华文仿宋" w:eastAsia="华文仿宋" w:cs="华文仿宋"/>
                <w:sz w:val="24"/>
                <w:szCs w:val="24"/>
              </w:rPr>
              <w:t>邮寄纸质版</w:t>
            </w:r>
            <w:r>
              <w:rPr>
                <w:rFonts w:hint="eastAsia" w:ascii="华文仿宋" w:hAnsi="华文仿宋" w:eastAsia="华文仿宋" w:cs="华文仿宋"/>
                <w:sz w:val="24"/>
                <w:szCs w:val="24"/>
                <w:lang w:val="en-US" w:eastAsia="zh-CN"/>
              </w:rPr>
              <w:t>投标</w:t>
            </w:r>
            <w:r>
              <w:rPr>
                <w:rFonts w:hint="eastAsia" w:ascii="华文仿宋" w:hAnsi="华文仿宋" w:eastAsia="华文仿宋" w:cs="华文仿宋"/>
                <w:sz w:val="24"/>
                <w:szCs w:val="24"/>
              </w:rPr>
              <w:t>文件回执单（邮件寄出证明材料）</w:t>
            </w:r>
            <w:r>
              <w:rPr>
                <w:rFonts w:hint="eastAsia" w:ascii="华文仿宋" w:hAnsi="华文仿宋" w:eastAsia="华文仿宋" w:cs="华文仿宋"/>
                <w:sz w:val="24"/>
                <w:szCs w:val="24"/>
                <w:lang w:eastAsia="zh-CN"/>
              </w:rPr>
              <w:t>；</w:t>
            </w:r>
          </w:p>
          <w:p w14:paraId="5893CF84">
            <w:pPr>
              <w:spacing w:line="240" w:lineRule="auto"/>
              <w:jc w:val="both"/>
              <w:rPr>
                <w:rFonts w:hint="eastAsia" w:ascii="华文仿宋" w:hAnsi="华文仿宋" w:eastAsia="华文仿宋" w:cs="华文仿宋"/>
                <w:sz w:val="24"/>
                <w:szCs w:val="24"/>
                <w:lang w:eastAsia="zh-CN"/>
              </w:rPr>
            </w:pPr>
            <w:r>
              <w:rPr>
                <w:rFonts w:hint="eastAsia" w:ascii="华文仿宋" w:hAnsi="华文仿宋" w:eastAsia="华文仿宋" w:cs="华文仿宋"/>
                <w:sz w:val="24"/>
                <w:szCs w:val="24"/>
                <w:lang w:val="en-US" w:eastAsia="zh-CN"/>
              </w:rPr>
              <w:t>提供</w:t>
            </w:r>
            <w:r>
              <w:rPr>
                <w:rFonts w:hint="eastAsia" w:ascii="华文仿宋" w:hAnsi="华文仿宋" w:eastAsia="华文仿宋" w:cs="华文仿宋"/>
                <w:sz w:val="24"/>
                <w:szCs w:val="24"/>
              </w:rPr>
              <w:t>《电子</w:t>
            </w:r>
            <w:r>
              <w:rPr>
                <w:rFonts w:hint="eastAsia" w:ascii="华文仿宋" w:hAnsi="华文仿宋" w:eastAsia="华文仿宋" w:cs="华文仿宋"/>
                <w:sz w:val="24"/>
                <w:szCs w:val="24"/>
                <w:lang w:val="en-US" w:eastAsia="zh-CN"/>
              </w:rPr>
              <w:t>投标</w:t>
            </w:r>
            <w:r>
              <w:rPr>
                <w:rFonts w:hint="eastAsia" w:ascii="华文仿宋" w:hAnsi="华文仿宋" w:eastAsia="华文仿宋" w:cs="华文仿宋"/>
                <w:sz w:val="24"/>
                <w:szCs w:val="24"/>
              </w:rPr>
              <w:t>文件与纸质</w:t>
            </w:r>
            <w:r>
              <w:rPr>
                <w:rFonts w:hint="eastAsia" w:ascii="华文仿宋" w:hAnsi="华文仿宋" w:eastAsia="华文仿宋" w:cs="华文仿宋"/>
                <w:sz w:val="24"/>
                <w:szCs w:val="24"/>
                <w:lang w:val="en-US" w:eastAsia="zh-CN"/>
              </w:rPr>
              <w:t>投标</w:t>
            </w:r>
            <w:r>
              <w:rPr>
                <w:rFonts w:hint="eastAsia" w:ascii="华文仿宋" w:hAnsi="华文仿宋" w:eastAsia="华文仿宋" w:cs="华文仿宋"/>
                <w:sz w:val="24"/>
                <w:szCs w:val="24"/>
              </w:rPr>
              <w:t>文件一致承诺书》（格式见资格响应文件附件</w:t>
            </w:r>
            <w:r>
              <w:rPr>
                <w:rFonts w:hint="eastAsia" w:ascii="华文仿宋" w:hAnsi="华文仿宋" w:eastAsia="华文仿宋" w:cs="华文仿宋"/>
                <w:sz w:val="24"/>
                <w:szCs w:val="24"/>
                <w:lang w:val="en-US" w:eastAsia="zh-CN"/>
              </w:rPr>
              <w:t>七</w:t>
            </w:r>
            <w:r>
              <w:rPr>
                <w:rFonts w:hint="eastAsia" w:ascii="华文仿宋" w:hAnsi="华文仿宋" w:eastAsia="华文仿宋" w:cs="华文仿宋"/>
                <w:sz w:val="24"/>
                <w:szCs w:val="24"/>
              </w:rPr>
              <w:t>）</w:t>
            </w:r>
            <w:r>
              <w:rPr>
                <w:rFonts w:hint="eastAsia" w:ascii="华文仿宋" w:hAnsi="华文仿宋" w:eastAsia="华文仿宋" w:cs="华文仿宋"/>
                <w:sz w:val="24"/>
                <w:szCs w:val="24"/>
                <w:lang w:eastAsia="zh-CN"/>
              </w:rPr>
              <w:t>。</w:t>
            </w:r>
          </w:p>
          <w:p w14:paraId="1EECBE8D">
            <w:pPr>
              <w:spacing w:before="40" w:after="40" w:line="240" w:lineRule="auto"/>
              <w:jc w:val="left"/>
              <w:rPr>
                <w:rFonts w:hint="eastAsia" w:ascii="华文仿宋" w:hAnsi="华文仿宋" w:eastAsia="华文仿宋" w:cs="华文仿宋"/>
                <w:sz w:val="24"/>
                <w:szCs w:val="24"/>
              </w:rPr>
            </w:pPr>
            <w:r>
              <w:rPr>
                <w:rFonts w:hint="eastAsia" w:ascii="华文仿宋" w:hAnsi="华文仿宋" w:eastAsia="华文仿宋" w:cs="华文仿宋"/>
                <w:sz w:val="24"/>
                <w:szCs w:val="24"/>
              </w:rPr>
              <w:t>（扫描件或</w:t>
            </w:r>
            <w:r>
              <w:rPr>
                <w:rFonts w:hint="eastAsia" w:ascii="华文仿宋" w:hAnsi="华文仿宋" w:eastAsia="华文仿宋" w:cs="华文仿宋"/>
                <w:sz w:val="24"/>
                <w:szCs w:val="24"/>
                <w:lang w:val="en-US" w:eastAsia="zh-CN"/>
              </w:rPr>
              <w:t>复印件</w:t>
            </w:r>
            <w:r>
              <w:rPr>
                <w:rFonts w:hint="eastAsia" w:ascii="华文仿宋" w:hAnsi="华文仿宋" w:eastAsia="华文仿宋" w:cs="华文仿宋"/>
                <w:sz w:val="24"/>
                <w:szCs w:val="24"/>
              </w:rPr>
              <w:t>加盖公章）</w:t>
            </w:r>
          </w:p>
        </w:tc>
        <w:tc>
          <w:tcPr>
            <w:tcW w:w="621" w:type="dxa"/>
            <w:tcBorders>
              <w:top w:val="single" w:color="auto" w:sz="4" w:space="0"/>
              <w:left w:val="single" w:color="auto" w:sz="4" w:space="0"/>
              <w:bottom w:val="single" w:color="auto" w:sz="4" w:space="0"/>
              <w:right w:val="single" w:color="auto" w:sz="4" w:space="0"/>
            </w:tcBorders>
            <w:vAlign w:val="center"/>
          </w:tcPr>
          <w:p w14:paraId="4DCA7CA9">
            <w:pPr>
              <w:spacing w:before="40" w:after="40" w:line="240" w:lineRule="auto"/>
              <w:jc w:val="center"/>
              <w:rPr>
                <w:rFonts w:hint="eastAsia" w:ascii="华文仿宋" w:hAnsi="华文仿宋" w:eastAsia="华文仿宋" w:cs="华文仿宋"/>
                <w:b/>
                <w:sz w:val="24"/>
                <w:szCs w:val="24"/>
              </w:rPr>
            </w:pPr>
          </w:p>
        </w:tc>
      </w:tr>
    </w:tbl>
    <w:p w14:paraId="1530CA08">
      <w:pPr>
        <w:spacing w:line="240" w:lineRule="auto"/>
        <w:jc w:val="left"/>
        <w:rPr>
          <w:rFonts w:ascii="黑体" w:hAnsi="黑体" w:eastAsia="黑体"/>
          <w:b/>
          <w:bCs/>
          <w:color w:val="00B0F0"/>
        </w:rPr>
      </w:pPr>
      <w:r>
        <w:rPr>
          <w:rFonts w:ascii="黑体" w:hAnsi="黑体" w:eastAsia="黑体"/>
          <w:b/>
          <w:bCs/>
          <w:color w:val="00B0F0"/>
        </w:rPr>
        <w:br w:type="page"/>
      </w:r>
    </w:p>
    <w:p w14:paraId="7262E901">
      <w:pPr>
        <w:spacing w:line="500" w:lineRule="exact"/>
        <w:ind w:firstLine="562" w:firstLineChars="200"/>
        <w:jc w:val="center"/>
        <w:rPr>
          <w:rFonts w:ascii="黑体" w:hAnsi="黑体" w:eastAsia="黑体"/>
          <w:b/>
          <w:bCs/>
        </w:rPr>
      </w:pPr>
      <w:r>
        <w:rPr>
          <w:rFonts w:hint="eastAsia" w:ascii="黑体" w:hAnsi="黑体" w:eastAsia="黑体"/>
          <w:b/>
          <w:bCs/>
        </w:rPr>
        <w:t>（二）符合性审查</w:t>
      </w:r>
    </w:p>
    <w:p w14:paraId="6BE0E0DC">
      <w:pPr>
        <w:spacing w:line="500" w:lineRule="exact"/>
        <w:ind w:firstLine="561" w:firstLineChars="200"/>
        <w:jc w:val="left"/>
        <w:rPr>
          <w:b/>
          <w:bCs/>
        </w:rPr>
      </w:pPr>
      <w:r>
        <w:rPr>
          <w:rFonts w:hint="eastAsia"/>
          <w:b/>
          <w:bCs/>
        </w:rPr>
        <w:t>符合性审查标准</w:t>
      </w:r>
    </w:p>
    <w:tbl>
      <w:tblPr>
        <w:tblStyle w:val="25"/>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5135"/>
        <w:gridCol w:w="877"/>
      </w:tblGrid>
      <w:tr w14:paraId="7663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04" w:type="dxa"/>
            <w:shd w:val="clear" w:color="auto" w:fill="D8D8D8"/>
            <w:vAlign w:val="center"/>
          </w:tcPr>
          <w:p w14:paraId="6FE7C3E6">
            <w:pPr>
              <w:spacing w:line="320" w:lineRule="exact"/>
              <w:jc w:val="center"/>
              <w:rPr>
                <w:rFonts w:ascii="宋体" w:hAnsi="宋体" w:cs="宋体"/>
                <w:b/>
                <w:bCs/>
                <w:kern w:val="0"/>
                <w:sz w:val="24"/>
                <w:szCs w:val="24"/>
              </w:rPr>
            </w:pPr>
            <w:r>
              <w:rPr>
                <w:rFonts w:hint="eastAsia" w:ascii="宋体" w:hAnsi="宋体" w:cs="宋体"/>
                <w:b/>
                <w:bCs/>
                <w:kern w:val="0"/>
                <w:sz w:val="24"/>
                <w:szCs w:val="24"/>
              </w:rPr>
              <w:t>序号</w:t>
            </w:r>
          </w:p>
        </w:tc>
        <w:tc>
          <w:tcPr>
            <w:tcW w:w="2410" w:type="dxa"/>
            <w:shd w:val="clear" w:color="auto" w:fill="D8D8D8"/>
            <w:vAlign w:val="center"/>
          </w:tcPr>
          <w:p w14:paraId="5B91A2AF">
            <w:pPr>
              <w:spacing w:line="320" w:lineRule="exact"/>
              <w:jc w:val="center"/>
              <w:rPr>
                <w:rFonts w:ascii="宋体" w:hAnsi="宋体" w:cs="宋体"/>
                <w:b/>
                <w:bCs/>
                <w:kern w:val="0"/>
                <w:sz w:val="24"/>
                <w:szCs w:val="24"/>
              </w:rPr>
            </w:pPr>
            <w:r>
              <w:rPr>
                <w:rFonts w:hint="eastAsia" w:ascii="宋体" w:hAnsi="宋体" w:cs="宋体"/>
                <w:b/>
                <w:bCs/>
                <w:kern w:val="0"/>
                <w:sz w:val="24"/>
                <w:szCs w:val="24"/>
              </w:rPr>
              <w:t>符合性审查项</w:t>
            </w:r>
          </w:p>
        </w:tc>
        <w:tc>
          <w:tcPr>
            <w:tcW w:w="5135" w:type="dxa"/>
            <w:shd w:val="clear" w:color="auto" w:fill="D8D8D8"/>
            <w:vAlign w:val="center"/>
          </w:tcPr>
          <w:p w14:paraId="4E2F6A93">
            <w:pPr>
              <w:spacing w:line="320" w:lineRule="exact"/>
              <w:jc w:val="center"/>
              <w:rPr>
                <w:rFonts w:ascii="宋体" w:hAnsi="宋体" w:cs="宋体"/>
                <w:b/>
                <w:bCs/>
                <w:kern w:val="0"/>
                <w:sz w:val="24"/>
                <w:szCs w:val="24"/>
              </w:rPr>
            </w:pPr>
            <w:r>
              <w:rPr>
                <w:rFonts w:hint="eastAsia" w:ascii="宋体" w:hAnsi="宋体" w:cs="宋体"/>
                <w:b/>
                <w:bCs/>
                <w:kern w:val="0"/>
                <w:sz w:val="24"/>
                <w:szCs w:val="24"/>
              </w:rPr>
              <w:t>通过条件</w:t>
            </w:r>
          </w:p>
        </w:tc>
        <w:tc>
          <w:tcPr>
            <w:tcW w:w="877" w:type="dxa"/>
            <w:shd w:val="clear" w:color="auto" w:fill="D8D8D8"/>
            <w:vAlign w:val="center"/>
          </w:tcPr>
          <w:p w14:paraId="771935FA">
            <w:pPr>
              <w:spacing w:line="320" w:lineRule="exact"/>
              <w:jc w:val="center"/>
              <w:rPr>
                <w:rFonts w:ascii="宋体" w:hAnsi="宋体" w:cs="宋体"/>
                <w:b/>
                <w:bCs/>
                <w:kern w:val="0"/>
                <w:sz w:val="24"/>
                <w:szCs w:val="24"/>
              </w:rPr>
            </w:pPr>
            <w:r>
              <w:rPr>
                <w:rFonts w:hint="eastAsia" w:ascii="宋体" w:hAnsi="宋体" w:cs="宋体"/>
                <w:b/>
                <w:bCs/>
                <w:kern w:val="0"/>
                <w:sz w:val="24"/>
                <w:szCs w:val="24"/>
              </w:rPr>
              <w:t>备注</w:t>
            </w:r>
          </w:p>
        </w:tc>
      </w:tr>
      <w:tr w14:paraId="129A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09EFDB7">
            <w:pPr>
              <w:spacing w:line="320" w:lineRule="exact"/>
              <w:jc w:val="center"/>
              <w:rPr>
                <w:rFonts w:ascii="宋体" w:hAnsi="宋体" w:cs="宋体"/>
                <w:b/>
                <w:bCs/>
                <w:kern w:val="0"/>
                <w:sz w:val="24"/>
                <w:szCs w:val="24"/>
              </w:rPr>
            </w:pPr>
            <w:r>
              <w:rPr>
                <w:rFonts w:hint="eastAsia" w:ascii="宋体" w:hAnsi="宋体" w:cs="宋体"/>
                <w:b/>
                <w:bCs/>
                <w:kern w:val="0"/>
                <w:sz w:val="24"/>
                <w:szCs w:val="24"/>
              </w:rPr>
              <w:t>1</w:t>
            </w:r>
          </w:p>
        </w:tc>
        <w:tc>
          <w:tcPr>
            <w:tcW w:w="2410" w:type="dxa"/>
            <w:vAlign w:val="center"/>
          </w:tcPr>
          <w:p w14:paraId="6159CCE9">
            <w:pPr>
              <w:spacing w:line="320" w:lineRule="exact"/>
              <w:jc w:val="left"/>
              <w:rPr>
                <w:rFonts w:ascii="宋体" w:hAnsi="宋体" w:cs="宋体"/>
                <w:b/>
                <w:bCs/>
                <w:kern w:val="0"/>
                <w:sz w:val="24"/>
                <w:szCs w:val="24"/>
              </w:rPr>
            </w:pPr>
            <w:r>
              <w:rPr>
                <w:rFonts w:hint="eastAsia" w:ascii="宋体" w:hAnsi="宋体" w:cs="宋体"/>
                <w:b/>
                <w:bCs/>
                <w:kern w:val="0"/>
                <w:sz w:val="24"/>
                <w:szCs w:val="24"/>
              </w:rPr>
              <w:t>投标文件签署、盖章</w:t>
            </w:r>
          </w:p>
        </w:tc>
        <w:tc>
          <w:tcPr>
            <w:tcW w:w="5135" w:type="dxa"/>
            <w:vAlign w:val="center"/>
          </w:tcPr>
          <w:p w14:paraId="4BFFDA67">
            <w:pPr>
              <w:spacing w:line="320" w:lineRule="exact"/>
              <w:jc w:val="left"/>
              <w:rPr>
                <w:rFonts w:ascii="华文仿宋" w:hAnsi="华文仿宋"/>
                <w:sz w:val="24"/>
                <w:szCs w:val="24"/>
              </w:rPr>
            </w:pPr>
            <w:r>
              <w:rPr>
                <w:rFonts w:hint="eastAsia" w:ascii="华文仿宋" w:hAnsi="华文仿宋"/>
                <w:sz w:val="24"/>
                <w:szCs w:val="24"/>
              </w:rPr>
              <w:t>符合第二章4.5投标文件的签署及盖章要求。</w:t>
            </w:r>
          </w:p>
        </w:tc>
        <w:tc>
          <w:tcPr>
            <w:tcW w:w="877" w:type="dxa"/>
            <w:vAlign w:val="center"/>
          </w:tcPr>
          <w:p w14:paraId="2C3274EC">
            <w:pPr>
              <w:spacing w:line="320" w:lineRule="exact"/>
              <w:jc w:val="center"/>
              <w:rPr>
                <w:rFonts w:ascii="宋体" w:hAnsi="宋体" w:cs="宋体"/>
                <w:b/>
                <w:bCs/>
                <w:kern w:val="0"/>
                <w:sz w:val="24"/>
                <w:szCs w:val="24"/>
              </w:rPr>
            </w:pPr>
          </w:p>
        </w:tc>
      </w:tr>
      <w:tr w14:paraId="3A3FD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C683CD7">
            <w:pPr>
              <w:spacing w:line="320" w:lineRule="exact"/>
              <w:jc w:val="center"/>
              <w:rPr>
                <w:rFonts w:ascii="宋体" w:hAnsi="宋体" w:cs="宋体"/>
                <w:b/>
                <w:bCs/>
                <w:kern w:val="0"/>
                <w:sz w:val="24"/>
                <w:szCs w:val="24"/>
              </w:rPr>
            </w:pPr>
            <w:r>
              <w:rPr>
                <w:rFonts w:hint="eastAsia" w:ascii="宋体" w:hAnsi="宋体" w:cs="宋体"/>
                <w:b/>
                <w:bCs/>
                <w:kern w:val="0"/>
                <w:sz w:val="24"/>
                <w:szCs w:val="24"/>
              </w:rPr>
              <w:t>2</w:t>
            </w:r>
          </w:p>
        </w:tc>
        <w:tc>
          <w:tcPr>
            <w:tcW w:w="2410" w:type="dxa"/>
            <w:vAlign w:val="center"/>
          </w:tcPr>
          <w:p w14:paraId="1FABF1B8">
            <w:pPr>
              <w:spacing w:line="320" w:lineRule="exact"/>
              <w:jc w:val="left"/>
              <w:rPr>
                <w:rFonts w:ascii="宋体" w:hAnsi="宋体" w:cs="宋体"/>
                <w:b/>
                <w:bCs/>
                <w:kern w:val="0"/>
                <w:sz w:val="24"/>
                <w:szCs w:val="24"/>
              </w:rPr>
            </w:pPr>
            <w:r>
              <w:rPr>
                <w:rFonts w:hint="eastAsia" w:ascii="宋体" w:hAnsi="宋体" w:cs="宋体"/>
                <w:b/>
                <w:bCs/>
                <w:kern w:val="0"/>
                <w:sz w:val="24"/>
                <w:szCs w:val="24"/>
              </w:rPr>
              <w:t>投标文件语言及有效期</w:t>
            </w:r>
          </w:p>
        </w:tc>
        <w:tc>
          <w:tcPr>
            <w:tcW w:w="5135" w:type="dxa"/>
            <w:vAlign w:val="center"/>
          </w:tcPr>
          <w:p w14:paraId="0CC5D304">
            <w:pPr>
              <w:spacing w:line="320" w:lineRule="exact"/>
              <w:jc w:val="left"/>
              <w:rPr>
                <w:rFonts w:ascii="宋体" w:hAnsi="宋体"/>
                <w:sz w:val="24"/>
                <w:szCs w:val="24"/>
              </w:rPr>
            </w:pPr>
            <w:r>
              <w:rPr>
                <w:rFonts w:hint="eastAsia" w:ascii="华文仿宋" w:hAnsi="华文仿宋"/>
                <w:sz w:val="24"/>
                <w:szCs w:val="24"/>
              </w:rPr>
              <w:t>符合第二章4.1 投标</w:t>
            </w:r>
            <w:r>
              <w:rPr>
                <w:rFonts w:ascii="华文仿宋" w:hAnsi="华文仿宋"/>
                <w:sz w:val="24"/>
                <w:szCs w:val="24"/>
              </w:rPr>
              <w:t>文件</w:t>
            </w:r>
            <w:r>
              <w:rPr>
                <w:rFonts w:hint="eastAsia" w:ascii="华文仿宋" w:hAnsi="华文仿宋"/>
                <w:sz w:val="24"/>
                <w:szCs w:val="24"/>
              </w:rPr>
              <w:t>语言及</w:t>
            </w:r>
            <w:r>
              <w:rPr>
                <w:rFonts w:ascii="华文仿宋" w:hAnsi="华文仿宋"/>
                <w:sz w:val="24"/>
                <w:szCs w:val="24"/>
              </w:rPr>
              <w:t>有效期</w:t>
            </w:r>
            <w:r>
              <w:rPr>
                <w:rFonts w:hint="eastAsia" w:ascii="华文仿宋" w:hAnsi="华文仿宋"/>
                <w:sz w:val="24"/>
                <w:szCs w:val="24"/>
              </w:rPr>
              <w:t>要求。</w:t>
            </w:r>
          </w:p>
        </w:tc>
        <w:tc>
          <w:tcPr>
            <w:tcW w:w="877" w:type="dxa"/>
            <w:vAlign w:val="center"/>
          </w:tcPr>
          <w:p w14:paraId="678196EB">
            <w:pPr>
              <w:spacing w:line="320" w:lineRule="exact"/>
              <w:jc w:val="center"/>
              <w:rPr>
                <w:rFonts w:ascii="宋体" w:hAnsi="宋体" w:cs="宋体"/>
                <w:b/>
                <w:bCs/>
                <w:kern w:val="0"/>
                <w:sz w:val="24"/>
                <w:szCs w:val="24"/>
              </w:rPr>
            </w:pPr>
          </w:p>
        </w:tc>
      </w:tr>
      <w:tr w14:paraId="1859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DAD3797">
            <w:pPr>
              <w:spacing w:line="320" w:lineRule="exact"/>
              <w:jc w:val="center"/>
              <w:rPr>
                <w:rFonts w:ascii="宋体" w:hAnsi="宋体" w:cs="宋体"/>
                <w:b/>
                <w:bCs/>
                <w:kern w:val="0"/>
                <w:sz w:val="24"/>
                <w:szCs w:val="24"/>
              </w:rPr>
            </w:pPr>
            <w:r>
              <w:rPr>
                <w:rFonts w:hint="eastAsia" w:ascii="宋体" w:hAnsi="宋体" w:cs="宋体"/>
                <w:b/>
                <w:bCs/>
                <w:kern w:val="0"/>
                <w:sz w:val="24"/>
                <w:szCs w:val="24"/>
              </w:rPr>
              <w:t>3</w:t>
            </w:r>
          </w:p>
        </w:tc>
        <w:tc>
          <w:tcPr>
            <w:tcW w:w="2410" w:type="dxa"/>
            <w:vAlign w:val="center"/>
          </w:tcPr>
          <w:p w14:paraId="0AC43E36">
            <w:pPr>
              <w:spacing w:line="320" w:lineRule="exact"/>
              <w:jc w:val="left"/>
              <w:rPr>
                <w:rFonts w:ascii="宋体" w:hAnsi="宋体" w:cs="宋体"/>
                <w:b/>
                <w:bCs/>
                <w:kern w:val="0"/>
                <w:sz w:val="24"/>
                <w:szCs w:val="24"/>
              </w:rPr>
            </w:pPr>
            <w:r>
              <w:rPr>
                <w:rFonts w:hint="eastAsia" w:ascii="宋体" w:hAnsi="宋体" w:cs="宋体"/>
                <w:b/>
                <w:bCs/>
                <w:kern w:val="0"/>
                <w:sz w:val="24"/>
                <w:szCs w:val="24"/>
              </w:rPr>
              <w:t>投标文件格式</w:t>
            </w:r>
          </w:p>
        </w:tc>
        <w:tc>
          <w:tcPr>
            <w:tcW w:w="5135" w:type="dxa"/>
            <w:vAlign w:val="center"/>
          </w:tcPr>
          <w:p w14:paraId="7EC00C26">
            <w:pPr>
              <w:spacing w:line="320" w:lineRule="exact"/>
              <w:jc w:val="left"/>
              <w:rPr>
                <w:rFonts w:ascii="华文仿宋" w:hAnsi="华文仿宋" w:cs="宋体"/>
                <w:bCs/>
                <w:kern w:val="0"/>
                <w:sz w:val="24"/>
                <w:szCs w:val="24"/>
              </w:rPr>
            </w:pPr>
            <w:r>
              <w:rPr>
                <w:rFonts w:hint="eastAsia" w:ascii="华文仿宋" w:hAnsi="华文仿宋"/>
                <w:sz w:val="24"/>
                <w:szCs w:val="24"/>
              </w:rPr>
              <w:t>符合第六章</w:t>
            </w:r>
            <w:r>
              <w:rPr>
                <w:rFonts w:hint="eastAsia" w:ascii="华文仿宋" w:hAnsi="华文仿宋" w:cs="仿宋"/>
                <w:sz w:val="24"/>
                <w:szCs w:val="24"/>
              </w:rPr>
              <w:t>《</w:t>
            </w:r>
            <w:r>
              <w:rPr>
                <w:rFonts w:hint="eastAsia" w:ascii="华文仿宋" w:hAnsi="华文仿宋"/>
                <w:sz w:val="24"/>
                <w:szCs w:val="24"/>
              </w:rPr>
              <w:t>投标文件构成及格式</w:t>
            </w:r>
            <w:r>
              <w:rPr>
                <w:rFonts w:ascii="华文仿宋" w:hAnsi="华文仿宋" w:cs="仿宋"/>
                <w:sz w:val="24"/>
                <w:szCs w:val="24"/>
              </w:rPr>
              <w:t>》</w:t>
            </w:r>
            <w:r>
              <w:rPr>
                <w:rFonts w:hint="eastAsia" w:ascii="华文仿宋" w:hAnsi="华文仿宋" w:cs="仿宋"/>
                <w:sz w:val="24"/>
                <w:szCs w:val="24"/>
              </w:rPr>
              <w:t>的要求</w:t>
            </w:r>
            <w:r>
              <w:rPr>
                <w:rFonts w:hint="eastAsia" w:ascii="华文仿宋" w:hAnsi="华文仿宋" w:cs="宋体"/>
                <w:bCs/>
                <w:kern w:val="0"/>
                <w:sz w:val="24"/>
                <w:szCs w:val="24"/>
              </w:rPr>
              <w:t>；</w:t>
            </w:r>
          </w:p>
          <w:p w14:paraId="02B9524E">
            <w:pPr>
              <w:spacing w:line="320" w:lineRule="exact"/>
              <w:jc w:val="left"/>
            </w:pPr>
            <w:r>
              <w:rPr>
                <w:rFonts w:hint="eastAsia" w:ascii="华文仿宋" w:hAnsi="华文仿宋" w:cs="仿宋"/>
                <w:sz w:val="24"/>
                <w:szCs w:val="24"/>
              </w:rPr>
              <w:t>文件封面和投标函的项目名称和项目编号一致。</w:t>
            </w:r>
          </w:p>
        </w:tc>
        <w:tc>
          <w:tcPr>
            <w:tcW w:w="877" w:type="dxa"/>
            <w:vAlign w:val="center"/>
          </w:tcPr>
          <w:p w14:paraId="4D9549F7">
            <w:pPr>
              <w:spacing w:line="320" w:lineRule="exact"/>
              <w:jc w:val="center"/>
              <w:rPr>
                <w:rFonts w:ascii="宋体" w:hAnsi="宋体" w:cs="宋体"/>
                <w:b/>
                <w:bCs/>
                <w:kern w:val="0"/>
                <w:sz w:val="24"/>
                <w:szCs w:val="24"/>
              </w:rPr>
            </w:pPr>
          </w:p>
        </w:tc>
      </w:tr>
      <w:tr w14:paraId="3D2A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1C35858">
            <w:pPr>
              <w:spacing w:line="320" w:lineRule="exact"/>
              <w:jc w:val="center"/>
              <w:rPr>
                <w:rFonts w:ascii="宋体" w:hAnsi="宋体" w:cs="宋体"/>
                <w:b/>
                <w:bCs/>
                <w:kern w:val="0"/>
                <w:sz w:val="24"/>
                <w:szCs w:val="24"/>
              </w:rPr>
            </w:pPr>
            <w:r>
              <w:rPr>
                <w:rFonts w:hint="eastAsia" w:ascii="宋体" w:hAnsi="宋体" w:cs="宋体"/>
                <w:b/>
                <w:bCs/>
                <w:kern w:val="0"/>
                <w:sz w:val="24"/>
                <w:szCs w:val="24"/>
              </w:rPr>
              <w:t>4</w:t>
            </w:r>
          </w:p>
        </w:tc>
        <w:tc>
          <w:tcPr>
            <w:tcW w:w="2410" w:type="dxa"/>
            <w:vAlign w:val="center"/>
          </w:tcPr>
          <w:p w14:paraId="1978910F">
            <w:pPr>
              <w:spacing w:line="320" w:lineRule="exact"/>
              <w:jc w:val="left"/>
              <w:rPr>
                <w:rFonts w:ascii="宋体" w:hAnsi="宋体" w:cs="宋体"/>
                <w:b/>
                <w:bCs/>
                <w:kern w:val="0"/>
                <w:sz w:val="24"/>
                <w:szCs w:val="24"/>
              </w:rPr>
            </w:pPr>
            <w:r>
              <w:rPr>
                <w:rFonts w:hint="eastAsia" w:ascii="宋体" w:hAnsi="宋体" w:cs="宋体"/>
                <w:b/>
                <w:bCs/>
                <w:kern w:val="0"/>
                <w:sz w:val="24"/>
                <w:szCs w:val="24"/>
              </w:rPr>
              <w:t>投标内容</w:t>
            </w:r>
          </w:p>
        </w:tc>
        <w:tc>
          <w:tcPr>
            <w:tcW w:w="5135" w:type="dxa"/>
            <w:vAlign w:val="center"/>
          </w:tcPr>
          <w:p w14:paraId="1C5EBAE6">
            <w:pPr>
              <w:spacing w:line="320" w:lineRule="exact"/>
              <w:jc w:val="left"/>
              <w:rPr>
                <w:rFonts w:ascii="宋体" w:hAnsi="宋体"/>
                <w:sz w:val="24"/>
                <w:szCs w:val="24"/>
              </w:rPr>
            </w:pPr>
            <w:r>
              <w:rPr>
                <w:rFonts w:hint="eastAsia" w:ascii="宋体" w:hAnsi="宋体"/>
                <w:sz w:val="24"/>
                <w:szCs w:val="24"/>
              </w:rPr>
              <w:t>满足招标文件要求。</w:t>
            </w:r>
          </w:p>
        </w:tc>
        <w:tc>
          <w:tcPr>
            <w:tcW w:w="877" w:type="dxa"/>
            <w:vAlign w:val="center"/>
          </w:tcPr>
          <w:p w14:paraId="727B4F10">
            <w:pPr>
              <w:spacing w:line="320" w:lineRule="exact"/>
              <w:jc w:val="center"/>
              <w:rPr>
                <w:rFonts w:ascii="宋体" w:hAnsi="宋体" w:cs="宋体"/>
                <w:b/>
                <w:bCs/>
                <w:kern w:val="0"/>
                <w:sz w:val="24"/>
                <w:szCs w:val="24"/>
              </w:rPr>
            </w:pPr>
          </w:p>
        </w:tc>
      </w:tr>
      <w:tr w14:paraId="7B38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16493415">
            <w:pPr>
              <w:spacing w:line="320" w:lineRule="exact"/>
              <w:jc w:val="center"/>
              <w:rPr>
                <w:rFonts w:ascii="宋体" w:hAnsi="宋体" w:cs="宋体"/>
                <w:b/>
                <w:bCs/>
                <w:kern w:val="0"/>
                <w:sz w:val="24"/>
                <w:szCs w:val="24"/>
              </w:rPr>
            </w:pPr>
            <w:r>
              <w:rPr>
                <w:rFonts w:hint="eastAsia" w:ascii="宋体" w:hAnsi="宋体" w:cs="宋体"/>
                <w:b/>
                <w:bCs/>
                <w:kern w:val="0"/>
                <w:sz w:val="24"/>
                <w:szCs w:val="24"/>
              </w:rPr>
              <w:t>5</w:t>
            </w:r>
          </w:p>
        </w:tc>
        <w:tc>
          <w:tcPr>
            <w:tcW w:w="2410" w:type="dxa"/>
            <w:vAlign w:val="center"/>
          </w:tcPr>
          <w:p w14:paraId="78ACC75B">
            <w:pPr>
              <w:spacing w:line="320" w:lineRule="exact"/>
              <w:jc w:val="left"/>
              <w:rPr>
                <w:rFonts w:ascii="宋体" w:hAnsi="宋体" w:cs="宋体"/>
                <w:b/>
                <w:bCs/>
                <w:kern w:val="0"/>
                <w:sz w:val="24"/>
                <w:szCs w:val="24"/>
              </w:rPr>
            </w:pPr>
            <w:r>
              <w:rPr>
                <w:rFonts w:hint="eastAsia" w:ascii="宋体" w:hAnsi="宋体" w:cs="宋体"/>
                <w:b/>
                <w:bCs/>
                <w:kern w:val="0"/>
                <w:sz w:val="24"/>
                <w:szCs w:val="24"/>
              </w:rPr>
              <w:t>投标报价</w:t>
            </w:r>
          </w:p>
        </w:tc>
        <w:tc>
          <w:tcPr>
            <w:tcW w:w="5135" w:type="dxa"/>
            <w:vAlign w:val="center"/>
          </w:tcPr>
          <w:p w14:paraId="13AF094D">
            <w:pPr>
              <w:wordWrap w:val="0"/>
              <w:topLinePunct/>
              <w:spacing w:line="320" w:lineRule="exact"/>
              <w:ind w:right="210"/>
              <w:jc w:val="left"/>
              <w:rPr>
                <w:rFonts w:ascii="华文仿宋" w:hAnsi="华文仿宋" w:cs="宋体"/>
                <w:bCs/>
                <w:kern w:val="0"/>
                <w:sz w:val="24"/>
                <w:szCs w:val="24"/>
              </w:rPr>
            </w:pPr>
            <w:r>
              <w:rPr>
                <w:rFonts w:ascii="华文仿宋" w:hAnsi="华文仿宋" w:cs="宋体"/>
                <w:bCs/>
                <w:kern w:val="0"/>
                <w:sz w:val="24"/>
                <w:szCs w:val="24"/>
              </w:rPr>
              <w:t>（1）</w:t>
            </w:r>
            <w:r>
              <w:rPr>
                <w:rFonts w:hint="eastAsia" w:ascii="华文仿宋" w:hAnsi="华文仿宋" w:cs="宋体"/>
                <w:bCs/>
                <w:kern w:val="0"/>
                <w:sz w:val="24"/>
                <w:szCs w:val="24"/>
              </w:rPr>
              <w:t>开标一览表</w:t>
            </w:r>
            <w:r>
              <w:rPr>
                <w:rFonts w:ascii="华文仿宋" w:hAnsi="华文仿宋" w:cs="宋体"/>
                <w:bCs/>
                <w:kern w:val="0"/>
                <w:sz w:val="24"/>
                <w:szCs w:val="24"/>
              </w:rPr>
              <w:t>填写符合要求；</w:t>
            </w:r>
          </w:p>
          <w:p w14:paraId="0395C42D">
            <w:pPr>
              <w:wordWrap w:val="0"/>
              <w:topLinePunct/>
              <w:spacing w:line="320" w:lineRule="exact"/>
              <w:ind w:right="210"/>
              <w:jc w:val="left"/>
              <w:rPr>
                <w:rFonts w:ascii="华文仿宋" w:hAnsi="华文仿宋" w:cs="宋体"/>
                <w:bCs/>
                <w:kern w:val="0"/>
                <w:sz w:val="24"/>
                <w:szCs w:val="24"/>
              </w:rPr>
            </w:pPr>
            <w:r>
              <w:rPr>
                <w:rFonts w:hint="eastAsia" w:ascii="华文仿宋" w:hAnsi="华文仿宋" w:cs="宋体"/>
                <w:bCs/>
                <w:kern w:val="0"/>
                <w:sz w:val="24"/>
                <w:szCs w:val="24"/>
              </w:rPr>
              <w:t>（</w:t>
            </w:r>
            <w:r>
              <w:rPr>
                <w:rFonts w:ascii="华文仿宋" w:hAnsi="华文仿宋" w:cs="宋体"/>
                <w:bCs/>
                <w:kern w:val="0"/>
                <w:sz w:val="24"/>
                <w:szCs w:val="24"/>
              </w:rPr>
              <w:t>2）计量单位、报价货币均符合</w:t>
            </w:r>
            <w:r>
              <w:rPr>
                <w:rFonts w:hint="eastAsia" w:ascii="华文仿宋" w:hAnsi="华文仿宋" w:cs="宋体"/>
                <w:bCs/>
                <w:kern w:val="0"/>
                <w:sz w:val="24"/>
                <w:szCs w:val="24"/>
              </w:rPr>
              <w:t>招标</w:t>
            </w:r>
            <w:r>
              <w:rPr>
                <w:rFonts w:ascii="华文仿宋" w:hAnsi="华文仿宋" w:cs="宋体"/>
                <w:bCs/>
                <w:kern w:val="0"/>
                <w:sz w:val="24"/>
                <w:szCs w:val="24"/>
              </w:rPr>
              <w:t>文件要求；</w:t>
            </w:r>
          </w:p>
          <w:p w14:paraId="2EFCAE94">
            <w:pPr>
              <w:wordWrap w:val="0"/>
              <w:topLinePunct/>
              <w:spacing w:line="320" w:lineRule="exact"/>
              <w:ind w:right="210"/>
              <w:jc w:val="left"/>
              <w:rPr>
                <w:rFonts w:ascii="华文仿宋" w:hAnsi="华文仿宋" w:cs="宋体"/>
                <w:bCs/>
                <w:kern w:val="0"/>
                <w:sz w:val="24"/>
                <w:szCs w:val="24"/>
              </w:rPr>
            </w:pPr>
            <w:r>
              <w:rPr>
                <w:rFonts w:hint="eastAsia" w:ascii="华文仿宋" w:hAnsi="华文仿宋" w:cs="宋体"/>
                <w:bCs/>
                <w:kern w:val="0"/>
                <w:sz w:val="24"/>
                <w:szCs w:val="24"/>
              </w:rPr>
              <w:t>（</w:t>
            </w:r>
            <w:r>
              <w:rPr>
                <w:rFonts w:ascii="华文仿宋" w:hAnsi="华文仿宋" w:cs="宋体"/>
                <w:bCs/>
                <w:kern w:val="0"/>
                <w:sz w:val="24"/>
                <w:szCs w:val="24"/>
              </w:rPr>
              <w:t>3</w:t>
            </w:r>
            <w:r>
              <w:rPr>
                <w:rFonts w:hint="eastAsia" w:ascii="华文仿宋" w:hAnsi="华文仿宋" w:cs="宋体"/>
                <w:bCs/>
                <w:kern w:val="0"/>
                <w:sz w:val="24"/>
                <w:szCs w:val="24"/>
              </w:rPr>
              <w:t>）投标</w:t>
            </w:r>
            <w:r>
              <w:rPr>
                <w:rFonts w:ascii="华文仿宋" w:hAnsi="华文仿宋" w:cs="宋体"/>
                <w:bCs/>
                <w:kern w:val="0"/>
                <w:sz w:val="24"/>
                <w:szCs w:val="24"/>
              </w:rPr>
              <w:t>报价唯一且未超出采购预算或</w:t>
            </w:r>
            <w:r>
              <w:rPr>
                <w:rFonts w:hint="eastAsia" w:ascii="华文仿宋" w:hAnsi="华文仿宋" w:cs="宋体"/>
                <w:bCs/>
                <w:kern w:val="0"/>
                <w:sz w:val="24"/>
                <w:szCs w:val="24"/>
              </w:rPr>
              <w:t>招标</w:t>
            </w:r>
            <w:r>
              <w:rPr>
                <w:rFonts w:ascii="华文仿宋" w:hAnsi="华文仿宋" w:cs="宋体"/>
                <w:bCs/>
                <w:kern w:val="0"/>
                <w:sz w:val="24"/>
                <w:szCs w:val="24"/>
              </w:rPr>
              <w:t>文件规定的最高限价</w:t>
            </w:r>
            <w:r>
              <w:rPr>
                <w:rFonts w:hint="eastAsia" w:ascii="华文仿宋" w:hAnsi="华文仿宋" w:cs="宋体"/>
                <w:bCs/>
                <w:kern w:val="0"/>
                <w:sz w:val="24"/>
                <w:szCs w:val="24"/>
              </w:rPr>
              <w:t>，未被评标委员会认定为低于成本价；</w:t>
            </w:r>
          </w:p>
          <w:p w14:paraId="46C50EBD">
            <w:pPr>
              <w:wordWrap w:val="0"/>
              <w:topLinePunct/>
              <w:spacing w:line="320" w:lineRule="exact"/>
              <w:ind w:right="210"/>
              <w:jc w:val="left"/>
              <w:rPr>
                <w:rFonts w:ascii="华文仿宋" w:hAnsi="华文仿宋" w:cs="宋体"/>
                <w:bCs/>
                <w:kern w:val="0"/>
                <w:sz w:val="24"/>
                <w:szCs w:val="24"/>
              </w:rPr>
            </w:pPr>
            <w:r>
              <w:rPr>
                <w:rFonts w:hint="eastAsia" w:ascii="华文仿宋" w:hAnsi="华文仿宋" w:cs="宋体"/>
                <w:bCs/>
                <w:kern w:val="0"/>
                <w:sz w:val="24"/>
                <w:szCs w:val="24"/>
              </w:rPr>
              <w:t>（4）</w:t>
            </w:r>
            <w:r>
              <w:rPr>
                <w:rFonts w:hint="eastAsia" w:ascii="华文仿宋" w:hAnsi="华文仿宋" w:cs="宋体"/>
                <w:bCs/>
                <w:color w:val="auto"/>
                <w:kern w:val="0"/>
                <w:sz w:val="24"/>
                <w:szCs w:val="24"/>
              </w:rPr>
              <w:t>分项报价表中的“</w:t>
            </w:r>
            <w:r>
              <w:rPr>
                <w:rFonts w:hint="eastAsia" w:ascii="华文仿宋" w:hAnsi="华文仿宋" w:cs="华文仿宋"/>
                <w:i w:val="0"/>
                <w:iCs w:val="0"/>
                <w:color w:val="auto"/>
                <w:kern w:val="0"/>
                <w:sz w:val="24"/>
                <w:szCs w:val="24"/>
                <w:u w:val="none"/>
                <w:lang w:val="en-US" w:eastAsia="zh-CN" w:bidi="ar"/>
              </w:rPr>
              <w:t>投标报价</w:t>
            </w:r>
            <w:r>
              <w:rPr>
                <w:rFonts w:hint="eastAsia" w:ascii="华文仿宋" w:hAnsi="华文仿宋"/>
                <w:sz w:val="24"/>
                <w:szCs w:val="24"/>
              </w:rPr>
              <w:t>（大写）</w:t>
            </w:r>
            <w:r>
              <w:rPr>
                <w:rFonts w:hint="eastAsia" w:ascii="华文仿宋" w:hAnsi="华文仿宋" w:cs="宋体"/>
                <w:bCs/>
                <w:kern w:val="0"/>
                <w:sz w:val="24"/>
                <w:szCs w:val="24"/>
              </w:rPr>
              <w:t>”与开标一览表中的“投标报价”一致。</w:t>
            </w:r>
          </w:p>
          <w:p w14:paraId="55A41E88">
            <w:pPr>
              <w:wordWrap w:val="0"/>
              <w:topLinePunct/>
              <w:spacing w:line="320" w:lineRule="exact"/>
              <w:ind w:right="210"/>
              <w:jc w:val="left"/>
            </w:pPr>
            <w:r>
              <w:rPr>
                <w:rFonts w:hint="eastAsia" w:ascii="华文仿宋" w:hAnsi="华文仿宋" w:cs="宋体"/>
                <w:bCs/>
                <w:kern w:val="0"/>
                <w:sz w:val="24"/>
                <w:szCs w:val="24"/>
              </w:rPr>
              <w:t>（5）分项报价表包含采购全部内容，无缺项。</w:t>
            </w:r>
          </w:p>
        </w:tc>
        <w:tc>
          <w:tcPr>
            <w:tcW w:w="877" w:type="dxa"/>
            <w:vAlign w:val="center"/>
          </w:tcPr>
          <w:p w14:paraId="52918012">
            <w:pPr>
              <w:spacing w:line="320" w:lineRule="exact"/>
              <w:jc w:val="center"/>
              <w:rPr>
                <w:rFonts w:ascii="宋体" w:hAnsi="宋体" w:cs="宋体"/>
                <w:b/>
                <w:bCs/>
                <w:color w:val="00B0F0"/>
                <w:kern w:val="0"/>
                <w:sz w:val="24"/>
                <w:szCs w:val="24"/>
              </w:rPr>
            </w:pPr>
          </w:p>
        </w:tc>
      </w:tr>
      <w:tr w14:paraId="5A9B7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20F18DD">
            <w:pPr>
              <w:spacing w:line="320" w:lineRule="exact"/>
              <w:jc w:val="center"/>
              <w:rPr>
                <w:rFonts w:ascii="宋体" w:hAnsi="宋体" w:cs="宋体"/>
                <w:b/>
                <w:bCs/>
                <w:kern w:val="0"/>
                <w:sz w:val="24"/>
                <w:szCs w:val="24"/>
              </w:rPr>
            </w:pPr>
            <w:r>
              <w:rPr>
                <w:rFonts w:hint="eastAsia" w:ascii="宋体" w:hAnsi="宋体" w:cs="宋体"/>
                <w:b/>
                <w:bCs/>
                <w:kern w:val="0"/>
                <w:sz w:val="24"/>
                <w:szCs w:val="24"/>
              </w:rPr>
              <w:t>6</w:t>
            </w:r>
          </w:p>
        </w:tc>
        <w:tc>
          <w:tcPr>
            <w:tcW w:w="2410" w:type="dxa"/>
            <w:vAlign w:val="center"/>
          </w:tcPr>
          <w:p w14:paraId="16704A60">
            <w:pPr>
              <w:spacing w:line="320" w:lineRule="exact"/>
              <w:jc w:val="left"/>
              <w:rPr>
                <w:rFonts w:ascii="宋体" w:hAnsi="宋体" w:cs="宋体"/>
                <w:b/>
                <w:bCs/>
                <w:kern w:val="0"/>
                <w:sz w:val="24"/>
                <w:szCs w:val="24"/>
              </w:rPr>
            </w:pPr>
            <w:r>
              <w:rPr>
                <w:rFonts w:hint="eastAsia" w:ascii="宋体" w:hAnsi="宋体" w:cs="宋体"/>
                <w:b/>
                <w:bCs/>
                <w:kern w:val="0"/>
                <w:sz w:val="24"/>
                <w:szCs w:val="24"/>
              </w:rPr>
              <w:t>投标人承诺书</w:t>
            </w:r>
          </w:p>
        </w:tc>
        <w:tc>
          <w:tcPr>
            <w:tcW w:w="5135" w:type="dxa"/>
            <w:vAlign w:val="center"/>
          </w:tcPr>
          <w:p w14:paraId="7685216B">
            <w:pPr>
              <w:wordWrap w:val="0"/>
              <w:topLinePunct/>
              <w:spacing w:line="320" w:lineRule="exact"/>
              <w:ind w:right="210"/>
              <w:jc w:val="left"/>
              <w:rPr>
                <w:rFonts w:ascii="华文仿宋" w:hAnsi="华文仿宋" w:cs="宋体"/>
                <w:bCs/>
                <w:kern w:val="0"/>
                <w:sz w:val="24"/>
                <w:szCs w:val="24"/>
              </w:rPr>
            </w:pPr>
            <w:r>
              <w:rPr>
                <w:rFonts w:ascii="华文仿宋" w:hAnsi="华文仿宋" w:cs="宋体"/>
                <w:bCs/>
                <w:color w:val="auto"/>
                <w:kern w:val="0"/>
                <w:sz w:val="24"/>
                <w:szCs w:val="24"/>
              </w:rPr>
              <w:t>完全理解并接受</w:t>
            </w:r>
            <w:r>
              <w:rPr>
                <w:rFonts w:hint="eastAsia" w:ascii="华文仿宋" w:hAnsi="华文仿宋" w:cs="宋体"/>
                <w:bCs/>
                <w:color w:val="auto"/>
                <w:kern w:val="0"/>
                <w:sz w:val="24"/>
                <w:szCs w:val="24"/>
              </w:rPr>
              <w:t>《质量安全责任承诺书》</w:t>
            </w:r>
            <w:r>
              <w:rPr>
                <w:rFonts w:hint="eastAsia" w:ascii="华文仿宋" w:hAnsi="华文仿宋" w:cs="宋体"/>
                <w:bCs/>
                <w:color w:val="auto"/>
                <w:kern w:val="0"/>
                <w:sz w:val="24"/>
                <w:szCs w:val="24"/>
                <w:lang w:eastAsia="zh-CN"/>
              </w:rPr>
              <w:t>、</w:t>
            </w:r>
            <w:r>
              <w:rPr>
                <w:rFonts w:hint="eastAsia" w:ascii="华文仿宋" w:hAnsi="华文仿宋" w:cs="宋体"/>
                <w:bCs/>
                <w:color w:val="auto"/>
                <w:kern w:val="0"/>
                <w:sz w:val="24"/>
                <w:szCs w:val="24"/>
              </w:rPr>
              <w:t>《拒绝政府采购领域商业贿赂承诺书》。未作出承诺的按无效投标处理。</w:t>
            </w:r>
          </w:p>
        </w:tc>
        <w:tc>
          <w:tcPr>
            <w:tcW w:w="877" w:type="dxa"/>
            <w:vAlign w:val="center"/>
          </w:tcPr>
          <w:p w14:paraId="350AFC49">
            <w:pPr>
              <w:spacing w:line="320" w:lineRule="exact"/>
              <w:jc w:val="center"/>
              <w:rPr>
                <w:rFonts w:ascii="宋体" w:hAnsi="宋体" w:cs="宋体"/>
                <w:b/>
                <w:bCs/>
                <w:color w:val="00B0F0"/>
                <w:kern w:val="0"/>
                <w:sz w:val="24"/>
                <w:szCs w:val="24"/>
              </w:rPr>
            </w:pPr>
          </w:p>
        </w:tc>
      </w:tr>
      <w:tr w14:paraId="1209E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04" w:type="dxa"/>
            <w:vAlign w:val="center"/>
          </w:tcPr>
          <w:p w14:paraId="4F595D7D">
            <w:pPr>
              <w:spacing w:line="320" w:lineRule="exact"/>
              <w:jc w:val="center"/>
              <w:rPr>
                <w:rFonts w:ascii="宋体" w:hAnsi="宋体" w:cs="宋体"/>
                <w:b/>
                <w:bCs/>
                <w:kern w:val="0"/>
                <w:sz w:val="24"/>
                <w:szCs w:val="24"/>
              </w:rPr>
            </w:pPr>
            <w:r>
              <w:rPr>
                <w:rFonts w:hint="eastAsia" w:ascii="宋体" w:hAnsi="宋体" w:cs="宋体"/>
                <w:b/>
                <w:bCs/>
                <w:kern w:val="0"/>
                <w:sz w:val="24"/>
                <w:szCs w:val="24"/>
              </w:rPr>
              <w:t>7</w:t>
            </w:r>
          </w:p>
        </w:tc>
        <w:tc>
          <w:tcPr>
            <w:tcW w:w="2410" w:type="dxa"/>
            <w:vAlign w:val="center"/>
          </w:tcPr>
          <w:p w14:paraId="21476159">
            <w:pPr>
              <w:spacing w:line="320" w:lineRule="exact"/>
              <w:jc w:val="left"/>
              <w:rPr>
                <w:rFonts w:ascii="宋体" w:hAnsi="宋体" w:cs="宋体"/>
                <w:b/>
                <w:bCs/>
                <w:kern w:val="0"/>
                <w:sz w:val="24"/>
                <w:szCs w:val="24"/>
              </w:rPr>
            </w:pPr>
            <w:r>
              <w:rPr>
                <w:rFonts w:hint="eastAsia" w:ascii="宋体" w:hAnsi="宋体" w:cs="宋体"/>
                <w:b/>
                <w:bCs/>
                <w:kern w:val="0"/>
                <w:sz w:val="24"/>
                <w:szCs w:val="24"/>
              </w:rPr>
              <w:t>技术指标响应</w:t>
            </w:r>
          </w:p>
        </w:tc>
        <w:tc>
          <w:tcPr>
            <w:tcW w:w="5135" w:type="dxa"/>
            <w:vAlign w:val="center"/>
          </w:tcPr>
          <w:p w14:paraId="1BC17C7E">
            <w:pPr>
              <w:pStyle w:val="24"/>
              <w:ind w:left="0" w:leftChars="0" w:firstLine="0" w:firstLineChars="0"/>
              <w:rPr>
                <w:rFonts w:hint="eastAsia" w:ascii="华文仿宋" w:hAnsi="华文仿宋" w:cs="宋体"/>
                <w:bCs/>
                <w:color w:val="auto"/>
                <w:kern w:val="0"/>
                <w:sz w:val="24"/>
                <w:szCs w:val="24"/>
              </w:rPr>
            </w:pPr>
            <w:r>
              <w:rPr>
                <w:rFonts w:hint="eastAsia" w:ascii="华文仿宋" w:hAnsi="华文仿宋" w:cs="宋体"/>
                <w:bCs/>
                <w:color w:val="auto"/>
                <w:kern w:val="0"/>
                <w:sz w:val="24"/>
                <w:szCs w:val="24"/>
              </w:rPr>
              <w:t>完全理解并接受对合格投标人、合格货物的要求</w:t>
            </w:r>
            <w:r>
              <w:rPr>
                <w:rFonts w:ascii="华文仿宋" w:hAnsi="华文仿宋" w:cs="宋体"/>
                <w:bCs/>
                <w:color w:val="auto"/>
                <w:kern w:val="0"/>
                <w:sz w:val="24"/>
                <w:szCs w:val="24"/>
              </w:rPr>
              <w:t>,</w:t>
            </w:r>
            <w:r>
              <w:rPr>
                <w:rFonts w:hint="eastAsia" w:ascii="华文仿宋" w:hAnsi="华文仿宋" w:cs="宋体"/>
                <w:bCs/>
                <w:color w:val="auto"/>
                <w:kern w:val="0"/>
                <w:sz w:val="24"/>
                <w:szCs w:val="24"/>
              </w:rPr>
              <w:t>根据投标文件中《技术指标偏离表》对</w:t>
            </w:r>
            <w:r>
              <w:rPr>
                <w:rFonts w:hint="eastAsia" w:ascii="华文仿宋" w:hAnsi="华文仿宋" w:cs="宋体"/>
                <w:bCs/>
                <w:color w:val="auto"/>
                <w:kern w:val="0"/>
                <w:sz w:val="24"/>
                <w:szCs w:val="24"/>
                <w:lang w:val="en-US" w:eastAsia="zh-CN"/>
              </w:rPr>
              <w:t>第四章</w:t>
            </w:r>
            <w:r>
              <w:rPr>
                <w:rFonts w:hint="eastAsia" w:ascii="华文仿宋" w:hAnsi="华文仿宋" w:cs="宋体"/>
                <w:bCs/>
                <w:color w:val="auto"/>
                <w:kern w:val="0"/>
                <w:sz w:val="24"/>
                <w:szCs w:val="24"/>
              </w:rPr>
              <w:t>招标内容及采购要求中各标的货物的技术指标要求逐项进行响应。</w:t>
            </w:r>
          </w:p>
          <w:p w14:paraId="5FE53653">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华文仿宋" w:hAnsi="华文仿宋" w:cs="宋体"/>
                <w:bCs/>
                <w:color w:val="FF0000"/>
                <w:kern w:val="0"/>
                <w:sz w:val="24"/>
                <w:szCs w:val="24"/>
                <w:lang w:val="en-US" w:eastAsia="zh-CN"/>
              </w:rPr>
            </w:pPr>
            <w:r>
              <w:rPr>
                <w:rFonts w:hint="eastAsia" w:ascii="华文仿宋" w:hAnsi="华文仿宋" w:eastAsia="华文仿宋" w:cs="华文仿宋"/>
                <w:b/>
                <w:bCs/>
                <w:sz w:val="24"/>
                <w:szCs w:val="24"/>
                <w:lang w:val="en-US" w:eastAsia="zh-CN"/>
              </w:rPr>
              <w:t>★参数为实质性条款，不接受负偏离。投标人在投标文件中应逐条响应，并按要求提供佐证材料予以证明</w:t>
            </w:r>
            <w:r>
              <w:rPr>
                <w:rFonts w:hint="eastAsia" w:ascii="华文仿宋" w:hAnsi="华文仿宋" w:cs="华文仿宋"/>
                <w:b/>
                <w:bCs/>
                <w:sz w:val="24"/>
                <w:szCs w:val="24"/>
                <w:lang w:val="en-US" w:eastAsia="zh-CN"/>
              </w:rPr>
              <w:t>（后附）</w:t>
            </w:r>
            <w:r>
              <w:rPr>
                <w:rFonts w:hint="eastAsia" w:ascii="华文仿宋" w:hAnsi="华文仿宋" w:eastAsia="华文仿宋" w:cs="华文仿宋"/>
                <w:b/>
                <w:bCs/>
                <w:sz w:val="24"/>
                <w:szCs w:val="24"/>
                <w:lang w:val="en-US" w:eastAsia="zh-CN"/>
              </w:rPr>
              <w:t>，未逐条响应或有缺漏或有负偏离或未提供佐证材料的，按无效投标处理。除★参数、▲参数以外的其他要求，为一般要求，不接受负偏离。</w:t>
            </w:r>
            <w:r>
              <w:rPr>
                <w:rFonts w:hint="eastAsia" w:cs="Times New Roman"/>
                <w:sz w:val="24"/>
                <w:szCs w:val="24"/>
                <w:lang w:val="en-US" w:eastAsia="zh-CN"/>
              </w:rPr>
              <w:t>投标人需在《技术指标偏离表》中如实填写所投产品的技术参数，不得直接将采购文件的技术参数指标要求完全复制作为投标文件响应内容，否则按无效投标处理，有产品功能证明材料佐证为与招标文件一致的除外。</w:t>
            </w:r>
          </w:p>
        </w:tc>
        <w:tc>
          <w:tcPr>
            <w:tcW w:w="877" w:type="dxa"/>
            <w:vAlign w:val="center"/>
          </w:tcPr>
          <w:p w14:paraId="71DEFD97">
            <w:pPr>
              <w:spacing w:line="320" w:lineRule="exact"/>
              <w:jc w:val="center"/>
              <w:rPr>
                <w:rFonts w:ascii="华文仿宋" w:hAnsi="华文仿宋" w:cs="宋体"/>
                <w:b/>
                <w:bCs/>
                <w:color w:val="FF0000"/>
                <w:kern w:val="0"/>
                <w:sz w:val="24"/>
                <w:szCs w:val="24"/>
              </w:rPr>
            </w:pPr>
          </w:p>
        </w:tc>
      </w:tr>
      <w:tr w14:paraId="48D1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14FA6040">
            <w:pPr>
              <w:spacing w:line="320" w:lineRule="exact"/>
              <w:jc w:val="center"/>
              <w:rPr>
                <w:rFonts w:hint="eastAsia" w:ascii="宋体" w:hAnsi="宋体" w:eastAsia="华文仿宋" w:cs="宋体"/>
                <w:b/>
                <w:bCs/>
                <w:kern w:val="0"/>
                <w:sz w:val="24"/>
                <w:szCs w:val="24"/>
                <w:lang w:eastAsia="zh-CN"/>
              </w:rPr>
            </w:pPr>
            <w:r>
              <w:rPr>
                <w:rFonts w:hint="eastAsia" w:ascii="宋体" w:hAnsi="宋体" w:cs="宋体"/>
                <w:b/>
                <w:bCs/>
                <w:kern w:val="0"/>
                <w:sz w:val="24"/>
                <w:szCs w:val="24"/>
                <w:lang w:val="en-US" w:eastAsia="zh-CN"/>
              </w:rPr>
              <w:t>8</w:t>
            </w:r>
          </w:p>
        </w:tc>
        <w:tc>
          <w:tcPr>
            <w:tcW w:w="2410" w:type="dxa"/>
            <w:vAlign w:val="center"/>
          </w:tcPr>
          <w:p w14:paraId="7E9AEC88">
            <w:pPr>
              <w:spacing w:line="320" w:lineRule="exact"/>
              <w:jc w:val="left"/>
              <w:rPr>
                <w:rFonts w:ascii="宋体" w:hAnsi="宋体" w:cs="宋体"/>
                <w:b/>
                <w:bCs/>
                <w:kern w:val="0"/>
                <w:sz w:val="24"/>
                <w:szCs w:val="24"/>
              </w:rPr>
            </w:pPr>
            <w:r>
              <w:rPr>
                <w:rFonts w:hint="eastAsia" w:ascii="华文仿宋" w:hAnsi="华文仿宋" w:cs="仿宋"/>
                <w:b/>
                <w:bCs/>
                <w:kern w:val="0"/>
                <w:sz w:val="24"/>
                <w:szCs w:val="24"/>
              </w:rPr>
              <w:t>商务及合同条款响应</w:t>
            </w:r>
          </w:p>
        </w:tc>
        <w:tc>
          <w:tcPr>
            <w:tcW w:w="5135" w:type="dxa"/>
            <w:vAlign w:val="center"/>
          </w:tcPr>
          <w:p w14:paraId="7B6D217F">
            <w:pPr>
              <w:spacing w:line="320" w:lineRule="exact"/>
              <w:jc w:val="left"/>
              <w:rPr>
                <w:rFonts w:ascii="宋体" w:hAnsi="宋体" w:cs="宋体"/>
                <w:bCs/>
                <w:kern w:val="0"/>
                <w:sz w:val="24"/>
                <w:szCs w:val="24"/>
              </w:rPr>
            </w:pPr>
            <w:r>
              <w:rPr>
                <w:rFonts w:hint="eastAsia" w:ascii="华文仿宋" w:hAnsi="华文仿宋" w:cs="仿宋"/>
                <w:sz w:val="24"/>
                <w:szCs w:val="24"/>
              </w:rPr>
              <w:t>完全理解并接受</w:t>
            </w:r>
            <w:r>
              <w:rPr>
                <w:rFonts w:hint="eastAsia" w:ascii="华文仿宋" w:hAnsi="华文仿宋" w:cs="宋体"/>
                <w:bCs/>
                <w:kern w:val="0"/>
                <w:sz w:val="24"/>
                <w:szCs w:val="24"/>
              </w:rPr>
              <w:t>招标</w:t>
            </w:r>
            <w:r>
              <w:rPr>
                <w:rFonts w:hint="eastAsia" w:ascii="华文仿宋" w:hAnsi="华文仿宋" w:cs="仿宋"/>
                <w:sz w:val="24"/>
                <w:szCs w:val="24"/>
              </w:rPr>
              <w:t>文件第五章“商务及合同主要条款”要求。</w:t>
            </w:r>
          </w:p>
        </w:tc>
        <w:tc>
          <w:tcPr>
            <w:tcW w:w="877" w:type="dxa"/>
            <w:vAlign w:val="center"/>
          </w:tcPr>
          <w:p w14:paraId="4B6358B6">
            <w:pPr>
              <w:spacing w:line="320" w:lineRule="exact"/>
              <w:jc w:val="center"/>
              <w:rPr>
                <w:rFonts w:ascii="宋体" w:hAnsi="宋体" w:cs="宋体"/>
                <w:b/>
                <w:bCs/>
                <w:kern w:val="0"/>
                <w:sz w:val="24"/>
                <w:szCs w:val="24"/>
              </w:rPr>
            </w:pPr>
          </w:p>
        </w:tc>
      </w:tr>
      <w:tr w14:paraId="1D9F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F1627A3">
            <w:pPr>
              <w:spacing w:line="320" w:lineRule="exact"/>
              <w:jc w:val="center"/>
              <w:rPr>
                <w:rFonts w:hint="eastAsia" w:ascii="宋体" w:hAnsi="宋体" w:eastAsia="华文仿宋" w:cs="宋体"/>
                <w:b/>
                <w:bCs/>
                <w:kern w:val="0"/>
                <w:sz w:val="24"/>
                <w:szCs w:val="24"/>
                <w:lang w:eastAsia="zh-CN"/>
              </w:rPr>
            </w:pPr>
            <w:r>
              <w:rPr>
                <w:rFonts w:hint="eastAsia" w:ascii="宋体" w:hAnsi="宋体" w:cs="宋体"/>
                <w:b/>
                <w:bCs/>
                <w:kern w:val="0"/>
                <w:sz w:val="24"/>
                <w:szCs w:val="24"/>
                <w:lang w:val="en-US" w:eastAsia="zh-CN"/>
              </w:rPr>
              <w:t>9</w:t>
            </w:r>
          </w:p>
        </w:tc>
        <w:tc>
          <w:tcPr>
            <w:tcW w:w="2410" w:type="dxa"/>
            <w:vAlign w:val="center"/>
          </w:tcPr>
          <w:p w14:paraId="0491E32A">
            <w:pPr>
              <w:spacing w:line="320" w:lineRule="exact"/>
              <w:jc w:val="left"/>
              <w:rPr>
                <w:rFonts w:ascii="宋体" w:hAnsi="宋体" w:cs="宋体"/>
                <w:b/>
                <w:bCs/>
                <w:kern w:val="0"/>
                <w:sz w:val="24"/>
                <w:szCs w:val="24"/>
              </w:rPr>
            </w:pPr>
            <w:r>
              <w:rPr>
                <w:rFonts w:hint="eastAsia" w:ascii="仿宋" w:hAnsi="仿宋" w:eastAsia="仿宋" w:cs="仿宋"/>
                <w:b/>
                <w:sz w:val="24"/>
                <w:szCs w:val="24"/>
              </w:rPr>
              <w:t>无招标文件或法律法规明确规定响应无效的事项</w:t>
            </w:r>
          </w:p>
        </w:tc>
        <w:tc>
          <w:tcPr>
            <w:tcW w:w="5135" w:type="dxa"/>
            <w:vAlign w:val="center"/>
          </w:tcPr>
          <w:p w14:paraId="4DB8A328">
            <w:pPr>
              <w:spacing w:line="320" w:lineRule="exact"/>
              <w:ind w:left="34" w:leftChars="12"/>
              <w:rPr>
                <w:rFonts w:ascii="宋体" w:hAnsi="宋体" w:cs="宋体"/>
                <w:b/>
                <w:bCs/>
                <w:kern w:val="0"/>
                <w:sz w:val="24"/>
                <w:szCs w:val="24"/>
              </w:rPr>
            </w:pPr>
            <w:r>
              <w:rPr>
                <w:rFonts w:hint="eastAsia" w:ascii="华文仿宋" w:hAnsi="华文仿宋" w:cs="仿宋"/>
                <w:sz w:val="24"/>
                <w:szCs w:val="24"/>
              </w:rPr>
              <w:t>没有招标文件或法律法规明确规定的被视为无效响应的条款。</w:t>
            </w:r>
          </w:p>
        </w:tc>
        <w:tc>
          <w:tcPr>
            <w:tcW w:w="877" w:type="dxa"/>
            <w:vAlign w:val="center"/>
          </w:tcPr>
          <w:p w14:paraId="1D651D2C">
            <w:pPr>
              <w:spacing w:line="320" w:lineRule="exact"/>
              <w:jc w:val="center"/>
              <w:rPr>
                <w:rFonts w:ascii="宋体" w:hAnsi="宋体" w:cs="宋体"/>
                <w:b/>
                <w:bCs/>
                <w:kern w:val="0"/>
                <w:sz w:val="24"/>
                <w:szCs w:val="24"/>
              </w:rPr>
            </w:pPr>
          </w:p>
        </w:tc>
      </w:tr>
      <w:tr w14:paraId="51FB4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126" w:type="dxa"/>
            <w:gridSpan w:val="4"/>
            <w:vAlign w:val="center"/>
          </w:tcPr>
          <w:p w14:paraId="602D870E">
            <w:pPr>
              <w:spacing w:line="240" w:lineRule="auto"/>
              <w:rPr>
                <w:rFonts w:ascii="宋体" w:hAnsi="宋体" w:cs="宋体"/>
                <w:b/>
                <w:bCs/>
                <w:kern w:val="0"/>
                <w:sz w:val="24"/>
                <w:szCs w:val="24"/>
              </w:rPr>
            </w:pPr>
            <w:r>
              <w:rPr>
                <w:rFonts w:hint="eastAsia" w:ascii="宋体" w:hAnsi="宋体" w:cs="宋体"/>
                <w:b/>
                <w:bCs/>
                <w:kern w:val="0"/>
                <w:sz w:val="24"/>
                <w:szCs w:val="24"/>
              </w:rPr>
              <w:t>评标委员会成员签字：</w:t>
            </w:r>
            <w:r>
              <w:rPr>
                <w:rFonts w:ascii="宋体" w:hAnsi="宋体" w:cs="宋体"/>
                <w:b/>
                <w:bCs/>
                <w:kern w:val="0"/>
                <w:sz w:val="24"/>
                <w:szCs w:val="24"/>
              </w:rPr>
              <w:t xml:space="preserve"> </w:t>
            </w:r>
          </w:p>
        </w:tc>
      </w:tr>
    </w:tbl>
    <w:p w14:paraId="6B000017">
      <w:pPr>
        <w:rPr>
          <w:rFonts w:ascii="黑体" w:hAnsi="黑体" w:eastAsia="黑体"/>
          <w:b/>
        </w:rPr>
      </w:pPr>
      <w:r>
        <w:rPr>
          <w:rFonts w:ascii="黑体" w:hAnsi="黑体" w:eastAsia="黑体"/>
          <w:b/>
        </w:rPr>
        <w:br w:type="page"/>
      </w:r>
    </w:p>
    <w:p w14:paraId="774395A7">
      <w:pPr>
        <w:spacing w:line="500" w:lineRule="exact"/>
        <w:jc w:val="center"/>
        <w:rPr>
          <w:rFonts w:hint="default" w:ascii="黑体" w:hAnsi="黑体" w:eastAsia="黑体"/>
          <w:b/>
          <w:color w:val="auto"/>
          <w:lang w:val="en-US" w:eastAsia="zh-CN"/>
        </w:rPr>
      </w:pPr>
      <w:r>
        <w:rPr>
          <w:rFonts w:hint="eastAsia" w:ascii="黑体" w:hAnsi="黑体" w:eastAsia="黑体"/>
          <w:b/>
          <w:color w:val="auto"/>
        </w:rPr>
        <w:t>（</w:t>
      </w:r>
      <w:r>
        <w:rPr>
          <w:rFonts w:ascii="黑体" w:hAnsi="黑体" w:eastAsia="黑体"/>
          <w:b/>
          <w:color w:val="auto"/>
        </w:rPr>
        <w:t>三</w:t>
      </w:r>
      <w:r>
        <w:rPr>
          <w:rFonts w:hint="eastAsia" w:ascii="黑体" w:hAnsi="黑体" w:eastAsia="黑体"/>
          <w:b/>
          <w:color w:val="auto"/>
        </w:rPr>
        <w:t>）综合</w:t>
      </w:r>
      <w:r>
        <w:rPr>
          <w:rFonts w:hint="eastAsia" w:ascii="黑体" w:hAnsi="黑体" w:eastAsia="黑体"/>
          <w:b/>
          <w:color w:val="auto"/>
          <w:lang w:val="en-US" w:eastAsia="zh-CN"/>
        </w:rPr>
        <w:t>比较与评价</w:t>
      </w:r>
    </w:p>
    <w:p w14:paraId="75DD03C5">
      <w:pPr>
        <w:pStyle w:val="5"/>
        <w:tabs>
          <w:tab w:val="left" w:pos="2547"/>
          <w:tab w:val="center" w:pos="4536"/>
        </w:tabs>
        <w:spacing w:line="500" w:lineRule="exact"/>
        <w:jc w:val="both"/>
        <w:rPr>
          <w:sz w:val="28"/>
          <w:szCs w:val="28"/>
          <w:u w:val="none"/>
        </w:rPr>
      </w:pPr>
      <w:r>
        <w:rPr>
          <w:sz w:val="28"/>
          <w:szCs w:val="28"/>
          <w:u w:val="none"/>
        </w:rPr>
        <w:t>评</w:t>
      </w:r>
      <w:r>
        <w:rPr>
          <w:rFonts w:hint="eastAsia"/>
          <w:sz w:val="28"/>
          <w:szCs w:val="28"/>
          <w:u w:val="none"/>
        </w:rPr>
        <w:t>审</w:t>
      </w:r>
      <w:r>
        <w:rPr>
          <w:sz w:val="28"/>
          <w:szCs w:val="28"/>
          <w:u w:val="none"/>
        </w:rPr>
        <w:t>要素及分值一览表</w:t>
      </w:r>
    </w:p>
    <w:tbl>
      <w:tblPr>
        <w:tblStyle w:val="25"/>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985"/>
        <w:gridCol w:w="6816"/>
        <w:gridCol w:w="507"/>
      </w:tblGrid>
      <w:tr w14:paraId="54FD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4" w:type="dxa"/>
            <w:gridSpan w:val="2"/>
            <w:vAlign w:val="center"/>
          </w:tcPr>
          <w:p w14:paraId="6CA6A169">
            <w:pPr>
              <w:spacing w:line="370" w:lineRule="exact"/>
              <w:jc w:val="center"/>
              <w:rPr>
                <w:rFonts w:ascii="华文仿宋" w:hAnsi="华文仿宋" w:cs="仿宋"/>
                <w:b/>
                <w:sz w:val="24"/>
                <w:szCs w:val="24"/>
              </w:rPr>
            </w:pPr>
            <w:r>
              <w:rPr>
                <w:rFonts w:ascii="华文仿宋" w:hAnsi="华文仿宋" w:cs="仿宋"/>
                <w:b/>
                <w:sz w:val="24"/>
                <w:szCs w:val="24"/>
              </w:rPr>
              <w:t xml:space="preserve">项别 </w:t>
            </w:r>
          </w:p>
        </w:tc>
        <w:tc>
          <w:tcPr>
            <w:tcW w:w="6816" w:type="dxa"/>
            <w:vMerge w:val="restart"/>
            <w:vAlign w:val="center"/>
          </w:tcPr>
          <w:p w14:paraId="51ED19C9">
            <w:pPr>
              <w:spacing w:line="370" w:lineRule="exact"/>
              <w:jc w:val="center"/>
              <w:rPr>
                <w:rFonts w:ascii="华文仿宋" w:hAnsi="华文仿宋" w:cs="仿宋"/>
                <w:b/>
                <w:sz w:val="24"/>
                <w:szCs w:val="24"/>
              </w:rPr>
            </w:pPr>
            <w:r>
              <w:rPr>
                <w:rFonts w:ascii="华文仿宋" w:hAnsi="华文仿宋" w:cs="仿宋"/>
                <w:b/>
                <w:sz w:val="24"/>
                <w:szCs w:val="24"/>
              </w:rPr>
              <w:t xml:space="preserve">评审要素 </w:t>
            </w:r>
          </w:p>
        </w:tc>
        <w:tc>
          <w:tcPr>
            <w:tcW w:w="507" w:type="dxa"/>
            <w:vMerge w:val="restart"/>
            <w:vAlign w:val="center"/>
          </w:tcPr>
          <w:p w14:paraId="5DB8CFBE">
            <w:pPr>
              <w:spacing w:line="370" w:lineRule="exact"/>
              <w:jc w:val="center"/>
              <w:rPr>
                <w:rFonts w:ascii="华文仿宋" w:hAnsi="华文仿宋" w:cs="仿宋"/>
                <w:b/>
                <w:sz w:val="24"/>
                <w:szCs w:val="24"/>
              </w:rPr>
            </w:pPr>
            <w:r>
              <w:rPr>
                <w:rFonts w:hint="eastAsia" w:ascii="华文仿宋" w:hAnsi="华文仿宋" w:cs="仿宋"/>
                <w:b/>
                <w:sz w:val="24"/>
                <w:szCs w:val="24"/>
              </w:rPr>
              <w:t>备注</w:t>
            </w:r>
          </w:p>
        </w:tc>
      </w:tr>
      <w:tr w14:paraId="16CA7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Align w:val="center"/>
          </w:tcPr>
          <w:p w14:paraId="762C2821">
            <w:pPr>
              <w:spacing w:line="370" w:lineRule="exact"/>
              <w:jc w:val="center"/>
              <w:rPr>
                <w:rFonts w:ascii="华文仿宋" w:hAnsi="华文仿宋" w:cs="仿宋"/>
                <w:b/>
                <w:sz w:val="24"/>
                <w:szCs w:val="24"/>
              </w:rPr>
            </w:pPr>
            <w:r>
              <w:rPr>
                <w:rFonts w:hint="eastAsia" w:ascii="华文仿宋" w:hAnsi="华文仿宋" w:cs="仿宋"/>
                <w:b/>
                <w:sz w:val="24"/>
                <w:szCs w:val="24"/>
              </w:rPr>
              <w:t>评审要素</w:t>
            </w:r>
            <w:r>
              <w:rPr>
                <w:rFonts w:ascii="华文仿宋" w:hAnsi="华文仿宋" w:cs="仿宋"/>
                <w:b/>
                <w:sz w:val="24"/>
                <w:szCs w:val="24"/>
              </w:rPr>
              <w:t xml:space="preserve"> </w:t>
            </w:r>
          </w:p>
        </w:tc>
        <w:tc>
          <w:tcPr>
            <w:tcW w:w="985" w:type="dxa"/>
            <w:vAlign w:val="center"/>
          </w:tcPr>
          <w:p w14:paraId="6245B614">
            <w:pPr>
              <w:spacing w:line="370" w:lineRule="exact"/>
              <w:jc w:val="center"/>
              <w:rPr>
                <w:rFonts w:ascii="华文仿宋" w:hAnsi="华文仿宋" w:cs="仿宋"/>
                <w:b/>
                <w:sz w:val="24"/>
                <w:szCs w:val="24"/>
              </w:rPr>
            </w:pPr>
            <w:r>
              <w:rPr>
                <w:rFonts w:ascii="华文仿宋" w:hAnsi="华文仿宋" w:cs="仿宋"/>
                <w:b/>
                <w:sz w:val="24"/>
                <w:szCs w:val="24"/>
              </w:rPr>
              <w:t>总分</w:t>
            </w:r>
            <w:r>
              <w:rPr>
                <w:rFonts w:hint="eastAsia" w:ascii="华文仿宋" w:hAnsi="华文仿宋" w:cs="仿宋"/>
                <w:b/>
                <w:sz w:val="24"/>
                <w:szCs w:val="24"/>
              </w:rPr>
              <w:t>值</w:t>
            </w:r>
          </w:p>
          <w:p w14:paraId="63670FAF">
            <w:pPr>
              <w:spacing w:line="370" w:lineRule="exact"/>
              <w:jc w:val="center"/>
              <w:rPr>
                <w:rFonts w:hint="eastAsia" w:ascii="华文仿宋" w:hAnsi="华文仿宋" w:eastAsia="华文仿宋" w:cs="仿宋"/>
                <w:b/>
                <w:sz w:val="24"/>
                <w:szCs w:val="24"/>
                <w:lang w:val="en-US" w:eastAsia="zh-CN"/>
              </w:rPr>
            </w:pPr>
            <w:r>
              <w:rPr>
                <w:rFonts w:hint="eastAsia" w:ascii="华文仿宋" w:hAnsi="华文仿宋" w:cs="仿宋"/>
                <w:b/>
                <w:sz w:val="24"/>
                <w:szCs w:val="24"/>
              </w:rPr>
              <w:t>100</w:t>
            </w:r>
            <w:r>
              <w:rPr>
                <w:rFonts w:hint="eastAsia" w:ascii="华文仿宋" w:hAnsi="华文仿宋" w:cs="仿宋"/>
                <w:b/>
                <w:sz w:val="24"/>
                <w:szCs w:val="24"/>
                <w:lang w:val="en-US" w:eastAsia="zh-CN"/>
              </w:rPr>
              <w:t>分</w:t>
            </w:r>
          </w:p>
        </w:tc>
        <w:tc>
          <w:tcPr>
            <w:tcW w:w="6816" w:type="dxa"/>
            <w:vMerge w:val="continue"/>
            <w:vAlign w:val="center"/>
          </w:tcPr>
          <w:p w14:paraId="4DE5C272">
            <w:pPr>
              <w:spacing w:line="370" w:lineRule="exact"/>
              <w:jc w:val="center"/>
              <w:rPr>
                <w:rFonts w:ascii="华文仿宋" w:hAnsi="华文仿宋" w:cs="仿宋"/>
                <w:b/>
                <w:sz w:val="24"/>
                <w:szCs w:val="24"/>
              </w:rPr>
            </w:pPr>
          </w:p>
        </w:tc>
        <w:tc>
          <w:tcPr>
            <w:tcW w:w="507" w:type="dxa"/>
            <w:vMerge w:val="continue"/>
            <w:vAlign w:val="center"/>
          </w:tcPr>
          <w:p w14:paraId="78D9B58B">
            <w:pPr>
              <w:spacing w:line="370" w:lineRule="exact"/>
              <w:jc w:val="center"/>
              <w:rPr>
                <w:rFonts w:ascii="华文仿宋" w:hAnsi="华文仿宋" w:cs="仿宋"/>
                <w:b/>
                <w:sz w:val="24"/>
                <w:szCs w:val="24"/>
              </w:rPr>
            </w:pPr>
          </w:p>
        </w:tc>
      </w:tr>
      <w:tr w14:paraId="248F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929" w:type="dxa"/>
            <w:vAlign w:val="center"/>
          </w:tcPr>
          <w:p w14:paraId="4E5847A0">
            <w:pPr>
              <w:spacing w:line="370" w:lineRule="exact"/>
              <w:jc w:val="center"/>
              <w:rPr>
                <w:rFonts w:ascii="华文仿宋" w:hAnsi="华文仿宋" w:cs="仿宋"/>
                <w:b/>
                <w:sz w:val="24"/>
                <w:szCs w:val="24"/>
              </w:rPr>
            </w:pPr>
            <w:r>
              <w:rPr>
                <w:rFonts w:hint="eastAsia" w:ascii="华文仿宋" w:hAnsi="华文仿宋" w:cs="仿宋"/>
                <w:b/>
                <w:sz w:val="24"/>
                <w:szCs w:val="24"/>
              </w:rPr>
              <w:t>报价评审</w:t>
            </w:r>
          </w:p>
        </w:tc>
        <w:tc>
          <w:tcPr>
            <w:tcW w:w="985" w:type="dxa"/>
            <w:vAlign w:val="center"/>
          </w:tcPr>
          <w:p w14:paraId="4A9B0F59">
            <w:pPr>
              <w:spacing w:line="370" w:lineRule="exact"/>
              <w:jc w:val="center"/>
              <w:rPr>
                <w:rFonts w:ascii="华文仿宋" w:hAnsi="华文仿宋" w:cs="仿宋"/>
                <w:b/>
                <w:sz w:val="24"/>
                <w:szCs w:val="24"/>
              </w:rPr>
            </w:pPr>
            <w:r>
              <w:rPr>
                <w:rFonts w:hint="eastAsia" w:ascii="华文仿宋" w:hAnsi="华文仿宋" w:cs="仿宋"/>
                <w:b/>
                <w:sz w:val="24"/>
                <w:szCs w:val="24"/>
                <w:lang w:val="en-US" w:eastAsia="zh-CN"/>
              </w:rPr>
              <w:t>35</w:t>
            </w:r>
            <w:r>
              <w:rPr>
                <w:rFonts w:hint="eastAsia" w:ascii="华文仿宋" w:hAnsi="华文仿宋" w:cs="仿宋"/>
                <w:b/>
                <w:sz w:val="24"/>
                <w:szCs w:val="24"/>
              </w:rPr>
              <w:t xml:space="preserve">分 </w:t>
            </w:r>
          </w:p>
        </w:tc>
        <w:tc>
          <w:tcPr>
            <w:tcW w:w="6816" w:type="dxa"/>
            <w:vAlign w:val="center"/>
          </w:tcPr>
          <w:p w14:paraId="3AF1BAF6">
            <w:pPr>
              <w:adjustRightInd w:val="0"/>
              <w:snapToGrid w:val="0"/>
              <w:spacing w:line="276" w:lineRule="auto"/>
              <w:ind w:firstLine="480" w:firstLineChars="200"/>
              <w:jc w:val="left"/>
              <w:rPr>
                <w:rFonts w:hint="eastAsia" w:ascii="仿宋" w:hAnsi="仿宋" w:eastAsia="仿宋" w:cs="仿宋"/>
                <w:sz w:val="24"/>
              </w:rPr>
            </w:pPr>
            <w:r>
              <w:rPr>
                <w:rFonts w:hint="eastAsia" w:ascii="仿宋" w:hAnsi="仿宋" w:eastAsia="仿宋" w:cs="仿宋"/>
                <w:sz w:val="24"/>
              </w:rPr>
              <w:t>满足招标文件要求的最低投标报价为评标基准价，其报价得分为满分</w:t>
            </w:r>
            <w:r>
              <w:rPr>
                <w:rFonts w:hint="eastAsia" w:ascii="仿宋" w:hAnsi="仿宋" w:eastAsia="仿宋" w:cs="仿宋"/>
                <w:sz w:val="24"/>
                <w:lang w:val="en-US" w:eastAsia="zh-CN"/>
              </w:rPr>
              <w:t>35</w:t>
            </w:r>
            <w:r>
              <w:rPr>
                <w:rFonts w:hint="eastAsia" w:ascii="仿宋" w:hAnsi="仿宋" w:eastAsia="仿宋" w:cs="仿宋"/>
                <w:sz w:val="24"/>
              </w:rPr>
              <w:t>分，其他各投标人的报价得分按下列公式计算：（基准价/投标报价）×</w:t>
            </w:r>
            <w:r>
              <w:rPr>
                <w:rFonts w:hint="eastAsia" w:ascii="仿宋" w:hAnsi="仿宋" w:eastAsia="仿宋" w:cs="仿宋"/>
                <w:sz w:val="24"/>
                <w:lang w:val="en-US" w:eastAsia="zh-CN"/>
              </w:rPr>
              <w:t>35</w:t>
            </w:r>
            <w:r>
              <w:rPr>
                <w:rFonts w:hint="eastAsia" w:ascii="仿宋" w:hAnsi="仿宋" w:eastAsia="仿宋" w:cs="仿宋"/>
                <w:sz w:val="24"/>
              </w:rPr>
              <w:t>％×100。</w:t>
            </w:r>
          </w:p>
          <w:p w14:paraId="3E830A49">
            <w:pPr>
              <w:adjustRightInd w:val="0"/>
              <w:snapToGrid w:val="0"/>
              <w:spacing w:line="276" w:lineRule="auto"/>
              <w:ind w:firstLine="480" w:firstLineChars="200"/>
              <w:jc w:val="left"/>
              <w:rPr>
                <w:rFonts w:hint="eastAsia" w:ascii="仿宋" w:hAnsi="仿宋" w:eastAsia="仿宋" w:cs="仿宋"/>
                <w:sz w:val="24"/>
              </w:rPr>
            </w:pPr>
            <w:r>
              <w:rPr>
                <w:rFonts w:hint="eastAsia" w:ascii="仿宋" w:hAnsi="仿宋" w:eastAsia="仿宋" w:cs="仿宋"/>
                <w:sz w:val="24"/>
                <w:lang w:eastAsia="zh-CN"/>
              </w:rPr>
              <w:t>评标委员会</w:t>
            </w:r>
            <w:r>
              <w:rPr>
                <w:rFonts w:hint="eastAsia" w:ascii="仿宋" w:hAnsi="仿宋" w:eastAsia="仿宋" w:cs="仿宋"/>
                <w:sz w:val="24"/>
              </w:rPr>
              <w:t>发现某一供应商的</w:t>
            </w:r>
            <w:r>
              <w:rPr>
                <w:rFonts w:hint="eastAsia" w:ascii="仿宋" w:hAnsi="仿宋" w:eastAsia="仿宋" w:cs="仿宋"/>
                <w:sz w:val="24"/>
                <w:lang w:val="en-US" w:eastAsia="zh-CN"/>
              </w:rPr>
              <w:t>投标</w:t>
            </w:r>
            <w:r>
              <w:rPr>
                <w:rFonts w:hint="eastAsia" w:ascii="仿宋" w:hAnsi="仿宋" w:eastAsia="仿宋" w:cs="仿宋"/>
                <w:sz w:val="24"/>
              </w:rPr>
              <w:t>报价明显低于其他供应商的</w:t>
            </w:r>
            <w:r>
              <w:rPr>
                <w:rFonts w:hint="eastAsia" w:ascii="仿宋" w:hAnsi="仿宋" w:eastAsia="仿宋" w:cs="仿宋"/>
                <w:sz w:val="24"/>
                <w:lang w:val="en-US" w:eastAsia="zh-CN"/>
              </w:rPr>
              <w:t>投标</w:t>
            </w:r>
            <w:r>
              <w:rPr>
                <w:rFonts w:hint="eastAsia" w:ascii="仿宋" w:hAnsi="仿宋" w:eastAsia="仿宋" w:cs="仿宋"/>
                <w:sz w:val="24"/>
              </w:rPr>
              <w:t>报价，使得其报价可能低于其成本的，应当要求该供应商作出书面说明并提供相应的证明材料。供应商不能合理说明或者不能提供相应证明材料的，由</w:t>
            </w:r>
            <w:r>
              <w:rPr>
                <w:rFonts w:hint="eastAsia" w:ascii="仿宋" w:hAnsi="仿宋" w:eastAsia="仿宋" w:cs="仿宋"/>
                <w:sz w:val="24"/>
                <w:lang w:eastAsia="zh-CN"/>
              </w:rPr>
              <w:t>评标委员会</w:t>
            </w:r>
            <w:r>
              <w:rPr>
                <w:rFonts w:hint="eastAsia" w:ascii="仿宋" w:hAnsi="仿宋" w:eastAsia="仿宋" w:cs="仿宋"/>
                <w:sz w:val="24"/>
              </w:rPr>
              <w:t>认定该供应商以低于成本报价竞标，其供应商的</w:t>
            </w:r>
            <w:r>
              <w:rPr>
                <w:rFonts w:hint="eastAsia" w:ascii="仿宋" w:hAnsi="仿宋" w:eastAsia="仿宋" w:cs="仿宋"/>
                <w:sz w:val="24"/>
                <w:lang w:val="en-US" w:eastAsia="zh-CN"/>
              </w:rPr>
              <w:t>投标</w:t>
            </w:r>
            <w:r>
              <w:rPr>
                <w:rFonts w:hint="eastAsia" w:ascii="仿宋" w:hAnsi="仿宋" w:eastAsia="仿宋" w:cs="仿宋"/>
                <w:sz w:val="24"/>
              </w:rPr>
              <w:t>报价不予认可，作无效响应处理视为自动放弃。</w:t>
            </w:r>
          </w:p>
          <w:p w14:paraId="162837C2">
            <w:pPr>
              <w:adjustRightInd w:val="0"/>
              <w:snapToGrid w:val="0"/>
              <w:spacing w:line="276" w:lineRule="auto"/>
              <w:ind w:firstLine="480" w:firstLineChars="200"/>
              <w:jc w:val="left"/>
              <w:rPr>
                <w:rFonts w:hint="eastAsia" w:ascii="仿宋" w:hAnsi="仿宋" w:eastAsia="仿宋" w:cs="仿宋"/>
                <w:sz w:val="24"/>
              </w:rPr>
            </w:pPr>
            <w:r>
              <w:rPr>
                <w:rFonts w:hint="eastAsia" w:ascii="仿宋" w:hAnsi="仿宋" w:eastAsia="仿宋" w:cs="仿宋"/>
                <w:sz w:val="24"/>
                <w:lang w:val="en-US" w:eastAsia="zh-CN"/>
              </w:rPr>
              <w:t>出现异常低价情况，评标委员会将根据财政部《关于推动解决政府采购异常低价问题的通知》财库〔2026〕2号文件，启动异常低价投标（响应）审查。</w:t>
            </w:r>
          </w:p>
        </w:tc>
        <w:tc>
          <w:tcPr>
            <w:tcW w:w="507" w:type="dxa"/>
            <w:vAlign w:val="center"/>
          </w:tcPr>
          <w:p w14:paraId="0D82120D">
            <w:pPr>
              <w:spacing w:line="370" w:lineRule="exact"/>
              <w:jc w:val="center"/>
              <w:rPr>
                <w:rFonts w:ascii="华文仿宋" w:hAnsi="华文仿宋" w:cs="仿宋"/>
                <w:b/>
                <w:sz w:val="24"/>
                <w:szCs w:val="24"/>
              </w:rPr>
            </w:pPr>
          </w:p>
        </w:tc>
      </w:tr>
      <w:tr w14:paraId="2EDB5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Merge w:val="restart"/>
            <w:tcBorders>
              <w:top w:val="single" w:color="auto" w:sz="4" w:space="0"/>
            </w:tcBorders>
            <w:vAlign w:val="center"/>
          </w:tcPr>
          <w:p w14:paraId="7DAFD1A9">
            <w:pPr>
              <w:adjustRightInd w:val="0"/>
              <w:snapToGrid w:val="0"/>
              <w:spacing w:line="360" w:lineRule="auto"/>
              <w:jc w:val="center"/>
              <w:rPr>
                <w:rFonts w:ascii="宋体" w:hAnsi="宋体"/>
                <w:b/>
                <w:sz w:val="24"/>
              </w:rPr>
            </w:pPr>
            <w:r>
              <w:rPr>
                <w:rFonts w:hint="eastAsia" w:ascii="宋体" w:hAnsi="宋体"/>
                <w:b/>
                <w:sz w:val="24"/>
              </w:rPr>
              <w:t>技术指标评审</w:t>
            </w:r>
          </w:p>
        </w:tc>
        <w:tc>
          <w:tcPr>
            <w:tcW w:w="985" w:type="dxa"/>
            <w:vMerge w:val="restart"/>
            <w:vAlign w:val="center"/>
          </w:tcPr>
          <w:p w14:paraId="034966D6">
            <w:pPr>
              <w:keepNext w:val="0"/>
              <w:keepLines w:val="0"/>
              <w:widowControl/>
              <w:suppressLineNumbers w:val="0"/>
              <w:jc w:val="left"/>
              <w:rPr>
                <w:rFonts w:hint="eastAsia" w:ascii="宋体" w:hAnsi="宋体"/>
                <w:sz w:val="24"/>
                <w:lang w:val="zh-CN"/>
              </w:rPr>
            </w:pPr>
            <w:r>
              <w:rPr>
                <w:rFonts w:hint="eastAsia" w:ascii="宋体" w:hAnsi="宋体"/>
                <w:sz w:val="24"/>
                <w:lang w:val="en-US" w:eastAsia="zh-CN"/>
              </w:rPr>
              <w:t>31</w:t>
            </w:r>
            <w:r>
              <w:rPr>
                <w:rFonts w:hint="eastAsia" w:ascii="宋体" w:hAnsi="宋体"/>
                <w:sz w:val="24"/>
                <w:lang w:val="zh-CN"/>
              </w:rPr>
              <w:t>分</w:t>
            </w:r>
          </w:p>
        </w:tc>
        <w:tc>
          <w:tcPr>
            <w:tcW w:w="6816" w:type="dxa"/>
            <w:vAlign w:val="center"/>
          </w:tcPr>
          <w:p w14:paraId="2E2C2D3C">
            <w:pPr>
              <w:keepNext w:val="0"/>
              <w:keepLines w:val="0"/>
              <w:widowControl/>
              <w:suppressLineNumbers w:val="0"/>
              <w:jc w:val="left"/>
              <w:rPr>
                <w:rFonts w:hint="eastAsia" w:ascii="仿宋" w:hAnsi="仿宋" w:eastAsia="仿宋" w:cs="仿宋"/>
                <w:sz w:val="24"/>
                <w:lang w:val="en-US" w:eastAsia="zh-CN"/>
              </w:rPr>
            </w:pPr>
            <w:r>
              <w:rPr>
                <w:rFonts w:hint="eastAsia" w:ascii="仿宋" w:hAnsi="仿宋" w:eastAsia="仿宋" w:cs="仿宋"/>
                <w:sz w:val="24"/>
                <w:lang w:val="en-US" w:eastAsia="zh-CN"/>
              </w:rPr>
              <w:t>1、所投产品拟选用原（辅）材料中，每一项原（辅）材料对应的所有▲项内容均满足该项原材料▲参数需求，每有一项得1分，11项原（辅）材料均符合加分要求加11分。</w:t>
            </w:r>
          </w:p>
          <w:p w14:paraId="087141E5">
            <w:pPr>
              <w:keepNext w:val="0"/>
              <w:keepLines w:val="0"/>
              <w:widowControl/>
              <w:suppressLineNumbers w:val="0"/>
              <w:jc w:val="left"/>
              <w:rPr>
                <w:rFonts w:hint="eastAsia" w:ascii="仿宋" w:hAnsi="仿宋" w:eastAsia="仿宋" w:cs="仿宋"/>
                <w:sz w:val="24"/>
                <w:lang w:val="zh-CN"/>
              </w:rPr>
            </w:pPr>
            <w:r>
              <w:rPr>
                <w:rFonts w:hint="eastAsia" w:ascii="仿宋" w:hAnsi="仿宋" w:eastAsia="仿宋" w:cs="仿宋"/>
                <w:sz w:val="24"/>
                <w:lang w:val="en-US" w:eastAsia="zh-CN"/>
              </w:rPr>
              <w:t>评审依据：所有▲项需提供佐证材料，佐证材料例如：由具有CMA及CNAS资质的权威检测部门出具的检测报告（2025年1月1日起出具）、产品彩页说明、官网功能截图等任意一种，不提供或缺漏项不得分。</w:t>
            </w:r>
          </w:p>
        </w:tc>
        <w:tc>
          <w:tcPr>
            <w:tcW w:w="507" w:type="dxa"/>
          </w:tcPr>
          <w:p w14:paraId="58767FF0">
            <w:pPr>
              <w:spacing w:line="370" w:lineRule="exact"/>
              <w:jc w:val="center"/>
              <w:rPr>
                <w:rFonts w:ascii="华文仿宋" w:hAnsi="华文仿宋" w:cs="仿宋"/>
                <w:b/>
                <w:color w:val="FF0000"/>
                <w:sz w:val="24"/>
                <w:szCs w:val="24"/>
              </w:rPr>
            </w:pPr>
          </w:p>
        </w:tc>
      </w:tr>
      <w:tr w14:paraId="5EB4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929" w:type="dxa"/>
            <w:vMerge w:val="continue"/>
            <w:vAlign w:val="center"/>
          </w:tcPr>
          <w:p w14:paraId="2BEB5958">
            <w:pPr>
              <w:adjustRightInd w:val="0"/>
              <w:snapToGrid w:val="0"/>
              <w:spacing w:line="360" w:lineRule="auto"/>
              <w:jc w:val="center"/>
              <w:rPr>
                <w:rFonts w:hint="eastAsia" w:ascii="宋体" w:hAnsi="宋体"/>
                <w:b/>
                <w:sz w:val="24"/>
              </w:rPr>
            </w:pPr>
          </w:p>
        </w:tc>
        <w:tc>
          <w:tcPr>
            <w:tcW w:w="985" w:type="dxa"/>
            <w:vMerge w:val="continue"/>
            <w:vAlign w:val="center"/>
          </w:tcPr>
          <w:p w14:paraId="0FD8C027">
            <w:pPr>
              <w:keepNext w:val="0"/>
              <w:keepLines w:val="0"/>
              <w:widowControl/>
              <w:suppressLineNumbers w:val="0"/>
              <w:jc w:val="left"/>
              <w:rPr>
                <w:rFonts w:hint="eastAsia" w:ascii="宋体" w:hAnsi="宋体"/>
                <w:sz w:val="24"/>
                <w:lang w:val="en-US" w:eastAsia="zh-CN"/>
              </w:rPr>
            </w:pPr>
          </w:p>
        </w:tc>
        <w:tc>
          <w:tcPr>
            <w:tcW w:w="6816" w:type="dxa"/>
            <w:vAlign w:val="center"/>
          </w:tcPr>
          <w:p w14:paraId="35F1D83C">
            <w:pPr>
              <w:keepNext w:val="0"/>
              <w:keepLines w:val="0"/>
              <w:widowControl/>
              <w:suppressLineNumbers w:val="0"/>
              <w:jc w:val="left"/>
              <w:rPr>
                <w:rFonts w:hint="eastAsia" w:ascii="仿宋" w:hAnsi="仿宋" w:eastAsia="仿宋" w:cs="仿宋"/>
                <w:sz w:val="24"/>
                <w:lang w:val="zh-CN"/>
              </w:rPr>
            </w:pPr>
            <w:r>
              <w:rPr>
                <w:rFonts w:hint="eastAsia" w:ascii="仿宋" w:hAnsi="仿宋" w:eastAsia="仿宋" w:cs="仿宋"/>
                <w:sz w:val="24"/>
                <w:lang w:val="en-US" w:eastAsia="zh-CN"/>
              </w:rPr>
              <w:t>2、所投产品拟选用原（辅）材料中，每一个</w:t>
            </w:r>
            <w:r>
              <w:rPr>
                <w:rFonts w:hint="eastAsia" w:ascii="仿宋" w:hAnsi="仿宋" w:eastAsia="仿宋" w:cs="仿宋"/>
                <w:szCs w:val="21"/>
              </w:rPr>
              <w:t>▲▲</w:t>
            </w:r>
            <w:r>
              <w:rPr>
                <w:rFonts w:hint="eastAsia" w:ascii="仿宋" w:hAnsi="仿宋" w:eastAsia="仿宋" w:cs="仿宋"/>
                <w:sz w:val="24"/>
                <w:lang w:val="en-US" w:eastAsia="zh-CN"/>
              </w:rPr>
              <w:t>项满足</w:t>
            </w:r>
            <w:r>
              <w:rPr>
                <w:rFonts w:hint="eastAsia" w:ascii="仿宋" w:hAnsi="仿宋" w:eastAsia="仿宋" w:cs="仿宋"/>
                <w:szCs w:val="21"/>
              </w:rPr>
              <w:t>▲▲</w:t>
            </w:r>
            <w:r>
              <w:rPr>
                <w:rFonts w:hint="eastAsia" w:ascii="仿宋" w:hAnsi="仿宋" w:eastAsia="仿宋" w:cs="仿宋"/>
                <w:sz w:val="24"/>
                <w:lang w:val="zh-CN"/>
              </w:rPr>
              <w:t>参数</w:t>
            </w:r>
            <w:r>
              <w:rPr>
                <w:rFonts w:hint="eastAsia" w:ascii="仿宋" w:hAnsi="仿宋" w:eastAsia="仿宋" w:cs="仿宋"/>
                <w:sz w:val="24"/>
                <w:lang w:val="en-US" w:eastAsia="zh-CN"/>
              </w:rPr>
              <w:t>需求</w:t>
            </w:r>
            <w:r>
              <w:rPr>
                <w:rFonts w:hint="eastAsia" w:ascii="仿宋" w:hAnsi="仿宋" w:eastAsia="仿宋" w:cs="仿宋"/>
                <w:sz w:val="24"/>
                <w:lang w:val="zh-CN"/>
              </w:rPr>
              <w:t>，</w:t>
            </w:r>
            <w:r>
              <w:rPr>
                <w:rFonts w:hint="eastAsia" w:ascii="仿宋" w:hAnsi="仿宋" w:eastAsia="仿宋" w:cs="仿宋"/>
                <w:sz w:val="24"/>
                <w:lang w:val="en-US" w:eastAsia="zh-CN"/>
              </w:rPr>
              <w:t>且</w:t>
            </w:r>
            <w:r>
              <w:rPr>
                <w:rFonts w:hint="eastAsia" w:ascii="仿宋" w:hAnsi="仿宋" w:eastAsia="仿宋" w:cs="仿宋"/>
                <w:sz w:val="24"/>
                <w:szCs w:val="28"/>
                <w:lang w:val="en-US" w:eastAsia="zh-CN"/>
              </w:rPr>
              <w:t>佐证材料可证明其</w:t>
            </w:r>
            <w:r>
              <w:rPr>
                <w:rFonts w:hint="eastAsia" w:ascii="仿宋" w:hAnsi="仿宋" w:eastAsia="仿宋" w:cs="仿宋"/>
                <w:sz w:val="24"/>
                <w:lang w:val="zh-CN"/>
              </w:rPr>
              <w:t>技术指标和性能优于</w:t>
            </w:r>
            <w:r>
              <w:rPr>
                <w:rFonts w:hint="eastAsia" w:ascii="仿宋" w:hAnsi="仿宋" w:eastAsia="仿宋" w:cs="仿宋"/>
                <w:sz w:val="24"/>
                <w:lang w:val="en-US" w:eastAsia="zh-CN"/>
              </w:rPr>
              <w:t>常规</w:t>
            </w:r>
            <w:r>
              <w:rPr>
                <w:rFonts w:hint="eastAsia" w:ascii="仿宋" w:hAnsi="仿宋" w:eastAsia="仿宋" w:cs="仿宋"/>
                <w:sz w:val="24"/>
                <w:lang w:val="zh-CN"/>
              </w:rPr>
              <w:t>要求，具有实际使用价值的提升，经评标委员会一致认定，每有一</w:t>
            </w:r>
            <w:r>
              <w:rPr>
                <w:rFonts w:hint="eastAsia" w:ascii="仿宋" w:hAnsi="仿宋" w:eastAsia="仿宋" w:cs="仿宋"/>
                <w:sz w:val="24"/>
                <w:lang w:val="en-US" w:eastAsia="zh-CN"/>
              </w:rPr>
              <w:t>个</w:t>
            </w:r>
            <w:r>
              <w:rPr>
                <w:rFonts w:hint="eastAsia" w:ascii="仿宋" w:hAnsi="仿宋" w:eastAsia="仿宋" w:cs="仿宋"/>
                <w:szCs w:val="21"/>
              </w:rPr>
              <w:t>▲▲</w:t>
            </w:r>
            <w:r>
              <w:rPr>
                <w:rFonts w:hint="eastAsia" w:ascii="仿宋" w:hAnsi="仿宋" w:eastAsia="仿宋" w:cs="仿宋"/>
                <w:sz w:val="24"/>
                <w:lang w:val="en-US" w:eastAsia="zh-CN"/>
              </w:rPr>
              <w:t>项满足</w:t>
            </w:r>
            <w:r>
              <w:rPr>
                <w:rFonts w:hint="eastAsia" w:ascii="仿宋" w:hAnsi="仿宋" w:eastAsia="仿宋" w:cs="仿宋"/>
                <w:sz w:val="24"/>
                <w:lang w:val="zh-CN"/>
              </w:rPr>
              <w:t>加</w:t>
            </w:r>
            <w:r>
              <w:rPr>
                <w:rFonts w:hint="eastAsia" w:ascii="仿宋" w:hAnsi="仿宋" w:eastAsia="仿宋" w:cs="仿宋"/>
                <w:sz w:val="24"/>
                <w:lang w:val="en-US" w:eastAsia="zh-CN"/>
              </w:rPr>
              <w:t>0.4</w:t>
            </w:r>
            <w:r>
              <w:rPr>
                <w:rFonts w:hint="eastAsia" w:ascii="仿宋" w:hAnsi="仿宋" w:eastAsia="仿宋" w:cs="仿宋"/>
                <w:sz w:val="24"/>
                <w:lang w:val="zh-CN"/>
              </w:rPr>
              <w:t>分，</w:t>
            </w:r>
            <w:r>
              <w:rPr>
                <w:rFonts w:hint="eastAsia" w:ascii="仿宋" w:hAnsi="仿宋" w:eastAsia="仿宋" w:cs="仿宋"/>
                <w:sz w:val="24"/>
                <w:lang w:val="en-US" w:eastAsia="zh-CN"/>
              </w:rPr>
              <w:t>最高加20分</w:t>
            </w:r>
            <w:r>
              <w:rPr>
                <w:rFonts w:hint="eastAsia" w:ascii="仿宋" w:hAnsi="仿宋" w:eastAsia="仿宋" w:cs="仿宋"/>
                <w:sz w:val="24"/>
                <w:lang w:val="zh-CN"/>
              </w:rPr>
              <w:t>。</w:t>
            </w:r>
          </w:p>
          <w:p w14:paraId="5E1D8D0F">
            <w:pPr>
              <w:keepNext w:val="0"/>
              <w:keepLines w:val="0"/>
              <w:widowControl/>
              <w:suppressLineNumbers w:val="0"/>
              <w:jc w:val="left"/>
              <w:rPr>
                <w:rFonts w:hint="eastAsia" w:ascii="仿宋" w:hAnsi="仿宋" w:eastAsia="仿宋" w:cs="仿宋"/>
                <w:sz w:val="24"/>
                <w:lang w:val="en-US" w:eastAsia="zh-CN"/>
              </w:rPr>
            </w:pPr>
            <w:r>
              <w:rPr>
                <w:rFonts w:hint="eastAsia" w:ascii="仿宋" w:hAnsi="仿宋" w:eastAsia="仿宋" w:cs="仿宋"/>
                <w:sz w:val="24"/>
                <w:lang w:val="zh-CN"/>
              </w:rPr>
              <w:t>评审依据：</w:t>
            </w:r>
            <w:r>
              <w:rPr>
                <w:rFonts w:hint="eastAsia" w:ascii="仿宋" w:hAnsi="仿宋" w:eastAsia="仿宋" w:cs="仿宋"/>
                <w:sz w:val="24"/>
                <w:lang w:val="en-US" w:eastAsia="zh-CN"/>
              </w:rPr>
              <w:t>所有</w:t>
            </w:r>
            <w:r>
              <w:rPr>
                <w:rFonts w:hint="eastAsia" w:ascii="仿宋" w:hAnsi="仿宋" w:eastAsia="仿宋" w:cs="仿宋"/>
                <w:szCs w:val="21"/>
              </w:rPr>
              <w:t>▲▲</w:t>
            </w:r>
            <w:r>
              <w:rPr>
                <w:rFonts w:hint="eastAsia" w:ascii="仿宋" w:hAnsi="仿宋" w:eastAsia="仿宋" w:cs="仿宋"/>
                <w:sz w:val="24"/>
                <w:lang w:val="en-US" w:eastAsia="zh-CN"/>
              </w:rPr>
              <w:t>项需提供佐证材料（</w:t>
            </w:r>
            <w:r>
              <w:rPr>
                <w:rFonts w:hint="eastAsia" w:ascii="仿宋" w:hAnsi="仿宋" w:eastAsia="仿宋" w:cs="仿宋"/>
                <w:szCs w:val="21"/>
              </w:rPr>
              <w:t>▲▲</w:t>
            </w:r>
            <w:r>
              <w:rPr>
                <w:rFonts w:hint="eastAsia" w:ascii="仿宋" w:hAnsi="仿宋" w:eastAsia="仿宋" w:cs="仿宋"/>
                <w:sz w:val="24"/>
                <w:lang w:val="en-US" w:eastAsia="zh-CN"/>
              </w:rPr>
              <w:t>项与</w:t>
            </w:r>
            <w:r>
              <w:rPr>
                <w:rFonts w:hint="eastAsia" w:ascii="仿宋" w:hAnsi="仿宋" w:eastAsia="仿宋" w:cs="仿宋"/>
                <w:szCs w:val="21"/>
              </w:rPr>
              <w:t>▲</w:t>
            </w:r>
            <w:r>
              <w:rPr>
                <w:rFonts w:hint="eastAsia" w:ascii="仿宋" w:hAnsi="仿宋" w:eastAsia="仿宋" w:cs="仿宋"/>
                <w:sz w:val="24"/>
                <w:lang w:val="en-US" w:eastAsia="zh-CN"/>
              </w:rPr>
              <w:t>项提供佐证材料一致的可不重复提供），佐证材料例如：由具有CMA及CNAS资质的权威检测部门出具的检测报告（2025年1月1日起出具）、产品彩页、官网功能截图等任意一种，不提供或缺漏项不得分。</w:t>
            </w:r>
          </w:p>
        </w:tc>
        <w:tc>
          <w:tcPr>
            <w:tcW w:w="507" w:type="dxa"/>
          </w:tcPr>
          <w:p w14:paraId="36E19BA1">
            <w:pPr>
              <w:spacing w:line="370" w:lineRule="exact"/>
              <w:jc w:val="center"/>
              <w:rPr>
                <w:rFonts w:ascii="华文仿宋" w:hAnsi="华文仿宋" w:cs="仿宋"/>
                <w:b/>
                <w:color w:val="FF0000"/>
                <w:sz w:val="24"/>
                <w:szCs w:val="24"/>
              </w:rPr>
            </w:pPr>
          </w:p>
        </w:tc>
      </w:tr>
      <w:tr w14:paraId="39E7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29" w:type="dxa"/>
            <w:tcBorders>
              <w:top w:val="single" w:color="auto" w:sz="4" w:space="0"/>
            </w:tcBorders>
            <w:vAlign w:val="center"/>
          </w:tcPr>
          <w:p w14:paraId="58D6F581">
            <w:pPr>
              <w:adjustRightInd w:val="0"/>
              <w:snapToGrid w:val="0"/>
              <w:spacing w:line="360" w:lineRule="auto"/>
              <w:jc w:val="center"/>
              <w:rPr>
                <w:rFonts w:ascii="宋体" w:hAnsi="宋体"/>
                <w:b/>
                <w:sz w:val="24"/>
              </w:rPr>
            </w:pPr>
            <w:r>
              <w:rPr>
                <w:rFonts w:ascii="宋体" w:hAnsi="宋体"/>
                <w:b/>
                <w:sz w:val="24"/>
              </w:rPr>
              <w:t>环境标志认证产品</w:t>
            </w:r>
          </w:p>
        </w:tc>
        <w:tc>
          <w:tcPr>
            <w:tcW w:w="985" w:type="dxa"/>
            <w:vAlign w:val="center"/>
          </w:tcPr>
          <w:p w14:paraId="5367B880">
            <w:pPr>
              <w:adjustRightInd w:val="0"/>
              <w:snapToGrid w:val="0"/>
              <w:spacing w:line="360" w:lineRule="auto"/>
              <w:jc w:val="center"/>
              <w:rPr>
                <w:rFonts w:ascii="宋体" w:hAnsi="宋体"/>
                <w:sz w:val="24"/>
              </w:rPr>
            </w:pPr>
            <w:r>
              <w:rPr>
                <w:rFonts w:hint="eastAsia" w:ascii="宋体" w:hAnsi="宋体"/>
                <w:sz w:val="24"/>
                <w:lang w:val="en-US" w:eastAsia="zh-CN"/>
              </w:rPr>
              <w:t>3</w:t>
            </w:r>
            <w:r>
              <w:rPr>
                <w:rFonts w:hint="eastAsia" w:ascii="华文仿宋" w:hAnsi="华文仿宋" w:cs="仿宋"/>
                <w:b/>
                <w:sz w:val="24"/>
                <w:szCs w:val="24"/>
              </w:rPr>
              <w:t>分</w:t>
            </w:r>
          </w:p>
        </w:tc>
        <w:tc>
          <w:tcPr>
            <w:tcW w:w="6816" w:type="dxa"/>
            <w:vAlign w:val="center"/>
          </w:tcPr>
          <w:p w14:paraId="56C758B0">
            <w:pPr>
              <w:adjustRightInd w:val="0"/>
              <w:snapToGrid w:val="0"/>
              <w:spacing w:line="276" w:lineRule="auto"/>
              <w:jc w:val="left"/>
              <w:rPr>
                <w:rFonts w:hint="eastAsia" w:ascii="仿宋" w:hAnsi="仿宋" w:eastAsia="仿宋" w:cs="仿宋"/>
                <w:color w:val="auto"/>
                <w:sz w:val="24"/>
                <w:lang w:val="en-US" w:eastAsia="zh-CN"/>
              </w:rPr>
            </w:pPr>
            <w:r>
              <w:rPr>
                <w:rFonts w:hint="eastAsia" w:ascii="仿宋" w:hAnsi="仿宋" w:eastAsia="仿宋" w:cs="仿宋"/>
                <w:color w:val="auto"/>
                <w:sz w:val="24"/>
              </w:rPr>
              <w:t>所投产品</w:t>
            </w:r>
            <w:r>
              <w:rPr>
                <w:rFonts w:hint="eastAsia" w:ascii="仿宋" w:hAnsi="仿宋" w:eastAsia="仿宋" w:cs="仿宋"/>
                <w:color w:val="auto"/>
                <w:sz w:val="24"/>
                <w:lang w:val="en-US" w:eastAsia="zh-CN"/>
              </w:rPr>
              <w:t>9</w:t>
            </w:r>
            <w:r>
              <w:rPr>
                <w:rFonts w:hint="eastAsia" w:ascii="仿宋" w:hAnsi="仿宋" w:eastAsia="仿宋" w:cs="仿宋"/>
                <w:color w:val="auto"/>
                <w:sz w:val="24"/>
              </w:rPr>
              <w:t>0%（含）以上为环境标志认证产品的得</w:t>
            </w:r>
            <w:r>
              <w:rPr>
                <w:rFonts w:hint="eastAsia" w:ascii="仿宋" w:hAnsi="仿宋" w:eastAsia="仿宋" w:cs="仿宋"/>
                <w:color w:val="auto"/>
                <w:sz w:val="24"/>
                <w:lang w:val="en-US" w:eastAsia="zh-CN"/>
              </w:rPr>
              <w:t>3</w:t>
            </w:r>
            <w:r>
              <w:rPr>
                <w:rFonts w:hint="eastAsia" w:ascii="仿宋" w:hAnsi="仿宋" w:eastAsia="仿宋" w:cs="仿宋"/>
                <w:color w:val="auto"/>
                <w:sz w:val="24"/>
              </w:rPr>
              <w:t>分，</w:t>
            </w:r>
            <w:r>
              <w:rPr>
                <w:rFonts w:hint="eastAsia" w:ascii="仿宋" w:hAnsi="仿宋" w:eastAsia="仿宋" w:cs="仿宋"/>
                <w:color w:val="auto"/>
                <w:sz w:val="24"/>
                <w:lang w:val="en-US" w:eastAsia="zh-CN"/>
              </w:rPr>
              <w:t>6</w:t>
            </w:r>
            <w:r>
              <w:rPr>
                <w:rFonts w:hint="eastAsia" w:ascii="仿宋" w:hAnsi="仿宋" w:eastAsia="仿宋" w:cs="仿宋"/>
                <w:color w:val="auto"/>
                <w:sz w:val="24"/>
              </w:rPr>
              <w:t>0%（含）以上为环境标志认证产品的得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w:t>
            </w:r>
            <w:r>
              <w:rPr>
                <w:rFonts w:hint="eastAsia" w:ascii="仿宋" w:hAnsi="仿宋" w:eastAsia="仿宋" w:cs="仿宋"/>
                <w:color w:val="auto"/>
                <w:sz w:val="24"/>
                <w:lang w:val="en-US" w:eastAsia="zh-CN"/>
              </w:rPr>
              <w:t>3</w:t>
            </w:r>
            <w:r>
              <w:rPr>
                <w:rFonts w:hint="eastAsia" w:ascii="仿宋" w:hAnsi="仿宋" w:eastAsia="仿宋" w:cs="仿宋"/>
                <w:color w:val="auto"/>
                <w:sz w:val="24"/>
              </w:rPr>
              <w:t>0%（含）以上为环境标志认证产品的得</w:t>
            </w:r>
            <w:r>
              <w:rPr>
                <w:rFonts w:hint="eastAsia" w:ascii="仿宋" w:hAnsi="仿宋" w:eastAsia="仿宋" w:cs="仿宋"/>
                <w:color w:val="auto"/>
                <w:sz w:val="24"/>
                <w:lang w:val="en-US" w:eastAsia="zh-CN"/>
              </w:rPr>
              <w:t>1</w:t>
            </w:r>
            <w:r>
              <w:rPr>
                <w:rFonts w:hint="eastAsia" w:ascii="仿宋" w:hAnsi="仿宋" w:eastAsia="仿宋" w:cs="仿宋"/>
                <w:color w:val="auto"/>
                <w:sz w:val="24"/>
              </w:rPr>
              <w:t>分，</w:t>
            </w:r>
            <w:r>
              <w:rPr>
                <w:rFonts w:hint="eastAsia" w:ascii="仿宋" w:hAnsi="仿宋" w:eastAsia="仿宋" w:cs="仿宋"/>
                <w:color w:val="auto"/>
                <w:sz w:val="24"/>
                <w:lang w:val="en-US" w:eastAsia="zh-CN"/>
              </w:rPr>
              <w:t>3</w:t>
            </w:r>
            <w:r>
              <w:rPr>
                <w:rFonts w:hint="eastAsia" w:ascii="仿宋" w:hAnsi="仿宋" w:eastAsia="仿宋" w:cs="仿宋"/>
                <w:color w:val="auto"/>
                <w:sz w:val="24"/>
              </w:rPr>
              <w:t>0%以下不得分。</w:t>
            </w:r>
            <w:r>
              <w:rPr>
                <w:rFonts w:hint="eastAsia" w:ascii="仿宋" w:hAnsi="仿宋" w:eastAsia="仿宋" w:cs="仿宋"/>
                <w:color w:val="auto"/>
                <w:sz w:val="24"/>
                <w:lang w:val="en-US" w:eastAsia="zh-CN"/>
              </w:rPr>
              <w:t>最高得3分。（以投标产品清单项数按比例计，总项数102项）</w:t>
            </w:r>
          </w:p>
          <w:p w14:paraId="2F119768">
            <w:pPr>
              <w:keepNext w:val="0"/>
              <w:keepLines w:val="0"/>
              <w:widowControl/>
              <w:suppressLineNumbers w:val="0"/>
              <w:jc w:val="left"/>
              <w:rPr>
                <w:rFonts w:hint="eastAsia" w:ascii="仿宋" w:hAnsi="仿宋" w:eastAsia="仿宋" w:cs="仿宋"/>
              </w:rPr>
            </w:pPr>
            <w:r>
              <w:rPr>
                <w:rFonts w:hint="eastAsia" w:ascii="仿宋" w:hAnsi="仿宋" w:eastAsia="仿宋" w:cs="仿宋"/>
                <w:sz w:val="24"/>
                <w:lang w:val="en-US" w:eastAsia="zh-CN"/>
              </w:rPr>
              <w:t>评审依据：</w:t>
            </w:r>
            <w:r>
              <w:rPr>
                <w:rFonts w:hint="eastAsia" w:ascii="仿宋" w:hAnsi="仿宋" w:eastAsia="仿宋" w:cs="仿宋"/>
                <w:color w:val="000000"/>
                <w:kern w:val="0"/>
                <w:sz w:val="24"/>
                <w:szCs w:val="24"/>
                <w:lang w:val="en-US" w:eastAsia="zh-CN" w:bidi="ar"/>
              </w:rPr>
              <w:t xml:space="preserve">投标人所投产品为“环境标志产品政府采购品目清单”内的，需提供该产品经国家确定的认证机构出具的且处于有效期内的中国环境标志产品认证证书。 </w:t>
            </w:r>
          </w:p>
          <w:p w14:paraId="35469C11">
            <w:pPr>
              <w:keepNext w:val="0"/>
              <w:keepLines w:val="0"/>
              <w:widowControl/>
              <w:suppressLineNumbers w:val="0"/>
              <w:jc w:val="left"/>
              <w:rPr>
                <w:rFonts w:hint="eastAsia" w:ascii="仿宋" w:hAnsi="仿宋" w:eastAsia="仿宋" w:cs="仿宋"/>
                <w:sz w:val="24"/>
                <w:lang w:val="en-US" w:eastAsia="zh-CN"/>
              </w:rPr>
            </w:pPr>
            <w:r>
              <w:rPr>
                <w:rFonts w:hint="eastAsia" w:ascii="仿宋" w:hAnsi="仿宋" w:eastAsia="仿宋" w:cs="仿宋"/>
                <w:color w:val="000000"/>
                <w:kern w:val="0"/>
                <w:sz w:val="24"/>
                <w:szCs w:val="24"/>
                <w:lang w:val="en-US" w:eastAsia="zh-CN" w:bidi="ar"/>
              </w:rPr>
              <w:t>评审依据：加盖投标人公章的证明材料</w:t>
            </w:r>
            <w:r>
              <w:rPr>
                <w:rFonts w:hint="eastAsia" w:ascii="仿宋" w:hAnsi="仿宋" w:eastAsia="仿宋" w:cs="仿宋"/>
                <w:sz w:val="24"/>
                <w:lang w:val="en-US" w:eastAsia="zh-CN"/>
              </w:rPr>
              <w:t>及其所占比例，投标人应自行编制汇总表格以便于评审</w:t>
            </w:r>
            <w:r>
              <w:rPr>
                <w:rFonts w:hint="eastAsia" w:ascii="仿宋" w:hAnsi="仿宋" w:eastAsia="仿宋" w:cs="仿宋"/>
                <w:color w:val="auto"/>
                <w:kern w:val="2"/>
                <w:sz w:val="24"/>
                <w:szCs w:val="28"/>
                <w:lang w:val="en-US" w:eastAsia="zh-CN" w:bidi="ar-SA"/>
              </w:rPr>
              <w:t>。</w:t>
            </w:r>
          </w:p>
        </w:tc>
        <w:tc>
          <w:tcPr>
            <w:tcW w:w="507" w:type="dxa"/>
          </w:tcPr>
          <w:p w14:paraId="04FE68A1">
            <w:pPr>
              <w:spacing w:line="370" w:lineRule="exact"/>
              <w:jc w:val="center"/>
              <w:rPr>
                <w:rFonts w:ascii="华文仿宋" w:hAnsi="华文仿宋" w:cs="仿宋"/>
                <w:b/>
                <w:color w:val="FF0000"/>
                <w:sz w:val="24"/>
                <w:szCs w:val="24"/>
              </w:rPr>
            </w:pPr>
          </w:p>
        </w:tc>
      </w:tr>
      <w:tr w14:paraId="1E6C1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929" w:type="dxa"/>
            <w:vMerge w:val="restart"/>
            <w:vAlign w:val="center"/>
          </w:tcPr>
          <w:p w14:paraId="274A1525">
            <w:pPr>
              <w:spacing w:line="370" w:lineRule="exact"/>
              <w:jc w:val="center"/>
              <w:rPr>
                <w:rFonts w:ascii="宋体" w:hAnsi="宋体"/>
                <w:b/>
                <w:sz w:val="24"/>
              </w:rPr>
            </w:pPr>
            <w:r>
              <w:rPr>
                <w:rFonts w:hint="eastAsia" w:ascii="宋体" w:hAnsi="宋体"/>
                <w:b/>
                <w:sz w:val="24"/>
              </w:rPr>
              <w:t>质量保证</w:t>
            </w:r>
          </w:p>
        </w:tc>
        <w:tc>
          <w:tcPr>
            <w:tcW w:w="985" w:type="dxa"/>
            <w:vMerge w:val="restart"/>
            <w:vAlign w:val="center"/>
          </w:tcPr>
          <w:p w14:paraId="15E9F828">
            <w:pPr>
              <w:spacing w:line="370" w:lineRule="exact"/>
              <w:jc w:val="center"/>
              <w:rPr>
                <w:rFonts w:ascii="宋体" w:hAnsi="宋体"/>
                <w:sz w:val="24"/>
              </w:rPr>
            </w:pPr>
            <w:r>
              <w:rPr>
                <w:rFonts w:hint="eastAsia" w:ascii="宋体" w:hAnsi="宋体"/>
                <w:sz w:val="24"/>
                <w:lang w:val="en-US" w:eastAsia="zh-CN"/>
              </w:rPr>
              <w:t>7</w:t>
            </w:r>
            <w:r>
              <w:rPr>
                <w:rFonts w:hint="eastAsia" w:ascii="华文仿宋" w:hAnsi="华文仿宋" w:cs="仿宋"/>
                <w:b/>
                <w:sz w:val="24"/>
                <w:szCs w:val="24"/>
              </w:rPr>
              <w:t>分</w:t>
            </w:r>
          </w:p>
        </w:tc>
        <w:tc>
          <w:tcPr>
            <w:tcW w:w="6816" w:type="dxa"/>
            <w:vAlign w:val="center"/>
          </w:tcPr>
          <w:p w14:paraId="234CBCFE">
            <w:pPr>
              <w:numPr>
                <w:ilvl w:val="0"/>
                <w:numId w:val="0"/>
              </w:numPr>
              <w:jc w:val="left"/>
              <w:rPr>
                <w:rFonts w:hint="eastAsia" w:ascii="仿宋" w:hAnsi="仿宋" w:eastAsia="仿宋" w:cs="仿宋"/>
                <w:sz w:val="24"/>
                <w:lang w:val="zh-CN"/>
              </w:rPr>
            </w:pPr>
            <w:r>
              <w:rPr>
                <w:rFonts w:hint="eastAsia" w:ascii="仿宋" w:hAnsi="仿宋" w:eastAsia="仿宋" w:cs="仿宋"/>
                <w:kern w:val="2"/>
                <w:sz w:val="24"/>
                <w:szCs w:val="28"/>
                <w:lang w:val="zh-CN" w:eastAsia="zh-CN" w:bidi="ar-SA"/>
              </w:rPr>
              <w:t>1、</w:t>
            </w:r>
            <w:r>
              <w:rPr>
                <w:rFonts w:hint="eastAsia" w:ascii="仿宋" w:hAnsi="仿宋" w:eastAsia="仿宋" w:cs="仿宋"/>
                <w:sz w:val="24"/>
                <w:lang w:val="en-US" w:eastAsia="zh-CN"/>
              </w:rPr>
              <w:t>所投产品</w:t>
            </w:r>
            <w:r>
              <w:rPr>
                <w:rFonts w:hint="eastAsia" w:ascii="仿宋" w:hAnsi="仿宋" w:eastAsia="仿宋" w:cs="仿宋"/>
                <w:sz w:val="24"/>
                <w:lang w:val="zh-CN"/>
              </w:rPr>
              <w:t>供货渠道正规，质量可靠，在投标文件中所附</w:t>
            </w:r>
            <w:r>
              <w:rPr>
                <w:rFonts w:hint="eastAsia" w:ascii="仿宋" w:hAnsi="仿宋" w:eastAsia="仿宋" w:cs="仿宋"/>
                <w:color w:val="auto"/>
                <w:sz w:val="24"/>
                <w:lang w:val="en-US" w:eastAsia="zh-CN"/>
              </w:rPr>
              <w:t>合法来源证明文件</w:t>
            </w:r>
            <w:r>
              <w:rPr>
                <w:rFonts w:hint="eastAsia" w:ascii="仿宋" w:hAnsi="仿宋" w:eastAsia="仿宋" w:cs="仿宋"/>
                <w:color w:val="auto"/>
                <w:sz w:val="24"/>
                <w:lang w:val="zh-CN"/>
              </w:rPr>
              <w:t>，</w:t>
            </w:r>
            <w:r>
              <w:rPr>
                <w:rFonts w:hint="eastAsia" w:ascii="仿宋" w:hAnsi="仿宋" w:eastAsia="仿宋" w:cs="仿宋"/>
                <w:color w:val="auto"/>
                <w:sz w:val="24"/>
              </w:rPr>
              <w:t>所投产品</w:t>
            </w:r>
            <w:r>
              <w:rPr>
                <w:rFonts w:hint="eastAsia" w:ascii="仿宋" w:hAnsi="仿宋" w:eastAsia="仿宋" w:cs="仿宋"/>
                <w:color w:val="auto"/>
                <w:sz w:val="24"/>
                <w:lang w:val="en-US" w:eastAsia="zh-CN"/>
              </w:rPr>
              <w:t>9</w:t>
            </w:r>
            <w:r>
              <w:rPr>
                <w:rFonts w:hint="eastAsia" w:ascii="仿宋" w:hAnsi="仿宋" w:eastAsia="仿宋" w:cs="仿宋"/>
                <w:color w:val="auto"/>
                <w:sz w:val="24"/>
              </w:rPr>
              <w:t>0%（含）以上的得</w:t>
            </w:r>
            <w:r>
              <w:rPr>
                <w:rFonts w:hint="eastAsia" w:ascii="仿宋" w:hAnsi="仿宋" w:eastAsia="仿宋" w:cs="仿宋"/>
                <w:color w:val="auto"/>
                <w:sz w:val="24"/>
                <w:lang w:val="en-US" w:eastAsia="zh-CN"/>
              </w:rPr>
              <w:t>3</w:t>
            </w:r>
            <w:r>
              <w:rPr>
                <w:rFonts w:hint="eastAsia" w:ascii="仿宋" w:hAnsi="仿宋" w:eastAsia="仿宋" w:cs="仿宋"/>
                <w:color w:val="auto"/>
                <w:sz w:val="24"/>
              </w:rPr>
              <w:t>分，</w:t>
            </w:r>
            <w:r>
              <w:rPr>
                <w:rFonts w:hint="eastAsia" w:ascii="仿宋" w:hAnsi="仿宋" w:eastAsia="仿宋" w:cs="仿宋"/>
                <w:color w:val="auto"/>
                <w:sz w:val="24"/>
                <w:lang w:val="en-US" w:eastAsia="zh-CN"/>
              </w:rPr>
              <w:t>6</w:t>
            </w:r>
            <w:r>
              <w:rPr>
                <w:rFonts w:hint="eastAsia" w:ascii="仿宋" w:hAnsi="仿宋" w:eastAsia="仿宋" w:cs="仿宋"/>
                <w:color w:val="auto"/>
                <w:sz w:val="24"/>
              </w:rPr>
              <w:t>0%（含）以上的得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w:t>
            </w:r>
            <w:r>
              <w:rPr>
                <w:rFonts w:hint="eastAsia" w:ascii="仿宋" w:hAnsi="仿宋" w:eastAsia="仿宋" w:cs="仿宋"/>
                <w:color w:val="auto"/>
                <w:sz w:val="24"/>
                <w:lang w:val="en-US" w:eastAsia="zh-CN"/>
              </w:rPr>
              <w:t>3</w:t>
            </w:r>
            <w:r>
              <w:rPr>
                <w:rFonts w:hint="eastAsia" w:ascii="仿宋" w:hAnsi="仿宋" w:eastAsia="仿宋" w:cs="仿宋"/>
                <w:color w:val="auto"/>
                <w:sz w:val="24"/>
              </w:rPr>
              <w:t>0%（含）以上的得</w:t>
            </w:r>
            <w:r>
              <w:rPr>
                <w:rFonts w:hint="eastAsia" w:ascii="仿宋" w:hAnsi="仿宋" w:eastAsia="仿宋" w:cs="仿宋"/>
                <w:color w:val="auto"/>
                <w:sz w:val="24"/>
                <w:lang w:val="en-US" w:eastAsia="zh-CN"/>
              </w:rPr>
              <w:t>1</w:t>
            </w:r>
            <w:r>
              <w:rPr>
                <w:rFonts w:hint="eastAsia" w:ascii="仿宋" w:hAnsi="仿宋" w:eastAsia="仿宋" w:cs="仿宋"/>
                <w:color w:val="auto"/>
                <w:sz w:val="24"/>
              </w:rPr>
              <w:t>分，</w:t>
            </w:r>
            <w:r>
              <w:rPr>
                <w:rFonts w:hint="eastAsia" w:ascii="仿宋" w:hAnsi="仿宋" w:eastAsia="仿宋" w:cs="仿宋"/>
                <w:color w:val="auto"/>
                <w:sz w:val="24"/>
                <w:lang w:val="en-US" w:eastAsia="zh-CN"/>
              </w:rPr>
              <w:t>3</w:t>
            </w:r>
            <w:r>
              <w:rPr>
                <w:rFonts w:hint="eastAsia" w:ascii="仿宋" w:hAnsi="仿宋" w:eastAsia="仿宋" w:cs="仿宋"/>
                <w:color w:val="auto"/>
                <w:sz w:val="24"/>
              </w:rPr>
              <w:t>0%以下不得分。</w:t>
            </w:r>
            <w:r>
              <w:rPr>
                <w:rFonts w:hint="eastAsia" w:ascii="仿宋" w:hAnsi="仿宋" w:eastAsia="仿宋" w:cs="仿宋"/>
                <w:color w:val="auto"/>
                <w:sz w:val="24"/>
                <w:lang w:val="en-US" w:eastAsia="zh-CN"/>
              </w:rPr>
              <w:t>最高得3分。（以投标产品清单项数按比例计，总项数102项）</w:t>
            </w:r>
          </w:p>
          <w:p w14:paraId="1A97831F">
            <w:pPr>
              <w:keepNext w:val="0"/>
              <w:keepLines w:val="0"/>
              <w:widowControl/>
              <w:suppressLineNumbers w:val="0"/>
              <w:jc w:val="left"/>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评审依据：</w:t>
            </w:r>
          </w:p>
          <w:p w14:paraId="49E3E184">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1、如投标人为所投产品代理商：提供货物的合法来源渠道证明文件（例如：产品制造商授权、销售协议、代理协议等证明文件）。 </w:t>
            </w:r>
          </w:p>
          <w:p w14:paraId="7BFDC73B">
            <w:pPr>
              <w:keepNext w:val="0"/>
              <w:keepLines w:val="0"/>
              <w:widowControl/>
              <w:suppressLineNumbers w:val="0"/>
              <w:jc w:val="left"/>
              <w:rPr>
                <w:rFonts w:hint="eastAsia" w:ascii="仿宋" w:hAnsi="仿宋" w:eastAsia="仿宋" w:cs="仿宋"/>
                <w:color w:val="auto"/>
                <w:kern w:val="2"/>
                <w:sz w:val="24"/>
                <w:szCs w:val="28"/>
                <w:lang w:val="en-US" w:eastAsia="zh-CN" w:bidi="ar-SA"/>
              </w:rPr>
            </w:pPr>
            <w:r>
              <w:rPr>
                <w:rFonts w:hint="eastAsia" w:ascii="仿宋" w:hAnsi="仿宋" w:eastAsia="仿宋" w:cs="仿宋"/>
                <w:color w:val="000000"/>
                <w:kern w:val="0"/>
                <w:sz w:val="24"/>
                <w:szCs w:val="24"/>
                <w:lang w:val="en-US" w:eastAsia="zh-CN" w:bidi="ar"/>
              </w:rPr>
              <w:t>2、如投标人为所投产品的制造商：需提供情况说明（说明产品为制造商自己生产）。</w:t>
            </w:r>
          </w:p>
          <w:p w14:paraId="451070ED">
            <w:pPr>
              <w:pStyle w:val="24"/>
              <w:numPr>
                <w:ilvl w:val="0"/>
                <w:numId w:val="0"/>
              </w:numPr>
              <w:rPr>
                <w:rFonts w:hint="eastAsia" w:ascii="仿宋" w:hAnsi="仿宋" w:eastAsia="仿宋" w:cs="仿宋"/>
                <w:lang w:val="en-US" w:eastAsia="zh-CN"/>
              </w:rPr>
            </w:pPr>
            <w:r>
              <w:rPr>
                <w:rFonts w:hint="eastAsia" w:ascii="仿宋" w:hAnsi="仿宋" w:eastAsia="仿宋" w:cs="仿宋"/>
                <w:color w:val="auto"/>
                <w:kern w:val="2"/>
                <w:sz w:val="24"/>
                <w:szCs w:val="28"/>
                <w:lang w:val="en-US" w:eastAsia="zh-CN" w:bidi="ar-SA"/>
              </w:rPr>
              <w:t>所附合法来源证明文件</w:t>
            </w:r>
            <w:r>
              <w:rPr>
                <w:rFonts w:hint="eastAsia" w:ascii="仿宋" w:hAnsi="仿宋" w:eastAsia="仿宋" w:cs="仿宋"/>
                <w:sz w:val="24"/>
              </w:rPr>
              <w:t>扫描件</w:t>
            </w:r>
            <w:r>
              <w:rPr>
                <w:rFonts w:hint="eastAsia" w:ascii="仿宋" w:hAnsi="仿宋" w:eastAsia="仿宋" w:cs="仿宋"/>
                <w:sz w:val="24"/>
                <w:lang w:val="en-US" w:eastAsia="zh-CN"/>
              </w:rPr>
              <w:t>加盖公章及其所占比例，投标人应自行编制汇总表格以便于评审</w:t>
            </w:r>
            <w:r>
              <w:rPr>
                <w:rFonts w:hint="eastAsia" w:ascii="仿宋" w:hAnsi="仿宋" w:eastAsia="仿宋" w:cs="仿宋"/>
                <w:color w:val="auto"/>
                <w:kern w:val="2"/>
                <w:sz w:val="24"/>
                <w:szCs w:val="28"/>
                <w:lang w:val="en-US" w:eastAsia="zh-CN" w:bidi="ar-SA"/>
              </w:rPr>
              <w:t>。</w:t>
            </w:r>
          </w:p>
        </w:tc>
        <w:tc>
          <w:tcPr>
            <w:tcW w:w="507" w:type="dxa"/>
            <w:vMerge w:val="restart"/>
          </w:tcPr>
          <w:p w14:paraId="61130957">
            <w:pPr>
              <w:spacing w:line="370" w:lineRule="exact"/>
              <w:jc w:val="center"/>
              <w:rPr>
                <w:rFonts w:ascii="华文仿宋" w:hAnsi="华文仿宋" w:cs="仿宋"/>
                <w:b/>
                <w:color w:val="FF0000"/>
                <w:sz w:val="24"/>
                <w:szCs w:val="24"/>
              </w:rPr>
            </w:pPr>
          </w:p>
        </w:tc>
      </w:tr>
      <w:tr w14:paraId="2BD8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929" w:type="dxa"/>
            <w:vMerge w:val="continue"/>
            <w:vAlign w:val="center"/>
          </w:tcPr>
          <w:p w14:paraId="7AE15886">
            <w:pPr>
              <w:spacing w:line="370" w:lineRule="exact"/>
              <w:jc w:val="center"/>
              <w:rPr>
                <w:rFonts w:ascii="宋体" w:hAnsi="宋体"/>
                <w:sz w:val="24"/>
              </w:rPr>
            </w:pPr>
          </w:p>
        </w:tc>
        <w:tc>
          <w:tcPr>
            <w:tcW w:w="985" w:type="dxa"/>
            <w:vMerge w:val="continue"/>
            <w:vAlign w:val="center"/>
          </w:tcPr>
          <w:p w14:paraId="4F2B37C9">
            <w:pPr>
              <w:spacing w:line="370" w:lineRule="exact"/>
              <w:jc w:val="center"/>
              <w:rPr>
                <w:rFonts w:ascii="宋体" w:hAnsi="宋体"/>
                <w:sz w:val="24"/>
              </w:rPr>
            </w:pPr>
          </w:p>
        </w:tc>
        <w:tc>
          <w:tcPr>
            <w:tcW w:w="6816" w:type="dxa"/>
            <w:vAlign w:val="center"/>
          </w:tcPr>
          <w:p w14:paraId="36AC3652">
            <w:pPr>
              <w:pStyle w:val="24"/>
              <w:numPr>
                <w:ilvl w:val="0"/>
                <w:numId w:val="0"/>
              </w:numPr>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2.投标人所投产品（金属家具、木家具、软体家具）获得“低VOCs 家具产品认证证书”认证的，每有一项得0.5分，满分</w:t>
            </w:r>
            <w:r>
              <w:rPr>
                <w:rFonts w:hint="eastAsia" w:ascii="仿宋" w:hAnsi="仿宋" w:eastAsia="仿宋" w:cs="仿宋"/>
                <w:b/>
                <w:bCs/>
                <w:color w:val="auto"/>
                <w:kern w:val="2"/>
                <w:sz w:val="24"/>
                <w:szCs w:val="28"/>
                <w:lang w:val="en-US" w:eastAsia="zh-CN" w:bidi="ar-SA"/>
              </w:rPr>
              <w:t>1.</w:t>
            </w:r>
            <w:r>
              <w:rPr>
                <w:rFonts w:hint="eastAsia" w:ascii="仿宋" w:hAnsi="仿宋" w:eastAsia="仿宋" w:cs="仿宋"/>
                <w:color w:val="auto"/>
                <w:kern w:val="2"/>
                <w:sz w:val="24"/>
                <w:szCs w:val="28"/>
                <w:lang w:val="en-US" w:eastAsia="zh-CN" w:bidi="ar-SA"/>
              </w:rPr>
              <w:t>5分。</w:t>
            </w:r>
          </w:p>
          <w:p w14:paraId="70A3D86E">
            <w:pPr>
              <w:pStyle w:val="24"/>
              <w:numPr>
                <w:ilvl w:val="0"/>
                <w:numId w:val="0"/>
              </w:numPr>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3.投标人所投产品（人造板家具、板木家具、实木家具、金属家具、软体家具）获得“中国绿色产品认证证书”认证的，每有一项得0.5分，满分</w:t>
            </w:r>
            <w:r>
              <w:rPr>
                <w:rFonts w:hint="eastAsia" w:ascii="仿宋" w:hAnsi="仿宋" w:eastAsia="仿宋" w:cs="仿宋"/>
                <w:b/>
                <w:bCs/>
                <w:color w:val="auto"/>
                <w:kern w:val="2"/>
                <w:sz w:val="24"/>
                <w:szCs w:val="28"/>
                <w:lang w:val="en-US" w:eastAsia="zh-CN" w:bidi="ar-SA"/>
              </w:rPr>
              <w:t>2.5</w:t>
            </w:r>
            <w:r>
              <w:rPr>
                <w:rFonts w:hint="eastAsia" w:ascii="仿宋" w:hAnsi="仿宋" w:eastAsia="仿宋" w:cs="仿宋"/>
                <w:color w:val="auto"/>
                <w:kern w:val="2"/>
                <w:sz w:val="24"/>
                <w:szCs w:val="28"/>
                <w:lang w:val="en-US" w:eastAsia="zh-CN" w:bidi="ar-SA"/>
              </w:rPr>
              <w:t>分。</w:t>
            </w:r>
          </w:p>
          <w:p w14:paraId="54456577">
            <w:pPr>
              <w:pStyle w:val="24"/>
              <w:numPr>
                <w:ilvl w:val="0"/>
                <w:numId w:val="0"/>
              </w:numPr>
              <w:rPr>
                <w:rFonts w:hint="eastAsia" w:ascii="仿宋" w:hAnsi="仿宋" w:eastAsia="仿宋" w:cs="仿宋"/>
                <w:lang w:val="en-US" w:eastAsia="zh-CN"/>
              </w:rPr>
            </w:pPr>
            <w:r>
              <w:rPr>
                <w:rFonts w:hint="eastAsia" w:ascii="仿宋" w:hAnsi="仿宋" w:eastAsia="仿宋" w:cs="仿宋"/>
                <w:color w:val="auto"/>
                <w:kern w:val="2"/>
                <w:sz w:val="24"/>
                <w:szCs w:val="28"/>
                <w:lang w:val="en-US" w:eastAsia="zh-CN" w:bidi="ar-SA"/>
              </w:rPr>
              <w:t>评审依据：（提供有效期内的证书扫描件及认监委查询截图并加盖公章，否则不得分）。</w:t>
            </w:r>
          </w:p>
        </w:tc>
        <w:tc>
          <w:tcPr>
            <w:tcW w:w="507" w:type="dxa"/>
            <w:vMerge w:val="continue"/>
          </w:tcPr>
          <w:p w14:paraId="4D7FFD85">
            <w:pPr>
              <w:spacing w:line="370" w:lineRule="exact"/>
              <w:jc w:val="center"/>
              <w:rPr>
                <w:rFonts w:ascii="华文仿宋" w:hAnsi="华文仿宋" w:cs="仿宋"/>
                <w:b/>
                <w:color w:val="FF0000"/>
                <w:sz w:val="24"/>
                <w:szCs w:val="24"/>
              </w:rPr>
            </w:pPr>
          </w:p>
        </w:tc>
      </w:tr>
      <w:tr w14:paraId="71FE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929" w:type="dxa"/>
            <w:vAlign w:val="center"/>
          </w:tcPr>
          <w:p w14:paraId="7FB38B5D">
            <w:pPr>
              <w:spacing w:line="370" w:lineRule="exact"/>
              <w:jc w:val="center"/>
              <w:rPr>
                <w:rFonts w:ascii="华文仿宋" w:hAnsi="华文仿宋" w:cs="仿宋"/>
                <w:b/>
                <w:color w:val="FF0000"/>
                <w:sz w:val="24"/>
                <w:szCs w:val="24"/>
              </w:rPr>
            </w:pPr>
            <w:r>
              <w:rPr>
                <w:rFonts w:hint="eastAsia" w:ascii="宋体" w:hAnsi="宋体"/>
                <w:b/>
                <w:sz w:val="24"/>
              </w:rPr>
              <w:t>供货实施方案</w:t>
            </w:r>
          </w:p>
        </w:tc>
        <w:tc>
          <w:tcPr>
            <w:tcW w:w="985" w:type="dxa"/>
            <w:vAlign w:val="center"/>
          </w:tcPr>
          <w:p w14:paraId="23D2B346">
            <w:pPr>
              <w:spacing w:line="370" w:lineRule="exact"/>
              <w:jc w:val="center"/>
              <w:rPr>
                <w:rFonts w:ascii="华文仿宋" w:hAnsi="华文仿宋" w:cs="仿宋"/>
                <w:b/>
                <w:sz w:val="24"/>
                <w:szCs w:val="24"/>
              </w:rPr>
            </w:pPr>
            <w:r>
              <w:rPr>
                <w:rFonts w:hint="eastAsia" w:ascii="华文仿宋" w:hAnsi="华文仿宋" w:cs="仿宋"/>
                <w:b/>
                <w:sz w:val="24"/>
                <w:szCs w:val="24"/>
                <w:lang w:val="en-US" w:eastAsia="zh-CN"/>
              </w:rPr>
              <w:t>12</w:t>
            </w:r>
            <w:r>
              <w:rPr>
                <w:rFonts w:hint="eastAsia" w:ascii="华文仿宋" w:hAnsi="华文仿宋" w:cs="仿宋"/>
                <w:b/>
                <w:sz w:val="24"/>
                <w:szCs w:val="24"/>
              </w:rPr>
              <w:t>分</w:t>
            </w:r>
          </w:p>
        </w:tc>
        <w:tc>
          <w:tcPr>
            <w:tcW w:w="6816" w:type="dxa"/>
            <w:vAlign w:val="center"/>
          </w:tcPr>
          <w:p w14:paraId="7EECECF2">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根据本项目实际需求及特点，制定供货实施方案，方案内容包含：1、实施计划；2、</w:t>
            </w:r>
            <w:r>
              <w:rPr>
                <w:rFonts w:hint="eastAsia" w:ascii="仿宋" w:hAnsi="仿宋" w:eastAsia="仿宋" w:cs="仿宋"/>
                <w:color w:val="auto"/>
                <w:sz w:val="24"/>
                <w:lang w:val="zh-CN" w:eastAsia="zh-CN"/>
              </w:rPr>
              <w:t>实施组织机构、</w:t>
            </w:r>
            <w:r>
              <w:rPr>
                <w:rFonts w:hint="eastAsia" w:ascii="仿宋" w:hAnsi="仿宋" w:eastAsia="仿宋" w:cs="仿宋"/>
                <w:color w:val="auto"/>
                <w:sz w:val="24"/>
                <w:lang w:val="en-US" w:eastAsia="zh-CN"/>
              </w:rPr>
              <w:t>技术人员配备</w:t>
            </w:r>
            <w:r>
              <w:rPr>
                <w:rFonts w:hint="eastAsia" w:ascii="仿宋" w:hAnsi="仿宋" w:eastAsia="仿宋" w:cs="仿宋"/>
                <w:color w:val="auto"/>
                <w:sz w:val="24"/>
                <w:lang w:val="zh-CN" w:eastAsia="zh-CN"/>
              </w:rPr>
              <w:t>及责任制度；</w:t>
            </w:r>
            <w:r>
              <w:rPr>
                <w:rFonts w:hint="eastAsia" w:ascii="仿宋" w:hAnsi="仿宋" w:eastAsia="仿宋" w:cs="仿宋"/>
                <w:color w:val="auto"/>
                <w:sz w:val="24"/>
                <w:lang w:val="en-US" w:eastAsia="zh-CN"/>
              </w:rPr>
              <w:t>3、供货、运输、安装、检测、调试、验收计划；4、</w:t>
            </w:r>
            <w:r>
              <w:rPr>
                <w:rFonts w:hint="eastAsia" w:ascii="仿宋" w:hAnsi="仿宋" w:eastAsia="仿宋" w:cs="仿宋"/>
                <w:color w:val="auto"/>
                <w:sz w:val="24"/>
                <w:lang w:val="zh-CN" w:eastAsia="zh-CN"/>
              </w:rPr>
              <w:t>安全保障措施及应急处理措施</w:t>
            </w:r>
            <w:r>
              <w:rPr>
                <w:rFonts w:hint="eastAsia" w:ascii="仿宋" w:hAnsi="仿宋" w:eastAsia="仿宋" w:cs="仿宋"/>
                <w:color w:val="auto"/>
                <w:sz w:val="24"/>
                <w:lang w:val="en-US" w:eastAsia="zh-CN"/>
              </w:rPr>
              <w:t>。</w:t>
            </w:r>
          </w:p>
          <w:p w14:paraId="7E1240D2">
            <w:pPr>
              <w:numPr>
                <w:ilvl w:val="0"/>
                <w:numId w:val="0"/>
              </w:numPr>
              <w:ind w:firstLine="482" w:firstLineChars="200"/>
              <w:jc w:val="lef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评审标准</w:t>
            </w:r>
          </w:p>
          <w:p w14:paraId="58CA2F16">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1、切合本项目实际情况，方案内容完整齐全，对招标文件中各项要求有详细描述及其他内容的补充；</w:t>
            </w:r>
          </w:p>
          <w:p w14:paraId="4ADB57C9">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2、方案内容符合项目实际特点，合理、恰当；</w:t>
            </w:r>
          </w:p>
          <w:p w14:paraId="0BF9BFFE">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3、切合本项目实际情况，根据招标文件要求提出针对本项目实际操作性强的措施方案。</w:t>
            </w:r>
          </w:p>
          <w:p w14:paraId="536E86E2">
            <w:pPr>
              <w:numPr>
                <w:ilvl w:val="0"/>
                <w:numId w:val="0"/>
              </w:numPr>
              <w:ind w:firstLine="482" w:firstLineChars="200"/>
              <w:jc w:val="lef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赋分标准（满分12分）</w:t>
            </w:r>
          </w:p>
          <w:p w14:paraId="4738B67D">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1、实施计划：每完全满足一个评审标准计1分，满分3分；</w:t>
            </w:r>
          </w:p>
          <w:p w14:paraId="465EABDA">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w:t>
            </w:r>
            <w:r>
              <w:rPr>
                <w:rFonts w:hint="eastAsia" w:ascii="仿宋" w:hAnsi="仿宋" w:eastAsia="仿宋" w:cs="仿宋"/>
                <w:color w:val="auto"/>
                <w:sz w:val="24"/>
                <w:lang w:val="zh-CN" w:eastAsia="zh-CN"/>
              </w:rPr>
              <w:t>实施组织机构、</w:t>
            </w:r>
            <w:r>
              <w:rPr>
                <w:rFonts w:hint="eastAsia" w:ascii="仿宋" w:hAnsi="仿宋" w:eastAsia="仿宋" w:cs="仿宋"/>
                <w:color w:val="auto"/>
                <w:sz w:val="24"/>
                <w:lang w:val="en-US" w:eastAsia="zh-CN"/>
              </w:rPr>
              <w:t>技术人员配备</w:t>
            </w:r>
            <w:r>
              <w:rPr>
                <w:rFonts w:hint="eastAsia" w:ascii="仿宋" w:hAnsi="仿宋" w:eastAsia="仿宋" w:cs="仿宋"/>
                <w:color w:val="auto"/>
                <w:sz w:val="24"/>
                <w:lang w:val="zh-CN" w:eastAsia="zh-CN"/>
              </w:rPr>
              <w:t>及责任制度</w:t>
            </w:r>
            <w:r>
              <w:rPr>
                <w:rFonts w:hint="eastAsia" w:ascii="仿宋" w:hAnsi="仿宋" w:eastAsia="仿宋" w:cs="仿宋"/>
                <w:color w:val="auto"/>
                <w:sz w:val="24"/>
                <w:lang w:val="en-US" w:eastAsia="zh-CN"/>
              </w:rPr>
              <w:t>：每完全满足一个评审标准计1分，满分3分；</w:t>
            </w:r>
          </w:p>
          <w:p w14:paraId="63D733C7">
            <w:pPr>
              <w:numPr>
                <w:ilvl w:val="0"/>
                <w:numId w:val="0"/>
              </w:numPr>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3、供货、运输、安装、检测、调试、验收计划：每完全满足一个评审标准计1分，满分3分；</w:t>
            </w:r>
          </w:p>
          <w:p w14:paraId="574F0033">
            <w:pPr>
              <w:numPr>
                <w:ilvl w:val="0"/>
                <w:numId w:val="0"/>
              </w:numPr>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en-US" w:eastAsia="zh-CN"/>
              </w:rPr>
              <w:t>4、</w:t>
            </w:r>
            <w:r>
              <w:rPr>
                <w:rFonts w:hint="eastAsia" w:ascii="仿宋" w:hAnsi="仿宋" w:eastAsia="仿宋" w:cs="仿宋"/>
                <w:color w:val="auto"/>
                <w:sz w:val="24"/>
                <w:lang w:val="zh-CN" w:eastAsia="zh-CN"/>
              </w:rPr>
              <w:t>安全保障措施及应急处理措施</w:t>
            </w:r>
            <w:r>
              <w:rPr>
                <w:rFonts w:hint="eastAsia" w:ascii="仿宋" w:hAnsi="仿宋" w:eastAsia="仿宋" w:cs="仿宋"/>
                <w:color w:val="auto"/>
                <w:sz w:val="24"/>
                <w:lang w:val="en-US" w:eastAsia="zh-CN"/>
              </w:rPr>
              <w:t>：每完全满足一个评审标准计1分，满分3分。</w:t>
            </w:r>
          </w:p>
        </w:tc>
        <w:tc>
          <w:tcPr>
            <w:tcW w:w="507" w:type="dxa"/>
          </w:tcPr>
          <w:p w14:paraId="7FAB292D">
            <w:pPr>
              <w:spacing w:line="370" w:lineRule="exact"/>
              <w:jc w:val="center"/>
              <w:rPr>
                <w:rFonts w:ascii="华文仿宋" w:hAnsi="华文仿宋" w:cs="仿宋"/>
                <w:b/>
                <w:color w:val="FF0000"/>
                <w:sz w:val="24"/>
                <w:szCs w:val="24"/>
              </w:rPr>
            </w:pPr>
          </w:p>
        </w:tc>
      </w:tr>
      <w:tr w14:paraId="5406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929" w:type="dxa"/>
            <w:vAlign w:val="center"/>
          </w:tcPr>
          <w:p w14:paraId="2BFE647C">
            <w:pPr>
              <w:adjustRightInd w:val="0"/>
              <w:snapToGrid w:val="0"/>
              <w:spacing w:line="360" w:lineRule="auto"/>
              <w:jc w:val="center"/>
              <w:rPr>
                <w:rFonts w:hint="default" w:ascii="宋体" w:hAnsi="宋体"/>
                <w:b/>
                <w:sz w:val="24"/>
                <w:lang w:val="en-US"/>
              </w:rPr>
            </w:pPr>
            <w:r>
              <w:rPr>
                <w:rFonts w:hint="eastAsia" w:ascii="宋体" w:hAnsi="宋体"/>
                <w:b/>
                <w:sz w:val="24"/>
                <w:lang w:val="en-US" w:eastAsia="zh-CN"/>
              </w:rPr>
              <w:t>设备保障及支持</w:t>
            </w:r>
          </w:p>
        </w:tc>
        <w:tc>
          <w:tcPr>
            <w:tcW w:w="985" w:type="dxa"/>
            <w:vAlign w:val="center"/>
          </w:tcPr>
          <w:p w14:paraId="5108C284">
            <w:pPr>
              <w:adjustRightInd w:val="0"/>
              <w:snapToGrid w:val="0"/>
              <w:spacing w:line="360" w:lineRule="auto"/>
              <w:jc w:val="center"/>
              <w:rPr>
                <w:rFonts w:hint="eastAsia" w:ascii="华文仿宋" w:hAnsi="华文仿宋" w:cs="仿宋"/>
                <w:b/>
                <w:sz w:val="24"/>
                <w:szCs w:val="24"/>
                <w:lang w:val="en-US" w:eastAsia="zh-CN"/>
              </w:rPr>
            </w:pPr>
            <w:r>
              <w:rPr>
                <w:rFonts w:hint="eastAsia" w:ascii="宋体" w:hAnsi="宋体"/>
                <w:sz w:val="24"/>
                <w:lang w:val="en-US" w:eastAsia="zh-CN"/>
              </w:rPr>
              <w:t>6</w:t>
            </w:r>
            <w:r>
              <w:rPr>
                <w:rFonts w:hint="eastAsia" w:ascii="华文仿宋" w:hAnsi="华文仿宋" w:cs="仿宋"/>
                <w:b/>
                <w:sz w:val="24"/>
                <w:szCs w:val="24"/>
              </w:rPr>
              <w:t>分</w:t>
            </w:r>
          </w:p>
        </w:tc>
        <w:tc>
          <w:tcPr>
            <w:tcW w:w="6816" w:type="dxa"/>
            <w:vAlign w:val="center"/>
          </w:tcPr>
          <w:p w14:paraId="7202FA96">
            <w:pPr>
              <w:adjustRightInd w:val="0"/>
              <w:snapToGrid w:val="0"/>
              <w:spacing w:line="276" w:lineRule="auto"/>
              <w:jc w:val="left"/>
              <w:rPr>
                <w:rFonts w:hint="eastAsia" w:ascii="仿宋" w:hAnsi="仿宋" w:eastAsia="仿宋" w:cs="仿宋"/>
                <w:color w:val="auto"/>
                <w:sz w:val="24"/>
                <w:lang w:val="zh-CN"/>
              </w:rPr>
            </w:pPr>
            <w:r>
              <w:rPr>
                <w:rFonts w:hint="eastAsia" w:ascii="仿宋" w:hAnsi="仿宋" w:eastAsia="仿宋" w:cs="仿宋"/>
                <w:color w:val="auto"/>
                <w:sz w:val="24"/>
                <w:lang w:val="zh-CN"/>
              </w:rPr>
              <w:t>根据项目</w:t>
            </w:r>
            <w:r>
              <w:rPr>
                <w:rFonts w:hint="eastAsia" w:ascii="仿宋" w:hAnsi="仿宋" w:eastAsia="仿宋" w:cs="仿宋"/>
                <w:color w:val="auto"/>
                <w:sz w:val="24"/>
                <w:lang w:val="en-US" w:eastAsia="zh-CN"/>
              </w:rPr>
              <w:t>采购</w:t>
            </w:r>
            <w:r>
              <w:rPr>
                <w:rFonts w:hint="eastAsia" w:ascii="仿宋" w:hAnsi="仿宋" w:eastAsia="仿宋" w:cs="仿宋"/>
                <w:color w:val="auto"/>
                <w:sz w:val="24"/>
                <w:lang w:val="zh-CN"/>
              </w:rPr>
              <w:t>实际需求，提供针对本项目</w:t>
            </w:r>
            <w:r>
              <w:rPr>
                <w:rFonts w:hint="eastAsia" w:ascii="仿宋" w:hAnsi="仿宋" w:eastAsia="仿宋" w:cs="仿宋"/>
                <w:color w:val="auto"/>
                <w:sz w:val="24"/>
                <w:lang w:val="en-US" w:eastAsia="zh-CN"/>
              </w:rPr>
              <w:t>所投产品</w:t>
            </w:r>
            <w:r>
              <w:rPr>
                <w:rFonts w:hint="eastAsia" w:ascii="仿宋" w:hAnsi="仿宋" w:eastAsia="仿宋" w:cs="仿宋"/>
                <w:color w:val="auto"/>
                <w:sz w:val="24"/>
                <w:lang w:val="zh-CN"/>
              </w:rPr>
              <w:t>的</w:t>
            </w:r>
            <w:r>
              <w:rPr>
                <w:rFonts w:hint="eastAsia" w:ascii="仿宋" w:hAnsi="仿宋" w:eastAsia="仿宋" w:cs="仿宋"/>
                <w:color w:val="auto"/>
                <w:sz w:val="24"/>
                <w:lang w:val="en-US" w:eastAsia="zh-CN"/>
              </w:rPr>
              <w:t>设备保障及支持</w:t>
            </w:r>
            <w:r>
              <w:rPr>
                <w:rFonts w:hint="eastAsia" w:ascii="仿宋" w:hAnsi="仿宋" w:eastAsia="仿宋" w:cs="仿宋"/>
                <w:color w:val="auto"/>
                <w:sz w:val="24"/>
                <w:lang w:val="zh-CN"/>
              </w:rPr>
              <w:t>，内容包含：</w:t>
            </w:r>
            <w:r>
              <w:rPr>
                <w:rFonts w:hint="eastAsia" w:ascii="仿宋" w:hAnsi="仿宋" w:eastAsia="仿宋" w:cs="仿宋"/>
                <w:color w:val="auto"/>
                <w:sz w:val="24"/>
                <w:lang w:val="en-US" w:eastAsia="zh-CN"/>
              </w:rPr>
              <w:t>1、生产设备体系</w:t>
            </w:r>
            <w:r>
              <w:rPr>
                <w:rFonts w:hint="eastAsia" w:ascii="仿宋" w:hAnsi="仿宋" w:eastAsia="仿宋" w:cs="仿宋"/>
                <w:color w:val="auto"/>
                <w:sz w:val="24"/>
                <w:lang w:val="zh-CN"/>
              </w:rPr>
              <w:t>；</w:t>
            </w:r>
            <w:r>
              <w:rPr>
                <w:rFonts w:hint="eastAsia" w:ascii="仿宋" w:hAnsi="仿宋" w:eastAsia="仿宋" w:cs="仿宋"/>
                <w:color w:val="auto"/>
                <w:sz w:val="24"/>
                <w:lang w:val="en-US" w:eastAsia="zh-CN"/>
              </w:rPr>
              <w:t>2、优势领先生产设备</w:t>
            </w:r>
            <w:r>
              <w:rPr>
                <w:rFonts w:hint="eastAsia" w:ascii="仿宋" w:hAnsi="仿宋" w:eastAsia="仿宋" w:cs="仿宋"/>
                <w:color w:val="auto"/>
                <w:sz w:val="24"/>
                <w:lang w:val="zh-CN"/>
              </w:rPr>
              <w:t>；</w:t>
            </w:r>
            <w:r>
              <w:rPr>
                <w:rFonts w:hint="eastAsia" w:ascii="仿宋" w:hAnsi="仿宋" w:eastAsia="仿宋" w:cs="仿宋"/>
                <w:color w:val="auto"/>
                <w:sz w:val="24"/>
                <w:lang w:val="en-US" w:eastAsia="zh-CN"/>
              </w:rPr>
              <w:t>3、生产能力</w:t>
            </w:r>
            <w:r>
              <w:rPr>
                <w:rFonts w:hint="eastAsia" w:ascii="仿宋" w:hAnsi="仿宋" w:eastAsia="仿宋" w:cs="仿宋"/>
                <w:color w:val="auto"/>
                <w:sz w:val="24"/>
                <w:lang w:val="zh-CN"/>
              </w:rPr>
              <w:t>。（</w:t>
            </w:r>
            <w:r>
              <w:rPr>
                <w:rFonts w:hint="eastAsia" w:ascii="仿宋" w:hAnsi="仿宋" w:eastAsia="仿宋" w:cs="仿宋"/>
                <w:color w:val="auto"/>
                <w:sz w:val="24"/>
                <w:lang w:val="en-US" w:eastAsia="zh-CN"/>
              </w:rPr>
              <w:t>本项内容应提供佐证材料，例如：设备照片、购置发票、产品型号规格以及功能等文字材料</w:t>
            </w:r>
            <w:r>
              <w:rPr>
                <w:rFonts w:hint="eastAsia" w:ascii="仿宋" w:hAnsi="仿宋" w:eastAsia="仿宋" w:cs="仿宋"/>
                <w:color w:val="auto"/>
                <w:sz w:val="24"/>
                <w:lang w:val="zh-CN"/>
              </w:rPr>
              <w:t>）</w:t>
            </w:r>
          </w:p>
          <w:p w14:paraId="39DF7EF5">
            <w:pPr>
              <w:adjustRightInd w:val="0"/>
              <w:snapToGrid w:val="0"/>
              <w:spacing w:line="276" w:lineRule="auto"/>
              <w:ind w:firstLine="482" w:firstLineChars="200"/>
              <w:jc w:val="left"/>
              <w:rPr>
                <w:rFonts w:hint="eastAsia" w:ascii="仿宋" w:hAnsi="仿宋" w:eastAsia="仿宋" w:cs="仿宋"/>
                <w:b/>
                <w:bCs/>
                <w:color w:val="auto"/>
                <w:sz w:val="24"/>
                <w:lang w:val="zh-CN"/>
              </w:rPr>
            </w:pPr>
            <w:r>
              <w:rPr>
                <w:rFonts w:hint="eastAsia" w:ascii="仿宋" w:hAnsi="仿宋" w:eastAsia="仿宋" w:cs="仿宋"/>
                <w:b/>
                <w:bCs/>
                <w:color w:val="auto"/>
                <w:sz w:val="24"/>
                <w:lang w:val="zh-CN"/>
              </w:rPr>
              <w:t>评审标准</w:t>
            </w:r>
          </w:p>
          <w:p w14:paraId="678676EE">
            <w:pPr>
              <w:numPr>
                <w:ilvl w:val="0"/>
                <w:numId w:val="4"/>
              </w:num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zh-CN"/>
              </w:rPr>
              <w:t>根据项目</w:t>
            </w:r>
            <w:r>
              <w:rPr>
                <w:rFonts w:hint="eastAsia" w:ascii="仿宋" w:hAnsi="仿宋" w:eastAsia="仿宋" w:cs="仿宋"/>
                <w:color w:val="auto"/>
                <w:sz w:val="24"/>
                <w:lang w:val="en-US" w:eastAsia="zh-CN"/>
              </w:rPr>
              <w:t>采购</w:t>
            </w:r>
            <w:r>
              <w:rPr>
                <w:rFonts w:hint="eastAsia" w:ascii="仿宋" w:hAnsi="仿宋" w:eastAsia="仿宋" w:cs="仿宋"/>
                <w:color w:val="auto"/>
                <w:sz w:val="24"/>
                <w:lang w:val="zh-CN"/>
              </w:rPr>
              <w:t>实际需求</w:t>
            </w:r>
            <w:r>
              <w:rPr>
                <w:rFonts w:hint="eastAsia" w:ascii="仿宋" w:hAnsi="仿宋" w:eastAsia="仿宋" w:cs="仿宋"/>
                <w:color w:val="auto"/>
                <w:sz w:val="24"/>
                <w:lang w:val="en-US" w:eastAsia="zh-CN"/>
              </w:rPr>
              <w:t>的特性，所提供生产设备具有实用性、先进性</w:t>
            </w:r>
            <w:r>
              <w:rPr>
                <w:rFonts w:hint="eastAsia" w:ascii="仿宋" w:hAnsi="仿宋" w:eastAsia="仿宋" w:cs="仿宋"/>
                <w:color w:val="auto"/>
                <w:sz w:val="24"/>
                <w:lang w:val="zh-CN"/>
              </w:rPr>
              <w:t>；</w:t>
            </w:r>
          </w:p>
          <w:p w14:paraId="5E7A334A">
            <w:pPr>
              <w:numPr>
                <w:ilvl w:val="0"/>
                <w:numId w:val="4"/>
              </w:num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zh-CN"/>
              </w:rPr>
              <w:t>根据项目</w:t>
            </w:r>
            <w:r>
              <w:rPr>
                <w:rFonts w:hint="eastAsia" w:ascii="仿宋" w:hAnsi="仿宋" w:eastAsia="仿宋" w:cs="仿宋"/>
                <w:color w:val="auto"/>
                <w:sz w:val="24"/>
                <w:lang w:val="en-US" w:eastAsia="zh-CN"/>
              </w:rPr>
              <w:t>采购</w:t>
            </w:r>
            <w:r>
              <w:rPr>
                <w:rFonts w:hint="eastAsia" w:ascii="仿宋" w:hAnsi="仿宋" w:eastAsia="仿宋" w:cs="仿宋"/>
                <w:color w:val="auto"/>
                <w:sz w:val="24"/>
                <w:lang w:val="zh-CN"/>
              </w:rPr>
              <w:t>实际需求</w:t>
            </w:r>
            <w:r>
              <w:rPr>
                <w:rFonts w:hint="eastAsia" w:ascii="仿宋" w:hAnsi="仿宋" w:eastAsia="仿宋" w:cs="仿宋"/>
                <w:color w:val="auto"/>
                <w:sz w:val="24"/>
                <w:lang w:val="en-US" w:eastAsia="zh-CN"/>
              </w:rPr>
              <w:t>的特性，所提供生产设备具有全面性、完整性</w:t>
            </w:r>
            <w:r>
              <w:rPr>
                <w:rFonts w:hint="eastAsia" w:ascii="仿宋" w:hAnsi="仿宋" w:eastAsia="仿宋" w:cs="仿宋"/>
                <w:color w:val="auto"/>
                <w:sz w:val="24"/>
                <w:lang w:val="zh-CN"/>
              </w:rPr>
              <w:t>；</w:t>
            </w:r>
          </w:p>
          <w:p w14:paraId="2C1D7451">
            <w:pPr>
              <w:adjustRightInd w:val="0"/>
              <w:snapToGrid w:val="0"/>
              <w:spacing w:line="276" w:lineRule="auto"/>
              <w:ind w:firstLine="482" w:firstLineChars="200"/>
              <w:jc w:val="left"/>
              <w:rPr>
                <w:rFonts w:hint="eastAsia" w:ascii="仿宋" w:hAnsi="仿宋" w:eastAsia="仿宋" w:cs="仿宋"/>
                <w:color w:val="auto"/>
                <w:sz w:val="24"/>
                <w:lang w:val="zh-CN"/>
              </w:rPr>
            </w:pPr>
            <w:r>
              <w:rPr>
                <w:rFonts w:hint="eastAsia" w:ascii="仿宋" w:hAnsi="仿宋" w:eastAsia="仿宋" w:cs="仿宋"/>
                <w:b/>
                <w:bCs/>
                <w:color w:val="auto"/>
                <w:sz w:val="24"/>
                <w:lang w:val="zh-CN"/>
              </w:rPr>
              <w:t>赋分标准（满分</w:t>
            </w:r>
            <w:r>
              <w:rPr>
                <w:rFonts w:hint="eastAsia" w:ascii="仿宋" w:hAnsi="仿宋" w:eastAsia="仿宋" w:cs="仿宋"/>
                <w:b/>
                <w:bCs/>
                <w:color w:val="auto"/>
                <w:sz w:val="24"/>
                <w:lang w:val="en-US" w:eastAsia="zh-CN"/>
              </w:rPr>
              <w:t>6</w:t>
            </w:r>
            <w:r>
              <w:rPr>
                <w:rFonts w:hint="eastAsia" w:ascii="仿宋" w:hAnsi="仿宋" w:eastAsia="仿宋" w:cs="仿宋"/>
                <w:b/>
                <w:bCs/>
                <w:color w:val="auto"/>
                <w:sz w:val="24"/>
                <w:lang w:val="zh-CN"/>
              </w:rPr>
              <w:t>分）</w:t>
            </w:r>
          </w:p>
          <w:p w14:paraId="34F8201B">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en-US" w:eastAsia="zh-CN"/>
              </w:rPr>
              <w:t>1、生产设备体系</w:t>
            </w:r>
            <w:r>
              <w:rPr>
                <w:rFonts w:hint="eastAsia" w:ascii="仿宋" w:hAnsi="仿宋" w:eastAsia="仿宋" w:cs="仿宋"/>
                <w:color w:val="auto"/>
                <w:sz w:val="24"/>
                <w:lang w:val="zh-CN"/>
              </w:rPr>
              <w:t>：每完全满足一个评审标准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w:t>
            </w:r>
            <w:r>
              <w:rPr>
                <w:rFonts w:hint="eastAsia" w:ascii="仿宋" w:hAnsi="仿宋" w:eastAsia="仿宋" w:cs="仿宋"/>
                <w:color w:val="auto"/>
                <w:sz w:val="24"/>
                <w:lang w:val="en-US" w:eastAsia="zh-CN"/>
              </w:rPr>
              <w:t>1.0</w:t>
            </w:r>
            <w:r>
              <w:rPr>
                <w:rFonts w:hint="eastAsia" w:ascii="仿宋" w:hAnsi="仿宋" w:eastAsia="仿宋" w:cs="仿宋"/>
                <w:color w:val="auto"/>
                <w:sz w:val="24"/>
                <w:lang w:val="zh-CN"/>
              </w:rPr>
              <w:t>分，满分</w:t>
            </w:r>
            <w:r>
              <w:rPr>
                <w:rFonts w:hint="eastAsia" w:ascii="仿宋" w:hAnsi="仿宋" w:eastAsia="仿宋" w:cs="仿宋"/>
                <w:color w:val="auto"/>
                <w:sz w:val="24"/>
                <w:lang w:val="en-US" w:eastAsia="zh-CN"/>
              </w:rPr>
              <w:t>2</w:t>
            </w:r>
            <w:r>
              <w:rPr>
                <w:rFonts w:hint="eastAsia" w:ascii="仿宋" w:hAnsi="仿宋" w:eastAsia="仿宋" w:cs="仿宋"/>
                <w:color w:val="auto"/>
                <w:sz w:val="24"/>
                <w:lang w:val="zh-CN"/>
              </w:rPr>
              <w:t xml:space="preserve"> 分；</w:t>
            </w:r>
          </w:p>
          <w:p w14:paraId="1CDC8491">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en-US" w:eastAsia="zh-CN"/>
              </w:rPr>
              <w:t>2、优势领先生产设备</w:t>
            </w:r>
            <w:r>
              <w:rPr>
                <w:rFonts w:hint="eastAsia" w:ascii="仿宋" w:hAnsi="仿宋" w:eastAsia="仿宋" w:cs="仿宋"/>
                <w:color w:val="auto"/>
                <w:sz w:val="24"/>
                <w:lang w:val="zh-CN"/>
              </w:rPr>
              <w:t>：每完全满足一个评审标准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w:t>
            </w:r>
            <w:r>
              <w:rPr>
                <w:rFonts w:hint="eastAsia" w:ascii="仿宋" w:hAnsi="仿宋" w:eastAsia="仿宋" w:cs="仿宋"/>
                <w:color w:val="auto"/>
                <w:sz w:val="24"/>
                <w:lang w:val="en-US" w:eastAsia="zh-CN"/>
              </w:rPr>
              <w:t>1.0</w:t>
            </w:r>
            <w:r>
              <w:rPr>
                <w:rFonts w:hint="eastAsia" w:ascii="仿宋" w:hAnsi="仿宋" w:eastAsia="仿宋" w:cs="仿宋"/>
                <w:color w:val="auto"/>
                <w:sz w:val="24"/>
                <w:lang w:val="zh-CN"/>
              </w:rPr>
              <w:t xml:space="preserve">分，满分 </w:t>
            </w:r>
            <w:r>
              <w:rPr>
                <w:rFonts w:hint="eastAsia" w:ascii="仿宋" w:hAnsi="仿宋" w:eastAsia="仿宋" w:cs="仿宋"/>
                <w:color w:val="auto"/>
                <w:sz w:val="24"/>
                <w:lang w:val="en-US" w:eastAsia="zh-CN"/>
              </w:rPr>
              <w:t>2</w:t>
            </w:r>
            <w:r>
              <w:rPr>
                <w:rFonts w:hint="eastAsia" w:ascii="仿宋" w:hAnsi="仿宋" w:eastAsia="仿宋" w:cs="仿宋"/>
                <w:color w:val="auto"/>
                <w:sz w:val="24"/>
                <w:lang w:val="zh-CN"/>
              </w:rPr>
              <w:t xml:space="preserve"> 分；</w:t>
            </w:r>
          </w:p>
          <w:p w14:paraId="554E3AA7">
            <w:pPr>
              <w:adjustRightInd w:val="0"/>
              <w:snapToGrid w:val="0"/>
              <w:spacing w:line="276" w:lineRule="auto"/>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3、生产能力</w:t>
            </w:r>
            <w:r>
              <w:rPr>
                <w:rFonts w:hint="eastAsia" w:ascii="仿宋" w:hAnsi="仿宋" w:eastAsia="仿宋" w:cs="仿宋"/>
                <w:color w:val="auto"/>
                <w:sz w:val="24"/>
                <w:lang w:val="zh-CN"/>
              </w:rPr>
              <w:t>：每完全满足一个评审标准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w:t>
            </w:r>
            <w:r>
              <w:rPr>
                <w:rFonts w:hint="eastAsia" w:ascii="仿宋" w:hAnsi="仿宋" w:eastAsia="仿宋" w:cs="仿宋"/>
                <w:color w:val="auto"/>
                <w:sz w:val="24"/>
                <w:lang w:val="en-US" w:eastAsia="zh-CN"/>
              </w:rPr>
              <w:t>1.0</w:t>
            </w:r>
            <w:r>
              <w:rPr>
                <w:rFonts w:hint="eastAsia" w:ascii="仿宋" w:hAnsi="仿宋" w:eastAsia="仿宋" w:cs="仿宋"/>
                <w:color w:val="auto"/>
                <w:sz w:val="24"/>
                <w:lang w:val="zh-CN"/>
              </w:rPr>
              <w:t>分，满分</w:t>
            </w:r>
            <w:r>
              <w:rPr>
                <w:rFonts w:hint="eastAsia" w:ascii="仿宋" w:hAnsi="仿宋" w:eastAsia="仿宋" w:cs="仿宋"/>
                <w:color w:val="auto"/>
                <w:sz w:val="24"/>
                <w:lang w:val="en-US" w:eastAsia="zh-CN"/>
              </w:rPr>
              <w:t>2</w:t>
            </w:r>
            <w:r>
              <w:rPr>
                <w:rFonts w:hint="eastAsia" w:ascii="仿宋" w:hAnsi="仿宋" w:eastAsia="仿宋" w:cs="仿宋"/>
                <w:color w:val="auto"/>
                <w:sz w:val="24"/>
                <w:lang w:val="zh-CN"/>
              </w:rPr>
              <w:t>分。</w:t>
            </w:r>
          </w:p>
        </w:tc>
        <w:tc>
          <w:tcPr>
            <w:tcW w:w="507" w:type="dxa"/>
          </w:tcPr>
          <w:p w14:paraId="5A87235B">
            <w:pPr>
              <w:spacing w:line="370" w:lineRule="exact"/>
              <w:jc w:val="center"/>
              <w:rPr>
                <w:rFonts w:ascii="华文仿宋" w:hAnsi="华文仿宋" w:cs="仿宋"/>
                <w:b/>
                <w:color w:val="FF0000"/>
                <w:sz w:val="24"/>
                <w:szCs w:val="24"/>
              </w:rPr>
            </w:pPr>
          </w:p>
        </w:tc>
      </w:tr>
      <w:tr w14:paraId="7426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929" w:type="dxa"/>
            <w:vAlign w:val="center"/>
          </w:tcPr>
          <w:p w14:paraId="10D03C38">
            <w:pPr>
              <w:adjustRightInd w:val="0"/>
              <w:snapToGrid w:val="0"/>
              <w:spacing w:line="360" w:lineRule="auto"/>
              <w:jc w:val="center"/>
              <w:rPr>
                <w:rFonts w:ascii="宋体" w:hAnsi="宋体"/>
                <w:b/>
                <w:sz w:val="24"/>
              </w:rPr>
            </w:pPr>
            <w:r>
              <w:rPr>
                <w:rFonts w:ascii="宋体" w:hAnsi="宋体"/>
                <w:b/>
                <w:sz w:val="24"/>
              </w:rPr>
              <w:t>售后服务</w:t>
            </w:r>
          </w:p>
          <w:p w14:paraId="0225506B">
            <w:pPr>
              <w:adjustRightInd w:val="0"/>
              <w:snapToGrid w:val="0"/>
              <w:spacing w:line="360" w:lineRule="auto"/>
              <w:jc w:val="center"/>
              <w:rPr>
                <w:rFonts w:ascii="宋体" w:hAnsi="宋体"/>
                <w:b/>
                <w:sz w:val="24"/>
              </w:rPr>
            </w:pPr>
            <w:r>
              <w:rPr>
                <w:rFonts w:hint="eastAsia" w:ascii="宋体" w:hAnsi="宋体"/>
                <w:b/>
                <w:sz w:val="24"/>
                <w:lang w:val="en-US" w:eastAsia="zh-CN"/>
              </w:rPr>
              <w:t>方案</w:t>
            </w:r>
            <w:r>
              <w:rPr>
                <w:rFonts w:ascii="宋体" w:hAnsi="宋体"/>
                <w:b/>
                <w:sz w:val="24"/>
              </w:rPr>
              <w:t xml:space="preserve"> </w:t>
            </w:r>
          </w:p>
        </w:tc>
        <w:tc>
          <w:tcPr>
            <w:tcW w:w="985" w:type="dxa"/>
            <w:vAlign w:val="center"/>
          </w:tcPr>
          <w:p w14:paraId="4FF3E590">
            <w:pPr>
              <w:adjustRightInd w:val="0"/>
              <w:snapToGrid w:val="0"/>
              <w:spacing w:line="360" w:lineRule="auto"/>
              <w:jc w:val="center"/>
              <w:rPr>
                <w:rFonts w:ascii="宋体" w:hAnsi="宋体"/>
                <w:sz w:val="24"/>
              </w:rPr>
            </w:pPr>
            <w:r>
              <w:rPr>
                <w:rFonts w:hint="eastAsia" w:ascii="宋体" w:hAnsi="宋体"/>
                <w:sz w:val="24"/>
                <w:lang w:val="en-US" w:eastAsia="zh-CN"/>
              </w:rPr>
              <w:t>4</w:t>
            </w:r>
            <w:r>
              <w:rPr>
                <w:rFonts w:hint="eastAsia" w:ascii="华文仿宋" w:hAnsi="华文仿宋" w:cs="仿宋"/>
                <w:b/>
                <w:sz w:val="24"/>
                <w:szCs w:val="24"/>
              </w:rPr>
              <w:t>分</w:t>
            </w:r>
          </w:p>
        </w:tc>
        <w:tc>
          <w:tcPr>
            <w:tcW w:w="6816" w:type="dxa"/>
            <w:vAlign w:val="center"/>
          </w:tcPr>
          <w:p w14:paraId="1E640B30">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zh-CN"/>
              </w:rPr>
              <w:t>根据项目实际需求，提供针对本项目的售后服务方案，方案内容包含：</w:t>
            </w:r>
            <w:r>
              <w:rPr>
                <w:rFonts w:hint="eastAsia" w:ascii="仿宋" w:hAnsi="仿宋" w:eastAsia="仿宋" w:cs="仿宋"/>
                <w:color w:val="auto"/>
                <w:sz w:val="24"/>
                <w:lang w:val="en-US" w:eastAsia="zh-CN"/>
              </w:rPr>
              <w:t>1、</w:t>
            </w:r>
            <w:r>
              <w:rPr>
                <w:rFonts w:hint="eastAsia" w:ascii="仿宋" w:hAnsi="仿宋" w:eastAsia="仿宋" w:cs="仿宋"/>
                <w:color w:val="auto"/>
                <w:sz w:val="24"/>
                <w:lang w:val="zh-CN"/>
              </w:rPr>
              <w:t>售后服务承诺；</w:t>
            </w:r>
            <w:r>
              <w:rPr>
                <w:rFonts w:hint="eastAsia" w:ascii="仿宋" w:hAnsi="仿宋" w:eastAsia="仿宋" w:cs="仿宋"/>
                <w:color w:val="auto"/>
                <w:sz w:val="24"/>
                <w:lang w:val="en-US" w:eastAsia="zh-CN"/>
              </w:rPr>
              <w:t>2、</w:t>
            </w:r>
            <w:r>
              <w:rPr>
                <w:rFonts w:hint="eastAsia" w:ascii="仿宋" w:hAnsi="仿宋" w:eastAsia="仿宋" w:cs="仿宋"/>
                <w:color w:val="auto"/>
                <w:sz w:val="24"/>
                <w:lang w:val="zh-CN"/>
              </w:rPr>
              <w:t>售后服务内容；</w:t>
            </w:r>
            <w:r>
              <w:rPr>
                <w:rFonts w:hint="eastAsia" w:ascii="仿宋" w:hAnsi="仿宋" w:eastAsia="仿宋" w:cs="仿宋"/>
                <w:color w:val="auto"/>
                <w:sz w:val="24"/>
                <w:lang w:val="en-US" w:eastAsia="zh-CN"/>
              </w:rPr>
              <w:t>3、</w:t>
            </w:r>
            <w:r>
              <w:rPr>
                <w:rFonts w:hint="eastAsia" w:ascii="仿宋" w:hAnsi="仿宋" w:eastAsia="仿宋" w:cs="仿宋"/>
                <w:color w:val="auto"/>
                <w:sz w:val="24"/>
                <w:lang w:val="zh-CN"/>
              </w:rPr>
              <w:t>售后服务机构；</w:t>
            </w:r>
            <w:r>
              <w:rPr>
                <w:rFonts w:hint="eastAsia" w:ascii="仿宋" w:hAnsi="仿宋" w:eastAsia="仿宋" w:cs="仿宋"/>
                <w:color w:val="auto"/>
                <w:sz w:val="24"/>
                <w:lang w:val="en-US" w:eastAsia="zh-CN"/>
              </w:rPr>
              <w:t>4、</w:t>
            </w:r>
            <w:r>
              <w:rPr>
                <w:rFonts w:hint="eastAsia" w:ascii="仿宋" w:hAnsi="仿宋" w:eastAsia="仿宋" w:cs="仿宋"/>
                <w:color w:val="auto"/>
                <w:sz w:val="24"/>
                <w:lang w:val="zh-CN"/>
              </w:rPr>
              <w:t>维修管理响应时间</w:t>
            </w:r>
            <w:r>
              <w:rPr>
                <w:rFonts w:hint="eastAsia" w:ascii="仿宋" w:hAnsi="仿宋" w:eastAsia="仿宋" w:cs="仿宋"/>
                <w:color w:val="auto"/>
                <w:sz w:val="24"/>
                <w:lang w:val="en-US" w:eastAsia="zh-CN"/>
              </w:rPr>
              <w:t>、</w:t>
            </w:r>
            <w:r>
              <w:rPr>
                <w:rFonts w:hint="eastAsia" w:ascii="仿宋" w:hAnsi="仿宋" w:eastAsia="仿宋" w:cs="仿宋"/>
                <w:color w:val="auto"/>
                <w:sz w:val="24"/>
                <w:lang w:val="zh-CN"/>
              </w:rPr>
              <w:t>速度、方式</w:t>
            </w:r>
            <w:r>
              <w:rPr>
                <w:rFonts w:hint="eastAsia" w:ascii="仿宋" w:hAnsi="仿宋" w:eastAsia="仿宋" w:cs="仿宋"/>
                <w:color w:val="auto"/>
                <w:sz w:val="24"/>
                <w:lang w:val="en-US" w:eastAsia="zh-CN"/>
              </w:rPr>
              <w:t>及保障措施</w:t>
            </w:r>
            <w:r>
              <w:rPr>
                <w:rFonts w:hint="eastAsia" w:ascii="仿宋" w:hAnsi="仿宋" w:eastAsia="仿宋" w:cs="仿宋"/>
                <w:color w:val="auto"/>
                <w:sz w:val="24"/>
                <w:lang w:val="zh-CN"/>
              </w:rPr>
              <w:t>。</w:t>
            </w:r>
          </w:p>
          <w:p w14:paraId="056438AF">
            <w:pPr>
              <w:adjustRightInd w:val="0"/>
              <w:snapToGrid w:val="0"/>
              <w:spacing w:line="276" w:lineRule="auto"/>
              <w:ind w:firstLine="482" w:firstLineChars="200"/>
              <w:jc w:val="left"/>
              <w:rPr>
                <w:rFonts w:hint="eastAsia" w:ascii="仿宋" w:hAnsi="仿宋" w:eastAsia="仿宋" w:cs="仿宋"/>
                <w:b/>
                <w:bCs/>
                <w:color w:val="auto"/>
                <w:sz w:val="24"/>
                <w:lang w:val="zh-CN"/>
              </w:rPr>
            </w:pPr>
            <w:r>
              <w:rPr>
                <w:rFonts w:hint="eastAsia" w:ascii="仿宋" w:hAnsi="仿宋" w:eastAsia="仿宋" w:cs="仿宋"/>
                <w:b/>
                <w:bCs/>
                <w:color w:val="auto"/>
                <w:sz w:val="24"/>
                <w:lang w:val="zh-CN"/>
              </w:rPr>
              <w:t>评审标准</w:t>
            </w:r>
          </w:p>
          <w:p w14:paraId="2EEE2B75">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zh-CN"/>
              </w:rPr>
              <w:t>1、切合本项目实际情况，方案内容齐全，对招标文件中各项要求有详细描述及其他内容的补充，叙述清楚，符合客观实际情况；</w:t>
            </w:r>
          </w:p>
          <w:p w14:paraId="2921097C">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zh-CN"/>
              </w:rPr>
              <w:t>2、方案内容符合项目实际特点，内容科学、针对性强；</w:t>
            </w:r>
          </w:p>
          <w:p w14:paraId="1481C39B">
            <w:pPr>
              <w:adjustRightInd w:val="0"/>
              <w:snapToGrid w:val="0"/>
              <w:spacing w:line="276" w:lineRule="auto"/>
              <w:ind w:firstLine="482" w:firstLineChars="200"/>
              <w:jc w:val="left"/>
              <w:rPr>
                <w:rFonts w:hint="eastAsia" w:ascii="仿宋" w:hAnsi="仿宋" w:eastAsia="仿宋" w:cs="仿宋"/>
                <w:color w:val="auto"/>
                <w:sz w:val="24"/>
                <w:lang w:val="zh-CN"/>
              </w:rPr>
            </w:pPr>
            <w:r>
              <w:rPr>
                <w:rFonts w:hint="eastAsia" w:ascii="仿宋" w:hAnsi="仿宋" w:eastAsia="仿宋" w:cs="仿宋"/>
                <w:b/>
                <w:bCs/>
                <w:color w:val="auto"/>
                <w:sz w:val="24"/>
                <w:lang w:val="zh-CN"/>
              </w:rPr>
              <w:t>赋分标准（满分</w:t>
            </w:r>
            <w:r>
              <w:rPr>
                <w:rFonts w:hint="eastAsia" w:ascii="仿宋" w:hAnsi="仿宋" w:eastAsia="仿宋" w:cs="仿宋"/>
                <w:b/>
                <w:bCs/>
                <w:color w:val="auto"/>
                <w:sz w:val="24"/>
                <w:lang w:val="en-US" w:eastAsia="zh-CN"/>
              </w:rPr>
              <w:t>4</w:t>
            </w:r>
            <w:r>
              <w:rPr>
                <w:rFonts w:hint="eastAsia" w:ascii="仿宋" w:hAnsi="仿宋" w:eastAsia="仿宋" w:cs="仿宋"/>
                <w:b/>
                <w:bCs/>
                <w:color w:val="auto"/>
                <w:sz w:val="24"/>
                <w:lang w:val="zh-CN"/>
              </w:rPr>
              <w:t>分）</w:t>
            </w:r>
          </w:p>
          <w:p w14:paraId="08A0D3C6">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en-US" w:eastAsia="zh-CN"/>
              </w:rPr>
              <w:t>1、</w:t>
            </w:r>
            <w:r>
              <w:rPr>
                <w:rFonts w:hint="eastAsia" w:ascii="仿宋" w:hAnsi="仿宋" w:eastAsia="仿宋" w:cs="仿宋"/>
                <w:color w:val="auto"/>
                <w:sz w:val="24"/>
                <w:lang w:val="zh-CN"/>
              </w:rPr>
              <w:t>售后服务承诺：每完全满足一个评审标准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0.</w:t>
            </w:r>
            <w:r>
              <w:rPr>
                <w:rFonts w:hint="eastAsia" w:ascii="仿宋" w:hAnsi="仿宋" w:eastAsia="仿宋" w:cs="仿宋"/>
                <w:color w:val="auto"/>
                <w:sz w:val="24"/>
                <w:lang w:val="en-US" w:eastAsia="zh-CN"/>
              </w:rPr>
              <w:t>5</w:t>
            </w:r>
            <w:r>
              <w:rPr>
                <w:rFonts w:hint="eastAsia" w:ascii="仿宋" w:hAnsi="仿宋" w:eastAsia="仿宋" w:cs="仿宋"/>
                <w:color w:val="auto"/>
                <w:sz w:val="24"/>
                <w:lang w:val="zh-CN"/>
              </w:rPr>
              <w:t>分，满分</w:t>
            </w:r>
            <w:r>
              <w:rPr>
                <w:rFonts w:hint="eastAsia" w:ascii="仿宋" w:hAnsi="仿宋" w:eastAsia="仿宋" w:cs="仿宋"/>
                <w:color w:val="auto"/>
                <w:sz w:val="24"/>
                <w:lang w:val="en-US" w:eastAsia="zh-CN"/>
              </w:rPr>
              <w:t>1</w:t>
            </w:r>
            <w:r>
              <w:rPr>
                <w:rFonts w:hint="eastAsia" w:ascii="仿宋" w:hAnsi="仿宋" w:eastAsia="仿宋" w:cs="仿宋"/>
                <w:color w:val="auto"/>
                <w:sz w:val="24"/>
                <w:lang w:val="zh-CN"/>
              </w:rPr>
              <w:t xml:space="preserve"> 分；</w:t>
            </w:r>
          </w:p>
          <w:p w14:paraId="2D1576AE">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en-US" w:eastAsia="zh-CN"/>
              </w:rPr>
              <w:t>2、</w:t>
            </w:r>
            <w:r>
              <w:rPr>
                <w:rFonts w:hint="eastAsia" w:ascii="仿宋" w:hAnsi="仿宋" w:eastAsia="仿宋" w:cs="仿宋"/>
                <w:color w:val="auto"/>
                <w:sz w:val="24"/>
                <w:lang w:val="zh-CN"/>
              </w:rPr>
              <w:t>售后服务内容：每完全满足一个评审标准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0.</w:t>
            </w:r>
            <w:r>
              <w:rPr>
                <w:rFonts w:hint="eastAsia" w:ascii="仿宋" w:hAnsi="仿宋" w:eastAsia="仿宋" w:cs="仿宋"/>
                <w:color w:val="auto"/>
                <w:sz w:val="24"/>
                <w:lang w:val="en-US" w:eastAsia="zh-CN"/>
              </w:rPr>
              <w:t>5</w:t>
            </w:r>
            <w:r>
              <w:rPr>
                <w:rFonts w:hint="eastAsia" w:ascii="仿宋" w:hAnsi="仿宋" w:eastAsia="仿宋" w:cs="仿宋"/>
                <w:color w:val="auto"/>
                <w:sz w:val="24"/>
                <w:lang w:val="zh-CN"/>
              </w:rPr>
              <w:t xml:space="preserve">分，满分 </w:t>
            </w:r>
            <w:r>
              <w:rPr>
                <w:rFonts w:hint="eastAsia" w:ascii="仿宋" w:hAnsi="仿宋" w:eastAsia="仿宋" w:cs="仿宋"/>
                <w:color w:val="auto"/>
                <w:sz w:val="24"/>
                <w:lang w:val="en-US" w:eastAsia="zh-CN"/>
              </w:rPr>
              <w:t>1</w:t>
            </w:r>
            <w:r>
              <w:rPr>
                <w:rFonts w:hint="eastAsia" w:ascii="仿宋" w:hAnsi="仿宋" w:eastAsia="仿宋" w:cs="仿宋"/>
                <w:color w:val="auto"/>
                <w:sz w:val="24"/>
                <w:lang w:val="zh-CN"/>
              </w:rPr>
              <w:t xml:space="preserve"> 分；</w:t>
            </w:r>
          </w:p>
          <w:p w14:paraId="5B37B3F9">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en-US" w:eastAsia="zh-CN"/>
              </w:rPr>
              <w:t>3、</w:t>
            </w:r>
            <w:r>
              <w:rPr>
                <w:rFonts w:hint="eastAsia" w:ascii="仿宋" w:hAnsi="仿宋" w:eastAsia="仿宋" w:cs="仿宋"/>
                <w:color w:val="auto"/>
                <w:sz w:val="24"/>
                <w:lang w:val="zh-CN"/>
              </w:rPr>
              <w:t>售后服务机构：每完全满足一个评审标准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0.</w:t>
            </w:r>
            <w:r>
              <w:rPr>
                <w:rFonts w:hint="eastAsia" w:ascii="仿宋" w:hAnsi="仿宋" w:eastAsia="仿宋" w:cs="仿宋"/>
                <w:color w:val="auto"/>
                <w:sz w:val="24"/>
                <w:lang w:val="en-US" w:eastAsia="zh-CN"/>
              </w:rPr>
              <w:t>5</w:t>
            </w:r>
            <w:r>
              <w:rPr>
                <w:rFonts w:hint="eastAsia" w:ascii="仿宋" w:hAnsi="仿宋" w:eastAsia="仿宋" w:cs="仿宋"/>
                <w:color w:val="auto"/>
                <w:sz w:val="24"/>
                <w:lang w:val="zh-CN"/>
              </w:rPr>
              <w:t>分，满分</w:t>
            </w:r>
            <w:r>
              <w:rPr>
                <w:rFonts w:hint="eastAsia" w:ascii="仿宋" w:hAnsi="仿宋" w:eastAsia="仿宋" w:cs="仿宋"/>
                <w:color w:val="auto"/>
                <w:sz w:val="24"/>
                <w:lang w:val="en-US" w:eastAsia="zh-CN"/>
              </w:rPr>
              <w:t>1</w:t>
            </w:r>
            <w:r>
              <w:rPr>
                <w:rFonts w:hint="eastAsia" w:ascii="仿宋" w:hAnsi="仿宋" w:eastAsia="仿宋" w:cs="仿宋"/>
                <w:color w:val="auto"/>
                <w:sz w:val="24"/>
                <w:lang w:val="zh-CN"/>
              </w:rPr>
              <w:t>分；</w:t>
            </w:r>
          </w:p>
          <w:p w14:paraId="4A2598CE">
            <w:pPr>
              <w:adjustRightInd w:val="0"/>
              <w:snapToGrid w:val="0"/>
              <w:spacing w:line="276" w:lineRule="auto"/>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4、</w:t>
            </w:r>
            <w:r>
              <w:rPr>
                <w:rFonts w:hint="eastAsia" w:ascii="仿宋" w:hAnsi="仿宋" w:eastAsia="仿宋" w:cs="仿宋"/>
                <w:color w:val="auto"/>
                <w:sz w:val="24"/>
                <w:lang w:val="zh-CN"/>
              </w:rPr>
              <w:t>维修管理响应时间</w:t>
            </w:r>
            <w:r>
              <w:rPr>
                <w:rFonts w:hint="eastAsia" w:ascii="仿宋" w:hAnsi="仿宋" w:eastAsia="仿宋" w:cs="仿宋"/>
                <w:color w:val="auto"/>
                <w:sz w:val="24"/>
                <w:lang w:val="en-US" w:eastAsia="zh-CN"/>
              </w:rPr>
              <w:t>、</w:t>
            </w:r>
            <w:r>
              <w:rPr>
                <w:rFonts w:hint="eastAsia" w:ascii="仿宋" w:hAnsi="仿宋" w:eastAsia="仿宋" w:cs="仿宋"/>
                <w:color w:val="auto"/>
                <w:sz w:val="24"/>
                <w:lang w:val="zh-CN"/>
              </w:rPr>
              <w:t>速度、方式</w:t>
            </w:r>
            <w:r>
              <w:rPr>
                <w:rFonts w:hint="eastAsia" w:ascii="仿宋" w:hAnsi="仿宋" w:eastAsia="仿宋" w:cs="仿宋"/>
                <w:color w:val="auto"/>
                <w:sz w:val="24"/>
                <w:lang w:val="en-US" w:eastAsia="zh-CN"/>
              </w:rPr>
              <w:t>及保障措施</w:t>
            </w:r>
            <w:r>
              <w:rPr>
                <w:rFonts w:hint="eastAsia" w:ascii="仿宋" w:hAnsi="仿宋" w:eastAsia="仿宋" w:cs="仿宋"/>
                <w:color w:val="auto"/>
                <w:sz w:val="24"/>
                <w:lang w:val="zh-CN"/>
              </w:rPr>
              <w:t>：每完全满足一个评审标准</w:t>
            </w:r>
            <w:r>
              <w:rPr>
                <w:rFonts w:hint="eastAsia" w:ascii="仿宋" w:hAnsi="仿宋" w:eastAsia="仿宋" w:cs="仿宋"/>
                <w:color w:val="auto"/>
                <w:sz w:val="24"/>
                <w:lang w:val="en-US" w:eastAsia="zh-CN"/>
              </w:rPr>
              <w:t>计</w:t>
            </w:r>
            <w:r>
              <w:rPr>
                <w:rFonts w:hint="eastAsia" w:ascii="仿宋" w:hAnsi="仿宋" w:eastAsia="仿宋" w:cs="仿宋"/>
                <w:color w:val="auto"/>
                <w:sz w:val="24"/>
                <w:lang w:val="zh-CN"/>
              </w:rPr>
              <w:t xml:space="preserve"> 0.</w:t>
            </w:r>
            <w:r>
              <w:rPr>
                <w:rFonts w:hint="eastAsia" w:ascii="仿宋" w:hAnsi="仿宋" w:eastAsia="仿宋" w:cs="仿宋"/>
                <w:color w:val="auto"/>
                <w:sz w:val="24"/>
                <w:lang w:val="en-US" w:eastAsia="zh-CN"/>
              </w:rPr>
              <w:t>5</w:t>
            </w:r>
            <w:r>
              <w:rPr>
                <w:rFonts w:hint="eastAsia" w:ascii="仿宋" w:hAnsi="仿宋" w:eastAsia="仿宋" w:cs="仿宋"/>
                <w:color w:val="auto"/>
                <w:sz w:val="24"/>
                <w:lang w:val="zh-CN"/>
              </w:rPr>
              <w:t xml:space="preserve">分，满分 </w:t>
            </w:r>
            <w:r>
              <w:rPr>
                <w:rFonts w:hint="eastAsia" w:ascii="仿宋" w:hAnsi="仿宋" w:eastAsia="仿宋" w:cs="仿宋"/>
                <w:color w:val="auto"/>
                <w:sz w:val="24"/>
                <w:lang w:val="en-US" w:eastAsia="zh-CN"/>
              </w:rPr>
              <w:t>1</w:t>
            </w:r>
            <w:r>
              <w:rPr>
                <w:rFonts w:hint="eastAsia" w:ascii="仿宋" w:hAnsi="仿宋" w:eastAsia="仿宋" w:cs="仿宋"/>
                <w:color w:val="auto"/>
                <w:sz w:val="24"/>
                <w:lang w:val="zh-CN"/>
              </w:rPr>
              <w:t>分。</w:t>
            </w:r>
          </w:p>
        </w:tc>
        <w:tc>
          <w:tcPr>
            <w:tcW w:w="507" w:type="dxa"/>
          </w:tcPr>
          <w:p w14:paraId="4325102F">
            <w:pPr>
              <w:spacing w:line="370" w:lineRule="exact"/>
              <w:jc w:val="center"/>
              <w:rPr>
                <w:rFonts w:ascii="华文仿宋" w:hAnsi="华文仿宋" w:cs="仿宋"/>
                <w:b/>
                <w:color w:val="FF0000"/>
                <w:sz w:val="24"/>
                <w:szCs w:val="24"/>
              </w:rPr>
            </w:pPr>
          </w:p>
          <w:p w14:paraId="684BC3BC">
            <w:pPr>
              <w:spacing w:line="370" w:lineRule="exact"/>
              <w:jc w:val="center"/>
              <w:rPr>
                <w:rFonts w:ascii="华文仿宋" w:hAnsi="华文仿宋" w:cs="仿宋"/>
                <w:b/>
                <w:color w:val="FF0000"/>
                <w:sz w:val="24"/>
                <w:szCs w:val="24"/>
              </w:rPr>
            </w:pPr>
          </w:p>
        </w:tc>
      </w:tr>
      <w:tr w14:paraId="45E5C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Align w:val="center"/>
          </w:tcPr>
          <w:p w14:paraId="686BDA91">
            <w:pPr>
              <w:adjustRightInd w:val="0"/>
              <w:snapToGrid w:val="0"/>
              <w:spacing w:line="360" w:lineRule="auto"/>
              <w:jc w:val="center"/>
              <w:rPr>
                <w:rFonts w:ascii="宋体" w:hAnsi="宋体"/>
                <w:b/>
                <w:sz w:val="24"/>
              </w:rPr>
            </w:pPr>
            <w:r>
              <w:rPr>
                <w:rFonts w:ascii="宋体" w:hAnsi="宋体"/>
                <w:b/>
                <w:sz w:val="24"/>
              </w:rPr>
              <w:t>业绩</w:t>
            </w:r>
          </w:p>
        </w:tc>
        <w:tc>
          <w:tcPr>
            <w:tcW w:w="985" w:type="dxa"/>
            <w:vAlign w:val="center"/>
          </w:tcPr>
          <w:p w14:paraId="42BA7B9C">
            <w:pPr>
              <w:adjustRightInd w:val="0"/>
              <w:snapToGrid w:val="0"/>
              <w:spacing w:line="360" w:lineRule="auto"/>
              <w:jc w:val="center"/>
              <w:rPr>
                <w:rFonts w:ascii="宋体" w:hAnsi="宋体"/>
                <w:sz w:val="24"/>
              </w:rPr>
            </w:pPr>
            <w:r>
              <w:rPr>
                <w:rFonts w:hint="eastAsia" w:ascii="宋体" w:hAnsi="宋体"/>
                <w:sz w:val="24"/>
                <w:lang w:val="en-US" w:eastAsia="zh-CN"/>
              </w:rPr>
              <w:t>2</w:t>
            </w:r>
            <w:r>
              <w:rPr>
                <w:rFonts w:hint="eastAsia" w:ascii="华文仿宋" w:hAnsi="华文仿宋" w:cs="仿宋"/>
                <w:b/>
                <w:sz w:val="24"/>
                <w:szCs w:val="24"/>
              </w:rPr>
              <w:t>分</w:t>
            </w:r>
          </w:p>
        </w:tc>
        <w:tc>
          <w:tcPr>
            <w:tcW w:w="6816" w:type="dxa"/>
            <w:vAlign w:val="center"/>
          </w:tcPr>
          <w:p w14:paraId="195D115F">
            <w:pPr>
              <w:adjustRightInd w:val="0"/>
              <w:snapToGrid w:val="0"/>
              <w:spacing w:line="276" w:lineRule="auto"/>
              <w:ind w:firstLine="480" w:firstLineChars="200"/>
              <w:jc w:val="left"/>
              <w:rPr>
                <w:rFonts w:hint="eastAsia" w:ascii="仿宋" w:hAnsi="仿宋" w:eastAsia="仿宋" w:cs="仿宋"/>
                <w:color w:val="auto"/>
                <w:sz w:val="24"/>
                <w:lang w:val="zh-CN"/>
              </w:rPr>
            </w:pPr>
            <w:bookmarkStart w:id="44" w:name="_Hlk78489730"/>
            <w:r>
              <w:rPr>
                <w:rFonts w:hint="eastAsia" w:ascii="仿宋" w:hAnsi="仿宋" w:eastAsia="仿宋" w:cs="仿宋"/>
                <w:color w:val="auto"/>
                <w:sz w:val="24"/>
                <w:lang w:val="zh-CN"/>
              </w:rPr>
              <w:t>提供20</w:t>
            </w:r>
            <w:r>
              <w:rPr>
                <w:rFonts w:hint="eastAsia" w:ascii="仿宋" w:hAnsi="仿宋" w:eastAsia="仿宋" w:cs="仿宋"/>
                <w:color w:val="auto"/>
                <w:sz w:val="24"/>
                <w:lang w:val="en-US" w:eastAsia="zh-CN"/>
              </w:rPr>
              <w:t>21</w:t>
            </w:r>
            <w:r>
              <w:rPr>
                <w:rFonts w:hint="eastAsia" w:ascii="仿宋" w:hAnsi="仿宋" w:eastAsia="仿宋" w:cs="仿宋"/>
                <w:color w:val="auto"/>
                <w:sz w:val="24"/>
                <w:lang w:val="zh-CN"/>
              </w:rPr>
              <w:t>年</w:t>
            </w:r>
            <w:r>
              <w:rPr>
                <w:rFonts w:hint="eastAsia" w:ascii="仿宋" w:hAnsi="仿宋" w:eastAsia="仿宋" w:cs="仿宋"/>
                <w:color w:val="auto"/>
                <w:sz w:val="24"/>
                <w:lang w:val="en-US" w:eastAsia="zh-CN"/>
              </w:rPr>
              <w:t>6</w:t>
            </w:r>
            <w:r>
              <w:rPr>
                <w:rFonts w:hint="eastAsia" w:ascii="仿宋" w:hAnsi="仿宋" w:eastAsia="仿宋" w:cs="仿宋"/>
                <w:color w:val="auto"/>
                <w:sz w:val="24"/>
                <w:lang w:val="zh-CN"/>
              </w:rPr>
              <w:t>月</w:t>
            </w:r>
            <w:r>
              <w:rPr>
                <w:rFonts w:hint="eastAsia" w:ascii="仿宋" w:hAnsi="仿宋" w:eastAsia="仿宋" w:cs="仿宋"/>
                <w:color w:val="auto"/>
                <w:sz w:val="24"/>
                <w:lang w:val="en-US" w:eastAsia="zh-CN"/>
              </w:rPr>
              <w:t>1日</w:t>
            </w:r>
            <w:r>
              <w:rPr>
                <w:rFonts w:hint="eastAsia" w:ascii="仿宋" w:hAnsi="仿宋" w:eastAsia="仿宋" w:cs="仿宋"/>
                <w:color w:val="auto"/>
                <w:sz w:val="24"/>
                <w:lang w:val="zh-CN"/>
              </w:rPr>
              <w:t>至今签订的类似项目的业绩</w:t>
            </w:r>
            <w:r>
              <w:rPr>
                <w:rFonts w:hint="eastAsia" w:ascii="仿宋" w:hAnsi="仿宋" w:eastAsia="仿宋" w:cs="仿宋"/>
                <w:color w:val="auto"/>
                <w:sz w:val="24"/>
                <w:lang w:val="en-US" w:eastAsia="zh-CN"/>
              </w:rPr>
              <w:t>合同</w:t>
            </w:r>
            <w:r>
              <w:rPr>
                <w:rFonts w:hint="eastAsia" w:ascii="仿宋" w:hAnsi="仿宋" w:eastAsia="仿宋" w:cs="仿宋"/>
                <w:color w:val="auto"/>
                <w:sz w:val="24"/>
                <w:lang w:val="zh-CN"/>
              </w:rPr>
              <w:t xml:space="preserve">，每份合格业绩合同计 </w:t>
            </w:r>
            <w:r>
              <w:rPr>
                <w:rFonts w:hint="eastAsia" w:ascii="仿宋" w:hAnsi="仿宋" w:eastAsia="仿宋" w:cs="仿宋"/>
                <w:color w:val="auto"/>
                <w:sz w:val="24"/>
                <w:lang w:val="en-US" w:eastAsia="zh-CN"/>
              </w:rPr>
              <w:t>0.5</w:t>
            </w:r>
            <w:r>
              <w:rPr>
                <w:rFonts w:hint="eastAsia" w:ascii="仿宋" w:hAnsi="仿宋" w:eastAsia="仿宋" w:cs="仿宋"/>
                <w:color w:val="auto"/>
                <w:sz w:val="24"/>
                <w:lang w:val="zh-CN"/>
              </w:rPr>
              <w:t>分，满分</w:t>
            </w:r>
            <w:r>
              <w:rPr>
                <w:rFonts w:hint="eastAsia" w:ascii="仿宋" w:hAnsi="仿宋" w:eastAsia="仿宋" w:cs="仿宋"/>
                <w:color w:val="auto"/>
                <w:sz w:val="24"/>
                <w:lang w:val="en-US" w:eastAsia="zh-CN"/>
              </w:rPr>
              <w:t>2</w:t>
            </w:r>
            <w:r>
              <w:rPr>
                <w:rFonts w:hint="eastAsia" w:ascii="仿宋" w:hAnsi="仿宋" w:eastAsia="仿宋" w:cs="仿宋"/>
                <w:color w:val="auto"/>
                <w:sz w:val="24"/>
                <w:lang w:val="zh-CN"/>
              </w:rPr>
              <w:t>分。</w:t>
            </w:r>
          </w:p>
          <w:p w14:paraId="442B65AC">
            <w:pPr>
              <w:adjustRightInd w:val="0"/>
              <w:snapToGrid w:val="0"/>
              <w:spacing w:line="276" w:lineRule="auto"/>
              <w:ind w:firstLine="480" w:firstLineChars="200"/>
              <w:jc w:val="left"/>
              <w:rPr>
                <w:rFonts w:hint="eastAsia" w:ascii="仿宋" w:hAnsi="仿宋" w:eastAsia="仿宋" w:cs="仿宋"/>
                <w:color w:val="auto"/>
                <w:sz w:val="24"/>
                <w:lang w:val="zh-CN"/>
              </w:rPr>
            </w:pPr>
            <w:r>
              <w:rPr>
                <w:rFonts w:hint="eastAsia" w:ascii="仿宋" w:hAnsi="仿宋" w:eastAsia="仿宋" w:cs="仿宋"/>
                <w:color w:val="auto"/>
                <w:sz w:val="24"/>
                <w:lang w:val="zh-CN"/>
              </w:rPr>
              <w:t>（类似项目的业绩</w:t>
            </w:r>
            <w:r>
              <w:rPr>
                <w:rFonts w:hint="eastAsia" w:ascii="仿宋" w:hAnsi="仿宋" w:eastAsia="仿宋" w:cs="仿宋"/>
                <w:color w:val="auto"/>
                <w:sz w:val="24"/>
                <w:lang w:val="en-US" w:eastAsia="zh-CN"/>
              </w:rPr>
              <w:t>需至少包含所投核心产品</w:t>
            </w:r>
            <w:r>
              <w:rPr>
                <w:rFonts w:hint="eastAsia" w:ascii="仿宋" w:hAnsi="仿宋" w:eastAsia="仿宋" w:cs="仿宋"/>
                <w:color w:val="auto"/>
                <w:sz w:val="24"/>
                <w:lang w:val="zh-CN"/>
              </w:rPr>
              <w:t>，销售产品不</w:t>
            </w:r>
            <w:r>
              <w:rPr>
                <w:rFonts w:hint="eastAsia" w:ascii="仿宋" w:hAnsi="仿宋" w:eastAsia="仿宋" w:cs="仿宋"/>
                <w:color w:val="auto"/>
                <w:sz w:val="24"/>
                <w:lang w:val="en-US" w:eastAsia="zh-CN"/>
              </w:rPr>
              <w:t>满</w:t>
            </w:r>
            <w:r>
              <w:rPr>
                <w:rFonts w:hint="eastAsia" w:ascii="仿宋" w:hAnsi="仿宋" w:eastAsia="仿宋" w:cs="仿宋"/>
                <w:color w:val="auto"/>
                <w:sz w:val="24"/>
                <w:lang w:val="zh-CN"/>
              </w:rPr>
              <w:t>足要求的，合同不予认可）</w:t>
            </w:r>
          </w:p>
          <w:bookmarkEnd w:id="44"/>
          <w:p w14:paraId="56588F6E">
            <w:pPr>
              <w:pStyle w:val="24"/>
              <w:ind w:left="0" w:leftChars="0" w:firstLine="480" w:firstLineChars="200"/>
              <w:rPr>
                <w:rFonts w:hint="eastAsia" w:ascii="仿宋" w:hAnsi="仿宋" w:eastAsia="仿宋" w:cs="仿宋"/>
                <w:color w:val="auto"/>
                <w:lang w:val="en-US" w:eastAsia="zh-CN"/>
              </w:rPr>
            </w:pPr>
            <w:r>
              <w:rPr>
                <w:rFonts w:hint="eastAsia" w:ascii="仿宋" w:hAnsi="仿宋" w:eastAsia="仿宋" w:cs="仿宋"/>
                <w:b w:val="0"/>
                <w:bCs w:val="0"/>
                <w:color w:val="auto"/>
                <w:sz w:val="24"/>
                <w:lang w:val="en-US" w:eastAsia="zh-CN"/>
              </w:rPr>
              <w:t>评审依据：完整的销售合同扫描件加盖公章。</w:t>
            </w:r>
          </w:p>
        </w:tc>
        <w:tc>
          <w:tcPr>
            <w:tcW w:w="507" w:type="dxa"/>
          </w:tcPr>
          <w:p w14:paraId="7C5E86BF">
            <w:pPr>
              <w:spacing w:line="370" w:lineRule="exact"/>
              <w:jc w:val="center"/>
              <w:rPr>
                <w:rFonts w:ascii="华文仿宋" w:hAnsi="华文仿宋" w:cs="仿宋"/>
                <w:b/>
                <w:color w:val="FF0000"/>
                <w:sz w:val="24"/>
                <w:szCs w:val="24"/>
              </w:rPr>
            </w:pPr>
          </w:p>
        </w:tc>
      </w:tr>
      <w:tr w14:paraId="550C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30" w:type="dxa"/>
            <w:gridSpan w:val="3"/>
            <w:vAlign w:val="center"/>
          </w:tcPr>
          <w:p w14:paraId="57D29E22">
            <w:pPr>
              <w:snapToGrid w:val="0"/>
              <w:spacing w:line="252" w:lineRule="auto"/>
              <w:ind w:left="1"/>
              <w:rPr>
                <w:rFonts w:ascii="仿宋" w:hAnsi="仿宋" w:eastAsia="仿宋" w:cs="宋体"/>
                <w:b/>
                <w:sz w:val="21"/>
                <w:szCs w:val="21"/>
              </w:rPr>
            </w:pPr>
            <w:r>
              <w:rPr>
                <w:rFonts w:hint="eastAsia" w:ascii="仿宋" w:hAnsi="仿宋" w:eastAsia="仿宋" w:cs="宋体"/>
                <w:b/>
                <w:sz w:val="21"/>
                <w:szCs w:val="21"/>
              </w:rPr>
              <w:t>备注：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AF0035D">
            <w:pPr>
              <w:numPr>
                <w:ilvl w:val="0"/>
                <w:numId w:val="0"/>
              </w:numPr>
              <w:snapToGrid w:val="0"/>
              <w:spacing w:line="252" w:lineRule="auto"/>
              <w:ind w:left="0" w:leftChars="0" w:firstLine="422" w:firstLineChars="200"/>
              <w:rPr>
                <w:rFonts w:hint="eastAsia" w:ascii="仿宋" w:hAnsi="仿宋" w:eastAsia="仿宋" w:cs="宋体"/>
                <w:b/>
                <w:sz w:val="21"/>
                <w:szCs w:val="21"/>
              </w:rPr>
            </w:pPr>
            <w:r>
              <w:rPr>
                <w:rFonts w:hint="eastAsia" w:ascii="仿宋" w:hAnsi="仿宋" w:eastAsia="仿宋" w:cs="宋体"/>
                <w:b/>
                <w:kern w:val="2"/>
                <w:sz w:val="21"/>
                <w:szCs w:val="21"/>
                <w:lang w:val="en-US" w:eastAsia="zh-CN" w:bidi="ar-SA"/>
              </w:rPr>
              <w:t>2、</w:t>
            </w:r>
            <w:r>
              <w:rPr>
                <w:rFonts w:hint="eastAsia" w:ascii="仿宋" w:hAnsi="仿宋" w:eastAsia="仿宋" w:cs="宋体"/>
                <w:b/>
                <w:sz w:val="21"/>
                <w:szCs w:val="21"/>
              </w:rPr>
              <w:t>评委对同一投标人的同一评分项打分出现极限分差时，需作出说明。</w:t>
            </w:r>
          </w:p>
          <w:p w14:paraId="42D6757D">
            <w:pPr>
              <w:pStyle w:val="24"/>
              <w:numPr>
                <w:ilvl w:val="0"/>
                <w:numId w:val="0"/>
              </w:numPr>
              <w:ind w:firstLine="422" w:firstLineChars="200"/>
            </w:pPr>
            <w:r>
              <w:rPr>
                <w:rFonts w:hint="eastAsia" w:ascii="仿宋" w:hAnsi="仿宋" w:eastAsia="仿宋" w:cs="宋体"/>
                <w:b/>
                <w:sz w:val="21"/>
                <w:szCs w:val="21"/>
              </w:rPr>
              <w:t>3、以上打分项目如有缺项或错误者，该项得0分。</w:t>
            </w:r>
          </w:p>
        </w:tc>
        <w:tc>
          <w:tcPr>
            <w:tcW w:w="507" w:type="dxa"/>
          </w:tcPr>
          <w:p w14:paraId="5845E0C7">
            <w:pPr>
              <w:spacing w:line="370" w:lineRule="exact"/>
              <w:jc w:val="center"/>
              <w:rPr>
                <w:rFonts w:ascii="华文仿宋" w:hAnsi="华文仿宋" w:cs="仿宋"/>
                <w:b/>
                <w:color w:val="FF0000"/>
                <w:sz w:val="24"/>
                <w:szCs w:val="24"/>
              </w:rPr>
            </w:pPr>
          </w:p>
        </w:tc>
      </w:tr>
      <w:tr w14:paraId="158D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8" w:hRule="atLeast"/>
          <w:jc w:val="center"/>
        </w:trPr>
        <w:tc>
          <w:tcPr>
            <w:tcW w:w="8730" w:type="dxa"/>
            <w:gridSpan w:val="3"/>
            <w:vAlign w:val="center"/>
          </w:tcPr>
          <w:p w14:paraId="0F79502D">
            <w:pPr>
              <w:jc w:val="left"/>
              <w:rPr>
                <w:rFonts w:ascii="仿宋" w:hAnsi="仿宋" w:eastAsia="仿宋" w:cs="仿宋"/>
                <w:kern w:val="0"/>
                <w:sz w:val="21"/>
                <w:szCs w:val="21"/>
              </w:rPr>
            </w:pPr>
            <w:r>
              <w:rPr>
                <w:rFonts w:hint="eastAsia" w:ascii="仿宋" w:hAnsi="仿宋" w:eastAsia="仿宋" w:cs="宋体"/>
                <w:b/>
                <w:sz w:val="21"/>
                <w:szCs w:val="21"/>
              </w:rPr>
              <w:t>评标委员会签字：</w:t>
            </w:r>
          </w:p>
        </w:tc>
        <w:tc>
          <w:tcPr>
            <w:tcW w:w="507" w:type="dxa"/>
          </w:tcPr>
          <w:p w14:paraId="08504E6B">
            <w:pPr>
              <w:spacing w:line="370" w:lineRule="exact"/>
              <w:jc w:val="center"/>
              <w:rPr>
                <w:rFonts w:ascii="华文仿宋" w:hAnsi="华文仿宋" w:cs="仿宋"/>
                <w:b/>
                <w:color w:val="FF0000"/>
                <w:sz w:val="24"/>
                <w:szCs w:val="24"/>
              </w:rPr>
            </w:pPr>
          </w:p>
        </w:tc>
      </w:tr>
    </w:tbl>
    <w:p w14:paraId="46E14B00"/>
    <w:p w14:paraId="005AE206">
      <w:pPr>
        <w:spacing w:line="500" w:lineRule="exact"/>
        <w:ind w:firstLine="560" w:firstLineChars="200"/>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备注：</w:t>
      </w:r>
    </w:p>
    <w:p w14:paraId="20C6C50F">
      <w:pPr>
        <w:spacing w:line="500" w:lineRule="exact"/>
        <w:ind w:firstLine="560"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（1）各评委独立打分。</w:t>
      </w:r>
    </w:p>
    <w:p w14:paraId="09113AA2">
      <w:pPr>
        <w:spacing w:line="500" w:lineRule="exact"/>
        <w:ind w:firstLine="56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评委打分超过得分界限或未按本表规定赋分时，该评委的打分作废，不计入汇总分。各评委有效打分的平均值为该项评分的最终分值，若出现综合得分并列时，比较价格得分，此项得分高者排序在前；若价格得分仍相同，比较技术得分，此项得分高者排序在前；若技术得分仍相同，则由全体</w:t>
      </w:r>
      <w:r>
        <w:rPr>
          <w:rFonts w:hint="eastAsia" w:ascii="仿宋" w:hAnsi="仿宋" w:eastAsia="仿宋" w:cs="仿宋"/>
          <w:color w:val="000000" w:themeColor="text1"/>
          <w:lang w:val="en-US" w:eastAsia="zh-CN"/>
          <w14:textFill>
            <w14:solidFill>
              <w14:schemeClr w14:val="tx1"/>
            </w14:solidFill>
          </w14:textFill>
        </w:rPr>
        <w:t>评标委员会</w:t>
      </w:r>
      <w:r>
        <w:rPr>
          <w:rFonts w:hint="eastAsia" w:ascii="仿宋" w:hAnsi="仿宋" w:eastAsia="仿宋" w:cs="仿宋"/>
          <w:color w:val="000000" w:themeColor="text1"/>
          <w14:textFill>
            <w14:solidFill>
              <w14:schemeClr w14:val="tx1"/>
            </w14:solidFill>
          </w14:textFill>
        </w:rPr>
        <w:t>成员无记名投票，得票高者排序在前。</w:t>
      </w:r>
    </w:p>
    <w:p w14:paraId="2F357662">
      <w:pPr>
        <w:spacing w:line="500" w:lineRule="exact"/>
        <w:ind w:firstLine="56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（2）计算分数时四舍五入取小数点后两位。</w:t>
      </w:r>
    </w:p>
    <w:p w14:paraId="3869CD59">
      <w:pPr>
        <w:spacing w:line="500" w:lineRule="exact"/>
        <w:ind w:firstLine="56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（3）评审过程中，若出现特殊情况时，由</w:t>
      </w:r>
      <w:r>
        <w:rPr>
          <w:rFonts w:hint="eastAsia" w:ascii="仿宋" w:hAnsi="仿宋" w:eastAsia="仿宋" w:cs="仿宋"/>
          <w:color w:val="000000" w:themeColor="text1"/>
          <w:lang w:val="en-US" w:eastAsia="zh-CN"/>
          <w14:textFill>
            <w14:solidFill>
              <w14:schemeClr w14:val="tx1"/>
            </w14:solidFill>
          </w14:textFill>
        </w:rPr>
        <w:t>评标委员会</w:t>
      </w:r>
      <w:r>
        <w:rPr>
          <w:rFonts w:hint="eastAsia" w:ascii="仿宋" w:hAnsi="仿宋" w:eastAsia="仿宋" w:cs="仿宋"/>
          <w:color w:val="000000" w:themeColor="text1"/>
          <w14:textFill>
            <w14:solidFill>
              <w14:schemeClr w14:val="tx1"/>
            </w14:solidFill>
          </w14:textFill>
        </w:rPr>
        <w:t>决定暂停评审，并提出具体处理意见。</w:t>
      </w:r>
    </w:p>
    <w:p w14:paraId="7861E158">
      <w:pPr>
        <w:spacing w:line="500" w:lineRule="exact"/>
        <w:ind w:firstLine="56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（4）如有缺项或只有标题但无实质内容或有严重错误者得0分，需2/3以上评委认定。</w:t>
      </w:r>
    </w:p>
    <w:p w14:paraId="610E52A7">
      <w:pPr>
        <w:ind w:firstLine="560"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（5）评审过程中，若出现本办法以外的特殊情况时，将暂停评审，有关情况待</w:t>
      </w:r>
      <w:r>
        <w:rPr>
          <w:rFonts w:hint="eastAsia" w:ascii="仿宋" w:hAnsi="仿宋" w:eastAsia="仿宋" w:cs="仿宋"/>
          <w:color w:val="000000" w:themeColor="text1"/>
          <w:lang w:val="en-US" w:eastAsia="zh-CN"/>
          <w14:textFill>
            <w14:solidFill>
              <w14:schemeClr w14:val="tx1"/>
            </w14:solidFill>
          </w14:textFill>
        </w:rPr>
        <w:t>评标委员会</w:t>
      </w:r>
      <w:r>
        <w:rPr>
          <w:rFonts w:hint="eastAsia" w:ascii="仿宋" w:hAnsi="仿宋" w:eastAsia="仿宋" w:cs="仿宋"/>
          <w:color w:val="000000" w:themeColor="text1"/>
          <w14:textFill>
            <w14:solidFill>
              <w14:schemeClr w14:val="tx1"/>
            </w14:solidFill>
          </w14:textFill>
        </w:rPr>
        <w:t>确定后，再行评定。</w:t>
      </w:r>
    </w:p>
    <w:p w14:paraId="1CC15010">
      <w:pPr>
        <w:ind w:firstLine="560" w:firstLineChars="200"/>
        <w:rPr>
          <w:rFonts w:hint="eastAsia" w:ascii="仿宋" w:hAnsi="仿宋" w:eastAsia="仿宋" w:cs="仿宋"/>
          <w:color w:val="000000" w:themeColor="text1"/>
          <w14:textFill>
            <w14:solidFill>
              <w14:schemeClr w14:val="tx1"/>
            </w14:solidFill>
          </w14:textFill>
        </w:rPr>
      </w:pPr>
    </w:p>
    <w:p w14:paraId="19986A7B">
      <w:pPr>
        <w:ind w:firstLine="560" w:firstLineChars="200"/>
        <w:rPr>
          <w:rFonts w:hint="eastAsia" w:ascii="仿宋" w:hAnsi="仿宋" w:eastAsia="仿宋" w:cs="仿宋"/>
          <w:color w:val="000000" w:themeColor="text1"/>
          <w14:textFill>
            <w14:solidFill>
              <w14:schemeClr w14:val="tx1"/>
            </w14:solidFill>
          </w14:textFill>
        </w:rPr>
      </w:pPr>
    </w:p>
    <w:p w14:paraId="3580F896">
      <w:pPr>
        <w:ind w:firstLine="560" w:firstLineChars="200"/>
        <w:rPr>
          <w:rFonts w:hint="eastAsia" w:ascii="仿宋" w:hAnsi="仿宋" w:eastAsia="仿宋" w:cs="仿宋"/>
          <w:color w:val="000000" w:themeColor="text1"/>
          <w14:textFill>
            <w14:solidFill>
              <w14:schemeClr w14:val="tx1"/>
            </w14:solidFill>
          </w14:textFill>
        </w:rPr>
      </w:pPr>
    </w:p>
    <w:p w14:paraId="67242B14">
      <w:pPr>
        <w:ind w:firstLine="560" w:firstLineChars="200"/>
        <w:rPr>
          <w:rFonts w:hint="eastAsia" w:ascii="仿宋" w:hAnsi="仿宋" w:eastAsia="仿宋" w:cs="仿宋"/>
          <w:color w:val="000000" w:themeColor="text1"/>
          <w14:textFill>
            <w14:solidFill>
              <w14:schemeClr w14:val="tx1"/>
            </w14:solidFill>
          </w14:textFill>
        </w:rPr>
      </w:pPr>
    </w:p>
    <w:p w14:paraId="0318DAF8">
      <w:pPr>
        <w:ind w:firstLine="560" w:firstLineChars="200"/>
        <w:rPr>
          <w:rFonts w:hint="eastAsia" w:ascii="仿宋" w:hAnsi="仿宋" w:eastAsia="仿宋" w:cs="仿宋"/>
          <w:color w:val="000000" w:themeColor="text1"/>
          <w14:textFill>
            <w14:solidFill>
              <w14:schemeClr w14:val="tx1"/>
            </w14:solidFill>
          </w14:textFill>
        </w:rPr>
      </w:pPr>
    </w:p>
    <w:p w14:paraId="70D3170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500" w:lineRule="exact"/>
        <w:ind w:left="0" w:right="0"/>
        <w:jc w:val="left"/>
        <w:textAlignment w:val="auto"/>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t>注：财政部《关于推动解决政府采购异常低价问题的通知》财库〔2026〕2号</w:t>
      </w:r>
    </w:p>
    <w:p w14:paraId="73F608F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500" w:lineRule="exact"/>
        <w:ind w:left="0" w:right="0" w:firstLine="420" w:firstLineChars="200"/>
        <w:jc w:val="left"/>
        <w:textAlignment w:val="auto"/>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t>强化政府采购异常低价审查，政府采购评审中出现下列情形之一的，评审委员会应当启动异常低价投标（响应）审查程序： </w:t>
      </w:r>
    </w:p>
    <w:p w14:paraId="3AB9FAC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500" w:lineRule="exact"/>
        <w:ind w:left="0" w:right="0"/>
        <w:jc w:val="left"/>
        <w:textAlignment w:val="auto"/>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t>　　1.投标（响应）报价低于全部通过符合性审查供应商投标（响应）报价平均值50%的，即投标（响应）报价&lt;全部通过符合性审查供应商投标（响应）报价平均值×50%； </w:t>
      </w:r>
    </w:p>
    <w:p w14:paraId="446B555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500" w:lineRule="exact"/>
        <w:ind w:left="0" w:right="0"/>
        <w:jc w:val="left"/>
        <w:textAlignment w:val="auto"/>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t>　　2.投标（响应）报价低于通过符合性审查的次低报价供应商投标（响应）报价50%的，即投标（响应）报价&lt;通过符合性审查的次低报价供应商投标（响应）报价×50%； </w:t>
      </w:r>
    </w:p>
    <w:p w14:paraId="6A4B9BB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500" w:lineRule="exact"/>
        <w:ind w:left="0" w:right="0"/>
        <w:jc w:val="left"/>
        <w:textAlignment w:val="auto"/>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t>　　3.投标（响应）报价低于采购项目最高限价45%的，即投标（响应）报价&lt;采购项目最高限价×45%； </w:t>
      </w:r>
    </w:p>
    <w:p w14:paraId="14739977">
      <w:pPr>
        <w:jc w:val="both"/>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t>　　4.评审委员会基于专业判断，认为供应商报价过低，有可能影响产品质量或者不能诚信履约的其他情形。 </w:t>
      </w:r>
    </w:p>
    <w:p w14:paraId="2F58BA4A">
      <w:pPr>
        <w:rPr>
          <w:rFonts w:hint="eastAsia" w:ascii="黑体" w:hAnsi="黑体" w:eastAsia="黑体" w:cs="黑体"/>
          <w:color w:val="000000" w:themeColor="text1"/>
          <w:kern w:val="2"/>
          <w:sz w:val="21"/>
          <w:szCs w:val="21"/>
          <w:lang w:val="en-US" w:eastAsia="zh-CN" w:bidi="ar-SA"/>
          <w14:textFill>
            <w14:solidFill>
              <w14:schemeClr w14:val="tx1"/>
            </w14:solidFill>
          </w14:textFill>
        </w:rPr>
      </w:pPr>
      <w:r>
        <w:rPr>
          <w:rFonts w:hint="eastAsia" w:ascii="黑体" w:hAnsi="黑体" w:eastAsia="黑体" w:cs="黑体"/>
          <w:color w:val="000000" w:themeColor="text1"/>
          <w:kern w:val="2"/>
          <w:sz w:val="21"/>
          <w:szCs w:val="21"/>
          <w:lang w:val="en-US" w:eastAsia="zh-CN" w:bidi="ar-SA"/>
          <w14:textFill>
            <w14:solidFill>
              <w14:schemeClr w14:val="tx1"/>
            </w14:solidFill>
          </w14:textFill>
        </w:rPr>
        <w:br w:type="page"/>
      </w:r>
    </w:p>
    <w:p w14:paraId="6F76CC7A">
      <w:pPr>
        <w:jc w:val="both"/>
        <w:rPr>
          <w:rFonts w:hint="eastAsia" w:ascii="黑体" w:hAnsi="黑体" w:eastAsia="黑体" w:cs="黑体"/>
          <w:color w:val="000000" w:themeColor="text1"/>
          <w:kern w:val="2"/>
          <w:sz w:val="21"/>
          <w:szCs w:val="21"/>
          <w:lang w:val="en-US" w:eastAsia="zh-CN" w:bidi="ar-SA"/>
          <w14:textFill>
            <w14:solidFill>
              <w14:schemeClr w14:val="tx1"/>
            </w14:solidFill>
          </w14:textFill>
        </w:rPr>
      </w:pPr>
    </w:p>
    <w:p w14:paraId="20B6EB33">
      <w:pPr>
        <w:jc w:val="center"/>
        <w:rPr>
          <w:rFonts w:ascii="黑体" w:hAnsi="黑体" w:eastAsia="黑体"/>
          <w:sz w:val="32"/>
          <w:szCs w:val="32"/>
        </w:rPr>
      </w:pPr>
      <w:r>
        <w:rPr>
          <w:rFonts w:ascii="黑体" w:hAnsi="黑体" w:eastAsia="黑体"/>
          <w:sz w:val="32"/>
          <w:szCs w:val="32"/>
        </w:rPr>
        <w:t>第</w:t>
      </w:r>
      <w:r>
        <w:rPr>
          <w:rFonts w:hint="eastAsia" w:ascii="黑体" w:hAnsi="黑体" w:eastAsia="黑体"/>
          <w:sz w:val="32"/>
          <w:szCs w:val="32"/>
        </w:rPr>
        <w:t>四</w:t>
      </w:r>
      <w:r>
        <w:rPr>
          <w:rFonts w:ascii="黑体" w:hAnsi="黑体" w:eastAsia="黑体"/>
          <w:sz w:val="32"/>
          <w:szCs w:val="32"/>
        </w:rPr>
        <w:t>章  招标内容及</w:t>
      </w:r>
      <w:r>
        <w:rPr>
          <w:rFonts w:hint="eastAsia" w:ascii="黑体" w:hAnsi="黑体" w:eastAsia="黑体"/>
          <w:sz w:val="32"/>
          <w:szCs w:val="32"/>
        </w:rPr>
        <w:t>采购</w:t>
      </w:r>
      <w:r>
        <w:rPr>
          <w:rFonts w:ascii="黑体" w:hAnsi="黑体" w:eastAsia="黑体"/>
          <w:sz w:val="32"/>
          <w:szCs w:val="32"/>
        </w:rPr>
        <w:t>要求</w:t>
      </w:r>
      <w:bookmarkEnd w:id="33"/>
      <w:bookmarkEnd w:id="34"/>
      <w:bookmarkEnd w:id="35"/>
      <w:bookmarkEnd w:id="36"/>
      <w:bookmarkEnd w:id="37"/>
      <w:bookmarkEnd w:id="38"/>
      <w:bookmarkEnd w:id="39"/>
      <w:bookmarkEnd w:id="40"/>
      <w:bookmarkEnd w:id="41"/>
    </w:p>
    <w:p w14:paraId="097066F5">
      <w:pPr>
        <w:ind w:firstLine="561" w:firstLineChars="200"/>
        <w:jc w:val="left"/>
        <w:rPr>
          <w:b/>
        </w:rPr>
      </w:pPr>
    </w:p>
    <w:p w14:paraId="5383708A">
      <w:pPr>
        <w:numPr>
          <w:ilvl w:val="0"/>
          <w:numId w:val="5"/>
        </w:numPr>
        <w:ind w:firstLine="561" w:firstLineChars="200"/>
        <w:jc w:val="left"/>
        <w:rPr>
          <w:rFonts w:hint="default" w:ascii="华文仿宋" w:hAnsi="华文仿宋" w:cs="华文仿宋"/>
          <w:sz w:val="28"/>
          <w:szCs w:val="28"/>
          <w:lang w:val="en-US" w:eastAsia="zh-CN"/>
        </w:rPr>
      </w:pPr>
      <w:r>
        <w:rPr>
          <w:rFonts w:hint="eastAsia"/>
          <w:b/>
          <w:sz w:val="28"/>
          <w:szCs w:val="28"/>
        </w:rPr>
        <w:t>项目基本情况</w:t>
      </w:r>
      <w:r>
        <w:rPr>
          <w:rFonts w:hint="eastAsia" w:ascii="华文仿宋" w:hAnsi="华文仿宋" w:cs="华文仿宋"/>
          <w:sz w:val="28"/>
          <w:szCs w:val="28"/>
          <w:lang w:val="en-US" w:eastAsia="zh-CN"/>
        </w:rPr>
        <w:t xml:space="preserve"> </w:t>
      </w:r>
    </w:p>
    <w:p w14:paraId="738909C6">
      <w:pPr>
        <w:spacing w:line="500" w:lineRule="exact"/>
        <w:ind w:firstLine="560" w:firstLineChars="200"/>
        <w:rPr>
          <w:rFonts w:hint="eastAsia" w:eastAsia="仿宋"/>
          <w:sz w:val="28"/>
          <w:szCs w:val="28"/>
          <w:lang w:val="en-US" w:eastAsia="zh-CN"/>
        </w:rPr>
      </w:pPr>
      <w:r>
        <w:rPr>
          <w:rFonts w:hint="eastAsia" w:ascii="华文仿宋" w:hAnsi="华文仿宋" w:cs="华文仿宋"/>
          <w:sz w:val="28"/>
          <w:szCs w:val="28"/>
          <w:lang w:val="en-US" w:eastAsia="zh-CN"/>
        </w:rPr>
        <w:t>府谷公安业务技术用房及大数据应用中心项目已完工，为使项目尽快投入使用，需配置一批业务办公、数据操作等国产家具设备。预算总金额：8435289.00元。</w:t>
      </w:r>
    </w:p>
    <w:p w14:paraId="361B65C0">
      <w:pPr>
        <w:numPr>
          <w:ilvl w:val="0"/>
          <w:numId w:val="5"/>
        </w:numPr>
        <w:ind w:left="0" w:leftChars="0" w:firstLine="561" w:firstLineChars="200"/>
        <w:jc w:val="left"/>
        <w:rPr>
          <w:rFonts w:hint="eastAsia"/>
          <w:b/>
          <w:sz w:val="28"/>
          <w:szCs w:val="28"/>
        </w:rPr>
      </w:pPr>
      <w:r>
        <w:rPr>
          <w:rFonts w:hint="eastAsia"/>
          <w:b/>
          <w:sz w:val="28"/>
          <w:szCs w:val="28"/>
          <w:lang w:val="en-US" w:eastAsia="zh-CN"/>
        </w:rPr>
        <w:t>采购</w:t>
      </w:r>
      <w:r>
        <w:rPr>
          <w:rFonts w:hint="eastAsia"/>
          <w:b/>
          <w:sz w:val="28"/>
          <w:szCs w:val="28"/>
        </w:rPr>
        <w:t>内容</w:t>
      </w:r>
    </w:p>
    <w:tbl>
      <w:tblPr>
        <w:tblStyle w:val="25"/>
        <w:tblW w:w="10995" w:type="dxa"/>
        <w:jc w:val="center"/>
        <w:tblLayout w:type="fixed"/>
        <w:tblCellMar>
          <w:top w:w="0" w:type="dxa"/>
          <w:left w:w="108" w:type="dxa"/>
          <w:bottom w:w="0" w:type="dxa"/>
          <w:right w:w="108" w:type="dxa"/>
        </w:tblCellMar>
      </w:tblPr>
      <w:tblGrid>
        <w:gridCol w:w="516"/>
        <w:gridCol w:w="994"/>
        <w:gridCol w:w="2397"/>
        <w:gridCol w:w="2238"/>
        <w:gridCol w:w="794"/>
        <w:gridCol w:w="490"/>
        <w:gridCol w:w="3566"/>
      </w:tblGrid>
      <w:tr w14:paraId="432B32A6">
        <w:tblPrEx>
          <w:tblCellMar>
            <w:top w:w="0" w:type="dxa"/>
            <w:left w:w="108" w:type="dxa"/>
            <w:bottom w:w="0" w:type="dxa"/>
            <w:right w:w="108" w:type="dxa"/>
          </w:tblCellMar>
        </w:tblPrEx>
        <w:trPr>
          <w:trHeight w:val="739" w:hRule="atLeast"/>
          <w:jc w:val="center"/>
        </w:trPr>
        <w:tc>
          <w:tcPr>
            <w:tcW w:w="10995" w:type="dxa"/>
            <w:gridSpan w:val="7"/>
            <w:tcBorders>
              <w:top w:val="nil"/>
              <w:left w:val="nil"/>
              <w:bottom w:val="nil"/>
              <w:right w:val="nil"/>
            </w:tcBorders>
            <w:shd w:val="clear" w:color="auto" w:fill="auto"/>
            <w:vAlign w:val="center"/>
          </w:tcPr>
          <w:p w14:paraId="02E2C07D">
            <w:pPr>
              <w:widowControl/>
              <w:jc w:val="center"/>
              <w:textAlignment w:val="center"/>
              <w:rPr>
                <w:rFonts w:ascii="华文中宋" w:hAnsi="华文中宋" w:eastAsia="华文中宋" w:cs="华文中宋"/>
                <w:b/>
                <w:bCs/>
                <w:color w:val="000000"/>
                <w:sz w:val="36"/>
                <w:szCs w:val="36"/>
              </w:rPr>
            </w:pPr>
            <w:r>
              <w:rPr>
                <w:rFonts w:hint="eastAsia" w:ascii="华文中宋" w:hAnsi="华文中宋" w:eastAsia="华文中宋" w:cs="华文中宋"/>
                <w:b/>
                <w:bCs/>
                <w:color w:val="000000"/>
                <w:kern w:val="0"/>
                <w:sz w:val="36"/>
                <w:szCs w:val="36"/>
                <w:lang w:bidi="ar"/>
              </w:rPr>
              <w:t>采购清单</w:t>
            </w:r>
          </w:p>
        </w:tc>
      </w:tr>
      <w:tr w14:paraId="48C9FACB">
        <w:tblPrEx>
          <w:tblCellMar>
            <w:top w:w="0" w:type="dxa"/>
            <w:left w:w="108" w:type="dxa"/>
            <w:bottom w:w="0" w:type="dxa"/>
            <w:right w:w="108" w:type="dxa"/>
          </w:tblCellMar>
        </w:tblPrEx>
        <w:trPr>
          <w:trHeight w:val="49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0918C8">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序号</w:t>
            </w:r>
          </w:p>
        </w:tc>
        <w:tc>
          <w:tcPr>
            <w:tcW w:w="99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D2CD9EC">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名称</w:t>
            </w:r>
          </w:p>
        </w:tc>
        <w:tc>
          <w:tcPr>
            <w:tcW w:w="239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72732C">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图示</w:t>
            </w:r>
          </w:p>
        </w:tc>
        <w:tc>
          <w:tcPr>
            <w:tcW w:w="223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869149">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规格</w:t>
            </w:r>
          </w:p>
        </w:tc>
        <w:tc>
          <w:tcPr>
            <w:tcW w:w="79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092E36">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数量</w:t>
            </w:r>
          </w:p>
        </w:tc>
        <w:tc>
          <w:tcPr>
            <w:tcW w:w="49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BB65CFA">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单位</w:t>
            </w:r>
          </w:p>
        </w:tc>
        <w:tc>
          <w:tcPr>
            <w:tcW w:w="356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044A78">
            <w:pPr>
              <w:widowControl/>
              <w:jc w:val="center"/>
              <w:textAlignment w:val="center"/>
              <w:rPr>
                <w:rFonts w:ascii="华文中宋" w:hAnsi="华文中宋" w:eastAsia="华文中宋" w:cs="华文中宋"/>
                <w:b/>
                <w:bCs/>
                <w:color w:val="000000"/>
                <w:sz w:val="20"/>
                <w:szCs w:val="20"/>
              </w:rPr>
            </w:pPr>
            <w:r>
              <w:rPr>
                <w:rFonts w:hint="eastAsia" w:ascii="华文中宋" w:hAnsi="华文中宋" w:eastAsia="华文中宋" w:cs="华文中宋"/>
                <w:b/>
                <w:bCs/>
                <w:color w:val="000000"/>
                <w:kern w:val="0"/>
                <w:sz w:val="20"/>
                <w:szCs w:val="20"/>
                <w:lang w:bidi="ar"/>
              </w:rPr>
              <w:t>材质说明</w:t>
            </w:r>
          </w:p>
        </w:tc>
      </w:tr>
      <w:tr w14:paraId="723AF4CA">
        <w:tblPrEx>
          <w:tblCellMar>
            <w:top w:w="0" w:type="dxa"/>
            <w:left w:w="108" w:type="dxa"/>
            <w:bottom w:w="0" w:type="dxa"/>
            <w:right w:w="108" w:type="dxa"/>
          </w:tblCellMar>
        </w:tblPrEx>
        <w:trPr>
          <w:trHeight w:val="16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CD4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7AE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4C2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59264" behindDoc="0" locked="0" layoutInCell="1" allowOverlap="1">
                  <wp:simplePos x="0" y="0"/>
                  <wp:positionH relativeFrom="column">
                    <wp:posOffset>29845</wp:posOffset>
                  </wp:positionH>
                  <wp:positionV relativeFrom="paragraph">
                    <wp:posOffset>137795</wp:posOffset>
                  </wp:positionV>
                  <wp:extent cx="1327785" cy="554990"/>
                  <wp:effectExtent l="0" t="0" r="5715" b="16510"/>
                  <wp:wrapNone/>
                  <wp:docPr id="16" name="图片_676"/>
                  <wp:cNvGraphicFramePr/>
                  <a:graphic xmlns:a="http://schemas.openxmlformats.org/drawingml/2006/main">
                    <a:graphicData uri="http://schemas.openxmlformats.org/drawingml/2006/picture">
                      <pic:pic xmlns:pic="http://schemas.openxmlformats.org/drawingml/2006/picture">
                        <pic:nvPicPr>
                          <pic:cNvPr id="16" name="图片_676"/>
                          <pic:cNvPicPr/>
                        </pic:nvPicPr>
                        <pic:blipFill>
                          <a:blip r:embed="rId20"/>
                          <a:stretch>
                            <a:fillRect/>
                          </a:stretch>
                        </pic:blipFill>
                        <pic:spPr>
                          <a:xfrm>
                            <a:off x="0" y="0"/>
                            <a:ext cx="1327785" cy="5549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71C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2000*2000*760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3DC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C939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460C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6DBA5A86">
        <w:tblPrEx>
          <w:tblCellMar>
            <w:top w:w="0" w:type="dxa"/>
            <w:left w:w="108" w:type="dxa"/>
            <w:bottom w:w="0" w:type="dxa"/>
            <w:right w:w="108" w:type="dxa"/>
          </w:tblCellMar>
        </w:tblPrEx>
        <w:trPr>
          <w:trHeight w:val="24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732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2F92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2A3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0288" behindDoc="0" locked="0" layoutInCell="1" allowOverlap="1">
                  <wp:simplePos x="0" y="0"/>
                  <wp:positionH relativeFrom="column">
                    <wp:posOffset>26035</wp:posOffset>
                  </wp:positionH>
                  <wp:positionV relativeFrom="paragraph">
                    <wp:posOffset>159385</wp:posOffset>
                  </wp:positionV>
                  <wp:extent cx="1369695" cy="1151255"/>
                  <wp:effectExtent l="0" t="0" r="1905" b="10795"/>
                  <wp:wrapNone/>
                  <wp:docPr id="28" name="图片_557"/>
                  <wp:cNvGraphicFramePr/>
                  <a:graphic xmlns:a="http://schemas.openxmlformats.org/drawingml/2006/main">
                    <a:graphicData uri="http://schemas.openxmlformats.org/drawingml/2006/picture">
                      <pic:pic xmlns:pic="http://schemas.openxmlformats.org/drawingml/2006/picture">
                        <pic:nvPicPr>
                          <pic:cNvPr id="28" name="图片_557"/>
                          <pic:cNvPicPr/>
                        </pic:nvPicPr>
                        <pic:blipFill>
                          <a:blip r:embed="rId21"/>
                          <a:stretch>
                            <a:fillRect/>
                          </a:stretch>
                        </pic:blipFill>
                        <pic:spPr>
                          <a:xfrm>
                            <a:off x="0" y="0"/>
                            <a:ext cx="1369695" cy="115125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868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1800*1800*760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01F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17</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B62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D4FB">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10568447">
        <w:tblPrEx>
          <w:tblCellMar>
            <w:top w:w="0" w:type="dxa"/>
            <w:left w:w="108" w:type="dxa"/>
            <w:bottom w:w="0" w:type="dxa"/>
            <w:right w:w="108" w:type="dxa"/>
          </w:tblCellMar>
        </w:tblPrEx>
        <w:trPr>
          <w:trHeight w:val="20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CB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23B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6B41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1312" behindDoc="0" locked="0" layoutInCell="1" allowOverlap="1">
                  <wp:simplePos x="0" y="0"/>
                  <wp:positionH relativeFrom="column">
                    <wp:posOffset>30480</wp:posOffset>
                  </wp:positionH>
                  <wp:positionV relativeFrom="paragraph">
                    <wp:posOffset>15240</wp:posOffset>
                  </wp:positionV>
                  <wp:extent cx="1355725" cy="1043305"/>
                  <wp:effectExtent l="0" t="0" r="15875" b="4445"/>
                  <wp:wrapNone/>
                  <wp:docPr id="6" name="图片_647"/>
                  <wp:cNvGraphicFramePr/>
                  <a:graphic xmlns:a="http://schemas.openxmlformats.org/drawingml/2006/main">
                    <a:graphicData uri="http://schemas.openxmlformats.org/drawingml/2006/picture">
                      <pic:pic xmlns:pic="http://schemas.openxmlformats.org/drawingml/2006/picture">
                        <pic:nvPicPr>
                          <pic:cNvPr id="6" name="图片_647"/>
                          <pic:cNvPicPr/>
                        </pic:nvPicPr>
                        <pic:blipFill>
                          <a:blip r:embed="rId22"/>
                          <a:stretch>
                            <a:fillRect/>
                          </a:stretch>
                        </pic:blipFill>
                        <pic:spPr>
                          <a:xfrm>
                            <a:off x="0" y="0"/>
                            <a:ext cx="1355725" cy="104330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2AB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1600*1600*760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4E4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DA6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E5E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628F3E36">
        <w:tblPrEx>
          <w:tblCellMar>
            <w:top w:w="0" w:type="dxa"/>
            <w:left w:w="108" w:type="dxa"/>
            <w:bottom w:w="0" w:type="dxa"/>
            <w:right w:w="108" w:type="dxa"/>
          </w:tblCellMar>
        </w:tblPrEx>
        <w:trPr>
          <w:trHeight w:val="26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3D0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5B8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挂衣架</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93D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2336" behindDoc="0" locked="0" layoutInCell="1" allowOverlap="1">
                  <wp:simplePos x="0" y="0"/>
                  <wp:positionH relativeFrom="column">
                    <wp:posOffset>357505</wp:posOffset>
                  </wp:positionH>
                  <wp:positionV relativeFrom="paragraph">
                    <wp:posOffset>10795</wp:posOffset>
                  </wp:positionV>
                  <wp:extent cx="610870" cy="1527810"/>
                  <wp:effectExtent l="0" t="0" r="17780" b="15240"/>
                  <wp:wrapNone/>
                  <wp:docPr id="7" name="图片_11"/>
                  <wp:cNvGraphicFramePr/>
                  <a:graphic xmlns:a="http://schemas.openxmlformats.org/drawingml/2006/main">
                    <a:graphicData uri="http://schemas.openxmlformats.org/drawingml/2006/picture">
                      <pic:pic xmlns:pic="http://schemas.openxmlformats.org/drawingml/2006/picture">
                        <pic:nvPicPr>
                          <pic:cNvPr id="7" name="图片_11"/>
                          <pic:cNvPicPr/>
                        </pic:nvPicPr>
                        <pic:blipFill>
                          <a:blip r:embed="rId23"/>
                          <a:stretch>
                            <a:fillRect/>
                          </a:stretch>
                        </pic:blipFill>
                        <pic:spPr>
                          <a:xfrm>
                            <a:off x="0" y="0"/>
                            <a:ext cx="610870" cy="15278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7AB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常规</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504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44</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628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196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实木原木，水性漆底漆，水性漆面漆。</w:t>
            </w:r>
          </w:p>
        </w:tc>
      </w:tr>
      <w:tr w14:paraId="203930BF">
        <w:tblPrEx>
          <w:tblCellMar>
            <w:top w:w="0" w:type="dxa"/>
            <w:left w:w="108" w:type="dxa"/>
            <w:bottom w:w="0" w:type="dxa"/>
            <w:right w:w="108" w:type="dxa"/>
          </w:tblCellMar>
        </w:tblPrEx>
        <w:trPr>
          <w:trHeight w:val="23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72A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A016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文件柜1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92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3360" behindDoc="0" locked="0" layoutInCell="1" allowOverlap="1">
                  <wp:simplePos x="0" y="0"/>
                  <wp:positionH relativeFrom="column">
                    <wp:posOffset>132715</wp:posOffset>
                  </wp:positionH>
                  <wp:positionV relativeFrom="paragraph">
                    <wp:posOffset>65405</wp:posOffset>
                  </wp:positionV>
                  <wp:extent cx="1215390" cy="1217930"/>
                  <wp:effectExtent l="0" t="0" r="3810" b="1270"/>
                  <wp:wrapNone/>
                  <wp:docPr id="27" name="图片_306"/>
                  <wp:cNvGraphicFramePr/>
                  <a:graphic xmlns:a="http://schemas.openxmlformats.org/drawingml/2006/main">
                    <a:graphicData uri="http://schemas.openxmlformats.org/drawingml/2006/picture">
                      <pic:pic xmlns:pic="http://schemas.openxmlformats.org/drawingml/2006/picture">
                        <pic:nvPicPr>
                          <pic:cNvPr id="27" name="图片_306"/>
                          <pic:cNvPicPr/>
                        </pic:nvPicPr>
                        <pic:blipFill>
                          <a:blip r:embed="rId24"/>
                          <a:stretch>
                            <a:fillRect/>
                          </a:stretch>
                        </pic:blipFill>
                        <pic:spPr>
                          <a:xfrm>
                            <a:off x="0" y="0"/>
                            <a:ext cx="1215390" cy="121793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3E86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1800*450*2000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8F0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6EF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598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761065FC">
        <w:tblPrEx>
          <w:tblCellMar>
            <w:top w:w="0" w:type="dxa"/>
            <w:left w:w="108" w:type="dxa"/>
            <w:bottom w:w="0" w:type="dxa"/>
            <w:right w:w="108" w:type="dxa"/>
          </w:tblCellMar>
        </w:tblPrEx>
        <w:trPr>
          <w:trHeight w:val="25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141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CD7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文件柜2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F4D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4384" behindDoc="0" locked="0" layoutInCell="1" allowOverlap="1">
                  <wp:simplePos x="0" y="0"/>
                  <wp:positionH relativeFrom="column">
                    <wp:posOffset>116205</wp:posOffset>
                  </wp:positionH>
                  <wp:positionV relativeFrom="paragraph">
                    <wp:posOffset>72390</wp:posOffset>
                  </wp:positionV>
                  <wp:extent cx="1155065" cy="1456690"/>
                  <wp:effectExtent l="0" t="0" r="6985" b="10160"/>
                  <wp:wrapNone/>
                  <wp:docPr id="11" name="图片_559"/>
                  <wp:cNvGraphicFramePr/>
                  <a:graphic xmlns:a="http://schemas.openxmlformats.org/drawingml/2006/main">
                    <a:graphicData uri="http://schemas.openxmlformats.org/drawingml/2006/picture">
                      <pic:pic xmlns:pic="http://schemas.openxmlformats.org/drawingml/2006/picture">
                        <pic:nvPicPr>
                          <pic:cNvPr id="11" name="图片_559"/>
                          <pic:cNvPicPr/>
                        </pic:nvPicPr>
                        <pic:blipFill>
                          <a:blip r:embed="rId25"/>
                          <a:stretch>
                            <a:fillRect/>
                          </a:stretch>
                        </pic:blipFill>
                        <pic:spPr>
                          <a:xfrm>
                            <a:off x="0" y="0"/>
                            <a:ext cx="1155065" cy="14566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2AC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1500*450*2000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对开门900*450*2000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衣柜门600*450*2000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配伸缩挂衣杆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2F3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962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AA6D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06000ED8">
        <w:tblPrEx>
          <w:tblCellMar>
            <w:top w:w="0" w:type="dxa"/>
            <w:left w:w="108" w:type="dxa"/>
            <w:bottom w:w="0" w:type="dxa"/>
            <w:right w:w="108" w:type="dxa"/>
          </w:tblCellMar>
        </w:tblPrEx>
        <w:trPr>
          <w:trHeight w:val="22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4F3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69C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茶水柜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9102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5408" behindDoc="0" locked="0" layoutInCell="1" allowOverlap="1">
                  <wp:simplePos x="0" y="0"/>
                  <wp:positionH relativeFrom="column">
                    <wp:posOffset>127635</wp:posOffset>
                  </wp:positionH>
                  <wp:positionV relativeFrom="paragraph">
                    <wp:posOffset>97790</wp:posOffset>
                  </wp:positionV>
                  <wp:extent cx="1184275" cy="1116330"/>
                  <wp:effectExtent l="0" t="0" r="15875" b="7620"/>
                  <wp:wrapNone/>
                  <wp:docPr id="15" name="图片_650"/>
                  <wp:cNvGraphicFramePr/>
                  <a:graphic xmlns:a="http://schemas.openxmlformats.org/drawingml/2006/main">
                    <a:graphicData uri="http://schemas.openxmlformats.org/drawingml/2006/picture">
                      <pic:pic xmlns:pic="http://schemas.openxmlformats.org/drawingml/2006/picture">
                        <pic:nvPicPr>
                          <pic:cNvPr id="15" name="图片_650"/>
                          <pic:cNvPicPr/>
                        </pic:nvPicPr>
                        <pic:blipFill>
                          <a:blip r:embed="rId26"/>
                          <a:stretch>
                            <a:fillRect/>
                          </a:stretch>
                        </pic:blipFill>
                        <pic:spPr>
                          <a:xfrm>
                            <a:off x="0" y="0"/>
                            <a:ext cx="1184275" cy="111633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E19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800*450*800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0A0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59</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A25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A83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63753F93">
        <w:tblPrEx>
          <w:tblCellMar>
            <w:top w:w="0" w:type="dxa"/>
            <w:left w:w="108" w:type="dxa"/>
            <w:bottom w:w="0" w:type="dxa"/>
            <w:right w:w="108" w:type="dxa"/>
          </w:tblCellMar>
        </w:tblPrEx>
        <w:trPr>
          <w:trHeight w:val="20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E55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601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单人位沙发1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7B7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6432" behindDoc="0" locked="0" layoutInCell="1" allowOverlap="1">
                  <wp:simplePos x="0" y="0"/>
                  <wp:positionH relativeFrom="column">
                    <wp:posOffset>151765</wp:posOffset>
                  </wp:positionH>
                  <wp:positionV relativeFrom="paragraph">
                    <wp:posOffset>140970</wp:posOffset>
                  </wp:positionV>
                  <wp:extent cx="1139190" cy="897890"/>
                  <wp:effectExtent l="0" t="0" r="3810" b="16510"/>
                  <wp:wrapNone/>
                  <wp:docPr id="17" name="图片_128"/>
                  <wp:cNvGraphicFramePr/>
                  <a:graphic xmlns:a="http://schemas.openxmlformats.org/drawingml/2006/main">
                    <a:graphicData uri="http://schemas.openxmlformats.org/drawingml/2006/picture">
                      <pic:pic xmlns:pic="http://schemas.openxmlformats.org/drawingml/2006/picture">
                        <pic:nvPicPr>
                          <pic:cNvPr id="17" name="图片_128"/>
                          <pic:cNvPicPr/>
                        </pic:nvPicPr>
                        <pic:blipFill>
                          <a:blip r:embed="rId27"/>
                          <a:stretch>
                            <a:fillRect/>
                          </a:stretch>
                        </pic:blipFill>
                        <pic:spPr>
                          <a:xfrm>
                            <a:off x="0" y="0"/>
                            <a:ext cx="1139190" cy="8978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47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1010*1000*740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2F9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77F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2044B">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采用优质环保西皮,海绵采用高回弹海绵，配以整体弹簧座包，脚架采用镜面不锈钢框脚。</w:t>
            </w:r>
          </w:p>
        </w:tc>
      </w:tr>
      <w:tr w14:paraId="724D7934">
        <w:tblPrEx>
          <w:tblCellMar>
            <w:top w:w="0" w:type="dxa"/>
            <w:left w:w="108" w:type="dxa"/>
            <w:bottom w:w="0" w:type="dxa"/>
            <w:right w:w="108" w:type="dxa"/>
          </w:tblCellMar>
        </w:tblPrEx>
        <w:trPr>
          <w:trHeight w:val="22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C10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BB6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单人位沙发2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EE77">
            <w:pPr>
              <w:widowControl/>
              <w:jc w:val="left"/>
              <w:textAlignment w:val="center"/>
              <w:rPr>
                <w:rFonts w:ascii="华文中宋" w:hAnsi="华文中宋" w:eastAsia="华文中宋" w:cs="华文中宋"/>
                <w:color w:val="000000"/>
                <w:sz w:val="20"/>
                <w:szCs w:val="20"/>
              </w:rPr>
            </w:pPr>
            <w:r>
              <w:rPr>
                <w:rFonts w:hint="eastAsia" w:ascii="华文中宋" w:hAnsi="华文中宋" w:eastAsia="华文中宋" w:cs="华文中宋"/>
                <w:color w:val="000000"/>
                <w:kern w:val="0"/>
                <w:sz w:val="20"/>
                <w:szCs w:val="20"/>
                <w:bdr w:val="single" w:color="000000" w:sz="4" w:space="0"/>
              </w:rPr>
              <w:drawing>
                <wp:anchor distT="0" distB="0" distL="114300" distR="114300" simplePos="0" relativeHeight="251667456" behindDoc="0" locked="0" layoutInCell="1" allowOverlap="1">
                  <wp:simplePos x="0" y="0"/>
                  <wp:positionH relativeFrom="column">
                    <wp:posOffset>128905</wp:posOffset>
                  </wp:positionH>
                  <wp:positionV relativeFrom="paragraph">
                    <wp:posOffset>118110</wp:posOffset>
                  </wp:positionV>
                  <wp:extent cx="1148080" cy="1062355"/>
                  <wp:effectExtent l="0" t="0" r="13970" b="4445"/>
                  <wp:wrapNone/>
                  <wp:docPr id="19" name="图片_562"/>
                  <wp:cNvGraphicFramePr/>
                  <a:graphic xmlns:a="http://schemas.openxmlformats.org/drawingml/2006/main">
                    <a:graphicData uri="http://schemas.openxmlformats.org/drawingml/2006/picture">
                      <pic:pic xmlns:pic="http://schemas.openxmlformats.org/drawingml/2006/picture">
                        <pic:nvPicPr>
                          <pic:cNvPr id="19" name="图片_562"/>
                          <pic:cNvPicPr/>
                        </pic:nvPicPr>
                        <pic:blipFill>
                          <a:blip r:embed="rId28"/>
                          <a:stretch>
                            <a:fillRect/>
                          </a:stretch>
                        </pic:blipFill>
                        <pic:spPr>
                          <a:xfrm>
                            <a:off x="0" y="0"/>
                            <a:ext cx="1148080" cy="106235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87B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950*930*750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9ED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16D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7D2F">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采用优质环保西皮,海绵采用高回弹海绵，配以整体弹簧座包，脚架采用不锈钢框脚。</w:t>
            </w:r>
          </w:p>
        </w:tc>
      </w:tr>
      <w:tr w14:paraId="29AA4369">
        <w:tblPrEx>
          <w:tblCellMar>
            <w:top w:w="0" w:type="dxa"/>
            <w:left w:w="108" w:type="dxa"/>
            <w:bottom w:w="0" w:type="dxa"/>
            <w:right w:w="108" w:type="dxa"/>
          </w:tblCellMar>
        </w:tblPrEx>
        <w:trPr>
          <w:trHeight w:val="20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F719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B30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单人位沙发3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E1F3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8480" behindDoc="0" locked="0" layoutInCell="1" allowOverlap="1">
                  <wp:simplePos x="0" y="0"/>
                  <wp:positionH relativeFrom="column">
                    <wp:posOffset>166370</wp:posOffset>
                  </wp:positionH>
                  <wp:positionV relativeFrom="paragraph">
                    <wp:posOffset>38735</wp:posOffset>
                  </wp:positionV>
                  <wp:extent cx="1042670" cy="979805"/>
                  <wp:effectExtent l="0" t="0" r="5080" b="10795"/>
                  <wp:wrapNone/>
                  <wp:docPr id="5" name="图片_649"/>
                  <wp:cNvGraphicFramePr/>
                  <a:graphic xmlns:a="http://schemas.openxmlformats.org/drawingml/2006/main">
                    <a:graphicData uri="http://schemas.openxmlformats.org/drawingml/2006/picture">
                      <pic:pic xmlns:pic="http://schemas.openxmlformats.org/drawingml/2006/picture">
                        <pic:nvPicPr>
                          <pic:cNvPr id="5" name="图片_649"/>
                          <pic:cNvPicPr/>
                        </pic:nvPicPr>
                        <pic:blipFill>
                          <a:blip r:embed="rId29"/>
                          <a:stretch>
                            <a:fillRect/>
                          </a:stretch>
                        </pic:blipFill>
                        <pic:spPr>
                          <a:xfrm>
                            <a:off x="0" y="0"/>
                            <a:ext cx="1042670" cy="97980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4FB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810*880*750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27A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BB9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75BB">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采用优质环保西皮,海绵采用高回弹海绵，配以整体弹簧座包，脚架采用不锈钢框脚。</w:t>
            </w:r>
          </w:p>
        </w:tc>
      </w:tr>
      <w:tr w14:paraId="69BA517D">
        <w:tblPrEx>
          <w:tblCellMar>
            <w:top w:w="0" w:type="dxa"/>
            <w:left w:w="108" w:type="dxa"/>
            <w:bottom w:w="0" w:type="dxa"/>
            <w:right w:w="108" w:type="dxa"/>
          </w:tblCellMar>
        </w:tblPrEx>
        <w:trPr>
          <w:trHeight w:val="23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AD5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765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办公椅1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8D11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69504" behindDoc="0" locked="0" layoutInCell="1" allowOverlap="1">
                  <wp:simplePos x="0" y="0"/>
                  <wp:positionH relativeFrom="column">
                    <wp:posOffset>270510</wp:posOffset>
                  </wp:positionH>
                  <wp:positionV relativeFrom="paragraph">
                    <wp:posOffset>12065</wp:posOffset>
                  </wp:positionV>
                  <wp:extent cx="1124585" cy="1357630"/>
                  <wp:effectExtent l="0" t="0" r="18415" b="13970"/>
                  <wp:wrapNone/>
                  <wp:docPr id="18" name="图片_36"/>
                  <wp:cNvGraphicFramePr/>
                  <a:graphic xmlns:a="http://schemas.openxmlformats.org/drawingml/2006/main">
                    <a:graphicData uri="http://schemas.openxmlformats.org/drawingml/2006/picture">
                      <pic:pic xmlns:pic="http://schemas.openxmlformats.org/drawingml/2006/picture">
                        <pic:nvPicPr>
                          <pic:cNvPr id="18" name="图片_36"/>
                          <pic:cNvPicPr/>
                        </pic:nvPicPr>
                        <pic:blipFill>
                          <a:blip r:embed="rId30"/>
                          <a:stretch>
                            <a:fillRect/>
                          </a:stretch>
                        </pic:blipFill>
                        <pic:spPr>
                          <a:xfrm>
                            <a:off x="0" y="0"/>
                            <a:ext cx="1124585" cy="135763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8A4A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680*780*1020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445E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7E8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E9E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优质真皮饰面，海绵采用高回弹海绵，扶手</w:t>
            </w:r>
            <w:r>
              <w:rPr>
                <w:rFonts w:hint="eastAsia" w:ascii="黑体" w:hAnsi="宋体" w:eastAsia="黑体" w:cs="黑体"/>
                <w:kern w:val="0"/>
                <w:sz w:val="20"/>
                <w:szCs w:val="20"/>
                <w:lang w:bidi="ar"/>
              </w:rPr>
              <w:t>采用北美白栓木材质</w:t>
            </w:r>
            <w:r>
              <w:rPr>
                <w:rFonts w:hint="eastAsia" w:ascii="黑体" w:hAnsi="宋体" w:eastAsia="黑体" w:cs="黑体"/>
                <w:color w:val="000000"/>
                <w:kern w:val="0"/>
                <w:sz w:val="20"/>
                <w:szCs w:val="20"/>
                <w:lang w:bidi="ar"/>
              </w:rPr>
              <w:t>，胡桃色开放漆，椅脚为不锈钢弓形椅架。</w:t>
            </w:r>
          </w:p>
        </w:tc>
      </w:tr>
      <w:tr w14:paraId="727EB8EA">
        <w:tblPrEx>
          <w:tblCellMar>
            <w:top w:w="0" w:type="dxa"/>
            <w:left w:w="108" w:type="dxa"/>
            <w:bottom w:w="0" w:type="dxa"/>
            <w:right w:w="108" w:type="dxa"/>
          </w:tblCellMar>
        </w:tblPrEx>
        <w:trPr>
          <w:trHeight w:val="25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19EC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174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办公椅2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D981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0528" behindDoc="0" locked="0" layoutInCell="1" allowOverlap="1">
                  <wp:simplePos x="0" y="0"/>
                  <wp:positionH relativeFrom="column">
                    <wp:posOffset>304165</wp:posOffset>
                  </wp:positionH>
                  <wp:positionV relativeFrom="paragraph">
                    <wp:posOffset>6985</wp:posOffset>
                  </wp:positionV>
                  <wp:extent cx="822325" cy="1312545"/>
                  <wp:effectExtent l="0" t="0" r="15875" b="1905"/>
                  <wp:wrapNone/>
                  <wp:docPr id="9" name="图片_561"/>
                  <wp:cNvGraphicFramePr/>
                  <a:graphic xmlns:a="http://schemas.openxmlformats.org/drawingml/2006/main">
                    <a:graphicData uri="http://schemas.openxmlformats.org/drawingml/2006/picture">
                      <pic:pic xmlns:pic="http://schemas.openxmlformats.org/drawingml/2006/picture">
                        <pic:nvPicPr>
                          <pic:cNvPr id="9" name="图片_561"/>
                          <pic:cNvPicPr/>
                        </pic:nvPicPr>
                        <pic:blipFill>
                          <a:blip r:embed="rId31"/>
                          <a:stretch>
                            <a:fillRect/>
                          </a:stretch>
                        </pic:blipFill>
                        <pic:spPr>
                          <a:xfrm>
                            <a:off x="0" y="0"/>
                            <a:ext cx="822325" cy="131254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FB4C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680*510*1160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F2F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17</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84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C0D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采用优质环保西皮饰面，海绵采用高回弹海绵，铝合金电镀扪皮扶手面，多功能底盘，</w:t>
            </w:r>
            <w:r>
              <w:rPr>
                <w:rFonts w:hint="eastAsia" w:ascii="黑体" w:hAnsi="宋体" w:eastAsia="黑体" w:cs="黑体"/>
                <w:kern w:val="0"/>
                <w:sz w:val="20"/>
                <w:szCs w:val="20"/>
                <w:lang w:bidi="ar"/>
              </w:rPr>
              <w:t>国产协强气压棒</w:t>
            </w:r>
            <w:r>
              <w:rPr>
                <w:rFonts w:hint="eastAsia" w:ascii="黑体" w:hAnsi="宋体" w:eastAsia="黑体" w:cs="黑体"/>
                <w:color w:val="000000"/>
                <w:kern w:val="0"/>
                <w:sz w:val="20"/>
                <w:szCs w:val="20"/>
                <w:lang w:bidi="ar"/>
              </w:rPr>
              <w:t>，铝合金抛光五星脚，黑色尼龙脚轮</w:t>
            </w:r>
          </w:p>
        </w:tc>
      </w:tr>
      <w:tr w14:paraId="7780CF73">
        <w:tblPrEx>
          <w:tblCellMar>
            <w:top w:w="0" w:type="dxa"/>
            <w:left w:w="108" w:type="dxa"/>
            <w:bottom w:w="0" w:type="dxa"/>
            <w:right w:w="108" w:type="dxa"/>
          </w:tblCellMar>
        </w:tblPrEx>
        <w:trPr>
          <w:trHeight w:val="259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636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5E1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办公椅3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5DC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1552" behindDoc="0" locked="0" layoutInCell="1" allowOverlap="1">
                  <wp:simplePos x="0" y="0"/>
                  <wp:positionH relativeFrom="column">
                    <wp:posOffset>80645</wp:posOffset>
                  </wp:positionH>
                  <wp:positionV relativeFrom="paragraph">
                    <wp:posOffset>-116840</wp:posOffset>
                  </wp:positionV>
                  <wp:extent cx="1068705" cy="1293495"/>
                  <wp:effectExtent l="0" t="0" r="17145" b="1905"/>
                  <wp:wrapNone/>
                  <wp:docPr id="29" name="ID_9FEE034DA965402192EF311D179B09C2"/>
                  <wp:cNvGraphicFramePr/>
                  <a:graphic xmlns:a="http://schemas.openxmlformats.org/drawingml/2006/main">
                    <a:graphicData uri="http://schemas.openxmlformats.org/drawingml/2006/picture">
                      <pic:pic xmlns:pic="http://schemas.openxmlformats.org/drawingml/2006/picture">
                        <pic:nvPicPr>
                          <pic:cNvPr id="29" name="ID_9FEE034DA965402192EF311D179B09C2"/>
                          <pic:cNvPicPr/>
                        </pic:nvPicPr>
                        <pic:blipFill>
                          <a:blip r:embed="rId32"/>
                          <a:stretch>
                            <a:fillRect/>
                          </a:stretch>
                        </pic:blipFill>
                        <pic:spPr>
                          <a:xfrm>
                            <a:off x="0" y="0"/>
                            <a:ext cx="1068705" cy="129349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B28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710*600*1140-1205</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275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98F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0C23">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采用优质环保西皮饰面，海绵采用高回弹海绵，扪皮扶手面，飞机底盘带原位锁定功能，行程65mm沉口0mm电镀气杆，350mm铝合金面包脚，50/38黑色PA防震轮</w:t>
            </w:r>
          </w:p>
        </w:tc>
      </w:tr>
      <w:tr w14:paraId="1FFB63C5">
        <w:tblPrEx>
          <w:tblCellMar>
            <w:top w:w="0" w:type="dxa"/>
            <w:left w:w="108" w:type="dxa"/>
            <w:bottom w:w="0" w:type="dxa"/>
            <w:right w:w="108" w:type="dxa"/>
          </w:tblCellMar>
        </w:tblPrEx>
        <w:trPr>
          <w:trHeight w:val="1948"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53D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E5F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方茶几1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C70D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2576" behindDoc="0" locked="0" layoutInCell="1" allowOverlap="1">
                  <wp:simplePos x="0" y="0"/>
                  <wp:positionH relativeFrom="column">
                    <wp:posOffset>125095</wp:posOffset>
                  </wp:positionH>
                  <wp:positionV relativeFrom="paragraph">
                    <wp:posOffset>46990</wp:posOffset>
                  </wp:positionV>
                  <wp:extent cx="1134110" cy="709930"/>
                  <wp:effectExtent l="0" t="0" r="8890" b="13970"/>
                  <wp:wrapNone/>
                  <wp:docPr id="26" name="图片_646"/>
                  <wp:cNvGraphicFramePr/>
                  <a:graphic xmlns:a="http://schemas.openxmlformats.org/drawingml/2006/main">
                    <a:graphicData uri="http://schemas.openxmlformats.org/drawingml/2006/picture">
                      <pic:pic xmlns:pic="http://schemas.openxmlformats.org/drawingml/2006/picture">
                        <pic:nvPicPr>
                          <pic:cNvPr id="26" name="图片_646"/>
                          <pic:cNvPicPr/>
                        </pic:nvPicPr>
                        <pic:blipFill>
                          <a:blip r:embed="rId33"/>
                          <a:stretch>
                            <a:fillRect/>
                          </a:stretch>
                        </pic:blipFill>
                        <pic:spPr>
                          <a:xfrm>
                            <a:off x="0" y="0"/>
                            <a:ext cx="1134110" cy="70993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E15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600*600*450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6F8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54</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642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B29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2010F45E">
        <w:tblPrEx>
          <w:tblCellMar>
            <w:top w:w="0" w:type="dxa"/>
            <w:left w:w="108" w:type="dxa"/>
            <w:bottom w:w="0" w:type="dxa"/>
            <w:right w:w="108" w:type="dxa"/>
          </w:tblCellMar>
        </w:tblPrEx>
        <w:trPr>
          <w:trHeight w:val="20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05D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896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方茶几2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373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3600" behindDoc="0" locked="0" layoutInCell="1" allowOverlap="1">
                  <wp:simplePos x="0" y="0"/>
                  <wp:positionH relativeFrom="column">
                    <wp:posOffset>102235</wp:posOffset>
                  </wp:positionH>
                  <wp:positionV relativeFrom="paragraph">
                    <wp:posOffset>-98425</wp:posOffset>
                  </wp:positionV>
                  <wp:extent cx="1224280" cy="821690"/>
                  <wp:effectExtent l="0" t="0" r="13970" b="16510"/>
                  <wp:wrapNone/>
                  <wp:docPr id="10" name="图片_473"/>
                  <wp:cNvGraphicFramePr/>
                  <a:graphic xmlns:a="http://schemas.openxmlformats.org/drawingml/2006/main">
                    <a:graphicData uri="http://schemas.openxmlformats.org/drawingml/2006/picture">
                      <pic:pic xmlns:pic="http://schemas.openxmlformats.org/drawingml/2006/picture">
                        <pic:nvPicPr>
                          <pic:cNvPr id="10" name="图片_473"/>
                          <pic:cNvPicPr/>
                        </pic:nvPicPr>
                        <pic:blipFill>
                          <a:blip r:embed="rId34"/>
                          <a:stretch>
                            <a:fillRect/>
                          </a:stretch>
                        </pic:blipFill>
                        <pic:spPr>
                          <a:xfrm>
                            <a:off x="0" y="0"/>
                            <a:ext cx="1224280" cy="8216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A48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600*600*450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0B39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D82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2A8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0353D030">
        <w:tblPrEx>
          <w:tblCellMar>
            <w:top w:w="0" w:type="dxa"/>
            <w:left w:w="108" w:type="dxa"/>
            <w:bottom w:w="0" w:type="dxa"/>
            <w:right w:w="108" w:type="dxa"/>
          </w:tblCellMar>
        </w:tblPrEx>
        <w:trPr>
          <w:trHeight w:val="19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AD5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845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演讲台</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597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4624" behindDoc="0" locked="0" layoutInCell="1" allowOverlap="1">
                  <wp:simplePos x="0" y="0"/>
                  <wp:positionH relativeFrom="column">
                    <wp:posOffset>83820</wp:posOffset>
                  </wp:positionH>
                  <wp:positionV relativeFrom="paragraph">
                    <wp:posOffset>39370</wp:posOffset>
                  </wp:positionV>
                  <wp:extent cx="1253490" cy="847725"/>
                  <wp:effectExtent l="0" t="0" r="3810" b="9525"/>
                  <wp:wrapNone/>
                  <wp:docPr id="14" name="图片_7"/>
                  <wp:cNvGraphicFramePr/>
                  <a:graphic xmlns:a="http://schemas.openxmlformats.org/drawingml/2006/main">
                    <a:graphicData uri="http://schemas.openxmlformats.org/drawingml/2006/picture">
                      <pic:pic xmlns:pic="http://schemas.openxmlformats.org/drawingml/2006/picture">
                        <pic:nvPicPr>
                          <pic:cNvPr id="14" name="图片_7"/>
                          <pic:cNvPicPr/>
                        </pic:nvPicPr>
                        <pic:blipFill>
                          <a:blip r:embed="rId35"/>
                          <a:stretch>
                            <a:fillRect/>
                          </a:stretch>
                        </pic:blipFill>
                        <pic:spPr>
                          <a:xfrm>
                            <a:off x="0" y="0"/>
                            <a:ext cx="1253490" cy="8477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49C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600*491.4*1114.6</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444C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CB7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B58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基材采用环保优质E0级中密度纤维板，优质木皮，厚度≥0.6mm，实木封边条，水性漆底漆，水性漆面漆，优质五金配件，底座采用钢板静电粉末喷涂。</w:t>
            </w:r>
          </w:p>
        </w:tc>
      </w:tr>
      <w:tr w14:paraId="5706F974">
        <w:tblPrEx>
          <w:tblCellMar>
            <w:top w:w="0" w:type="dxa"/>
            <w:left w:w="108" w:type="dxa"/>
            <w:bottom w:w="0" w:type="dxa"/>
            <w:right w:w="108" w:type="dxa"/>
          </w:tblCellMar>
        </w:tblPrEx>
        <w:trPr>
          <w:trHeight w:val="24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681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ADC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移动发言席</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4BC9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5648" behindDoc="0" locked="0" layoutInCell="1" allowOverlap="1">
                  <wp:simplePos x="0" y="0"/>
                  <wp:positionH relativeFrom="column">
                    <wp:posOffset>127000</wp:posOffset>
                  </wp:positionH>
                  <wp:positionV relativeFrom="paragraph">
                    <wp:posOffset>87630</wp:posOffset>
                  </wp:positionV>
                  <wp:extent cx="1087755" cy="1393190"/>
                  <wp:effectExtent l="0" t="0" r="17145" b="16510"/>
                  <wp:wrapNone/>
                  <wp:docPr id="20" name="图片_3"/>
                  <wp:cNvGraphicFramePr/>
                  <a:graphic xmlns:a="http://schemas.openxmlformats.org/drawingml/2006/main">
                    <a:graphicData uri="http://schemas.openxmlformats.org/drawingml/2006/picture">
                      <pic:pic xmlns:pic="http://schemas.openxmlformats.org/drawingml/2006/picture">
                        <pic:nvPicPr>
                          <pic:cNvPr id="20" name="图片_3"/>
                          <pic:cNvPicPr/>
                        </pic:nvPicPr>
                        <pic:blipFill>
                          <a:blip r:embed="rId36"/>
                          <a:stretch>
                            <a:fillRect/>
                          </a:stretch>
                        </pic:blipFill>
                        <pic:spPr>
                          <a:xfrm>
                            <a:off x="0" y="0"/>
                            <a:ext cx="1087755" cy="13931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E46D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715*475*740~1050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61E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61B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CCC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基材采用环保优质E0级中密度纤维板，优质木皮，厚度≥0.6mm，实木封边条，水性漆底漆，水性漆面漆，优质五金配件，可升降桌架。</w:t>
            </w:r>
          </w:p>
        </w:tc>
      </w:tr>
      <w:tr w14:paraId="2959BE97">
        <w:tblPrEx>
          <w:tblCellMar>
            <w:top w:w="0" w:type="dxa"/>
            <w:left w:w="108" w:type="dxa"/>
            <w:bottom w:w="0" w:type="dxa"/>
            <w:right w:w="108" w:type="dxa"/>
          </w:tblCellMar>
        </w:tblPrEx>
        <w:trPr>
          <w:trHeight w:val="22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2DB2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8902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会议桌1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89E5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6672" behindDoc="0" locked="0" layoutInCell="1" allowOverlap="1">
                  <wp:simplePos x="0" y="0"/>
                  <wp:positionH relativeFrom="column">
                    <wp:posOffset>19685</wp:posOffset>
                  </wp:positionH>
                  <wp:positionV relativeFrom="paragraph">
                    <wp:posOffset>51435</wp:posOffset>
                  </wp:positionV>
                  <wp:extent cx="1341120" cy="631825"/>
                  <wp:effectExtent l="0" t="0" r="11430" b="15875"/>
                  <wp:wrapNone/>
                  <wp:docPr id="31" name="图片_149"/>
                  <wp:cNvGraphicFramePr/>
                  <a:graphic xmlns:a="http://schemas.openxmlformats.org/drawingml/2006/main">
                    <a:graphicData uri="http://schemas.openxmlformats.org/drawingml/2006/picture">
                      <pic:pic xmlns:pic="http://schemas.openxmlformats.org/drawingml/2006/picture">
                        <pic:nvPicPr>
                          <pic:cNvPr id="31" name="图片_149"/>
                          <pic:cNvPicPr/>
                        </pic:nvPicPr>
                        <pic:blipFill>
                          <a:blip r:embed="rId37"/>
                          <a:stretch>
                            <a:fillRect/>
                          </a:stretch>
                        </pic:blipFill>
                        <pic:spPr>
                          <a:xfrm>
                            <a:off x="0" y="0"/>
                            <a:ext cx="1341120" cy="6318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90DC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8000*1800*760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0EC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3E81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71F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21F86F3F">
        <w:tblPrEx>
          <w:tblCellMar>
            <w:top w:w="0" w:type="dxa"/>
            <w:left w:w="108" w:type="dxa"/>
            <w:bottom w:w="0" w:type="dxa"/>
            <w:right w:w="108" w:type="dxa"/>
          </w:tblCellMar>
        </w:tblPrEx>
        <w:trPr>
          <w:trHeight w:val="20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435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8BA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会议桌2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6343">
            <w:pPr>
              <w:widowControl/>
              <w:jc w:val="center"/>
              <w:textAlignment w:val="center"/>
              <w:rPr>
                <w:rFonts w:ascii="黑体" w:hAnsi="宋体" w:eastAsia="黑体" w:cs="黑体"/>
                <w:b/>
                <w:bCs/>
                <w:color w:val="000000"/>
                <w:sz w:val="20"/>
                <w:szCs w:val="20"/>
              </w:rPr>
            </w:pPr>
            <w:r>
              <w:rPr>
                <w:rFonts w:hint="eastAsia" w:ascii="黑体" w:hAnsi="宋体" w:eastAsia="黑体" w:cs="黑体"/>
                <w:b/>
                <w:bCs/>
                <w:color w:val="000000"/>
                <w:kern w:val="0"/>
                <w:sz w:val="20"/>
                <w:szCs w:val="20"/>
                <w:bdr w:val="single" w:color="000000" w:sz="4" w:space="0"/>
              </w:rPr>
              <w:drawing>
                <wp:anchor distT="0" distB="0" distL="114300" distR="114300" simplePos="0" relativeHeight="251677696" behindDoc="0" locked="0" layoutInCell="1" allowOverlap="1">
                  <wp:simplePos x="0" y="0"/>
                  <wp:positionH relativeFrom="column">
                    <wp:posOffset>117475</wp:posOffset>
                  </wp:positionH>
                  <wp:positionV relativeFrom="paragraph">
                    <wp:posOffset>139700</wp:posOffset>
                  </wp:positionV>
                  <wp:extent cx="1158875" cy="691515"/>
                  <wp:effectExtent l="0" t="0" r="3175" b="13335"/>
                  <wp:wrapNone/>
                  <wp:docPr id="30" name="图片_159"/>
                  <wp:cNvGraphicFramePr/>
                  <a:graphic xmlns:a="http://schemas.openxmlformats.org/drawingml/2006/main">
                    <a:graphicData uri="http://schemas.openxmlformats.org/drawingml/2006/picture">
                      <pic:pic xmlns:pic="http://schemas.openxmlformats.org/drawingml/2006/picture">
                        <pic:nvPicPr>
                          <pic:cNvPr id="30" name="图片_159"/>
                          <pic:cNvPicPr/>
                        </pic:nvPicPr>
                        <pic:blipFill>
                          <a:blip r:embed="rId38"/>
                          <a:stretch>
                            <a:fillRect/>
                          </a:stretch>
                        </pic:blipFill>
                        <pic:spPr>
                          <a:xfrm>
                            <a:off x="0" y="0"/>
                            <a:ext cx="1158875" cy="69151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CF5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4800*1400*760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FF1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52BB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8EFF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375BD285">
        <w:tblPrEx>
          <w:tblCellMar>
            <w:top w:w="0" w:type="dxa"/>
            <w:left w:w="108" w:type="dxa"/>
            <w:bottom w:w="0" w:type="dxa"/>
            <w:right w:w="108" w:type="dxa"/>
          </w:tblCellMar>
        </w:tblPrEx>
        <w:trPr>
          <w:trHeight w:val="1768"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936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C40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研讨台</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7D58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8720" behindDoc="0" locked="0" layoutInCell="1" allowOverlap="1">
                  <wp:simplePos x="0" y="0"/>
                  <wp:positionH relativeFrom="column">
                    <wp:posOffset>24130</wp:posOffset>
                  </wp:positionH>
                  <wp:positionV relativeFrom="paragraph">
                    <wp:posOffset>-45720</wp:posOffset>
                  </wp:positionV>
                  <wp:extent cx="1407795" cy="601345"/>
                  <wp:effectExtent l="0" t="0" r="1905" b="8255"/>
                  <wp:wrapNone/>
                  <wp:docPr id="21" name="图片_181"/>
                  <wp:cNvGraphicFramePr/>
                  <a:graphic xmlns:a="http://schemas.openxmlformats.org/drawingml/2006/main">
                    <a:graphicData uri="http://schemas.openxmlformats.org/drawingml/2006/picture">
                      <pic:pic xmlns:pic="http://schemas.openxmlformats.org/drawingml/2006/picture">
                        <pic:nvPicPr>
                          <pic:cNvPr id="21" name="图片_181"/>
                          <pic:cNvPicPr/>
                        </pic:nvPicPr>
                        <pic:blipFill>
                          <a:blip r:embed="rId39"/>
                          <a:stretch>
                            <a:fillRect/>
                          </a:stretch>
                        </pic:blipFill>
                        <pic:spPr>
                          <a:xfrm>
                            <a:off x="0" y="0"/>
                            <a:ext cx="1407795" cy="60134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88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2400*1200*760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6C4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151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5C34">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1747D440">
        <w:tblPrEx>
          <w:tblCellMar>
            <w:top w:w="0" w:type="dxa"/>
            <w:left w:w="108" w:type="dxa"/>
            <w:bottom w:w="0" w:type="dxa"/>
            <w:right w:w="108" w:type="dxa"/>
          </w:tblCellMar>
        </w:tblPrEx>
        <w:trPr>
          <w:trHeight w:val="17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F25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917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主席台桌</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3E7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79744" behindDoc="0" locked="0" layoutInCell="1" allowOverlap="1">
                  <wp:simplePos x="0" y="0"/>
                  <wp:positionH relativeFrom="column">
                    <wp:posOffset>48895</wp:posOffset>
                  </wp:positionH>
                  <wp:positionV relativeFrom="paragraph">
                    <wp:posOffset>42545</wp:posOffset>
                  </wp:positionV>
                  <wp:extent cx="1363345" cy="875665"/>
                  <wp:effectExtent l="0" t="0" r="8255" b="635"/>
                  <wp:wrapNone/>
                  <wp:docPr id="22" name="图片_672"/>
                  <wp:cNvGraphicFramePr/>
                  <a:graphic xmlns:a="http://schemas.openxmlformats.org/drawingml/2006/main">
                    <a:graphicData uri="http://schemas.openxmlformats.org/drawingml/2006/picture">
                      <pic:pic xmlns:pic="http://schemas.openxmlformats.org/drawingml/2006/picture">
                        <pic:nvPicPr>
                          <pic:cNvPr id="22" name="图片_672"/>
                          <pic:cNvPicPr/>
                        </pic:nvPicPr>
                        <pic:blipFill>
                          <a:blip r:embed="rId40"/>
                          <a:stretch>
                            <a:fillRect/>
                          </a:stretch>
                        </pic:blipFill>
                        <pic:spPr>
                          <a:xfrm>
                            <a:off x="0" y="0"/>
                            <a:ext cx="1363345" cy="87566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F81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1600*600*750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C37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D02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6966">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基材采用环保优质E0级中密度纤维板，优质木皮，厚度≥0.6mm，实木封边条，水性漆底漆，水性漆面漆，优质五金配件。</w:t>
            </w:r>
          </w:p>
        </w:tc>
      </w:tr>
      <w:tr w14:paraId="7CF7C86E">
        <w:tblPrEx>
          <w:tblCellMar>
            <w:top w:w="0" w:type="dxa"/>
            <w:left w:w="108" w:type="dxa"/>
            <w:bottom w:w="0" w:type="dxa"/>
            <w:right w:w="108" w:type="dxa"/>
          </w:tblCellMar>
        </w:tblPrEx>
        <w:trPr>
          <w:trHeight w:val="19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0C98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5A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会议条桌1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836D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0768" behindDoc="0" locked="0" layoutInCell="1" allowOverlap="1">
                  <wp:simplePos x="0" y="0"/>
                  <wp:positionH relativeFrom="column">
                    <wp:posOffset>27940</wp:posOffset>
                  </wp:positionH>
                  <wp:positionV relativeFrom="paragraph">
                    <wp:posOffset>20320</wp:posOffset>
                  </wp:positionV>
                  <wp:extent cx="1363980" cy="999490"/>
                  <wp:effectExtent l="0" t="0" r="7620" b="10160"/>
                  <wp:wrapNone/>
                  <wp:docPr id="23" name="图片_121"/>
                  <wp:cNvGraphicFramePr/>
                  <a:graphic xmlns:a="http://schemas.openxmlformats.org/drawingml/2006/main">
                    <a:graphicData uri="http://schemas.openxmlformats.org/drawingml/2006/picture">
                      <pic:pic xmlns:pic="http://schemas.openxmlformats.org/drawingml/2006/picture">
                        <pic:nvPicPr>
                          <pic:cNvPr id="23" name="图片_121"/>
                          <pic:cNvPicPr/>
                        </pic:nvPicPr>
                        <pic:blipFill>
                          <a:blip r:embed="rId41"/>
                          <a:stretch>
                            <a:fillRect/>
                          </a:stretch>
                        </pic:blipFill>
                        <pic:spPr>
                          <a:xfrm>
                            <a:off x="0" y="0"/>
                            <a:ext cx="1363980" cy="9994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B5F9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1400*450*750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165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A3D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4F09">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w:t>
            </w:r>
            <w:r>
              <w:rPr>
                <w:rFonts w:hint="eastAsia" w:ascii="黑体" w:hAnsi="宋体" w:eastAsia="黑体" w:cs="黑体"/>
                <w:kern w:val="0"/>
                <w:sz w:val="20"/>
                <w:szCs w:val="20"/>
                <w:lang w:bidi="ar"/>
              </w:rPr>
              <w:t>优等A级天然木皮</w:t>
            </w:r>
            <w:r>
              <w:rPr>
                <w:rFonts w:hint="eastAsia" w:ascii="黑体" w:hAnsi="宋体" w:eastAsia="黑体" w:cs="黑体"/>
                <w:color w:val="000000"/>
                <w:kern w:val="0"/>
                <w:sz w:val="20"/>
                <w:szCs w:val="20"/>
                <w:lang w:bidi="ar"/>
              </w:rPr>
              <w:t>，厚度≥0.6mm，实木封边条，水性漆底漆，水性漆面漆，优质五金配件。</w:t>
            </w:r>
          </w:p>
        </w:tc>
      </w:tr>
      <w:tr w14:paraId="45BD240D">
        <w:tblPrEx>
          <w:tblCellMar>
            <w:top w:w="0" w:type="dxa"/>
            <w:left w:w="108" w:type="dxa"/>
            <w:bottom w:w="0" w:type="dxa"/>
            <w:right w:w="108" w:type="dxa"/>
          </w:tblCellMar>
        </w:tblPrEx>
        <w:trPr>
          <w:trHeight w:val="18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E53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A02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会议条桌2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FB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1792" behindDoc="0" locked="0" layoutInCell="1" allowOverlap="1">
                  <wp:simplePos x="0" y="0"/>
                  <wp:positionH relativeFrom="column">
                    <wp:posOffset>38735</wp:posOffset>
                  </wp:positionH>
                  <wp:positionV relativeFrom="paragraph">
                    <wp:posOffset>102870</wp:posOffset>
                  </wp:positionV>
                  <wp:extent cx="1334770" cy="854075"/>
                  <wp:effectExtent l="0" t="0" r="17780" b="3175"/>
                  <wp:wrapNone/>
                  <wp:docPr id="24" name="图片_674"/>
                  <wp:cNvGraphicFramePr/>
                  <a:graphic xmlns:a="http://schemas.openxmlformats.org/drawingml/2006/main">
                    <a:graphicData uri="http://schemas.openxmlformats.org/drawingml/2006/picture">
                      <pic:pic xmlns:pic="http://schemas.openxmlformats.org/drawingml/2006/picture">
                        <pic:nvPicPr>
                          <pic:cNvPr id="24" name="图片_674"/>
                          <pic:cNvPicPr/>
                        </pic:nvPicPr>
                        <pic:blipFill>
                          <a:blip r:embed="rId42"/>
                          <a:stretch>
                            <a:fillRect/>
                          </a:stretch>
                        </pic:blipFill>
                        <pic:spPr>
                          <a:xfrm>
                            <a:off x="0" y="0"/>
                            <a:ext cx="1334770" cy="85407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4AD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1400*450*750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A4A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308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D31E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19A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w:t>
            </w:r>
            <w:r>
              <w:rPr>
                <w:rFonts w:hint="eastAsia" w:ascii="黑体" w:hAnsi="宋体" w:eastAsia="黑体" w:cs="黑体"/>
                <w:kern w:val="0"/>
                <w:sz w:val="20"/>
                <w:szCs w:val="20"/>
                <w:lang w:bidi="ar"/>
              </w:rPr>
              <w:t>优等A级天然木皮</w:t>
            </w:r>
            <w:r>
              <w:rPr>
                <w:rFonts w:hint="eastAsia" w:ascii="黑体" w:hAnsi="宋体" w:eastAsia="黑体" w:cs="黑体"/>
                <w:color w:val="000000"/>
                <w:kern w:val="0"/>
                <w:sz w:val="20"/>
                <w:szCs w:val="20"/>
                <w:lang w:bidi="ar"/>
              </w:rPr>
              <w:t>，厚度≥0.6mm，实木封边条，水性漆底漆，水性漆面漆，优质五金配件。</w:t>
            </w:r>
          </w:p>
        </w:tc>
      </w:tr>
      <w:tr w14:paraId="2633FACD">
        <w:tblPrEx>
          <w:tblCellMar>
            <w:top w:w="0" w:type="dxa"/>
            <w:left w:w="108" w:type="dxa"/>
            <w:bottom w:w="0" w:type="dxa"/>
            <w:right w:w="108" w:type="dxa"/>
          </w:tblCellMar>
        </w:tblPrEx>
        <w:trPr>
          <w:trHeight w:val="26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B691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F54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主席椅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0BE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2816" behindDoc="0" locked="0" layoutInCell="1" allowOverlap="1">
                  <wp:simplePos x="0" y="0"/>
                  <wp:positionH relativeFrom="column">
                    <wp:posOffset>254635</wp:posOffset>
                  </wp:positionH>
                  <wp:positionV relativeFrom="paragraph">
                    <wp:posOffset>212090</wp:posOffset>
                  </wp:positionV>
                  <wp:extent cx="974090" cy="1168400"/>
                  <wp:effectExtent l="0" t="0" r="16510" b="12700"/>
                  <wp:wrapNone/>
                  <wp:docPr id="25" name="图片_673"/>
                  <wp:cNvGraphicFramePr/>
                  <a:graphic xmlns:a="http://schemas.openxmlformats.org/drawingml/2006/main">
                    <a:graphicData uri="http://schemas.openxmlformats.org/drawingml/2006/picture">
                      <pic:pic xmlns:pic="http://schemas.openxmlformats.org/drawingml/2006/picture">
                        <pic:nvPicPr>
                          <pic:cNvPr id="25" name="图片_673"/>
                          <pic:cNvPicPr/>
                        </pic:nvPicPr>
                        <pic:blipFill>
                          <a:blip r:embed="rId43"/>
                          <a:stretch>
                            <a:fillRect/>
                          </a:stretch>
                        </pic:blipFill>
                        <pic:spPr>
                          <a:xfrm>
                            <a:off x="0" y="0"/>
                            <a:ext cx="974090" cy="116840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AD7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660*580*1220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CA5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24</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01F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72CB">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优质真皮饰面，海绵采用高回弹海绵，实木四脚椅架。</w:t>
            </w:r>
          </w:p>
        </w:tc>
      </w:tr>
      <w:tr w14:paraId="7F9531C4">
        <w:tblPrEx>
          <w:tblCellMar>
            <w:top w:w="0" w:type="dxa"/>
            <w:left w:w="108" w:type="dxa"/>
            <w:bottom w:w="0" w:type="dxa"/>
            <w:right w:w="108" w:type="dxa"/>
          </w:tblCellMar>
        </w:tblPrEx>
        <w:trPr>
          <w:trHeight w:val="2342"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C0D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284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会议椅1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C57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3840" behindDoc="0" locked="0" layoutInCell="1" allowOverlap="1">
                  <wp:simplePos x="0" y="0"/>
                  <wp:positionH relativeFrom="column">
                    <wp:posOffset>281940</wp:posOffset>
                  </wp:positionH>
                  <wp:positionV relativeFrom="paragraph">
                    <wp:posOffset>-239395</wp:posOffset>
                  </wp:positionV>
                  <wp:extent cx="807085" cy="1177925"/>
                  <wp:effectExtent l="0" t="0" r="12065" b="3175"/>
                  <wp:wrapNone/>
                  <wp:docPr id="32" name="ID_FEFBE523D71F4A80B16EE64459B2C41E"/>
                  <wp:cNvGraphicFramePr/>
                  <a:graphic xmlns:a="http://schemas.openxmlformats.org/drawingml/2006/main">
                    <a:graphicData uri="http://schemas.openxmlformats.org/drawingml/2006/picture">
                      <pic:pic xmlns:pic="http://schemas.openxmlformats.org/drawingml/2006/picture">
                        <pic:nvPicPr>
                          <pic:cNvPr id="32" name="ID_FEFBE523D71F4A80B16EE64459B2C41E"/>
                          <pic:cNvPicPr/>
                        </pic:nvPicPr>
                        <pic:blipFill>
                          <a:blip r:embed="rId44"/>
                          <a:stretch>
                            <a:fillRect/>
                          </a:stretch>
                        </pic:blipFill>
                        <pic:spPr>
                          <a:xfrm>
                            <a:off x="0" y="0"/>
                            <a:ext cx="807085" cy="11779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A5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680*580*1025</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F1CF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314</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04B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316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采用优质环保西皮饰面，海绵采用高回弹海绵，不锈钢弓形椅架。</w:t>
            </w:r>
          </w:p>
        </w:tc>
      </w:tr>
      <w:tr w14:paraId="7543B062">
        <w:tblPrEx>
          <w:tblCellMar>
            <w:top w:w="0" w:type="dxa"/>
            <w:left w:w="108" w:type="dxa"/>
            <w:bottom w:w="0" w:type="dxa"/>
            <w:right w:w="108" w:type="dxa"/>
          </w:tblCellMar>
        </w:tblPrEx>
        <w:trPr>
          <w:trHeight w:val="2267"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28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CE2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会议椅2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01C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4864" behindDoc="0" locked="0" layoutInCell="1" allowOverlap="1">
                  <wp:simplePos x="0" y="0"/>
                  <wp:positionH relativeFrom="column">
                    <wp:posOffset>132080</wp:posOffset>
                  </wp:positionH>
                  <wp:positionV relativeFrom="paragraph">
                    <wp:posOffset>-30480</wp:posOffset>
                  </wp:positionV>
                  <wp:extent cx="1116965" cy="1362075"/>
                  <wp:effectExtent l="0" t="0" r="6985" b="9525"/>
                  <wp:wrapNone/>
                  <wp:docPr id="33" name="ID_207247440F4C409F82A40E6799738E51"/>
                  <wp:cNvGraphicFramePr/>
                  <a:graphic xmlns:a="http://schemas.openxmlformats.org/drawingml/2006/main">
                    <a:graphicData uri="http://schemas.openxmlformats.org/drawingml/2006/picture">
                      <pic:pic xmlns:pic="http://schemas.openxmlformats.org/drawingml/2006/picture">
                        <pic:nvPicPr>
                          <pic:cNvPr id="33" name="ID_207247440F4C409F82A40E6799738E51"/>
                          <pic:cNvPicPr/>
                        </pic:nvPicPr>
                        <pic:blipFill>
                          <a:blip r:embed="rId45"/>
                          <a:stretch>
                            <a:fillRect/>
                          </a:stretch>
                        </pic:blipFill>
                        <pic:spPr>
                          <a:xfrm>
                            <a:off x="0" y="0"/>
                            <a:ext cx="1116965" cy="136207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2BE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610*570*870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145A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535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217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DCE9">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采用优质环保西皮饰面，海绵采用高回弹海绵，不锈钢弓形椅架。</w:t>
            </w:r>
          </w:p>
        </w:tc>
      </w:tr>
      <w:tr w14:paraId="4166FDC0">
        <w:tblPrEx>
          <w:tblCellMar>
            <w:top w:w="0" w:type="dxa"/>
            <w:left w:w="108" w:type="dxa"/>
            <w:bottom w:w="0" w:type="dxa"/>
            <w:right w:w="108" w:type="dxa"/>
          </w:tblCellMar>
        </w:tblPrEx>
        <w:trPr>
          <w:trHeight w:val="2155"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506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2F3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会议椅3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5ED2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5888" behindDoc="0" locked="0" layoutInCell="1" allowOverlap="1">
                  <wp:simplePos x="0" y="0"/>
                  <wp:positionH relativeFrom="column">
                    <wp:posOffset>247650</wp:posOffset>
                  </wp:positionH>
                  <wp:positionV relativeFrom="paragraph">
                    <wp:posOffset>-74295</wp:posOffset>
                  </wp:positionV>
                  <wp:extent cx="883920" cy="1169035"/>
                  <wp:effectExtent l="0" t="0" r="11430" b="12065"/>
                  <wp:wrapNone/>
                  <wp:docPr id="34" name="ID_A24F4E96B72542B8A6E1423B4D9DCB1D"/>
                  <wp:cNvGraphicFramePr/>
                  <a:graphic xmlns:a="http://schemas.openxmlformats.org/drawingml/2006/main">
                    <a:graphicData uri="http://schemas.openxmlformats.org/drawingml/2006/picture">
                      <pic:pic xmlns:pic="http://schemas.openxmlformats.org/drawingml/2006/picture">
                        <pic:nvPicPr>
                          <pic:cNvPr id="34" name="ID_A24F4E96B72542B8A6E1423B4D9DCB1D"/>
                          <pic:cNvPicPr/>
                        </pic:nvPicPr>
                        <pic:blipFill>
                          <a:blip r:embed="rId46"/>
                          <a:stretch>
                            <a:fillRect/>
                          </a:stretch>
                        </pic:blipFill>
                        <pic:spPr>
                          <a:xfrm>
                            <a:off x="0" y="0"/>
                            <a:ext cx="883920" cy="116903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BBB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700*670*990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A21F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44D7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9A24">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采用优质环保西皮饰面，海绵采用高回弹海绵，不锈钢弓形椅架。</w:t>
            </w:r>
          </w:p>
        </w:tc>
      </w:tr>
      <w:tr w14:paraId="20616F6E">
        <w:tblPrEx>
          <w:tblCellMar>
            <w:top w:w="0" w:type="dxa"/>
            <w:left w:w="108" w:type="dxa"/>
            <w:bottom w:w="0" w:type="dxa"/>
            <w:right w:w="108" w:type="dxa"/>
          </w:tblCellMar>
        </w:tblPrEx>
        <w:trPr>
          <w:trHeight w:val="2071"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44C5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4273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桌前椅1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B719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6912" behindDoc="0" locked="0" layoutInCell="1" allowOverlap="1">
                  <wp:simplePos x="0" y="0"/>
                  <wp:positionH relativeFrom="column">
                    <wp:posOffset>223520</wp:posOffset>
                  </wp:positionH>
                  <wp:positionV relativeFrom="paragraph">
                    <wp:posOffset>-240030</wp:posOffset>
                  </wp:positionV>
                  <wp:extent cx="908685" cy="1152525"/>
                  <wp:effectExtent l="0" t="0" r="5715" b="9525"/>
                  <wp:wrapNone/>
                  <wp:docPr id="40" name="ID_B7EC06D87D0E4330AB4484733F552173"/>
                  <wp:cNvGraphicFramePr/>
                  <a:graphic xmlns:a="http://schemas.openxmlformats.org/drawingml/2006/main">
                    <a:graphicData uri="http://schemas.openxmlformats.org/drawingml/2006/picture">
                      <pic:pic xmlns:pic="http://schemas.openxmlformats.org/drawingml/2006/picture">
                        <pic:nvPicPr>
                          <pic:cNvPr id="40" name="ID_B7EC06D87D0E4330AB4484733F552173"/>
                          <pic:cNvPicPr/>
                        </pic:nvPicPr>
                        <pic:blipFill>
                          <a:blip r:embed="rId47"/>
                          <a:stretch>
                            <a:fillRect/>
                          </a:stretch>
                        </pic:blipFill>
                        <pic:spPr>
                          <a:xfrm>
                            <a:off x="0" y="0"/>
                            <a:ext cx="908685" cy="11525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3E6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600*555*970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92EC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2AC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3523">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采用优质环保西皮饰面，海绵采用高回弹海绵，不锈钢弓形椅架。</w:t>
            </w:r>
          </w:p>
        </w:tc>
      </w:tr>
      <w:tr w14:paraId="4E833AB1">
        <w:tblPrEx>
          <w:tblCellMar>
            <w:top w:w="0" w:type="dxa"/>
            <w:left w:w="108" w:type="dxa"/>
            <w:bottom w:w="0" w:type="dxa"/>
            <w:right w:w="108" w:type="dxa"/>
          </w:tblCellMar>
        </w:tblPrEx>
        <w:trPr>
          <w:trHeight w:val="19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95D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5FC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办公桌4</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BD8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7936" behindDoc="0" locked="0" layoutInCell="1" allowOverlap="1">
                  <wp:simplePos x="0" y="0"/>
                  <wp:positionH relativeFrom="column">
                    <wp:posOffset>1905</wp:posOffset>
                  </wp:positionH>
                  <wp:positionV relativeFrom="paragraph">
                    <wp:posOffset>-105410</wp:posOffset>
                  </wp:positionV>
                  <wp:extent cx="1326515" cy="737870"/>
                  <wp:effectExtent l="0" t="0" r="6985" b="5080"/>
                  <wp:wrapNone/>
                  <wp:docPr id="56" name="图片_583"/>
                  <wp:cNvGraphicFramePr/>
                  <a:graphic xmlns:a="http://schemas.openxmlformats.org/drawingml/2006/main">
                    <a:graphicData uri="http://schemas.openxmlformats.org/drawingml/2006/picture">
                      <pic:pic xmlns:pic="http://schemas.openxmlformats.org/drawingml/2006/picture">
                        <pic:nvPicPr>
                          <pic:cNvPr id="56" name="图片_583"/>
                          <pic:cNvPicPr/>
                        </pic:nvPicPr>
                        <pic:blipFill>
                          <a:blip r:embed="rId48"/>
                          <a:stretch>
                            <a:fillRect/>
                          </a:stretch>
                        </pic:blipFill>
                        <pic:spPr>
                          <a:xfrm>
                            <a:off x="0" y="0"/>
                            <a:ext cx="1326515" cy="73787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10E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总尺寸：1600*1600*750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主台尺寸：1400*800*750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副柜尺寸：1600*550*625</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99A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934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C43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37381874">
        <w:tblPrEx>
          <w:tblCellMar>
            <w:top w:w="0" w:type="dxa"/>
            <w:left w:w="108" w:type="dxa"/>
            <w:bottom w:w="0" w:type="dxa"/>
            <w:right w:w="108" w:type="dxa"/>
          </w:tblCellMar>
        </w:tblPrEx>
        <w:trPr>
          <w:trHeight w:val="26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B98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1EE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文件矮柜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7AF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8960" behindDoc="0" locked="0" layoutInCell="1" allowOverlap="1">
                  <wp:simplePos x="0" y="0"/>
                  <wp:positionH relativeFrom="column">
                    <wp:posOffset>53340</wp:posOffset>
                  </wp:positionH>
                  <wp:positionV relativeFrom="paragraph">
                    <wp:posOffset>90805</wp:posOffset>
                  </wp:positionV>
                  <wp:extent cx="1232535" cy="1252220"/>
                  <wp:effectExtent l="0" t="0" r="5715" b="5080"/>
                  <wp:wrapNone/>
                  <wp:docPr id="35" name="图片_19"/>
                  <wp:cNvGraphicFramePr/>
                  <a:graphic xmlns:a="http://schemas.openxmlformats.org/drawingml/2006/main">
                    <a:graphicData uri="http://schemas.openxmlformats.org/drawingml/2006/picture">
                      <pic:pic xmlns:pic="http://schemas.openxmlformats.org/drawingml/2006/picture">
                        <pic:nvPicPr>
                          <pic:cNvPr id="35" name="图片_19"/>
                          <pic:cNvPicPr/>
                        </pic:nvPicPr>
                        <pic:blipFill>
                          <a:blip r:embed="rId49"/>
                          <a:stretch>
                            <a:fillRect/>
                          </a:stretch>
                        </pic:blipFill>
                        <pic:spPr>
                          <a:xfrm>
                            <a:off x="0" y="0"/>
                            <a:ext cx="1232535" cy="125222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147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800*400*1100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2AB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155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3E44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6C3B09FD">
        <w:tblPrEx>
          <w:tblCellMar>
            <w:top w:w="0" w:type="dxa"/>
            <w:left w:w="108" w:type="dxa"/>
            <w:bottom w:w="0" w:type="dxa"/>
            <w:right w:w="108" w:type="dxa"/>
          </w:tblCellMar>
        </w:tblPrEx>
        <w:trPr>
          <w:trHeight w:val="287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4F1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492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4CA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89984" behindDoc="0" locked="0" layoutInCell="1" allowOverlap="1">
                  <wp:simplePos x="0" y="0"/>
                  <wp:positionH relativeFrom="column">
                    <wp:posOffset>135255</wp:posOffset>
                  </wp:positionH>
                  <wp:positionV relativeFrom="paragraph">
                    <wp:posOffset>-34925</wp:posOffset>
                  </wp:positionV>
                  <wp:extent cx="991870" cy="1586230"/>
                  <wp:effectExtent l="0" t="0" r="17780" b="13970"/>
                  <wp:wrapNone/>
                  <wp:docPr id="59" name="ID_EF80C1F1364F414690354E92F3FDFD1C"/>
                  <wp:cNvGraphicFramePr/>
                  <a:graphic xmlns:a="http://schemas.openxmlformats.org/drawingml/2006/main">
                    <a:graphicData uri="http://schemas.openxmlformats.org/drawingml/2006/picture">
                      <pic:pic xmlns:pic="http://schemas.openxmlformats.org/drawingml/2006/picture">
                        <pic:nvPicPr>
                          <pic:cNvPr id="59" name="ID_EF80C1F1364F414690354E92F3FDFD1C"/>
                          <pic:cNvPicPr/>
                        </pic:nvPicPr>
                        <pic:blipFill>
                          <a:blip r:embed="rId50"/>
                          <a:stretch>
                            <a:fillRect/>
                          </a:stretch>
                        </pic:blipFill>
                        <pic:spPr>
                          <a:xfrm>
                            <a:off x="0" y="0"/>
                            <a:ext cx="991870" cy="158623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431A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D630*W700*H（1155-1215)</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8E66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3ED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D2F9">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西皮头枕，椅背采用PA背框+特网面料，腰靠采用切割绵带升降调节功能，海绵采用一次性定型绵，底盘为连动底盘三档锁定，扶手采用PU扶手面含升降调节，气杆为行程65mm沉口50mm三级气杆，椅脚为340mmPA五星脚，椅轮为60/25黑色PA轮。</w:t>
            </w:r>
          </w:p>
        </w:tc>
      </w:tr>
      <w:tr w14:paraId="20FED333">
        <w:tblPrEx>
          <w:tblCellMar>
            <w:top w:w="0" w:type="dxa"/>
            <w:left w:w="108" w:type="dxa"/>
            <w:bottom w:w="0" w:type="dxa"/>
            <w:right w:w="108" w:type="dxa"/>
          </w:tblCellMar>
        </w:tblPrEx>
        <w:trPr>
          <w:trHeight w:val="1915"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B531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EF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FB9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1008" behindDoc="0" locked="0" layoutInCell="1" allowOverlap="1">
                  <wp:simplePos x="0" y="0"/>
                  <wp:positionH relativeFrom="column">
                    <wp:posOffset>53975</wp:posOffset>
                  </wp:positionH>
                  <wp:positionV relativeFrom="paragraph">
                    <wp:posOffset>-269240</wp:posOffset>
                  </wp:positionV>
                  <wp:extent cx="1283335" cy="930910"/>
                  <wp:effectExtent l="0" t="0" r="12065" b="2540"/>
                  <wp:wrapNone/>
                  <wp:docPr id="63" name="图片_498"/>
                  <wp:cNvGraphicFramePr/>
                  <a:graphic xmlns:a="http://schemas.openxmlformats.org/drawingml/2006/main">
                    <a:graphicData uri="http://schemas.openxmlformats.org/drawingml/2006/picture">
                      <pic:pic xmlns:pic="http://schemas.openxmlformats.org/drawingml/2006/picture">
                        <pic:nvPicPr>
                          <pic:cNvPr id="63" name="图片_498"/>
                          <pic:cNvPicPr/>
                        </pic:nvPicPr>
                        <pic:blipFill>
                          <a:blip r:embed="rId51"/>
                          <a:stretch>
                            <a:fillRect/>
                          </a:stretch>
                        </pic:blipFill>
                        <pic:spPr>
                          <a:xfrm>
                            <a:off x="0" y="0"/>
                            <a:ext cx="1283335" cy="9309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1F7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三人位</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1950*880*750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F9B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83</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C2B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308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采用优质环保西皮,海绵采用高回弹海绵，配以整体弹簧座包，脚架采用不锈钢框脚。</w:t>
            </w:r>
          </w:p>
        </w:tc>
      </w:tr>
      <w:tr w14:paraId="1F507BBE">
        <w:tblPrEx>
          <w:tblCellMar>
            <w:top w:w="0" w:type="dxa"/>
            <w:left w:w="108" w:type="dxa"/>
            <w:bottom w:w="0" w:type="dxa"/>
            <w:right w:w="108" w:type="dxa"/>
          </w:tblCellMar>
        </w:tblPrEx>
        <w:trPr>
          <w:trHeight w:val="24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99B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9BE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办公桌5</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DB7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2032" behindDoc="0" locked="0" layoutInCell="1" allowOverlap="1">
                  <wp:simplePos x="0" y="0"/>
                  <wp:positionH relativeFrom="column">
                    <wp:posOffset>53975</wp:posOffset>
                  </wp:positionH>
                  <wp:positionV relativeFrom="paragraph">
                    <wp:posOffset>178435</wp:posOffset>
                  </wp:positionV>
                  <wp:extent cx="1311910" cy="802640"/>
                  <wp:effectExtent l="0" t="0" r="2540" b="16510"/>
                  <wp:wrapNone/>
                  <wp:docPr id="54" name="图片_9"/>
                  <wp:cNvGraphicFramePr/>
                  <a:graphic xmlns:a="http://schemas.openxmlformats.org/drawingml/2006/main">
                    <a:graphicData uri="http://schemas.openxmlformats.org/drawingml/2006/picture">
                      <pic:pic xmlns:pic="http://schemas.openxmlformats.org/drawingml/2006/picture">
                        <pic:nvPicPr>
                          <pic:cNvPr id="54" name="图片_9"/>
                          <pic:cNvPicPr/>
                        </pic:nvPicPr>
                        <pic:blipFill>
                          <a:blip r:embed="rId52"/>
                          <a:stretch>
                            <a:fillRect/>
                          </a:stretch>
                        </pic:blipFill>
                        <pic:spPr>
                          <a:xfrm>
                            <a:off x="0" y="0"/>
                            <a:ext cx="1311910" cy="80264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E0C6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整体规格：1530*1530*1100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桌：1200*600*750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柜：1500*300*1100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3EA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400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03C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D509">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屏风采用铝合金框架，屏厚度为≥30mm，铝框选用优质成型≥1.2mm厚铝材框架,经打磨、除锈磷化、静电喷涂粉末、高温焗炉等工序处理；板材采用环保优质E0级浸渍胶膜纸饰面刨花板，2mm厚PVC封边，优质五金配件。</w:t>
            </w:r>
          </w:p>
        </w:tc>
      </w:tr>
      <w:tr w14:paraId="3BBF330D">
        <w:tblPrEx>
          <w:tblCellMar>
            <w:top w:w="0" w:type="dxa"/>
            <w:left w:w="108" w:type="dxa"/>
            <w:bottom w:w="0" w:type="dxa"/>
            <w:right w:w="108" w:type="dxa"/>
          </w:tblCellMar>
        </w:tblPrEx>
        <w:trPr>
          <w:trHeight w:val="26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0CE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358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办公桌6</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255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3056" behindDoc="0" locked="0" layoutInCell="1" allowOverlap="1">
                  <wp:simplePos x="0" y="0"/>
                  <wp:positionH relativeFrom="column">
                    <wp:posOffset>27940</wp:posOffset>
                  </wp:positionH>
                  <wp:positionV relativeFrom="paragraph">
                    <wp:posOffset>-119380</wp:posOffset>
                  </wp:positionV>
                  <wp:extent cx="1371600" cy="1011555"/>
                  <wp:effectExtent l="0" t="0" r="0" b="17145"/>
                  <wp:wrapNone/>
                  <wp:docPr id="41" name="图片_12"/>
                  <wp:cNvGraphicFramePr/>
                  <a:graphic xmlns:a="http://schemas.openxmlformats.org/drawingml/2006/main">
                    <a:graphicData uri="http://schemas.openxmlformats.org/drawingml/2006/picture">
                      <pic:pic xmlns:pic="http://schemas.openxmlformats.org/drawingml/2006/picture">
                        <pic:nvPicPr>
                          <pic:cNvPr id="41" name="图片_12"/>
                          <pic:cNvPicPr/>
                        </pic:nvPicPr>
                        <pic:blipFill>
                          <a:blip r:embed="rId53"/>
                          <a:stretch>
                            <a:fillRect/>
                          </a:stretch>
                        </pic:blipFill>
                        <pic:spPr>
                          <a:xfrm>
                            <a:off x="0" y="0"/>
                            <a:ext cx="1371600" cy="101155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90D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1430*1530*1100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731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229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EA66">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屏风采用铝合金框架，屏厚度为≥30mm，铝框选用优质成型≥1.2mm厚铝材框架,经打磨、除锈磷化、静电喷涂粉末、高温焗炉等工序处理；板材采用环保优质E0级浸渍胶膜纸饰面刨花板，2mm厚PVC封边，优质五金配件。</w:t>
            </w:r>
          </w:p>
        </w:tc>
      </w:tr>
      <w:tr w14:paraId="7ED1D9B6">
        <w:tblPrEx>
          <w:tblCellMar>
            <w:top w:w="0" w:type="dxa"/>
            <w:left w:w="108" w:type="dxa"/>
            <w:bottom w:w="0" w:type="dxa"/>
            <w:right w:w="108" w:type="dxa"/>
          </w:tblCellMar>
        </w:tblPrEx>
        <w:trPr>
          <w:trHeight w:val="28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1F8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43A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B13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4080" behindDoc="0" locked="0" layoutInCell="1" allowOverlap="1">
                  <wp:simplePos x="0" y="0"/>
                  <wp:positionH relativeFrom="column">
                    <wp:posOffset>294640</wp:posOffset>
                  </wp:positionH>
                  <wp:positionV relativeFrom="paragraph">
                    <wp:posOffset>187960</wp:posOffset>
                  </wp:positionV>
                  <wp:extent cx="972185" cy="1407795"/>
                  <wp:effectExtent l="0" t="0" r="18415" b="1905"/>
                  <wp:wrapNone/>
                  <wp:docPr id="43" name="图片_634"/>
                  <wp:cNvGraphicFramePr/>
                  <a:graphic xmlns:a="http://schemas.openxmlformats.org/drawingml/2006/main">
                    <a:graphicData uri="http://schemas.openxmlformats.org/drawingml/2006/picture">
                      <pic:pic xmlns:pic="http://schemas.openxmlformats.org/drawingml/2006/picture">
                        <pic:nvPicPr>
                          <pic:cNvPr id="43" name="图片_634"/>
                          <pic:cNvPicPr/>
                        </pic:nvPicPr>
                        <pic:blipFill>
                          <a:blip r:embed="rId54"/>
                          <a:stretch>
                            <a:fillRect/>
                          </a:stretch>
                        </pic:blipFill>
                        <pic:spPr>
                          <a:xfrm>
                            <a:off x="0" y="0"/>
                            <a:ext cx="972185" cy="140779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134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791*791*1002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515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651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24A4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5B1D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背框彩用黑色背框，</w:t>
            </w:r>
            <w:r>
              <w:rPr>
                <w:rFonts w:hint="eastAsia" w:ascii="黑体" w:hAnsi="宋体" w:eastAsia="黑体" w:cs="黑体"/>
                <w:color w:val="000000"/>
                <w:kern w:val="0"/>
                <w:sz w:val="22"/>
                <w:szCs w:val="22"/>
                <w:lang w:bidi="ar"/>
              </w:rPr>
              <w:t>采用优质环保布料</w:t>
            </w:r>
            <w:r>
              <w:rPr>
                <w:rFonts w:hint="eastAsia" w:ascii="黑体" w:hAnsi="宋体" w:eastAsia="黑体" w:cs="黑体"/>
                <w:color w:val="000000"/>
                <w:kern w:val="0"/>
                <w:sz w:val="20"/>
                <w:szCs w:val="20"/>
                <w:lang w:bidi="ar"/>
              </w:rPr>
              <w:t>，不带腰靠； 坐垫为定型海绵坐垫，塑料坐壳；扶手为黑色固定扶手； 原位锁定底盘；优质气压棒； 椅脚为尼龙五星脚，黑色PU防震轮；</w:t>
            </w:r>
          </w:p>
        </w:tc>
      </w:tr>
      <w:tr w14:paraId="38D699E3">
        <w:tblPrEx>
          <w:tblCellMar>
            <w:top w:w="0" w:type="dxa"/>
            <w:left w:w="108" w:type="dxa"/>
            <w:bottom w:w="0" w:type="dxa"/>
            <w:right w:w="108" w:type="dxa"/>
          </w:tblCellMar>
        </w:tblPrEx>
        <w:trPr>
          <w:trHeight w:val="247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C54B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74B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等候区</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连排椅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D80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5104" behindDoc="0" locked="0" layoutInCell="1" allowOverlap="1">
                  <wp:simplePos x="0" y="0"/>
                  <wp:positionH relativeFrom="column">
                    <wp:posOffset>72390</wp:posOffset>
                  </wp:positionH>
                  <wp:positionV relativeFrom="paragraph">
                    <wp:posOffset>315595</wp:posOffset>
                  </wp:positionV>
                  <wp:extent cx="1301750" cy="808355"/>
                  <wp:effectExtent l="0" t="0" r="12700" b="10795"/>
                  <wp:wrapNone/>
                  <wp:docPr id="46" name="图片_1"/>
                  <wp:cNvGraphicFramePr/>
                  <a:graphic xmlns:a="http://schemas.openxmlformats.org/drawingml/2006/main">
                    <a:graphicData uri="http://schemas.openxmlformats.org/drawingml/2006/picture">
                      <pic:pic xmlns:pic="http://schemas.openxmlformats.org/drawingml/2006/picture">
                        <pic:nvPicPr>
                          <pic:cNvPr id="46" name="图片_1"/>
                          <pic:cNvPicPr/>
                        </pic:nvPicPr>
                        <pic:blipFill>
                          <a:blip r:embed="rId55"/>
                          <a:stretch>
                            <a:fillRect/>
                          </a:stretch>
                        </pic:blipFill>
                        <pic:spPr>
                          <a:xfrm>
                            <a:off x="0" y="0"/>
                            <a:ext cx="1301750" cy="80835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D02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三人位</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1810*650*895</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2F0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781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BB6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扶手、脚：采用铝合金材料，大型精铸模具，压铸成型后直接抛光，静电喷粉喷涂处理。座背椅板为PU材质，一体模具成型，内置铁架+铁板，内置铁架采用10*20*2.0</w:t>
            </w:r>
            <w:r>
              <w:rPr>
                <w:rFonts w:hint="eastAsia" w:ascii="黑体" w:hAnsi="宋体" w:eastAsia="黑体" w:cs="黑体"/>
                <w:color w:val="000000"/>
                <w:kern w:val="0"/>
                <w:sz w:val="20"/>
                <w:szCs w:val="20"/>
                <w:lang w:val="en-US" w:eastAsia="zh-CN" w:bidi="ar"/>
              </w:rPr>
              <w:t>mm</w:t>
            </w:r>
            <w:r>
              <w:rPr>
                <w:rFonts w:hint="eastAsia" w:ascii="黑体" w:hAnsi="宋体" w:eastAsia="黑体" w:cs="黑体"/>
                <w:color w:val="000000"/>
                <w:kern w:val="0"/>
                <w:sz w:val="20"/>
                <w:szCs w:val="20"/>
                <w:lang w:bidi="ar"/>
              </w:rPr>
              <w:t>优质方管，通过模具冷压再焊接成型，铁板采用1.5MM优质冷轧钢板专用高速数控冲床配合专用冲孔模具冲孔，冷压成型后再与铁架焊接为一整体；横梁采用热轧钢厚度1.8MM八角钢管钻孔加工成型，除油除锈后表面静电喷粉处理。</w:t>
            </w:r>
          </w:p>
        </w:tc>
      </w:tr>
      <w:tr w14:paraId="72835BF7">
        <w:tblPrEx>
          <w:tblCellMar>
            <w:top w:w="0" w:type="dxa"/>
            <w:left w:w="108" w:type="dxa"/>
            <w:bottom w:w="0" w:type="dxa"/>
            <w:right w:w="108" w:type="dxa"/>
          </w:tblCellMar>
        </w:tblPrEx>
        <w:trPr>
          <w:trHeight w:val="14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92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903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柜台</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798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6128" behindDoc="0" locked="0" layoutInCell="1" allowOverlap="1">
                  <wp:simplePos x="0" y="0"/>
                  <wp:positionH relativeFrom="column">
                    <wp:posOffset>-28575</wp:posOffset>
                  </wp:positionH>
                  <wp:positionV relativeFrom="paragraph">
                    <wp:posOffset>167005</wp:posOffset>
                  </wp:positionV>
                  <wp:extent cx="1454150" cy="422275"/>
                  <wp:effectExtent l="0" t="0" r="12700" b="15875"/>
                  <wp:wrapNone/>
                  <wp:docPr id="53" name="图片_433"/>
                  <wp:cNvGraphicFramePr/>
                  <a:graphic xmlns:a="http://schemas.openxmlformats.org/drawingml/2006/main">
                    <a:graphicData uri="http://schemas.openxmlformats.org/drawingml/2006/picture">
                      <pic:pic xmlns:pic="http://schemas.openxmlformats.org/drawingml/2006/picture">
                        <pic:nvPicPr>
                          <pic:cNvPr id="53" name="图片_433"/>
                          <pic:cNvPicPr/>
                        </pic:nvPicPr>
                        <pic:blipFill>
                          <a:blip r:embed="rId56"/>
                          <a:stretch>
                            <a:fillRect/>
                          </a:stretch>
                        </pic:blipFill>
                        <pic:spPr>
                          <a:xfrm>
                            <a:off x="0" y="0"/>
                            <a:ext cx="1454150" cy="42227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B9E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42650*600*800</w:t>
            </w:r>
          </w:p>
        </w:tc>
        <w:tc>
          <w:tcPr>
            <w:tcW w:w="794" w:type="dxa"/>
            <w:tcBorders>
              <w:top w:val="nil"/>
              <w:left w:val="nil"/>
              <w:bottom w:val="nil"/>
              <w:right w:val="nil"/>
            </w:tcBorders>
            <w:shd w:val="clear" w:color="auto" w:fill="auto"/>
            <w:vAlign w:val="center"/>
          </w:tcPr>
          <w:p w14:paraId="3DCA79D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42.65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EE5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延米</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CE1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台面：人造大理石台面；</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6DCE0556">
        <w:tblPrEx>
          <w:tblCellMar>
            <w:top w:w="0" w:type="dxa"/>
            <w:left w:w="108" w:type="dxa"/>
            <w:bottom w:w="0" w:type="dxa"/>
            <w:right w:w="108" w:type="dxa"/>
          </w:tblCellMar>
        </w:tblPrEx>
        <w:trPr>
          <w:trHeight w:val="22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BC1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C79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填表区</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填单台桌上空格柜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F1F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7152" behindDoc="0" locked="0" layoutInCell="1" allowOverlap="1">
                  <wp:simplePos x="0" y="0"/>
                  <wp:positionH relativeFrom="column">
                    <wp:posOffset>139700</wp:posOffset>
                  </wp:positionH>
                  <wp:positionV relativeFrom="paragraph">
                    <wp:posOffset>147955</wp:posOffset>
                  </wp:positionV>
                  <wp:extent cx="1124585" cy="1056640"/>
                  <wp:effectExtent l="0" t="0" r="18415" b="10160"/>
                  <wp:wrapNone/>
                  <wp:docPr id="36" name="图片_4"/>
                  <wp:cNvGraphicFramePr/>
                  <a:graphic xmlns:a="http://schemas.openxmlformats.org/drawingml/2006/main">
                    <a:graphicData uri="http://schemas.openxmlformats.org/drawingml/2006/picture">
                      <pic:pic xmlns:pic="http://schemas.openxmlformats.org/drawingml/2006/picture">
                        <pic:nvPicPr>
                          <pic:cNvPr id="36" name="图片_4"/>
                          <pic:cNvPicPr/>
                        </pic:nvPicPr>
                        <pic:blipFill>
                          <a:blip r:embed="rId57"/>
                          <a:stretch>
                            <a:fillRect/>
                          </a:stretch>
                        </pic:blipFill>
                        <pic:spPr>
                          <a:xfrm>
                            <a:off x="0" y="0"/>
                            <a:ext cx="1124585" cy="105664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718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1200*600*1000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C75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96A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747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2E34506D">
        <w:tblPrEx>
          <w:tblCellMar>
            <w:top w:w="0" w:type="dxa"/>
            <w:left w:w="108" w:type="dxa"/>
            <w:bottom w:w="0" w:type="dxa"/>
            <w:right w:w="108" w:type="dxa"/>
          </w:tblCellMar>
        </w:tblPrEx>
        <w:trPr>
          <w:trHeight w:val="24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0FE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4C9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桌前椅2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626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8176" behindDoc="0" locked="0" layoutInCell="1" allowOverlap="1">
                  <wp:simplePos x="0" y="0"/>
                  <wp:positionH relativeFrom="column">
                    <wp:posOffset>177800</wp:posOffset>
                  </wp:positionH>
                  <wp:positionV relativeFrom="paragraph">
                    <wp:posOffset>64770</wp:posOffset>
                  </wp:positionV>
                  <wp:extent cx="1151890" cy="1375410"/>
                  <wp:effectExtent l="0" t="0" r="10160" b="15240"/>
                  <wp:wrapNone/>
                  <wp:docPr id="60" name="ID_468AE9B354514E2F998947C9DF998B7C"/>
                  <wp:cNvGraphicFramePr/>
                  <a:graphic xmlns:a="http://schemas.openxmlformats.org/drawingml/2006/main">
                    <a:graphicData uri="http://schemas.openxmlformats.org/drawingml/2006/picture">
                      <pic:pic xmlns:pic="http://schemas.openxmlformats.org/drawingml/2006/picture">
                        <pic:nvPicPr>
                          <pic:cNvPr id="60" name="ID_468AE9B354514E2F998947C9DF998B7C"/>
                          <pic:cNvPicPr/>
                        </pic:nvPicPr>
                        <pic:blipFill>
                          <a:blip r:embed="rId58"/>
                          <a:stretch>
                            <a:fillRect/>
                          </a:stretch>
                        </pic:blipFill>
                        <pic:spPr>
                          <a:xfrm>
                            <a:off x="0" y="0"/>
                            <a:ext cx="1151890" cy="13754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32A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D600*W590*H930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443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276C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9885">
            <w:pPr>
              <w:widowControl/>
              <w:jc w:val="left"/>
              <w:textAlignment w:val="center"/>
              <w:rPr>
                <w:rFonts w:ascii="黑体" w:hAnsi="宋体" w:eastAsia="黑体" w:cs="黑体"/>
                <w:color w:val="000000"/>
                <w:sz w:val="20"/>
                <w:szCs w:val="20"/>
              </w:rPr>
            </w:pPr>
            <w:r>
              <w:rPr>
                <w:rFonts w:hint="eastAsia" w:ascii="黑体" w:hAnsi="宋体" w:eastAsia="黑体" w:cs="黑体"/>
                <w:kern w:val="0"/>
                <w:sz w:val="22"/>
                <w:szCs w:val="22"/>
                <w:lang w:bidi="ar"/>
              </w:rPr>
              <w:t>采用优质环保布料</w:t>
            </w:r>
            <w:r>
              <w:rPr>
                <w:rFonts w:hint="eastAsia" w:ascii="黑体" w:hAnsi="宋体" w:eastAsia="黑体" w:cs="黑体"/>
                <w:color w:val="FF0000"/>
                <w:kern w:val="0"/>
                <w:sz w:val="22"/>
                <w:szCs w:val="22"/>
                <w:lang w:bidi="ar"/>
              </w:rPr>
              <w:t>,</w:t>
            </w:r>
            <w:r>
              <w:rPr>
                <w:rFonts w:hint="eastAsia" w:ascii="黑体" w:hAnsi="宋体" w:eastAsia="黑体" w:cs="黑体"/>
                <w:color w:val="000000"/>
                <w:kern w:val="0"/>
                <w:sz w:val="20"/>
                <w:szCs w:val="20"/>
                <w:lang w:bidi="ar"/>
              </w:rPr>
              <w:t>椅背为黑色PA背框；椅座采用高弹力海绵；扶手为黑色PP连体固定扶手；椅脚采用∮25mm管1.8mm厚电镀弓形架；</w:t>
            </w:r>
          </w:p>
        </w:tc>
      </w:tr>
      <w:tr w14:paraId="1E5C6741">
        <w:tblPrEx>
          <w:tblCellMar>
            <w:top w:w="0" w:type="dxa"/>
            <w:left w:w="108" w:type="dxa"/>
            <w:bottom w:w="0" w:type="dxa"/>
            <w:right w:w="108" w:type="dxa"/>
          </w:tblCellMar>
        </w:tblPrEx>
        <w:trPr>
          <w:trHeight w:val="25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EA9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A4B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新闻椅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72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699200" behindDoc="0" locked="0" layoutInCell="1" allowOverlap="1">
                  <wp:simplePos x="0" y="0"/>
                  <wp:positionH relativeFrom="column">
                    <wp:posOffset>74930</wp:posOffset>
                  </wp:positionH>
                  <wp:positionV relativeFrom="paragraph">
                    <wp:posOffset>12700</wp:posOffset>
                  </wp:positionV>
                  <wp:extent cx="1047750" cy="1334770"/>
                  <wp:effectExtent l="0" t="0" r="0" b="17780"/>
                  <wp:wrapNone/>
                  <wp:docPr id="55" name="ID_7D204C6246AE449DB87D4CA482AE456C"/>
                  <wp:cNvGraphicFramePr/>
                  <a:graphic xmlns:a="http://schemas.openxmlformats.org/drawingml/2006/main">
                    <a:graphicData uri="http://schemas.openxmlformats.org/drawingml/2006/picture">
                      <pic:pic xmlns:pic="http://schemas.openxmlformats.org/drawingml/2006/picture">
                        <pic:nvPicPr>
                          <pic:cNvPr id="55" name="ID_7D204C6246AE449DB87D4CA482AE456C"/>
                          <pic:cNvPicPr/>
                        </pic:nvPicPr>
                        <pic:blipFill>
                          <a:blip r:embed="rId59"/>
                          <a:stretch>
                            <a:fillRect/>
                          </a:stretch>
                        </pic:blipFill>
                        <pic:spPr>
                          <a:xfrm>
                            <a:off x="0" y="0"/>
                            <a:ext cx="1047750" cy="133477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D02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D560*W640*H890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E07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D97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D8C8">
            <w:pPr>
              <w:widowControl/>
              <w:jc w:val="left"/>
              <w:textAlignment w:val="center"/>
              <w:rPr>
                <w:rFonts w:ascii="黑体" w:hAnsi="宋体" w:eastAsia="黑体" w:cs="黑体"/>
                <w:color w:val="000000"/>
                <w:sz w:val="20"/>
                <w:szCs w:val="20"/>
              </w:rPr>
            </w:pPr>
            <w:r>
              <w:rPr>
                <w:rFonts w:hint="eastAsia" w:ascii="黑体" w:hAnsi="宋体" w:eastAsia="黑体" w:cs="黑体"/>
                <w:kern w:val="0"/>
                <w:sz w:val="22"/>
                <w:szCs w:val="22"/>
                <w:lang w:bidi="ar"/>
              </w:rPr>
              <w:t>采用优质环保布料</w:t>
            </w:r>
            <w:r>
              <w:rPr>
                <w:rFonts w:hint="eastAsia" w:ascii="黑体" w:hAnsi="宋体" w:eastAsia="黑体" w:cs="黑体"/>
                <w:color w:val="000000"/>
                <w:kern w:val="0"/>
                <w:sz w:val="20"/>
                <w:szCs w:val="20"/>
                <w:lang w:bidi="ar"/>
              </w:rPr>
              <w:t>，椅背为PA背框，背8°后仰逍遥；椅座为PP座壳+低密度定型绵，座可上翻；扶手为固定形扶手；写字板采用喷涂写字板，可旋转、折叠；脚架为椭形喷涂管，PA料脚垫。</w:t>
            </w:r>
          </w:p>
        </w:tc>
      </w:tr>
      <w:tr w14:paraId="58E49995">
        <w:tblPrEx>
          <w:tblCellMar>
            <w:top w:w="0" w:type="dxa"/>
            <w:left w:w="108" w:type="dxa"/>
            <w:bottom w:w="0" w:type="dxa"/>
            <w:right w:w="108" w:type="dxa"/>
          </w:tblCellMar>
        </w:tblPrEx>
        <w:trPr>
          <w:trHeight w:val="22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50E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CB8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办公桌6</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6D8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0224" behindDoc="0" locked="0" layoutInCell="1" allowOverlap="1">
                  <wp:simplePos x="0" y="0"/>
                  <wp:positionH relativeFrom="column">
                    <wp:posOffset>42545</wp:posOffset>
                  </wp:positionH>
                  <wp:positionV relativeFrom="paragraph">
                    <wp:posOffset>212090</wp:posOffset>
                  </wp:positionV>
                  <wp:extent cx="1377950" cy="715010"/>
                  <wp:effectExtent l="0" t="0" r="12700" b="8890"/>
                  <wp:wrapNone/>
                  <wp:docPr id="48" name="图片_6"/>
                  <wp:cNvGraphicFramePr/>
                  <a:graphic xmlns:a="http://schemas.openxmlformats.org/drawingml/2006/main">
                    <a:graphicData uri="http://schemas.openxmlformats.org/drawingml/2006/picture">
                      <pic:pic xmlns:pic="http://schemas.openxmlformats.org/drawingml/2006/picture">
                        <pic:nvPicPr>
                          <pic:cNvPr id="48" name="图片_6"/>
                          <pic:cNvPicPr/>
                        </pic:nvPicPr>
                        <pic:blipFill>
                          <a:blip r:embed="rId60"/>
                          <a:stretch>
                            <a:fillRect/>
                          </a:stretch>
                        </pic:blipFill>
                        <pic:spPr>
                          <a:xfrm>
                            <a:off x="0" y="0"/>
                            <a:ext cx="1377950" cy="7150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EE5B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1400*600*750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B19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147</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523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5B63">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3171988A">
        <w:tblPrEx>
          <w:tblCellMar>
            <w:top w:w="0" w:type="dxa"/>
            <w:left w:w="108" w:type="dxa"/>
            <w:bottom w:w="0" w:type="dxa"/>
            <w:right w:w="108" w:type="dxa"/>
          </w:tblCellMar>
        </w:tblPrEx>
        <w:trPr>
          <w:trHeight w:val="23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964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BA9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活动柜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2C5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1248" behindDoc="0" locked="0" layoutInCell="1" allowOverlap="1">
                  <wp:simplePos x="0" y="0"/>
                  <wp:positionH relativeFrom="column">
                    <wp:posOffset>158115</wp:posOffset>
                  </wp:positionH>
                  <wp:positionV relativeFrom="paragraph">
                    <wp:posOffset>81915</wp:posOffset>
                  </wp:positionV>
                  <wp:extent cx="1077595" cy="1177290"/>
                  <wp:effectExtent l="0" t="0" r="8255" b="3810"/>
                  <wp:wrapNone/>
                  <wp:docPr id="45" name="图片_782"/>
                  <wp:cNvGraphicFramePr/>
                  <a:graphic xmlns:a="http://schemas.openxmlformats.org/drawingml/2006/main">
                    <a:graphicData uri="http://schemas.openxmlformats.org/drawingml/2006/picture">
                      <pic:pic xmlns:pic="http://schemas.openxmlformats.org/drawingml/2006/picture">
                        <pic:nvPicPr>
                          <pic:cNvPr id="45" name="图片_782"/>
                          <pic:cNvPicPr/>
                        </pic:nvPicPr>
                        <pic:blipFill>
                          <a:blip r:embed="rId61"/>
                          <a:stretch>
                            <a:fillRect/>
                          </a:stretch>
                        </pic:blipFill>
                        <pic:spPr>
                          <a:xfrm>
                            <a:off x="0" y="0"/>
                            <a:ext cx="1077595" cy="11772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86B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400*485*600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D44F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147</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5242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EC14">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546FA50D">
        <w:tblPrEx>
          <w:tblCellMar>
            <w:top w:w="0" w:type="dxa"/>
            <w:left w:w="108" w:type="dxa"/>
            <w:bottom w:w="0" w:type="dxa"/>
            <w:right w:w="108" w:type="dxa"/>
          </w:tblCellMar>
        </w:tblPrEx>
        <w:trPr>
          <w:trHeight w:val="43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4BE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86D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警备柜1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875E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2272" behindDoc="0" locked="0" layoutInCell="1" allowOverlap="1">
                  <wp:simplePos x="0" y="0"/>
                  <wp:positionH relativeFrom="column">
                    <wp:posOffset>311785</wp:posOffset>
                  </wp:positionH>
                  <wp:positionV relativeFrom="paragraph">
                    <wp:posOffset>651510</wp:posOffset>
                  </wp:positionV>
                  <wp:extent cx="663575" cy="1303020"/>
                  <wp:effectExtent l="0" t="0" r="3175" b="11430"/>
                  <wp:wrapNone/>
                  <wp:docPr id="61" name="图片_667"/>
                  <wp:cNvGraphicFramePr/>
                  <a:graphic xmlns:a="http://schemas.openxmlformats.org/drawingml/2006/main">
                    <a:graphicData uri="http://schemas.openxmlformats.org/drawingml/2006/picture">
                      <pic:pic xmlns:pic="http://schemas.openxmlformats.org/drawingml/2006/picture">
                        <pic:nvPicPr>
                          <pic:cNvPr id="61" name="图片_667"/>
                          <pic:cNvPicPr/>
                        </pic:nvPicPr>
                        <pic:blipFill>
                          <a:blip r:embed="rId62"/>
                          <a:stretch>
                            <a:fillRect/>
                          </a:stretch>
                        </pic:blipFill>
                        <pic:spPr>
                          <a:xfrm>
                            <a:off x="0" y="0"/>
                            <a:ext cx="663575" cy="130302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5AC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900*500*1850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3CE3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310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1F8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18B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左右门等分，顺开设计，保证使用者私密性，门内上设层板，中间设铝合金挂衣杆，下设层板，左右门独立锁具； 主体采用0.6mmSPCC优质冷轧钢板，上顶及左右边框12mm窄边设计，经过国际领先的13工位处理法处理，表面硬度可以达H级； 整体采用两侧包裹顶板结构，结构更稳固，侧面整张钢板无焊接缝，美观实用； 柜体上顶采用加强设计，结实稳固，门后采用可上中下调节的挂镜； 一线品牌锁具：锁芯具有可更换锁芯和钥匙的功能 ，钥匙和锁芯有3位钢印编码； 塑粉（柜体和门板采用双色设计）采用国内知名品牌的原生一代粉，质地细腻均匀，不发乌，无暗沉；扣手（镀锌一代ABS）设计，抗衰老防腐蚀耐冲击；扣手与柜门平齐，美观实用</w:t>
            </w:r>
          </w:p>
        </w:tc>
      </w:tr>
      <w:tr w14:paraId="7A235C20">
        <w:tblPrEx>
          <w:tblCellMar>
            <w:top w:w="0" w:type="dxa"/>
            <w:left w:w="108" w:type="dxa"/>
            <w:bottom w:w="0" w:type="dxa"/>
            <w:right w:w="108" w:type="dxa"/>
          </w:tblCellMar>
        </w:tblPrEx>
        <w:trPr>
          <w:trHeight w:val="43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A3F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984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钢制文件柜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DCE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3296" behindDoc="0" locked="0" layoutInCell="1" allowOverlap="1">
                  <wp:simplePos x="0" y="0"/>
                  <wp:positionH relativeFrom="column">
                    <wp:posOffset>398145</wp:posOffset>
                  </wp:positionH>
                  <wp:positionV relativeFrom="paragraph">
                    <wp:posOffset>210185</wp:posOffset>
                  </wp:positionV>
                  <wp:extent cx="619760" cy="1250950"/>
                  <wp:effectExtent l="0" t="0" r="8890" b="6350"/>
                  <wp:wrapNone/>
                  <wp:docPr id="57" name="图片_504"/>
                  <wp:cNvGraphicFramePr/>
                  <a:graphic xmlns:a="http://schemas.openxmlformats.org/drawingml/2006/main">
                    <a:graphicData uri="http://schemas.openxmlformats.org/drawingml/2006/picture">
                      <pic:pic xmlns:pic="http://schemas.openxmlformats.org/drawingml/2006/picture">
                        <pic:nvPicPr>
                          <pic:cNvPr id="57" name="图片_504"/>
                          <pic:cNvPicPr/>
                        </pic:nvPicPr>
                        <pic:blipFill>
                          <a:blip r:embed="rId63"/>
                          <a:stretch>
                            <a:fillRect/>
                          </a:stretch>
                        </pic:blipFill>
                        <pic:spPr>
                          <a:xfrm>
                            <a:off x="0" y="0"/>
                            <a:ext cx="619760" cy="125095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CBD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900*500*1850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383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423</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185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A75B">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 xml:space="preserve"> 上下对开铁门设计，上二下一块调节层板，上下独立锁具； 主体采用0.6mmSPCC优质冷轧钢板，上顶及左右边框12mm窄边设计，经过国际领先的13工位处理法处理，表面硬度可以达H级； 拆装结构，前框、两侧及后背均采用特有卡接结构，两侧包裹顶板，侧面整张钢板无焊接缝，美观实用； 柜体四周加强设计，并预冲加厚层板挂孔及层板口定位点 ，锁杆采用4mm钢筋，上下带消音保护装置； 一线品牌锁具：锁芯具有可更换锁芯和钥匙的功能 ，钥匙和锁芯有3位钢印编码；塑粉（柜体和门板采用双色设计）采用国内知名品牌的原生一代粉，质地细腻均匀，不发乌，无暗沉； 右侧扣手设计（镀锌一代ABS），抗衰老防腐蚀耐冲击；扣手与柜门平齐，美观实用</w:t>
            </w:r>
          </w:p>
        </w:tc>
      </w:tr>
      <w:tr w14:paraId="6C534F48">
        <w:tblPrEx>
          <w:tblCellMar>
            <w:top w:w="0" w:type="dxa"/>
            <w:left w:w="108" w:type="dxa"/>
            <w:bottom w:w="0" w:type="dxa"/>
            <w:right w:w="108" w:type="dxa"/>
          </w:tblCellMar>
        </w:tblPrEx>
        <w:trPr>
          <w:trHeight w:val="43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EA8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F1D0">
            <w:pPr>
              <w:widowControl/>
              <w:jc w:val="center"/>
              <w:textAlignment w:val="center"/>
              <w:rPr>
                <w:rFonts w:hint="eastAsia" w:ascii="黑体" w:hAnsi="宋体" w:eastAsia="黑体" w:cs="黑体"/>
                <w:color w:val="000000"/>
                <w:kern w:val="0"/>
                <w:sz w:val="20"/>
                <w:szCs w:val="20"/>
                <w:lang w:bidi="ar"/>
              </w:rPr>
            </w:pPr>
            <w:r>
              <w:rPr>
                <w:rFonts w:hint="eastAsia" w:ascii="黑体" w:hAnsi="宋体" w:eastAsia="黑体" w:cs="黑体"/>
                <w:color w:val="000000"/>
                <w:kern w:val="0"/>
                <w:sz w:val="20"/>
                <w:szCs w:val="20"/>
                <w:lang w:bidi="ar"/>
              </w:rPr>
              <w:t>保密柜</w:t>
            </w:r>
          </w:p>
          <w:p w14:paraId="3EDF5E40">
            <w:pPr>
              <w:widowControl/>
              <w:jc w:val="center"/>
              <w:textAlignment w:val="center"/>
              <w:rPr>
                <w:rFonts w:hint="eastAsia" w:ascii="黑体" w:hAnsi="宋体" w:eastAsia="黑体" w:cs="黑体"/>
                <w:color w:val="000000"/>
                <w:kern w:val="0"/>
                <w:sz w:val="20"/>
                <w:szCs w:val="20"/>
                <w:lang w:eastAsia="zh-CN" w:bidi="ar"/>
              </w:rPr>
            </w:pPr>
            <w:r>
              <w:rPr>
                <w:rFonts w:hint="eastAsia" w:ascii="黑体" w:hAnsi="宋体" w:eastAsia="黑体" w:cs="黑体"/>
                <w:color w:val="000000"/>
                <w:kern w:val="0"/>
                <w:sz w:val="20"/>
                <w:szCs w:val="20"/>
                <w:lang w:eastAsia="zh-CN" w:bidi="ar"/>
              </w:rPr>
              <w:t>（</w:t>
            </w:r>
            <w:r>
              <w:rPr>
                <w:rFonts w:hint="eastAsia" w:ascii="黑体" w:hAnsi="宋体" w:eastAsia="黑体" w:cs="黑体"/>
                <w:color w:val="000000"/>
                <w:kern w:val="0"/>
                <w:sz w:val="20"/>
                <w:szCs w:val="20"/>
                <w:lang w:val="en-US" w:eastAsia="zh-CN" w:bidi="ar"/>
              </w:rPr>
              <w:t>非涉密</w:t>
            </w:r>
            <w:r>
              <w:rPr>
                <w:rFonts w:hint="eastAsia" w:ascii="黑体" w:hAnsi="宋体" w:eastAsia="黑体" w:cs="黑体"/>
                <w:color w:val="000000"/>
                <w:kern w:val="0"/>
                <w:sz w:val="20"/>
                <w:szCs w:val="20"/>
                <w:lang w:eastAsia="zh-CN" w:bidi="ar"/>
              </w:rPr>
              <w:t>）</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8F1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4320" behindDoc="0" locked="0" layoutInCell="1" allowOverlap="1">
                  <wp:simplePos x="0" y="0"/>
                  <wp:positionH relativeFrom="column">
                    <wp:posOffset>318770</wp:posOffset>
                  </wp:positionH>
                  <wp:positionV relativeFrom="paragraph">
                    <wp:posOffset>669290</wp:posOffset>
                  </wp:positionV>
                  <wp:extent cx="698500" cy="1343660"/>
                  <wp:effectExtent l="0" t="0" r="6350" b="8890"/>
                  <wp:wrapNone/>
                  <wp:docPr id="37" name="图片_502"/>
                  <wp:cNvGraphicFramePr/>
                  <a:graphic xmlns:a="http://schemas.openxmlformats.org/drawingml/2006/main">
                    <a:graphicData uri="http://schemas.openxmlformats.org/drawingml/2006/picture">
                      <pic:pic xmlns:pic="http://schemas.openxmlformats.org/drawingml/2006/picture">
                        <pic:nvPicPr>
                          <pic:cNvPr id="37" name="图片_502"/>
                          <pic:cNvPicPr/>
                        </pic:nvPicPr>
                        <pic:blipFill>
                          <a:blip r:embed="rId64"/>
                          <a:stretch>
                            <a:fillRect/>
                          </a:stretch>
                        </pic:blipFill>
                        <pic:spPr>
                          <a:xfrm>
                            <a:off x="0" y="0"/>
                            <a:ext cx="698500" cy="134366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D87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900*390*1850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2F4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232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F3F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347E">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上下4扇对开铁门设计，内置3块可调节层板，上门2个并列抽屉，外门采用国保电子锁，抽屉单独锁具；主体采用0.8mmSPCC优质冷轧钢板（抽屉滑轨采用1.2mm优质静音全展轨），经过国际领先的13工位处理法处理，表面硬度可以达H级；整体采用两侧包裹顶板结构，结构更稳固，侧面整张钢板无焊接缝，美观实用；柜体四周加强设计，并预冲双排层板挂孔，锁头采用上下中间4根8mm钢筋，上下带消音保护装置； 一线品牌锁具：抽屉锁芯具有“红绿点透视窗”设计，钥匙和锁芯有3位钢印编码，钥匙可以折叠；电子锁：可以根据个人习惯设置10位密码，根据电子锁钢印编码可以远程解码；塑粉：采用国内知名品牌的原生一代粉，质地细腻均匀，不发乌，无暗沉；</w:t>
            </w:r>
          </w:p>
        </w:tc>
      </w:tr>
      <w:tr w14:paraId="2BDC20EC">
        <w:tblPrEx>
          <w:tblCellMar>
            <w:top w:w="0" w:type="dxa"/>
            <w:left w:w="108" w:type="dxa"/>
            <w:bottom w:w="0" w:type="dxa"/>
            <w:right w:w="108" w:type="dxa"/>
          </w:tblCellMar>
        </w:tblPrEx>
        <w:trPr>
          <w:trHeight w:val="40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1B4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E520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警备柜2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F727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5344" behindDoc="0" locked="0" layoutInCell="1" allowOverlap="1">
                  <wp:simplePos x="0" y="0"/>
                  <wp:positionH relativeFrom="column">
                    <wp:posOffset>347345</wp:posOffset>
                  </wp:positionH>
                  <wp:positionV relativeFrom="paragraph">
                    <wp:posOffset>793750</wp:posOffset>
                  </wp:positionV>
                  <wp:extent cx="693420" cy="1243965"/>
                  <wp:effectExtent l="0" t="0" r="11430" b="13335"/>
                  <wp:wrapNone/>
                  <wp:docPr id="52" name="图片_451"/>
                  <wp:cNvGraphicFramePr/>
                  <a:graphic xmlns:a="http://schemas.openxmlformats.org/drawingml/2006/main">
                    <a:graphicData uri="http://schemas.openxmlformats.org/drawingml/2006/picture">
                      <pic:pic xmlns:pic="http://schemas.openxmlformats.org/drawingml/2006/picture">
                        <pic:nvPicPr>
                          <pic:cNvPr id="52" name="图片_451"/>
                          <pic:cNvPicPr/>
                        </pic:nvPicPr>
                        <pic:blipFill>
                          <a:blip r:embed="rId65"/>
                          <a:stretch>
                            <a:fillRect/>
                          </a:stretch>
                        </pic:blipFill>
                        <pic:spPr>
                          <a:xfrm>
                            <a:off x="0" y="0"/>
                            <a:ext cx="693420" cy="124396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7CE5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900*500*1850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BEE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3BE3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A2DE">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上下各二门，等分顺开设计，保证使用者私密性，门内上设层板，中间设铝合金挂衣杆，每扇门独立锁具；主体采用0.6mmSPCC优质冷轧钢板，上顶及左右边框12mm窄边设计，经过国际领先的13工位处理法处理，表面硬度可以达H级；整体采用两侧包裹顶板结构，结构更稳固，侧面整张钢板无焊接缝，美观实用；柜体上顶采用加强设计，结实稳固，门后采用可上中下调节的挂镜；一线品牌锁具：锁芯具有可更换锁芯和钥匙的功能 ，钥匙和锁芯有3位钢印编码；塑粉（柜体和门板采用双色设计）采用国内知名品牌的原生一代粉，质地细腻均匀，不发乌，无暗沉；扣手（镀锌一代ABS）设计，抗衰老防腐蚀耐冲击；扣手与柜门平齐，美观实用。</w:t>
            </w:r>
          </w:p>
        </w:tc>
      </w:tr>
      <w:tr w14:paraId="30FAD3C8">
        <w:tblPrEx>
          <w:tblCellMar>
            <w:top w:w="0" w:type="dxa"/>
            <w:left w:w="108" w:type="dxa"/>
            <w:bottom w:w="0" w:type="dxa"/>
            <w:right w:w="108" w:type="dxa"/>
          </w:tblCellMar>
        </w:tblPrEx>
        <w:trPr>
          <w:trHeight w:val="18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E57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07B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信访大厅接待沙发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965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6368" behindDoc="0" locked="0" layoutInCell="1" allowOverlap="1">
                  <wp:simplePos x="0" y="0"/>
                  <wp:positionH relativeFrom="column">
                    <wp:posOffset>35560</wp:posOffset>
                  </wp:positionH>
                  <wp:positionV relativeFrom="paragraph">
                    <wp:posOffset>144780</wp:posOffset>
                  </wp:positionV>
                  <wp:extent cx="1359535" cy="828040"/>
                  <wp:effectExtent l="0" t="0" r="12065" b="10160"/>
                  <wp:wrapNone/>
                  <wp:docPr id="39" name="图片_24"/>
                  <wp:cNvGraphicFramePr/>
                  <a:graphic xmlns:a="http://schemas.openxmlformats.org/drawingml/2006/main">
                    <a:graphicData uri="http://schemas.openxmlformats.org/drawingml/2006/picture">
                      <pic:pic xmlns:pic="http://schemas.openxmlformats.org/drawingml/2006/picture">
                        <pic:nvPicPr>
                          <pic:cNvPr id="39" name="图片_24"/>
                          <pic:cNvPicPr/>
                        </pic:nvPicPr>
                        <pic:blipFill>
                          <a:blip r:embed="rId66"/>
                          <a:stretch>
                            <a:fillRect/>
                          </a:stretch>
                        </pic:blipFill>
                        <pic:spPr>
                          <a:xfrm>
                            <a:off x="0" y="0"/>
                            <a:ext cx="1359535" cy="82804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F8A3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3+1</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三人位：L2060*W755*H730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单人位：L870*W755*H730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F945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18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FE3A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采用优质环保西皮,海绵采用高回弹海绵，配以整体弹簧座包，脚架为五金脚架。</w:t>
            </w:r>
          </w:p>
        </w:tc>
      </w:tr>
      <w:tr w14:paraId="4AC92CE1">
        <w:tblPrEx>
          <w:tblCellMar>
            <w:top w:w="0" w:type="dxa"/>
            <w:left w:w="108" w:type="dxa"/>
            <w:bottom w:w="0" w:type="dxa"/>
            <w:right w:w="108" w:type="dxa"/>
          </w:tblCellMar>
        </w:tblPrEx>
        <w:trPr>
          <w:trHeight w:val="180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F77F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55C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一层大厅接待沙发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C30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7392" behindDoc="0" locked="0" layoutInCell="1" allowOverlap="1">
                  <wp:simplePos x="0" y="0"/>
                  <wp:positionH relativeFrom="column">
                    <wp:posOffset>57785</wp:posOffset>
                  </wp:positionH>
                  <wp:positionV relativeFrom="paragraph">
                    <wp:posOffset>96520</wp:posOffset>
                  </wp:positionV>
                  <wp:extent cx="1326515" cy="786765"/>
                  <wp:effectExtent l="0" t="0" r="6985" b="13335"/>
                  <wp:wrapNone/>
                  <wp:docPr id="44" name="图片_5"/>
                  <wp:cNvGraphicFramePr/>
                  <a:graphic xmlns:a="http://schemas.openxmlformats.org/drawingml/2006/main">
                    <a:graphicData uri="http://schemas.openxmlformats.org/drawingml/2006/picture">
                      <pic:pic xmlns:pic="http://schemas.openxmlformats.org/drawingml/2006/picture">
                        <pic:nvPicPr>
                          <pic:cNvPr id="44" name="图片_5"/>
                          <pic:cNvPicPr/>
                        </pic:nvPicPr>
                        <pic:blipFill>
                          <a:blip r:embed="rId67"/>
                          <a:stretch>
                            <a:fillRect/>
                          </a:stretch>
                        </pic:blipFill>
                        <pic:spPr>
                          <a:xfrm>
                            <a:off x="0" y="0"/>
                            <a:ext cx="1326515" cy="78676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0ED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3+1+1</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三人位：L1970*W780*H820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单人位：L840*W780*H820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1F70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A28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0427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采用优质环保西皮,海绵采用高回弹海绵，配以整体弹簧座包，脚架为五金脚架。</w:t>
            </w:r>
          </w:p>
        </w:tc>
      </w:tr>
      <w:tr w14:paraId="733104E3">
        <w:tblPrEx>
          <w:tblCellMar>
            <w:top w:w="0" w:type="dxa"/>
            <w:left w:w="108" w:type="dxa"/>
            <w:bottom w:w="0" w:type="dxa"/>
            <w:right w:w="108" w:type="dxa"/>
          </w:tblCellMar>
        </w:tblPrEx>
        <w:trPr>
          <w:trHeight w:val="1446"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657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B3F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长茶几</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E45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8416" behindDoc="0" locked="0" layoutInCell="1" allowOverlap="1">
                  <wp:simplePos x="0" y="0"/>
                  <wp:positionH relativeFrom="column">
                    <wp:posOffset>25400</wp:posOffset>
                  </wp:positionH>
                  <wp:positionV relativeFrom="paragraph">
                    <wp:posOffset>-22860</wp:posOffset>
                  </wp:positionV>
                  <wp:extent cx="1338580" cy="593090"/>
                  <wp:effectExtent l="0" t="0" r="13970" b="16510"/>
                  <wp:wrapNone/>
                  <wp:docPr id="38" name="ID_3DD7390D47DC465CA713325076C30375"/>
                  <wp:cNvGraphicFramePr/>
                  <a:graphic xmlns:a="http://schemas.openxmlformats.org/drawingml/2006/main">
                    <a:graphicData uri="http://schemas.openxmlformats.org/drawingml/2006/picture">
                      <pic:pic xmlns:pic="http://schemas.openxmlformats.org/drawingml/2006/picture">
                        <pic:nvPicPr>
                          <pic:cNvPr id="38" name="ID_3DD7390D47DC465CA713325076C30375"/>
                          <pic:cNvPicPr/>
                        </pic:nvPicPr>
                        <pic:blipFill>
                          <a:blip r:embed="rId68"/>
                          <a:stretch>
                            <a:fillRect/>
                          </a:stretch>
                        </pic:blipFill>
                        <pic:spPr>
                          <a:xfrm>
                            <a:off x="0" y="0"/>
                            <a:ext cx="1338580" cy="5930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EE7A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1200*600*380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C94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CA6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AC6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面板为12MM劳伦黑金岩板面；架子采用优质喷涂钢架</w:t>
            </w:r>
          </w:p>
        </w:tc>
      </w:tr>
      <w:tr w14:paraId="1F1A73DD">
        <w:tblPrEx>
          <w:tblCellMar>
            <w:top w:w="0" w:type="dxa"/>
            <w:left w:w="108" w:type="dxa"/>
            <w:bottom w:w="0" w:type="dxa"/>
            <w:right w:w="108" w:type="dxa"/>
          </w:tblCellMar>
        </w:tblPrEx>
        <w:trPr>
          <w:trHeight w:val="2234"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7AE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7CE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登记桌</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DE9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09440" behindDoc="0" locked="0" layoutInCell="1" allowOverlap="1">
                  <wp:simplePos x="0" y="0"/>
                  <wp:positionH relativeFrom="column">
                    <wp:posOffset>69215</wp:posOffset>
                  </wp:positionH>
                  <wp:positionV relativeFrom="paragraph">
                    <wp:posOffset>-46990</wp:posOffset>
                  </wp:positionV>
                  <wp:extent cx="1232535" cy="1232535"/>
                  <wp:effectExtent l="0" t="0" r="5715" b="5715"/>
                  <wp:wrapNone/>
                  <wp:docPr id="47" name="图片_6_SpCnt_1"/>
                  <wp:cNvGraphicFramePr/>
                  <a:graphic xmlns:a="http://schemas.openxmlformats.org/drawingml/2006/main">
                    <a:graphicData uri="http://schemas.openxmlformats.org/drawingml/2006/picture">
                      <pic:pic xmlns:pic="http://schemas.openxmlformats.org/drawingml/2006/picture">
                        <pic:nvPicPr>
                          <pic:cNvPr id="47" name="图片_6_SpCnt_1"/>
                          <pic:cNvPicPr/>
                        </pic:nvPicPr>
                        <pic:blipFill>
                          <a:blip r:embed="rId69"/>
                          <a:stretch>
                            <a:fillRect/>
                          </a:stretch>
                        </pic:blipFill>
                        <pic:spPr>
                          <a:xfrm>
                            <a:off x="0" y="0"/>
                            <a:ext cx="1232535" cy="123253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0B0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1600*700*750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F0C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A74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DF9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1BE69729">
        <w:tblPrEx>
          <w:tblCellMar>
            <w:top w:w="0" w:type="dxa"/>
            <w:left w:w="108" w:type="dxa"/>
            <w:bottom w:w="0" w:type="dxa"/>
            <w:right w:w="108" w:type="dxa"/>
          </w:tblCellMar>
        </w:tblPrEx>
        <w:trPr>
          <w:trHeight w:val="2132"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C0E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4E2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谈话桌1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84B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0464" behindDoc="0" locked="0" layoutInCell="1" allowOverlap="1">
                  <wp:simplePos x="0" y="0"/>
                  <wp:positionH relativeFrom="column">
                    <wp:posOffset>154940</wp:posOffset>
                  </wp:positionH>
                  <wp:positionV relativeFrom="paragraph">
                    <wp:posOffset>35560</wp:posOffset>
                  </wp:positionV>
                  <wp:extent cx="1177925" cy="1274445"/>
                  <wp:effectExtent l="0" t="0" r="3175" b="1905"/>
                  <wp:wrapNone/>
                  <wp:docPr id="62" name="图片_6_SpCnt_2"/>
                  <wp:cNvGraphicFramePr/>
                  <a:graphic xmlns:a="http://schemas.openxmlformats.org/drawingml/2006/main">
                    <a:graphicData uri="http://schemas.openxmlformats.org/drawingml/2006/picture">
                      <pic:pic xmlns:pic="http://schemas.openxmlformats.org/drawingml/2006/picture">
                        <pic:nvPicPr>
                          <pic:cNvPr id="62" name="图片_6_SpCnt_2"/>
                          <pic:cNvPicPr/>
                        </pic:nvPicPr>
                        <pic:blipFill>
                          <a:blip r:embed="rId70"/>
                          <a:srcRect b="13042"/>
                          <a:stretch>
                            <a:fillRect/>
                          </a:stretch>
                        </pic:blipFill>
                        <pic:spPr>
                          <a:xfrm>
                            <a:off x="0" y="0"/>
                            <a:ext cx="1177925" cy="127444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A236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1400*600*750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6A3D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A29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EB96">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662F0DD3">
        <w:tblPrEx>
          <w:tblCellMar>
            <w:top w:w="0" w:type="dxa"/>
            <w:left w:w="108" w:type="dxa"/>
            <w:bottom w:w="0" w:type="dxa"/>
            <w:right w:w="108" w:type="dxa"/>
          </w:tblCellMar>
        </w:tblPrEx>
        <w:trPr>
          <w:trHeight w:val="20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CCD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408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谈话桌2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215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1488" behindDoc="0" locked="0" layoutInCell="1" allowOverlap="1">
                  <wp:simplePos x="0" y="0"/>
                  <wp:positionH relativeFrom="column">
                    <wp:posOffset>-15875</wp:posOffset>
                  </wp:positionH>
                  <wp:positionV relativeFrom="paragraph">
                    <wp:posOffset>-20955</wp:posOffset>
                  </wp:positionV>
                  <wp:extent cx="1409065" cy="1039495"/>
                  <wp:effectExtent l="0" t="0" r="635" b="8255"/>
                  <wp:wrapNone/>
                  <wp:docPr id="51" name="图片_113"/>
                  <wp:cNvGraphicFramePr/>
                  <a:graphic xmlns:a="http://schemas.openxmlformats.org/drawingml/2006/main">
                    <a:graphicData uri="http://schemas.openxmlformats.org/drawingml/2006/picture">
                      <pic:pic xmlns:pic="http://schemas.openxmlformats.org/drawingml/2006/picture">
                        <pic:nvPicPr>
                          <pic:cNvPr id="51" name="图片_113"/>
                          <pic:cNvPicPr/>
                        </pic:nvPicPr>
                        <pic:blipFill>
                          <a:blip r:embed="rId71"/>
                          <a:stretch>
                            <a:fillRect/>
                          </a:stretch>
                        </pic:blipFill>
                        <pic:spPr>
                          <a:xfrm>
                            <a:off x="0" y="0"/>
                            <a:ext cx="1409065" cy="103949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896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1200*600*750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8E8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20D9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69D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5CE0ADA7">
        <w:tblPrEx>
          <w:tblCellMar>
            <w:top w:w="0" w:type="dxa"/>
            <w:left w:w="108" w:type="dxa"/>
            <w:bottom w:w="0" w:type="dxa"/>
            <w:right w:w="108" w:type="dxa"/>
          </w:tblCellMar>
        </w:tblPrEx>
        <w:trPr>
          <w:trHeight w:val="18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198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76E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床1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445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2512" behindDoc="0" locked="0" layoutInCell="1" allowOverlap="1">
                  <wp:simplePos x="0" y="0"/>
                  <wp:positionH relativeFrom="column">
                    <wp:posOffset>58420</wp:posOffset>
                  </wp:positionH>
                  <wp:positionV relativeFrom="paragraph">
                    <wp:posOffset>74295</wp:posOffset>
                  </wp:positionV>
                  <wp:extent cx="1285240" cy="908050"/>
                  <wp:effectExtent l="0" t="0" r="10160" b="6350"/>
                  <wp:wrapNone/>
                  <wp:docPr id="42" name="图片_652"/>
                  <wp:cNvGraphicFramePr/>
                  <a:graphic xmlns:a="http://schemas.openxmlformats.org/drawingml/2006/main">
                    <a:graphicData uri="http://schemas.openxmlformats.org/drawingml/2006/picture">
                      <pic:pic xmlns:pic="http://schemas.openxmlformats.org/drawingml/2006/picture">
                        <pic:nvPicPr>
                          <pic:cNvPr id="42" name="图片_652"/>
                          <pic:cNvPicPr/>
                        </pic:nvPicPr>
                        <pic:blipFill>
                          <a:blip r:embed="rId72"/>
                          <a:stretch>
                            <a:fillRect/>
                          </a:stretch>
                        </pic:blipFill>
                        <pic:spPr>
                          <a:xfrm>
                            <a:off x="0" y="0"/>
                            <a:ext cx="1285240" cy="90805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474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1800*2000*980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含棕垫</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B53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A16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3FB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1887B6D2">
        <w:tblPrEx>
          <w:tblCellMar>
            <w:top w:w="0" w:type="dxa"/>
            <w:left w:w="108" w:type="dxa"/>
            <w:bottom w:w="0" w:type="dxa"/>
            <w:right w:w="108" w:type="dxa"/>
          </w:tblCellMar>
        </w:tblPrEx>
        <w:trPr>
          <w:trHeight w:val="19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6347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AB2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床2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24C1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3536" behindDoc="0" locked="0" layoutInCell="1" allowOverlap="1">
                  <wp:simplePos x="0" y="0"/>
                  <wp:positionH relativeFrom="column">
                    <wp:posOffset>70485</wp:posOffset>
                  </wp:positionH>
                  <wp:positionV relativeFrom="paragraph">
                    <wp:posOffset>71755</wp:posOffset>
                  </wp:positionV>
                  <wp:extent cx="1292225" cy="860425"/>
                  <wp:effectExtent l="0" t="0" r="3175" b="15875"/>
                  <wp:wrapNone/>
                  <wp:docPr id="49" name="图片_172"/>
                  <wp:cNvGraphicFramePr/>
                  <a:graphic xmlns:a="http://schemas.openxmlformats.org/drawingml/2006/main">
                    <a:graphicData uri="http://schemas.openxmlformats.org/drawingml/2006/picture">
                      <pic:pic xmlns:pic="http://schemas.openxmlformats.org/drawingml/2006/picture">
                        <pic:nvPicPr>
                          <pic:cNvPr id="49" name="图片_172"/>
                          <pic:cNvPicPr/>
                        </pic:nvPicPr>
                        <pic:blipFill>
                          <a:blip r:embed="rId73"/>
                          <a:stretch>
                            <a:fillRect/>
                          </a:stretch>
                        </pic:blipFill>
                        <pic:spPr>
                          <a:xfrm>
                            <a:off x="0" y="0"/>
                            <a:ext cx="1292225" cy="8604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B3B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1200*2000*980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含棕垫</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988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A15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574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6EA50874">
        <w:tblPrEx>
          <w:tblCellMar>
            <w:top w:w="0" w:type="dxa"/>
            <w:left w:w="108" w:type="dxa"/>
            <w:bottom w:w="0" w:type="dxa"/>
            <w:right w:w="108" w:type="dxa"/>
          </w:tblCellMar>
        </w:tblPrEx>
        <w:trPr>
          <w:trHeight w:val="18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5AB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79C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床3</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7F7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4560" behindDoc="0" locked="0" layoutInCell="1" allowOverlap="1">
                  <wp:simplePos x="0" y="0"/>
                  <wp:positionH relativeFrom="column">
                    <wp:posOffset>49530</wp:posOffset>
                  </wp:positionH>
                  <wp:positionV relativeFrom="paragraph">
                    <wp:posOffset>80645</wp:posOffset>
                  </wp:positionV>
                  <wp:extent cx="1336675" cy="836295"/>
                  <wp:effectExtent l="0" t="0" r="15875" b="1905"/>
                  <wp:wrapNone/>
                  <wp:docPr id="58" name="图片_61"/>
                  <wp:cNvGraphicFramePr/>
                  <a:graphic xmlns:a="http://schemas.openxmlformats.org/drawingml/2006/main">
                    <a:graphicData uri="http://schemas.openxmlformats.org/drawingml/2006/picture">
                      <pic:pic xmlns:pic="http://schemas.openxmlformats.org/drawingml/2006/picture">
                        <pic:nvPicPr>
                          <pic:cNvPr id="58" name="图片_61"/>
                          <pic:cNvPicPr/>
                        </pic:nvPicPr>
                        <pic:blipFill>
                          <a:blip r:embed="rId74"/>
                          <a:stretch>
                            <a:fillRect/>
                          </a:stretch>
                        </pic:blipFill>
                        <pic:spPr>
                          <a:xfrm>
                            <a:off x="0" y="0"/>
                            <a:ext cx="1336675" cy="83629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95A4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900*2000*980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含棕垫</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680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89E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486F">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5147E6AB">
        <w:tblPrEx>
          <w:tblCellMar>
            <w:top w:w="0" w:type="dxa"/>
            <w:left w:w="108" w:type="dxa"/>
            <w:bottom w:w="0" w:type="dxa"/>
            <w:right w:w="108" w:type="dxa"/>
          </w:tblCellMar>
        </w:tblPrEx>
        <w:trPr>
          <w:trHeight w:val="20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EF6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CBC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床头柜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E4B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5584" behindDoc="0" locked="0" layoutInCell="1" allowOverlap="1">
                  <wp:simplePos x="0" y="0"/>
                  <wp:positionH relativeFrom="column">
                    <wp:posOffset>163830</wp:posOffset>
                  </wp:positionH>
                  <wp:positionV relativeFrom="paragraph">
                    <wp:posOffset>106680</wp:posOffset>
                  </wp:positionV>
                  <wp:extent cx="1038860" cy="1097280"/>
                  <wp:effectExtent l="0" t="0" r="8890" b="7620"/>
                  <wp:wrapNone/>
                  <wp:docPr id="50" name="图片_738"/>
                  <wp:cNvGraphicFramePr/>
                  <a:graphic xmlns:a="http://schemas.openxmlformats.org/drawingml/2006/main">
                    <a:graphicData uri="http://schemas.openxmlformats.org/drawingml/2006/picture">
                      <pic:pic xmlns:pic="http://schemas.openxmlformats.org/drawingml/2006/picture">
                        <pic:nvPicPr>
                          <pic:cNvPr id="50" name="图片_738"/>
                          <pic:cNvPicPr/>
                        </pic:nvPicPr>
                        <pic:blipFill>
                          <a:blip r:embed="rId75"/>
                          <a:stretch>
                            <a:fillRect/>
                          </a:stretch>
                        </pic:blipFill>
                        <pic:spPr>
                          <a:xfrm>
                            <a:off x="0" y="0"/>
                            <a:ext cx="1038860" cy="109728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161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常规</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453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CE8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FE5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1744D168">
        <w:tblPrEx>
          <w:tblCellMar>
            <w:top w:w="0" w:type="dxa"/>
            <w:left w:w="108" w:type="dxa"/>
            <w:bottom w:w="0" w:type="dxa"/>
            <w:right w:w="108" w:type="dxa"/>
          </w:tblCellMar>
        </w:tblPrEx>
        <w:trPr>
          <w:trHeight w:val="223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9F9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693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货架</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43A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6608" behindDoc="0" locked="0" layoutInCell="1" allowOverlap="1">
                  <wp:simplePos x="0" y="0"/>
                  <wp:positionH relativeFrom="column">
                    <wp:posOffset>273685</wp:posOffset>
                  </wp:positionH>
                  <wp:positionV relativeFrom="paragraph">
                    <wp:posOffset>8890</wp:posOffset>
                  </wp:positionV>
                  <wp:extent cx="962660" cy="1057910"/>
                  <wp:effectExtent l="0" t="0" r="8890" b="8890"/>
                  <wp:wrapNone/>
                  <wp:docPr id="64" name="图片_63"/>
                  <wp:cNvGraphicFramePr/>
                  <a:graphic xmlns:a="http://schemas.openxmlformats.org/drawingml/2006/main">
                    <a:graphicData uri="http://schemas.openxmlformats.org/drawingml/2006/picture">
                      <pic:pic xmlns:pic="http://schemas.openxmlformats.org/drawingml/2006/picture">
                        <pic:nvPicPr>
                          <pic:cNvPr id="64" name="图片_63"/>
                          <pic:cNvPicPr/>
                        </pic:nvPicPr>
                        <pic:blipFill>
                          <a:blip r:embed="rId76"/>
                          <a:stretch>
                            <a:fillRect/>
                          </a:stretch>
                        </pic:blipFill>
                        <pic:spPr>
                          <a:xfrm>
                            <a:off x="0" y="0"/>
                            <a:ext cx="962660" cy="10579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791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1500*600*2000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B08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7A25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82F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主体采用优质SPCC冷轧钢板，经过国际领先的13工位处理法处理，表面硬度可以达H级；立柱40*80*1.2mm横梁40*60*1.2mm隔板0.6mm;塑粉采用国内知名品牌的原生一代粉，质地细腻均匀，不发乌，无暗沉,单层承重500-600公斤</w:t>
            </w:r>
          </w:p>
        </w:tc>
      </w:tr>
      <w:tr w14:paraId="08434AED">
        <w:tblPrEx>
          <w:tblCellMar>
            <w:top w:w="0" w:type="dxa"/>
            <w:left w:w="108" w:type="dxa"/>
            <w:bottom w:w="0" w:type="dxa"/>
            <w:right w:w="108" w:type="dxa"/>
          </w:tblCellMar>
        </w:tblPrEx>
        <w:trPr>
          <w:trHeight w:val="205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2A3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1FE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货架</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51BC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7632" behindDoc="0" locked="0" layoutInCell="1" allowOverlap="1">
                  <wp:simplePos x="0" y="0"/>
                  <wp:positionH relativeFrom="column">
                    <wp:posOffset>232410</wp:posOffset>
                  </wp:positionH>
                  <wp:positionV relativeFrom="paragraph">
                    <wp:posOffset>50165</wp:posOffset>
                  </wp:positionV>
                  <wp:extent cx="962660" cy="1057910"/>
                  <wp:effectExtent l="0" t="0" r="8890" b="8890"/>
                  <wp:wrapNone/>
                  <wp:docPr id="65" name="图片_64"/>
                  <wp:cNvGraphicFramePr/>
                  <a:graphic xmlns:a="http://schemas.openxmlformats.org/drawingml/2006/main">
                    <a:graphicData uri="http://schemas.openxmlformats.org/drawingml/2006/picture">
                      <pic:pic xmlns:pic="http://schemas.openxmlformats.org/drawingml/2006/picture">
                        <pic:nvPicPr>
                          <pic:cNvPr id="65" name="图片_64"/>
                          <pic:cNvPicPr/>
                        </pic:nvPicPr>
                        <pic:blipFill>
                          <a:blip r:embed="rId76"/>
                          <a:stretch>
                            <a:fillRect/>
                          </a:stretch>
                        </pic:blipFill>
                        <pic:spPr>
                          <a:xfrm>
                            <a:off x="0" y="0"/>
                            <a:ext cx="962660" cy="10579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B07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2000*600*2000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B8A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F9C1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0A1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主体采用优质SPCC冷轧钢板，经过国际领先的13工位处理法处理，表面硬度可以达H级；立柱40*80*1.2mm横梁40*60*1.2mm隔板0.6mm;塑粉采用国内知名品牌的原生一代粉，质地细腻均匀，不发乌，无暗沉,单层承重500-600公斤</w:t>
            </w:r>
          </w:p>
        </w:tc>
      </w:tr>
      <w:tr w14:paraId="4A555FE2">
        <w:tblPrEx>
          <w:tblCellMar>
            <w:top w:w="0" w:type="dxa"/>
            <w:left w:w="108" w:type="dxa"/>
            <w:bottom w:w="0" w:type="dxa"/>
            <w:right w:w="108" w:type="dxa"/>
          </w:tblCellMar>
        </w:tblPrEx>
        <w:trPr>
          <w:trHeight w:val="17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A22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6D6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诊桌</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A76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8656" behindDoc="0" locked="0" layoutInCell="1" allowOverlap="1">
                  <wp:simplePos x="0" y="0"/>
                  <wp:positionH relativeFrom="column">
                    <wp:posOffset>41275</wp:posOffset>
                  </wp:positionH>
                  <wp:positionV relativeFrom="paragraph">
                    <wp:posOffset>64770</wp:posOffset>
                  </wp:positionV>
                  <wp:extent cx="1368425" cy="847725"/>
                  <wp:effectExtent l="0" t="0" r="3175" b="9525"/>
                  <wp:wrapNone/>
                  <wp:docPr id="66" name="图片_1_SpCnt_1"/>
                  <wp:cNvGraphicFramePr/>
                  <a:graphic xmlns:a="http://schemas.openxmlformats.org/drawingml/2006/main">
                    <a:graphicData uri="http://schemas.openxmlformats.org/drawingml/2006/picture">
                      <pic:pic xmlns:pic="http://schemas.openxmlformats.org/drawingml/2006/picture">
                        <pic:nvPicPr>
                          <pic:cNvPr id="66" name="图片_1_SpCnt_1"/>
                          <pic:cNvPicPr/>
                        </pic:nvPicPr>
                        <pic:blipFill>
                          <a:blip r:embed="rId77"/>
                          <a:stretch>
                            <a:fillRect/>
                          </a:stretch>
                        </pic:blipFill>
                        <pic:spPr>
                          <a:xfrm>
                            <a:off x="0" y="0"/>
                            <a:ext cx="1368425" cy="8477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02B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1600*800*750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305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4BD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1E4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153BB5EB">
        <w:tblPrEx>
          <w:tblCellMar>
            <w:top w:w="0" w:type="dxa"/>
            <w:left w:w="108" w:type="dxa"/>
            <w:bottom w:w="0" w:type="dxa"/>
            <w:right w:w="108" w:type="dxa"/>
          </w:tblCellMar>
        </w:tblPrEx>
        <w:trPr>
          <w:trHeight w:val="2018"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991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1E7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就诊椅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CB9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19680" behindDoc="0" locked="0" layoutInCell="1" allowOverlap="1">
                  <wp:simplePos x="0" y="0"/>
                  <wp:positionH relativeFrom="column">
                    <wp:posOffset>221615</wp:posOffset>
                  </wp:positionH>
                  <wp:positionV relativeFrom="paragraph">
                    <wp:posOffset>-78740</wp:posOffset>
                  </wp:positionV>
                  <wp:extent cx="920115" cy="1181100"/>
                  <wp:effectExtent l="0" t="0" r="13335" b="0"/>
                  <wp:wrapNone/>
                  <wp:docPr id="80" name="图片_67"/>
                  <wp:cNvGraphicFramePr/>
                  <a:graphic xmlns:a="http://schemas.openxmlformats.org/drawingml/2006/main">
                    <a:graphicData uri="http://schemas.openxmlformats.org/drawingml/2006/picture">
                      <pic:pic xmlns:pic="http://schemas.openxmlformats.org/drawingml/2006/picture">
                        <pic:nvPicPr>
                          <pic:cNvPr id="80" name="图片_67"/>
                          <pic:cNvPicPr/>
                        </pic:nvPicPr>
                        <pic:blipFill>
                          <a:blip r:embed="rId78"/>
                          <a:stretch>
                            <a:fillRect/>
                          </a:stretch>
                        </pic:blipFill>
                        <pic:spPr>
                          <a:xfrm>
                            <a:off x="0" y="0"/>
                            <a:ext cx="920115" cy="118110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749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常规</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793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0102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5B8E5">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采用优质环保西皮,海绵采用高回弹海绵；椅脚为金属五星脚。</w:t>
            </w:r>
          </w:p>
        </w:tc>
      </w:tr>
      <w:tr w14:paraId="7A3509F1">
        <w:tblPrEx>
          <w:tblCellMar>
            <w:top w:w="0" w:type="dxa"/>
            <w:left w:w="108" w:type="dxa"/>
            <w:bottom w:w="0" w:type="dxa"/>
            <w:right w:w="108" w:type="dxa"/>
          </w:tblCellMar>
        </w:tblPrEx>
        <w:trPr>
          <w:trHeight w:val="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8FC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07F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护理床</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FFC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0704" behindDoc="0" locked="0" layoutInCell="1" allowOverlap="1">
                  <wp:simplePos x="0" y="0"/>
                  <wp:positionH relativeFrom="column">
                    <wp:posOffset>78740</wp:posOffset>
                  </wp:positionH>
                  <wp:positionV relativeFrom="paragraph">
                    <wp:posOffset>-17780</wp:posOffset>
                  </wp:positionV>
                  <wp:extent cx="1307465" cy="707390"/>
                  <wp:effectExtent l="0" t="0" r="6985" b="16510"/>
                  <wp:wrapNone/>
                  <wp:docPr id="71" name="图片_70"/>
                  <wp:cNvGraphicFramePr/>
                  <a:graphic xmlns:a="http://schemas.openxmlformats.org/drawingml/2006/main">
                    <a:graphicData uri="http://schemas.openxmlformats.org/drawingml/2006/picture">
                      <pic:pic xmlns:pic="http://schemas.openxmlformats.org/drawingml/2006/picture">
                        <pic:nvPicPr>
                          <pic:cNvPr id="71" name="图片_70"/>
                          <pic:cNvPicPr/>
                        </pic:nvPicPr>
                        <pic:blipFill>
                          <a:blip r:embed="rId79"/>
                          <a:stretch>
                            <a:fillRect/>
                          </a:stretch>
                        </pic:blipFill>
                        <pic:spPr>
                          <a:xfrm>
                            <a:off x="0" y="0"/>
                            <a:ext cx="1307465" cy="7073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0AA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2050*970*450/700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762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D09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5B9">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 xml:space="preserve"> 床板采用冷板一次冲压成型，表层静电粉末喷涂； 铝合金折叠护栏，单触式手柄操作；电机系统（电机三个，电控箱一个、控制手柄一个）；中控脚轮刹车系统； 四轮采用125mm全制动脚轮； 点滴架插孔每侧三个，引流挂钩每侧二个，输液杆一支；快拆式配置，中纤板床头尾、侧边条；功能: 高--低：450mm--700mm； 背部角度 0-80°(±5°)； 膝部角度 0-40°(±5°)； 承重能力：250公斤。</w:t>
            </w:r>
          </w:p>
        </w:tc>
      </w:tr>
      <w:tr w14:paraId="78B1459A">
        <w:tblPrEx>
          <w:tblCellMar>
            <w:top w:w="0" w:type="dxa"/>
            <w:left w:w="108" w:type="dxa"/>
            <w:bottom w:w="0" w:type="dxa"/>
            <w:right w:w="108" w:type="dxa"/>
          </w:tblCellMar>
        </w:tblPrEx>
        <w:trPr>
          <w:trHeight w:val="24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D43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4EB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密集柜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9DF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1728" behindDoc="0" locked="0" layoutInCell="1" allowOverlap="1">
                  <wp:simplePos x="0" y="0"/>
                  <wp:positionH relativeFrom="column">
                    <wp:posOffset>45085</wp:posOffset>
                  </wp:positionH>
                  <wp:positionV relativeFrom="paragraph">
                    <wp:posOffset>140335</wp:posOffset>
                  </wp:positionV>
                  <wp:extent cx="1308100" cy="1229360"/>
                  <wp:effectExtent l="0" t="0" r="6350" b="8890"/>
                  <wp:wrapNone/>
                  <wp:docPr id="79" name="图片_100"/>
                  <wp:cNvGraphicFramePr/>
                  <a:graphic xmlns:a="http://schemas.openxmlformats.org/drawingml/2006/main">
                    <a:graphicData uri="http://schemas.openxmlformats.org/drawingml/2006/picture">
                      <pic:pic xmlns:pic="http://schemas.openxmlformats.org/drawingml/2006/picture">
                        <pic:nvPicPr>
                          <pic:cNvPr id="79" name="图片_100"/>
                          <pic:cNvPicPr/>
                        </pic:nvPicPr>
                        <pic:blipFill>
                          <a:blip r:embed="rId80"/>
                          <a:stretch>
                            <a:fillRect/>
                          </a:stretch>
                        </pic:blipFill>
                        <pic:spPr>
                          <a:xfrm>
                            <a:off x="0" y="0"/>
                            <a:ext cx="1308100" cy="122936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4CF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900*560*2360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060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026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FEC5">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门板采用0.8mm厚优质冷轧钢板，背面点焊加强筋。右上门装有密集架豪华闪电锁，组装后缝隙均匀，锁定紧密，开启灵活。侧护板采用冷轧钢板，材质厚度0.8mm。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轴承：调心轴承。传动轴采用圆钢，材质厚度直径20mm。连接钢管采用无缝钢管，材质厚度直径25mm。防护装置为每列的接触面均有缓冲及密封装置,具有良好的防震,防尘,防鼠,防光,防潮,功能。防震、防尘装置为20mm厚抗老化橡塑磁性密封条。</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顶板：采用冷轧钢板，材质厚度0.8mm。防倾倒装置采用冷轧钢板，材质厚度2.0mm。</w:t>
            </w:r>
          </w:p>
        </w:tc>
      </w:tr>
      <w:tr w14:paraId="03577600">
        <w:tblPrEx>
          <w:tblCellMar>
            <w:top w:w="0" w:type="dxa"/>
            <w:left w:w="108" w:type="dxa"/>
            <w:bottom w:w="0" w:type="dxa"/>
            <w:right w:w="108" w:type="dxa"/>
          </w:tblCellMar>
        </w:tblPrEx>
        <w:trPr>
          <w:trHeight w:val="17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CA2F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032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定制衣柜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286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2752" behindDoc="0" locked="0" layoutInCell="1" allowOverlap="1">
                  <wp:simplePos x="0" y="0"/>
                  <wp:positionH relativeFrom="column">
                    <wp:posOffset>52070</wp:posOffset>
                  </wp:positionH>
                  <wp:positionV relativeFrom="paragraph">
                    <wp:posOffset>74930</wp:posOffset>
                  </wp:positionV>
                  <wp:extent cx="1299210" cy="849630"/>
                  <wp:effectExtent l="0" t="0" r="15240" b="7620"/>
                  <wp:wrapNone/>
                  <wp:docPr id="68" name="图片_29"/>
                  <wp:cNvGraphicFramePr/>
                  <a:graphic xmlns:a="http://schemas.openxmlformats.org/drawingml/2006/main">
                    <a:graphicData uri="http://schemas.openxmlformats.org/drawingml/2006/picture">
                      <pic:pic xmlns:pic="http://schemas.openxmlformats.org/drawingml/2006/picture">
                        <pic:nvPicPr>
                          <pic:cNvPr id="68" name="图片_29"/>
                          <pic:cNvPicPr/>
                        </pic:nvPicPr>
                        <pic:blipFill>
                          <a:blip r:embed="rId81"/>
                          <a:stretch>
                            <a:fillRect/>
                          </a:stretch>
                        </pic:blipFill>
                        <pic:spPr>
                          <a:xfrm>
                            <a:off x="0" y="0"/>
                            <a:ext cx="1299210" cy="84963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E59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2500W*600D*2800H</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根据实际尺寸定制</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6AE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2E7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3BF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3E57015B">
        <w:tblPrEx>
          <w:tblCellMar>
            <w:top w:w="0" w:type="dxa"/>
            <w:left w:w="108" w:type="dxa"/>
            <w:bottom w:w="0" w:type="dxa"/>
            <w:right w:w="108" w:type="dxa"/>
          </w:tblCellMar>
        </w:tblPrEx>
        <w:trPr>
          <w:trHeight w:val="22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26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B2D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写字桌</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A75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3776" behindDoc="0" locked="0" layoutInCell="1" allowOverlap="1">
                  <wp:simplePos x="0" y="0"/>
                  <wp:positionH relativeFrom="column">
                    <wp:posOffset>-18415</wp:posOffset>
                  </wp:positionH>
                  <wp:positionV relativeFrom="paragraph">
                    <wp:posOffset>118110</wp:posOffset>
                  </wp:positionV>
                  <wp:extent cx="1404620" cy="911225"/>
                  <wp:effectExtent l="0" t="0" r="5080" b="3175"/>
                  <wp:wrapNone/>
                  <wp:docPr id="91" name="图片_530"/>
                  <wp:cNvGraphicFramePr/>
                  <a:graphic xmlns:a="http://schemas.openxmlformats.org/drawingml/2006/main">
                    <a:graphicData uri="http://schemas.openxmlformats.org/drawingml/2006/picture">
                      <pic:pic xmlns:pic="http://schemas.openxmlformats.org/drawingml/2006/picture">
                        <pic:nvPicPr>
                          <pic:cNvPr id="91" name="图片_530"/>
                          <pic:cNvPicPr/>
                        </pic:nvPicPr>
                        <pic:blipFill>
                          <a:blip r:embed="rId82"/>
                          <a:stretch>
                            <a:fillRect/>
                          </a:stretch>
                        </pic:blipFill>
                        <pic:spPr>
                          <a:xfrm>
                            <a:off x="0" y="0"/>
                            <a:ext cx="1404620" cy="9112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539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1200*600*750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9D7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ADE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5AB2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46BEBA62">
        <w:tblPrEx>
          <w:tblCellMar>
            <w:top w:w="0" w:type="dxa"/>
            <w:left w:w="108" w:type="dxa"/>
            <w:bottom w:w="0" w:type="dxa"/>
            <w:right w:w="108" w:type="dxa"/>
          </w:tblCellMar>
        </w:tblPrEx>
        <w:trPr>
          <w:trHeight w:val="20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0D0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7A1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休息沙发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9DB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4800" behindDoc="0" locked="0" layoutInCell="1" allowOverlap="1">
                  <wp:simplePos x="0" y="0"/>
                  <wp:positionH relativeFrom="column">
                    <wp:posOffset>164465</wp:posOffset>
                  </wp:positionH>
                  <wp:positionV relativeFrom="paragraph">
                    <wp:posOffset>31750</wp:posOffset>
                  </wp:positionV>
                  <wp:extent cx="1122680" cy="1184910"/>
                  <wp:effectExtent l="0" t="0" r="1270" b="15240"/>
                  <wp:wrapNone/>
                  <wp:docPr id="69" name="图片_20"/>
                  <wp:cNvGraphicFramePr/>
                  <a:graphic xmlns:a="http://schemas.openxmlformats.org/drawingml/2006/main">
                    <a:graphicData uri="http://schemas.openxmlformats.org/drawingml/2006/picture">
                      <pic:pic xmlns:pic="http://schemas.openxmlformats.org/drawingml/2006/picture">
                        <pic:nvPicPr>
                          <pic:cNvPr id="69" name="图片_20"/>
                          <pic:cNvPicPr/>
                        </pic:nvPicPr>
                        <pic:blipFill>
                          <a:blip r:embed="rId83"/>
                          <a:stretch>
                            <a:fillRect/>
                          </a:stretch>
                        </pic:blipFill>
                        <pic:spPr>
                          <a:xfrm>
                            <a:off x="0" y="0"/>
                            <a:ext cx="1122680" cy="11849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948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690*750*420/770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7B4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20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F419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C87AE">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采用优质环保西皮,海绵采用高回弹海绵；金属脚。</w:t>
            </w:r>
          </w:p>
        </w:tc>
      </w:tr>
      <w:tr w14:paraId="00131DB2">
        <w:tblPrEx>
          <w:tblCellMar>
            <w:top w:w="0" w:type="dxa"/>
            <w:left w:w="108" w:type="dxa"/>
            <w:bottom w:w="0" w:type="dxa"/>
            <w:right w:w="108" w:type="dxa"/>
          </w:tblCellMar>
        </w:tblPrEx>
        <w:trPr>
          <w:trHeight w:val="18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E2A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7A4A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圆茶几</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37A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5824" behindDoc="0" locked="0" layoutInCell="1" allowOverlap="1">
                  <wp:simplePos x="0" y="0"/>
                  <wp:positionH relativeFrom="column">
                    <wp:posOffset>258445</wp:posOffset>
                  </wp:positionH>
                  <wp:positionV relativeFrom="paragraph">
                    <wp:posOffset>29845</wp:posOffset>
                  </wp:positionV>
                  <wp:extent cx="878205" cy="1029335"/>
                  <wp:effectExtent l="0" t="0" r="17145" b="18415"/>
                  <wp:wrapNone/>
                  <wp:docPr id="70" name="ID_10509134DC044C95AD6A1C1657D5440D"/>
                  <wp:cNvGraphicFramePr/>
                  <a:graphic xmlns:a="http://schemas.openxmlformats.org/drawingml/2006/main">
                    <a:graphicData uri="http://schemas.openxmlformats.org/drawingml/2006/picture">
                      <pic:pic xmlns:pic="http://schemas.openxmlformats.org/drawingml/2006/picture">
                        <pic:nvPicPr>
                          <pic:cNvPr id="70" name="ID_10509134DC044C95AD6A1C1657D5440D"/>
                          <pic:cNvPicPr/>
                        </pic:nvPicPr>
                        <pic:blipFill>
                          <a:blip r:embed="rId84"/>
                          <a:stretch>
                            <a:fillRect/>
                          </a:stretch>
                        </pic:blipFill>
                        <pic:spPr>
                          <a:xfrm>
                            <a:off x="0" y="0"/>
                            <a:ext cx="878205" cy="102933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E5C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600*600H</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AAE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E23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DDB6">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基材采用环保优质E0级中密度纤维板，水性漆底漆，水性漆面漆，优质五金配件。</w:t>
            </w:r>
          </w:p>
        </w:tc>
      </w:tr>
      <w:tr w14:paraId="460DD778">
        <w:tblPrEx>
          <w:tblCellMar>
            <w:top w:w="0" w:type="dxa"/>
            <w:left w:w="108" w:type="dxa"/>
            <w:bottom w:w="0" w:type="dxa"/>
            <w:right w:w="108" w:type="dxa"/>
          </w:tblCellMar>
        </w:tblPrEx>
        <w:trPr>
          <w:trHeight w:val="43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DD3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94F8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操控台</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EBA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6848" behindDoc="0" locked="0" layoutInCell="1" allowOverlap="1">
                  <wp:simplePos x="0" y="0"/>
                  <wp:positionH relativeFrom="column">
                    <wp:posOffset>85725</wp:posOffset>
                  </wp:positionH>
                  <wp:positionV relativeFrom="paragraph">
                    <wp:posOffset>369570</wp:posOffset>
                  </wp:positionV>
                  <wp:extent cx="1223010" cy="804545"/>
                  <wp:effectExtent l="0" t="0" r="15240" b="14605"/>
                  <wp:wrapNone/>
                  <wp:docPr id="82" name="图片_192"/>
                  <wp:cNvGraphicFramePr/>
                  <a:graphic xmlns:a="http://schemas.openxmlformats.org/drawingml/2006/main">
                    <a:graphicData uri="http://schemas.openxmlformats.org/drawingml/2006/picture">
                      <pic:pic xmlns:pic="http://schemas.openxmlformats.org/drawingml/2006/picture">
                        <pic:nvPicPr>
                          <pic:cNvPr id="82" name="图片_192"/>
                          <pic:cNvPicPr/>
                        </pic:nvPicPr>
                        <pic:blipFill>
                          <a:blip r:embed="rId85"/>
                          <a:stretch>
                            <a:fillRect/>
                          </a:stretch>
                        </pic:blipFill>
                        <pic:spPr>
                          <a:xfrm>
                            <a:off x="0" y="0"/>
                            <a:ext cx="1223010" cy="80454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444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深度900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B9A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790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延米</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B3B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面板和侧脚采用环保E1级三聚氰胺板；主体框架材质为冷轧钢板SPCC冲压折弯成型，均匀数控剪切，平稳冲压，无焦点焊接，打沙，脱脂，酸洗，防锈磷化，静电喷塑。门板以及内部结构件厚度为1.0-1.5mm冷轧钢板。调度控制台底部设计空间大，前后有门，前后门上有散气孔，可实现空气对流通畅，使设备安全性得到有效保证；调度控制台内部设计专业的强弱电布线设计，将电源线与信号线使用专业线槽分开布置，确保不互相干扰。显示器后屏风采用工业拉铝型材，表面黑色喷涂处理，凹槽可悬挂显示器支架;铝型材横截面尺寸是根据此款式控制台架构特殊制定制，可安装特制的LCD支架、工作灯、电话架、文件架等，以明确坐席功能及提升整体形象。键盘架为双节走珠滑轨。</w:t>
            </w:r>
          </w:p>
        </w:tc>
      </w:tr>
      <w:tr w14:paraId="41605564">
        <w:tblPrEx>
          <w:tblCellMar>
            <w:top w:w="0" w:type="dxa"/>
            <w:left w:w="108" w:type="dxa"/>
            <w:bottom w:w="0" w:type="dxa"/>
            <w:right w:w="108" w:type="dxa"/>
          </w:tblCellMar>
        </w:tblPrEx>
        <w:trPr>
          <w:trHeight w:val="1983"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459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DEA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会客沙发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58D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7872" behindDoc="0" locked="0" layoutInCell="1" allowOverlap="1">
                  <wp:simplePos x="0" y="0"/>
                  <wp:positionH relativeFrom="column">
                    <wp:posOffset>113030</wp:posOffset>
                  </wp:positionH>
                  <wp:positionV relativeFrom="paragraph">
                    <wp:posOffset>-25400</wp:posOffset>
                  </wp:positionV>
                  <wp:extent cx="1075690" cy="1044575"/>
                  <wp:effectExtent l="0" t="0" r="10160" b="3175"/>
                  <wp:wrapNone/>
                  <wp:docPr id="72" name="图片_779"/>
                  <wp:cNvGraphicFramePr/>
                  <a:graphic xmlns:a="http://schemas.openxmlformats.org/drawingml/2006/main">
                    <a:graphicData uri="http://schemas.openxmlformats.org/drawingml/2006/picture">
                      <pic:pic xmlns:pic="http://schemas.openxmlformats.org/drawingml/2006/picture">
                        <pic:nvPicPr>
                          <pic:cNvPr id="72" name="图片_779"/>
                          <pic:cNvPicPr/>
                        </pic:nvPicPr>
                        <pic:blipFill>
                          <a:blip r:embed="rId86"/>
                          <a:stretch>
                            <a:fillRect/>
                          </a:stretch>
                        </pic:blipFill>
                        <pic:spPr>
                          <a:xfrm>
                            <a:off x="0" y="0"/>
                            <a:ext cx="1075690" cy="104457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1439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1030*840*950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FB6B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BB2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8CD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采用优质布绒饰面，海绵采用高回弹海绵，实木油漆脚架。</w:t>
            </w:r>
          </w:p>
        </w:tc>
      </w:tr>
      <w:tr w14:paraId="292AE93A">
        <w:tblPrEx>
          <w:tblCellMar>
            <w:top w:w="0" w:type="dxa"/>
            <w:left w:w="108" w:type="dxa"/>
            <w:bottom w:w="0" w:type="dxa"/>
            <w:right w:w="108" w:type="dxa"/>
          </w:tblCellMar>
        </w:tblPrEx>
        <w:trPr>
          <w:trHeight w:val="22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AB1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CFB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衣柜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C7E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8896" behindDoc="0" locked="0" layoutInCell="1" allowOverlap="1">
                  <wp:simplePos x="0" y="0"/>
                  <wp:positionH relativeFrom="column">
                    <wp:posOffset>74930</wp:posOffset>
                  </wp:positionH>
                  <wp:positionV relativeFrom="paragraph">
                    <wp:posOffset>55245</wp:posOffset>
                  </wp:positionV>
                  <wp:extent cx="1056005" cy="1237615"/>
                  <wp:effectExtent l="0" t="0" r="10795" b="635"/>
                  <wp:wrapNone/>
                  <wp:docPr id="93" name="图片_106"/>
                  <wp:cNvGraphicFramePr/>
                  <a:graphic xmlns:a="http://schemas.openxmlformats.org/drawingml/2006/main">
                    <a:graphicData uri="http://schemas.openxmlformats.org/drawingml/2006/picture">
                      <pic:pic xmlns:pic="http://schemas.openxmlformats.org/drawingml/2006/picture">
                        <pic:nvPicPr>
                          <pic:cNvPr id="93" name="图片_106"/>
                          <pic:cNvPicPr/>
                        </pic:nvPicPr>
                        <pic:blipFill>
                          <a:blip r:embed="rId87"/>
                          <a:stretch>
                            <a:fillRect/>
                          </a:stretch>
                        </pic:blipFill>
                        <pic:spPr>
                          <a:xfrm>
                            <a:off x="0" y="0"/>
                            <a:ext cx="1056005" cy="123761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B98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1200*600*2000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923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C4C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91E4">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41946F16">
        <w:tblPrEx>
          <w:tblCellMar>
            <w:top w:w="0" w:type="dxa"/>
            <w:left w:w="108" w:type="dxa"/>
            <w:bottom w:w="0" w:type="dxa"/>
            <w:right w:w="108" w:type="dxa"/>
          </w:tblCellMar>
        </w:tblPrEx>
        <w:trPr>
          <w:trHeight w:val="1696"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A1D0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D86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L办公桌</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104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29920" behindDoc="0" locked="0" layoutInCell="1" allowOverlap="1">
                  <wp:simplePos x="0" y="0"/>
                  <wp:positionH relativeFrom="column">
                    <wp:posOffset>-17780</wp:posOffset>
                  </wp:positionH>
                  <wp:positionV relativeFrom="paragraph">
                    <wp:posOffset>-116840</wp:posOffset>
                  </wp:positionV>
                  <wp:extent cx="1350010" cy="770255"/>
                  <wp:effectExtent l="0" t="0" r="2540" b="10795"/>
                  <wp:wrapNone/>
                  <wp:docPr id="78" name="图片_10"/>
                  <wp:cNvGraphicFramePr/>
                  <a:graphic xmlns:a="http://schemas.openxmlformats.org/drawingml/2006/main">
                    <a:graphicData uri="http://schemas.openxmlformats.org/drawingml/2006/picture">
                      <pic:pic xmlns:pic="http://schemas.openxmlformats.org/drawingml/2006/picture">
                        <pic:nvPicPr>
                          <pic:cNvPr id="78" name="图片_10"/>
                          <pic:cNvPicPr/>
                        </pic:nvPicPr>
                        <pic:blipFill>
                          <a:blip r:embed="rId88"/>
                          <a:stretch>
                            <a:fillRect/>
                          </a:stretch>
                        </pic:blipFill>
                        <pic:spPr>
                          <a:xfrm>
                            <a:off x="0" y="0"/>
                            <a:ext cx="1350010" cy="77025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2763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1400*1400*750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939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50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474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E149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59900E25">
        <w:tblPrEx>
          <w:tblCellMar>
            <w:top w:w="0" w:type="dxa"/>
            <w:left w:w="108" w:type="dxa"/>
            <w:bottom w:w="0" w:type="dxa"/>
            <w:right w:w="108" w:type="dxa"/>
          </w:tblCellMar>
        </w:tblPrEx>
        <w:trPr>
          <w:trHeight w:val="2135"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EADB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FD7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研讨台2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DF2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30944" behindDoc="0" locked="0" layoutInCell="1" allowOverlap="1">
                  <wp:simplePos x="0" y="0"/>
                  <wp:positionH relativeFrom="column">
                    <wp:posOffset>69215</wp:posOffset>
                  </wp:positionH>
                  <wp:positionV relativeFrom="paragraph">
                    <wp:posOffset>38100</wp:posOffset>
                  </wp:positionV>
                  <wp:extent cx="1195705" cy="779780"/>
                  <wp:effectExtent l="0" t="0" r="4445" b="1270"/>
                  <wp:wrapNone/>
                  <wp:docPr id="85" name="图片_45"/>
                  <wp:cNvGraphicFramePr/>
                  <a:graphic xmlns:a="http://schemas.openxmlformats.org/drawingml/2006/main">
                    <a:graphicData uri="http://schemas.openxmlformats.org/drawingml/2006/picture">
                      <pic:pic xmlns:pic="http://schemas.openxmlformats.org/drawingml/2006/picture">
                        <pic:nvPicPr>
                          <pic:cNvPr id="85" name="图片_45"/>
                          <pic:cNvPicPr/>
                        </pic:nvPicPr>
                        <pic:blipFill>
                          <a:blip r:embed="rId89"/>
                          <a:stretch>
                            <a:fillRect/>
                          </a:stretch>
                        </pic:blipFill>
                        <pic:spPr>
                          <a:xfrm>
                            <a:off x="0" y="0"/>
                            <a:ext cx="1195705" cy="77978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68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3000*1200*750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FD0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2EE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0D4A">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2AD24BD5">
        <w:tblPrEx>
          <w:tblCellMar>
            <w:top w:w="0" w:type="dxa"/>
            <w:left w:w="108" w:type="dxa"/>
            <w:bottom w:w="0" w:type="dxa"/>
            <w:right w:w="108" w:type="dxa"/>
          </w:tblCellMar>
        </w:tblPrEx>
        <w:trPr>
          <w:trHeight w:val="504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2B3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F9F7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文更柜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F5D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31968" behindDoc="0" locked="0" layoutInCell="1" allowOverlap="1">
                  <wp:simplePos x="0" y="0"/>
                  <wp:positionH relativeFrom="column">
                    <wp:posOffset>203835</wp:posOffset>
                  </wp:positionH>
                  <wp:positionV relativeFrom="paragraph">
                    <wp:posOffset>703580</wp:posOffset>
                  </wp:positionV>
                  <wp:extent cx="984250" cy="1480820"/>
                  <wp:effectExtent l="0" t="0" r="6350" b="5080"/>
                  <wp:wrapNone/>
                  <wp:docPr id="67" name="图片_13"/>
                  <wp:cNvGraphicFramePr/>
                  <a:graphic xmlns:a="http://schemas.openxmlformats.org/drawingml/2006/main">
                    <a:graphicData uri="http://schemas.openxmlformats.org/drawingml/2006/picture">
                      <pic:pic xmlns:pic="http://schemas.openxmlformats.org/drawingml/2006/picture">
                        <pic:nvPicPr>
                          <pic:cNvPr id="67" name="图片_13"/>
                          <pic:cNvPicPr/>
                        </pic:nvPicPr>
                        <pic:blipFill>
                          <a:blip r:embed="rId90"/>
                          <a:stretch>
                            <a:fillRect/>
                          </a:stretch>
                        </pic:blipFill>
                        <pic:spPr>
                          <a:xfrm>
                            <a:off x="0" y="0"/>
                            <a:ext cx="984250" cy="148082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AD1A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970*450*1850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0D1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65E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组</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A814">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左侧，上玻下铁门，上下各一块活动层板，右侧设通门，内上设层板，中间设铝合金挂衣杆，下设层板，独立锁具；主体采用0.6mmSPCC优质冷轧钢板，上顶及左右边框12mm窄边设计，经过国际领先的13工位处理法处理，表面硬度可以达H级；整体采用两侧包裹顶板结构，结构更稳固，侧面整张钢板无焊接缝，美观实用；玻璃采用高透亮洛阳浮法玻璃，玻璃封条采用钢板全封结构，结实稳固；柜体上顶采用加强设计，结实稳固，门后采用可上中下调节的挂镜； 一线品牌锁具：锁芯具有“红绿点透视窗”设计，钥匙和锁芯有3位钢印编码，钥匙可以折叠；塑粉（柜体和门板采用双色设计）采用国内知名品牌的原生一代粉，质地细腻均匀，不发乌，无暗沉；扣手（镀锌一代ABS）设计，抗衰老防腐蚀耐冲击，抗衰老防腐蚀耐冲击；扣手与柜门平齐，美观实用。</w:t>
            </w:r>
          </w:p>
        </w:tc>
      </w:tr>
      <w:tr w14:paraId="593DFCB7">
        <w:tblPrEx>
          <w:tblCellMar>
            <w:top w:w="0" w:type="dxa"/>
            <w:left w:w="108" w:type="dxa"/>
            <w:bottom w:w="0" w:type="dxa"/>
            <w:right w:w="108" w:type="dxa"/>
          </w:tblCellMar>
        </w:tblPrEx>
        <w:trPr>
          <w:trHeight w:val="241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15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92F9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接处警席</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5CB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32992" behindDoc="0" locked="0" layoutInCell="1" allowOverlap="1">
                  <wp:simplePos x="0" y="0"/>
                  <wp:positionH relativeFrom="column">
                    <wp:posOffset>73660</wp:posOffset>
                  </wp:positionH>
                  <wp:positionV relativeFrom="paragraph">
                    <wp:posOffset>163195</wp:posOffset>
                  </wp:positionV>
                  <wp:extent cx="1311910" cy="769620"/>
                  <wp:effectExtent l="0" t="0" r="2540" b="11430"/>
                  <wp:wrapNone/>
                  <wp:docPr id="92" name="图片_8"/>
                  <wp:cNvGraphicFramePr/>
                  <a:graphic xmlns:a="http://schemas.openxmlformats.org/drawingml/2006/main">
                    <a:graphicData uri="http://schemas.openxmlformats.org/drawingml/2006/picture">
                      <pic:pic xmlns:pic="http://schemas.openxmlformats.org/drawingml/2006/picture">
                        <pic:nvPicPr>
                          <pic:cNvPr id="92" name="图片_8"/>
                          <pic:cNvPicPr/>
                        </pic:nvPicPr>
                        <pic:blipFill>
                          <a:blip r:embed="rId91"/>
                          <a:stretch>
                            <a:fillRect/>
                          </a:stretch>
                        </pic:blipFill>
                        <pic:spPr>
                          <a:xfrm>
                            <a:off x="0" y="0"/>
                            <a:ext cx="1311910" cy="76962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C3B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1800*900*950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54B4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271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4C04">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 xml:space="preserve">操作台采用拼装结构，配备可调节标准19寸机架，整体框架材料采用1.2mm的首钢优质冷轧钢板，承重梁采用2.0mm厚优质覆铝锌板制作，主机固定板、前后门、键盘抽屉采用1.2mm首钢优质冷轧钢板、采用激光切割、数控冲压、数控剪板、数控折弯、数控焊接等现代化一流的加工工艺加工而成。 操作台台面采用优质环保实木颗粒板为基材，上下双贴面，前端镶有30mm宽鸭嘴型聚氨酯手枕使人体长时间工作时更加舒适，具有耐磨、耐腐蚀。高强度，耐用，使用方便，整体美观整洁。 表面处理为脱脂、酸洗、防锈磷化、纯水清洗、静电喷塑，单层铝型材背板内置1层隔板  </w:t>
            </w:r>
          </w:p>
        </w:tc>
      </w:tr>
      <w:tr w14:paraId="017CF14F">
        <w:tblPrEx>
          <w:tblCellMar>
            <w:top w:w="0" w:type="dxa"/>
            <w:left w:w="108" w:type="dxa"/>
            <w:bottom w:w="0" w:type="dxa"/>
            <w:right w:w="108" w:type="dxa"/>
          </w:tblCellMar>
        </w:tblPrEx>
        <w:trPr>
          <w:trHeight w:val="26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E10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AA9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作战椅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269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34016" behindDoc="0" locked="0" layoutInCell="1" allowOverlap="1">
                  <wp:simplePos x="0" y="0"/>
                  <wp:positionH relativeFrom="column">
                    <wp:posOffset>139700</wp:posOffset>
                  </wp:positionH>
                  <wp:positionV relativeFrom="paragraph">
                    <wp:posOffset>41275</wp:posOffset>
                  </wp:positionV>
                  <wp:extent cx="1022350" cy="1338580"/>
                  <wp:effectExtent l="0" t="0" r="6350" b="13970"/>
                  <wp:wrapNone/>
                  <wp:docPr id="73" name="图片_120"/>
                  <wp:cNvGraphicFramePr/>
                  <a:graphic xmlns:a="http://schemas.openxmlformats.org/drawingml/2006/main">
                    <a:graphicData uri="http://schemas.openxmlformats.org/drawingml/2006/picture">
                      <pic:pic xmlns:pic="http://schemas.openxmlformats.org/drawingml/2006/picture">
                        <pic:nvPicPr>
                          <pic:cNvPr id="73" name="图片_120"/>
                          <pic:cNvPicPr/>
                        </pic:nvPicPr>
                        <pic:blipFill>
                          <a:blip r:embed="rId92"/>
                          <a:stretch>
                            <a:fillRect/>
                          </a:stretch>
                        </pic:blipFill>
                        <pic:spPr>
                          <a:xfrm>
                            <a:off x="0" y="0"/>
                            <a:ext cx="1022350" cy="133858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E78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660W*722D*1120H-1220H</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2F1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726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3435">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*背框采用黑色背框，黑色尼龙升降头枕；定型海绵坐垫，滑动功能线控坐壳；铝合金支架，可调节腰靠；靠背优质网布，坐垫透气面料；黑色3D功能扶手； 线控底盘（自载重底盘）；优质气压棒； 脚架为黑色尼龙五星脚，黑色PU防震轮。</w:t>
            </w:r>
          </w:p>
        </w:tc>
      </w:tr>
      <w:tr w14:paraId="505C9F5C">
        <w:tblPrEx>
          <w:tblCellMar>
            <w:top w:w="0" w:type="dxa"/>
            <w:left w:w="108" w:type="dxa"/>
            <w:bottom w:w="0" w:type="dxa"/>
            <w:right w:w="108" w:type="dxa"/>
          </w:tblCellMar>
        </w:tblPrEx>
        <w:trPr>
          <w:trHeight w:val="14406"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CF9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3F40">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lang w:bidi="ar"/>
              </w:rPr>
              <w:t>心理综合测评系统</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11AE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bdr w:val="single" w:color="000000" w:sz="4" w:space="0"/>
              </w:rPr>
              <w:drawing>
                <wp:anchor distT="0" distB="0" distL="114300" distR="114300" simplePos="0" relativeHeight="251735040" behindDoc="0" locked="0" layoutInCell="1" allowOverlap="1">
                  <wp:simplePos x="0" y="0"/>
                  <wp:positionH relativeFrom="column">
                    <wp:posOffset>81280</wp:posOffset>
                  </wp:positionH>
                  <wp:positionV relativeFrom="paragraph">
                    <wp:posOffset>40640</wp:posOffset>
                  </wp:positionV>
                  <wp:extent cx="1202690" cy="826770"/>
                  <wp:effectExtent l="0" t="0" r="16510" b="11430"/>
                  <wp:wrapNone/>
                  <wp:docPr id="75" name="图片_14"/>
                  <wp:cNvGraphicFramePr/>
                  <a:graphic xmlns:a="http://schemas.openxmlformats.org/drawingml/2006/main">
                    <a:graphicData uri="http://schemas.openxmlformats.org/drawingml/2006/picture">
                      <pic:pic xmlns:pic="http://schemas.openxmlformats.org/drawingml/2006/picture">
                        <pic:nvPicPr>
                          <pic:cNvPr id="75" name="图片_14"/>
                          <pic:cNvPicPr/>
                        </pic:nvPicPr>
                        <pic:blipFill>
                          <a:blip r:embed="rId93"/>
                          <a:stretch>
                            <a:fillRect/>
                          </a:stretch>
                        </pic:blipFill>
                        <pic:spPr>
                          <a:xfrm>
                            <a:off x="0" y="0"/>
                            <a:ext cx="1202690" cy="82677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5E2B">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5D99">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8DC6">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D39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一、功能要求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1.系统设置：更换皮肤功能，十二套颜色，用户可随意选择，用户可以根据需求自主更换logo、软件名称、倒计时提示和测评选项时间。</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量表管理：综合测试不少于350个，包含心理卫生综合评定、行为、气质、抑郁、焦虑、自闭、孤独、自杀倾向、人际关系、社交、精神障碍、自我意识、生活事件、幸福感、家庭环境等，可根据需求定制特殊量表及指定量表的更新；支持自定义量表的导入；图文并茂的分析报告，满足心理工作者专业需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危机预警管理：该系统可以发布红色、橙色、黄色三级警情监测信号；预警管理侧面研判用户心理健康信息，通过心理测评筛查第一时间触发因子预警和预警时间，咨询师可以在线查看测评报告以发送邮件的形式进行处理；根据普测活动可以进行一键打印团体预警信息。</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系统具有快捷的二维码扫描测试功能，管理者可使用二维码发起团体测试，测试者只需拿出手机、pad等移动端扫描系统二维码即可实现系统登录、系统注册、手机端测试、手机端查看报告、等多种应用；同时，系统还开放了二维码自助管理端，允许管理员将任意信息在线生成二维码，最大限度的方便管理员和测试用户使用；手机端扫码支持在线预约、匿名预约，可对接心理健康自助系统。</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全数据导出：全部测评量表报告、人员列表、原始分数、预警列表的导出，出具支持（即时、审阅、自定义，完全根据体检中心内部管理流程灵活匹配）报告结果的贮存、打印有多种选择，用户可根据自己需要，选择剖面图、数据、自动报告等各种报告形式，并能以WORD、PDF和EXCEL进行任选，可直接在当前系统界面进行文档操作。</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6.软件语音播报心理测试题目答案,系统会在用户人员登录时以弹出窗口进行提醒相关的最新测试活动。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7.测试开始前会根据测试量表类别进行指导语倒计时时长计时，确定测试者明确测试内容，点击开始会再次出现指导语认真阅读提示选项。</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8.为避免恶意测试，测试过程如出现答题过快，明显超过看题速度，系统会弹出答题过快认真作答警示框。</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9.心理智库：包含心理百科、心理咨询和心理阅读三大模块，提供心理科普知识；心情记录功能，带有治愈作用的心情记录图鉴。</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10.心理资源库：整体包含8大模块，分为心理科普（311篇文章）、心理阅读（85篇）、心理图库（151部）、趣味测试、心语心声（118部）、辅导案例（23部）、放松减压（8部放松训练）。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11.对不同的心理问题，提供有针对性的个性化的干预方案13个以上。</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12.课堂记录：提供心理课程课堂记录表，方便负责进一步组织心理健康课程的教研及管理工作。</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13.行为记录：通过线下访谈面询记录每一位用户的心理健康状态，记录由32条异常表现标签和33条生活事件标签进行记录。</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14.量表组功能：可以分别绑定自定义单位的组织结构，测试适合量表，简化后续的重复操作，方便管理者更好的管理机构量表，无限制机构框架建设功能。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15.团体数据统计：可根据测试单位的组织结构、量表名称选择、测试时间段查询团体测试报告；团体报告可支持样本分析与统计，自成生成心理健康水平差异显著性对比分析报表（报表内容包含样本数、均值、方差、P值、T值及单测检验与双测检验等国际公认权威数据）。</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16.在线互动：在线沟通交流或者咨询，无非就是为了简单方便，信息及时快捷的表述和传达，并且随时随地。在线聊天或者交流，能够及时方便的交流信息和确认信息，又或者沟通交流感情，越来越普遍和日常化。</w:t>
            </w:r>
          </w:p>
        </w:tc>
      </w:tr>
      <w:tr w14:paraId="4AE69648">
        <w:tblPrEx>
          <w:tblCellMar>
            <w:top w:w="0" w:type="dxa"/>
            <w:left w:w="108" w:type="dxa"/>
            <w:bottom w:w="0" w:type="dxa"/>
            <w:right w:w="108" w:type="dxa"/>
          </w:tblCellMar>
        </w:tblPrEx>
        <w:trPr>
          <w:trHeight w:val="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8B6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78A85">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lang w:bidi="ar"/>
              </w:rPr>
              <w:t>身心健康检测仪</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148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bdr w:val="single" w:color="000000" w:sz="4" w:space="0"/>
              </w:rPr>
              <w:drawing>
                <wp:anchor distT="0" distB="0" distL="114300" distR="114300" simplePos="0" relativeHeight="251736064" behindDoc="0" locked="0" layoutInCell="1" allowOverlap="1">
                  <wp:simplePos x="0" y="0"/>
                  <wp:positionH relativeFrom="column">
                    <wp:posOffset>179705</wp:posOffset>
                  </wp:positionH>
                  <wp:positionV relativeFrom="paragraph">
                    <wp:posOffset>-235585</wp:posOffset>
                  </wp:positionV>
                  <wp:extent cx="1128395" cy="883920"/>
                  <wp:effectExtent l="0" t="0" r="14605" b="11430"/>
                  <wp:wrapNone/>
                  <wp:docPr id="76" name="图片_17"/>
                  <wp:cNvGraphicFramePr/>
                  <a:graphic xmlns:a="http://schemas.openxmlformats.org/drawingml/2006/main">
                    <a:graphicData uri="http://schemas.openxmlformats.org/drawingml/2006/picture">
                      <pic:pic xmlns:pic="http://schemas.openxmlformats.org/drawingml/2006/picture">
                        <pic:nvPicPr>
                          <pic:cNvPr id="76" name="图片_17"/>
                          <pic:cNvPicPr/>
                        </pic:nvPicPr>
                        <pic:blipFill>
                          <a:blip r:embed="rId94"/>
                          <a:stretch>
                            <a:fillRect/>
                          </a:stretch>
                        </pic:blipFill>
                        <pic:spPr>
                          <a:xfrm>
                            <a:off x="0" y="0"/>
                            <a:ext cx="1128395" cy="88392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36F6">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470C">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B05C7">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8F37">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一、功能要求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1、采用双10寸显示系统，方便管理者与来访者使用。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2、主页分为三个大类，分别为身心检测、心理档案、个人中心。最主要的身心检测模块主要包含心理检测、压力分析、心理百科、心理FM、睡眠改善、心理减压、脑力激活、心理干预等八大模块。</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3、可以进行心理健康筛查、情绪健康评估、人际综合评估、职业性格评估、疫情心理自评、睡眠质量评估、舒尔特方格、气质类型测验等心理检测量表测评。</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4、心理检测量表完成后点击提交，可直接显示测评报告，包含用户基本信息、评估结果、综合分析建议、科普小常识，测评报告自动保存。</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压力分析检测页面可显示心率、血氧、稳定指数、抗压能力、自主神经、呼吸波形、皮肤电阻、脉搏波和PPG的实时动态指数，当全部数值都有动态显示时，可以点击结束来查看检测报告，检测时长由用户决定。</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6、压力分析报告包含用户基本信息，检测时间、检测项目、报告有效性、平均心率、抗压能力、疲劳指数、压力指数、情绪指数、评价与建议等</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7、心理百科模块具有心理学名词的相关介绍和资料。</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8、心理FM分为生活、情感、人际、情绪、校园、成长六大类型的FM电台音频。</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二、配置要求：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1、压力分析模块提供多参数传感器进行检测分别为血氧脉搏传感器、皮电传感器、呼吸传感器。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2、数据控制盒*1个：主板控制系统USB*1；lemo*3。</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3、血氧传感器*1个：采样频率250Hz，含红光和红外光脉搏信号，lemo锁式接口。</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4、皮电传感器*1个：一体化设计，皮电信号250Hz采样频率，lemo锁式接口。</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5、呼吸传感器*1个：采样频率250Hz、lemo锁式接口。</w:t>
            </w:r>
          </w:p>
        </w:tc>
      </w:tr>
      <w:tr w14:paraId="170D2257">
        <w:tblPrEx>
          <w:tblCellMar>
            <w:top w:w="0" w:type="dxa"/>
            <w:left w:w="108" w:type="dxa"/>
            <w:bottom w:w="0" w:type="dxa"/>
            <w:right w:w="108" w:type="dxa"/>
          </w:tblCellMar>
        </w:tblPrEx>
        <w:trPr>
          <w:trHeight w:val="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6B3D">
            <w:pPr>
              <w:widowControl/>
              <w:jc w:val="center"/>
              <w:textAlignment w:val="center"/>
              <w:rPr>
                <w:rStyle w:val="91"/>
                <w:rFonts w:hint="default"/>
              </w:rPr>
            </w:pPr>
            <w:r>
              <w:rPr>
                <w:rStyle w:val="91"/>
                <w:rFonts w:hint="default"/>
              </w:rPr>
              <w:t>77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F1A2C">
            <w:pPr>
              <w:widowControl/>
              <w:jc w:val="center"/>
              <w:textAlignment w:val="center"/>
              <w:rPr>
                <w:rStyle w:val="91"/>
                <w:rFonts w:hint="default"/>
              </w:rPr>
            </w:pPr>
            <w:r>
              <w:rPr>
                <w:rStyle w:val="91"/>
                <w:rFonts w:hint="default"/>
              </w:rPr>
              <w:t>打印机</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2E168">
            <w:pPr>
              <w:widowControl/>
              <w:jc w:val="center"/>
              <w:textAlignment w:val="center"/>
              <w:rPr>
                <w:rStyle w:val="91"/>
                <w:rFonts w:hint="default"/>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D17A">
            <w:pPr>
              <w:widowControl/>
              <w:jc w:val="center"/>
              <w:textAlignment w:val="center"/>
              <w:rPr>
                <w:rStyle w:val="91"/>
                <w:rFonts w:hint="default"/>
              </w:rPr>
            </w:pPr>
            <w:r>
              <w:rPr>
                <w:rStyle w:val="91"/>
                <w:rFonts w:hint="default"/>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A21C">
            <w:pPr>
              <w:widowControl/>
              <w:jc w:val="center"/>
              <w:textAlignment w:val="center"/>
              <w:rPr>
                <w:rStyle w:val="91"/>
                <w:rFonts w:hint="default"/>
              </w:rPr>
            </w:pPr>
            <w:r>
              <w:rPr>
                <w:rStyle w:val="91"/>
                <w:rFonts w:hint="default"/>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A31E8">
            <w:pPr>
              <w:widowControl/>
              <w:jc w:val="center"/>
              <w:textAlignment w:val="center"/>
              <w:rPr>
                <w:rStyle w:val="91"/>
                <w:rFonts w:hint="default"/>
                <w:lang w:bidi="ar"/>
              </w:rPr>
            </w:pPr>
            <w:r>
              <w:rPr>
                <w:rStyle w:val="91"/>
                <w:rFonts w:hint="default"/>
              </w:rPr>
              <w:t>台</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D0E3">
            <w:pPr>
              <w:widowControl/>
              <w:jc w:val="left"/>
              <w:textAlignment w:val="center"/>
              <w:rPr>
                <w:rStyle w:val="91"/>
                <w:rFonts w:hint="default"/>
              </w:rPr>
            </w:pPr>
            <w:r>
              <w:rPr>
                <w:rStyle w:val="91"/>
                <w:rFonts w:hint="default"/>
              </w:rPr>
              <w:t>多功能一体机（具有打印、复印、扫描功能），涵盖功能: 复印 打印 扫描，最大幅面: A4，能效等级: 一级，适用场景: 商务办公，耗材类型: 一体式墨盒，原厂连供打印机。</w:t>
            </w:r>
          </w:p>
        </w:tc>
      </w:tr>
      <w:tr w14:paraId="1431234D">
        <w:tblPrEx>
          <w:tblCellMar>
            <w:top w:w="0" w:type="dxa"/>
            <w:left w:w="108" w:type="dxa"/>
            <w:bottom w:w="0" w:type="dxa"/>
            <w:right w:w="108" w:type="dxa"/>
          </w:tblCellMar>
        </w:tblPrEx>
        <w:trPr>
          <w:trHeight w:val="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EA43">
            <w:pPr>
              <w:widowControl/>
              <w:jc w:val="center"/>
              <w:textAlignment w:val="center"/>
              <w:rPr>
                <w:rFonts w:ascii="黑体" w:hAnsi="宋体" w:eastAsia="黑体" w:cs="黑体"/>
                <w:color w:val="FF0000"/>
                <w:kern w:val="0"/>
                <w:sz w:val="20"/>
                <w:szCs w:val="20"/>
                <w:lang w:bidi="ar"/>
              </w:rPr>
            </w:pPr>
            <w:r>
              <w:rPr>
                <w:rFonts w:hint="eastAsia" w:ascii="黑体" w:hAnsi="宋体" w:eastAsia="黑体" w:cs="黑体"/>
                <w:color w:val="000000"/>
                <w:kern w:val="0"/>
                <w:sz w:val="20"/>
                <w:szCs w:val="20"/>
                <w:lang w:bidi="ar"/>
              </w:rPr>
              <w:t>78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864F0">
            <w:pPr>
              <w:widowControl/>
              <w:jc w:val="center"/>
              <w:textAlignment w:val="center"/>
              <w:rPr>
                <w:rFonts w:ascii="黑体" w:hAnsi="宋体" w:eastAsia="黑体" w:cs="黑体"/>
                <w:color w:val="FF0000"/>
                <w:kern w:val="0"/>
                <w:sz w:val="22"/>
                <w:szCs w:val="22"/>
                <w:lang w:bidi="ar"/>
              </w:rPr>
            </w:pPr>
            <w:r>
              <w:rPr>
                <w:rFonts w:hint="eastAsia" w:ascii="黑体" w:hAnsi="宋体" w:eastAsia="黑体" w:cs="黑体"/>
                <w:color w:val="000000"/>
                <w:kern w:val="0"/>
                <w:sz w:val="22"/>
                <w:szCs w:val="22"/>
                <w:lang w:bidi="ar"/>
              </w:rPr>
              <w:t>心理档案采集仪</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0C969">
            <w:pPr>
              <w:widowControl/>
              <w:jc w:val="center"/>
              <w:textAlignment w:val="center"/>
              <w:rPr>
                <w:rFonts w:ascii="宋体" w:hAnsi="宋体" w:eastAsia="宋体" w:cs="宋体"/>
                <w:color w:val="FF0000"/>
                <w:kern w:val="0"/>
                <w:sz w:val="22"/>
                <w:szCs w:val="22"/>
                <w:bdr w:val="single" w:color="000000" w:sz="4" w:space="0"/>
                <w:lang w:bidi="ar"/>
              </w:rPr>
            </w:pPr>
            <w:r>
              <w:rPr>
                <w:rFonts w:hint="eastAsia" w:ascii="宋体" w:hAnsi="宋体" w:eastAsia="宋体" w:cs="宋体"/>
                <w:color w:val="000000"/>
                <w:kern w:val="0"/>
                <w:sz w:val="22"/>
                <w:szCs w:val="22"/>
                <w:bdr w:val="single" w:color="000000" w:sz="4" w:space="0"/>
              </w:rPr>
              <w:drawing>
                <wp:anchor distT="0" distB="0" distL="114300" distR="114300" simplePos="0" relativeHeight="251737088" behindDoc="0" locked="0" layoutInCell="1" allowOverlap="1">
                  <wp:simplePos x="0" y="0"/>
                  <wp:positionH relativeFrom="column">
                    <wp:posOffset>313055</wp:posOffset>
                  </wp:positionH>
                  <wp:positionV relativeFrom="paragraph">
                    <wp:posOffset>-819150</wp:posOffset>
                  </wp:positionV>
                  <wp:extent cx="795020" cy="1440815"/>
                  <wp:effectExtent l="0" t="0" r="5080" b="6985"/>
                  <wp:wrapNone/>
                  <wp:docPr id="109" name="图片_43"/>
                  <wp:cNvGraphicFramePr/>
                  <a:graphic xmlns:a="http://schemas.openxmlformats.org/drawingml/2006/main">
                    <a:graphicData uri="http://schemas.openxmlformats.org/drawingml/2006/picture">
                      <pic:pic xmlns:pic="http://schemas.openxmlformats.org/drawingml/2006/picture">
                        <pic:nvPicPr>
                          <pic:cNvPr id="109" name="图片_43"/>
                          <pic:cNvPicPr/>
                        </pic:nvPicPr>
                        <pic:blipFill>
                          <a:blip r:embed="rId95"/>
                          <a:stretch>
                            <a:fillRect/>
                          </a:stretch>
                        </pic:blipFill>
                        <pic:spPr>
                          <a:xfrm>
                            <a:off x="0" y="0"/>
                            <a:ext cx="795020" cy="144081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8949">
            <w:pPr>
              <w:widowControl/>
              <w:jc w:val="center"/>
              <w:textAlignment w:val="center"/>
              <w:rPr>
                <w:rFonts w:ascii="黑体" w:hAnsi="宋体" w:eastAsia="黑体" w:cs="黑体"/>
                <w:color w:val="FF0000"/>
                <w:kern w:val="0"/>
                <w:sz w:val="22"/>
                <w:szCs w:val="22"/>
                <w:lang w:bidi="ar"/>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7989">
            <w:pPr>
              <w:widowControl/>
              <w:jc w:val="center"/>
              <w:textAlignment w:val="center"/>
              <w:rPr>
                <w:rFonts w:ascii="黑体" w:hAnsi="宋体" w:eastAsia="黑体" w:cs="黑体"/>
                <w:color w:val="FF0000"/>
                <w:kern w:val="0"/>
                <w:sz w:val="24"/>
                <w:lang w:bidi="ar"/>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EE616">
            <w:pPr>
              <w:widowControl/>
              <w:jc w:val="center"/>
              <w:textAlignment w:val="center"/>
              <w:rPr>
                <w:rFonts w:ascii="黑体" w:hAnsi="宋体" w:eastAsia="黑体" w:cs="黑体"/>
                <w:color w:val="FF0000"/>
                <w:sz w:val="22"/>
                <w:szCs w:val="22"/>
              </w:rPr>
            </w:pPr>
            <w:r>
              <w:rPr>
                <w:rFonts w:hint="eastAsia" w:ascii="黑体" w:hAnsi="宋体" w:eastAsia="黑体" w:cs="黑体"/>
                <w:color w:val="000000"/>
                <w:kern w:val="0"/>
                <w:sz w:val="22"/>
                <w:szCs w:val="22"/>
                <w:lang w:bidi="ar"/>
              </w:rPr>
              <w:t>台</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6CA5">
            <w:pPr>
              <w:widowControl/>
              <w:jc w:val="left"/>
              <w:textAlignment w:val="center"/>
              <w:rPr>
                <w:rFonts w:ascii="黑体" w:hAnsi="宋体" w:eastAsia="黑体" w:cs="黑体"/>
                <w:color w:val="FF0000"/>
                <w:kern w:val="0"/>
                <w:sz w:val="20"/>
                <w:szCs w:val="20"/>
                <w:lang w:bidi="ar"/>
              </w:rPr>
            </w:pPr>
            <w:r>
              <w:rPr>
                <w:rStyle w:val="91"/>
                <w:rFonts w:hint="default"/>
                <w:lang w:bidi="ar"/>
              </w:rPr>
              <w:t>一.硬件参数：</w:t>
            </w:r>
            <w:r>
              <w:rPr>
                <w:rStyle w:val="91"/>
                <w:rFonts w:hint="default"/>
                <w:lang w:bidi="ar"/>
              </w:rPr>
              <w:br w:type="textWrapping"/>
            </w:r>
            <w:r>
              <w:rPr>
                <w:rStyle w:val="91"/>
                <w:rFonts w:hint="default"/>
                <w:lang w:bidi="ar"/>
              </w:rPr>
              <w:t>1. 主感光芯片：Sony  1/2.3英寸</w:t>
            </w:r>
            <w:r>
              <w:rPr>
                <w:rStyle w:val="91"/>
                <w:rFonts w:hint="default"/>
                <w:lang w:bidi="ar"/>
              </w:rPr>
              <w:br w:type="textWrapping"/>
            </w:r>
            <w:r>
              <w:rPr>
                <w:rStyle w:val="91"/>
                <w:rFonts w:hint="default"/>
                <w:lang w:bidi="ar"/>
              </w:rPr>
              <w:t>2. 主感光像素：1200万（3840*2880）</w:t>
            </w:r>
            <w:r>
              <w:rPr>
                <w:rStyle w:val="91"/>
                <w:rFonts w:hint="default"/>
                <w:lang w:bidi="ar"/>
              </w:rPr>
              <w:br w:type="textWrapping"/>
            </w:r>
            <w:r>
              <w:rPr>
                <w:rStyle w:val="91"/>
                <w:rFonts w:hint="default"/>
                <w:lang w:bidi="ar"/>
              </w:rPr>
              <w:t xml:space="preserve">3. 对焦模式：自动对焦，有利于扫描办公环境中不同大少与厚薄的扫描物        </w:t>
            </w:r>
            <w:r>
              <w:rPr>
                <w:rStyle w:val="91"/>
                <w:rFonts w:hint="default"/>
                <w:lang w:bidi="ar"/>
              </w:rPr>
              <w:br w:type="textWrapping"/>
            </w:r>
            <w:r>
              <w:rPr>
                <w:rStyle w:val="91"/>
                <w:rFonts w:hint="default"/>
                <w:lang w:bidi="ar"/>
              </w:rPr>
              <w:t>4. 接口：USB3.0兼容USB2.0</w:t>
            </w:r>
            <w:r>
              <w:rPr>
                <w:rStyle w:val="91"/>
                <w:rFonts w:hint="default"/>
                <w:lang w:bidi="ar"/>
              </w:rPr>
              <w:br w:type="textWrapping"/>
            </w:r>
            <w:r>
              <w:rPr>
                <w:rStyle w:val="91"/>
                <w:rFonts w:hint="default"/>
                <w:lang w:bidi="ar"/>
              </w:rPr>
              <w:t>5.扫描幅面：B4幅面</w:t>
            </w:r>
            <w:r>
              <w:rPr>
                <w:rStyle w:val="91"/>
                <w:rFonts w:hint="default"/>
                <w:lang w:bidi="ar"/>
              </w:rPr>
              <w:br w:type="textWrapping"/>
            </w:r>
            <w:r>
              <w:rPr>
                <w:rStyle w:val="91"/>
                <w:rFonts w:hint="default"/>
                <w:lang w:bidi="ar"/>
              </w:rPr>
              <w:t>6.遥控器：带无线遥控器，可无线控制各种模式的扫描</w:t>
            </w:r>
            <w:r>
              <w:rPr>
                <w:rStyle w:val="91"/>
                <w:rFonts w:hint="default"/>
                <w:lang w:bidi="ar"/>
              </w:rPr>
              <w:br w:type="textWrapping"/>
            </w:r>
            <w:r>
              <w:rPr>
                <w:rStyle w:val="91"/>
                <w:rFonts w:hint="default"/>
                <w:lang w:bidi="ar"/>
              </w:rPr>
              <w:t>二.软件参数：</w:t>
            </w:r>
            <w:r>
              <w:rPr>
                <w:rStyle w:val="91"/>
                <w:rFonts w:hint="default"/>
                <w:lang w:bidi="ar"/>
              </w:rPr>
              <w:br w:type="textWrapping"/>
            </w:r>
            <w:r>
              <w:rPr>
                <w:rStyle w:val="91"/>
                <w:rFonts w:hint="default"/>
                <w:lang w:bidi="ar"/>
              </w:rPr>
              <w:t>1、文档优化功能：快速扫描，扫描后图片自动深度优化，去除多余边角，底色增白，红章保留，去除阴影等；</w:t>
            </w:r>
            <w:r>
              <w:rPr>
                <w:rStyle w:val="91"/>
                <w:rFonts w:hint="default"/>
                <w:lang w:bidi="ar"/>
              </w:rPr>
              <w:br w:type="textWrapping"/>
            </w:r>
            <w:r>
              <w:rPr>
                <w:rStyle w:val="91"/>
                <w:rFonts w:hint="default"/>
                <w:lang w:bidi="ar"/>
              </w:rPr>
              <w:t>2、书籍扫描功能：扫描后图片自动曲面展平，去除手指痕迹，可实现左右分页；</w:t>
            </w:r>
            <w:r>
              <w:rPr>
                <w:rStyle w:val="91"/>
                <w:rFonts w:hint="default"/>
                <w:lang w:bidi="ar"/>
              </w:rPr>
              <w:br w:type="textWrapping"/>
            </w:r>
            <w:r>
              <w:rPr>
                <w:rStyle w:val="91"/>
                <w:rFonts w:hint="default"/>
                <w:lang w:bidi="ar"/>
              </w:rPr>
              <w:t>3、AI扫描功能：可识别不同证件和文档的类别，自动给出相应的扫描模板；</w:t>
            </w:r>
            <w:r>
              <w:rPr>
                <w:rStyle w:val="91"/>
                <w:rFonts w:hint="default"/>
                <w:lang w:bidi="ar"/>
              </w:rPr>
              <w:br w:type="textWrapping"/>
            </w:r>
            <w:r>
              <w:rPr>
                <w:rStyle w:val="91"/>
                <w:rFonts w:hint="default"/>
                <w:lang w:bidi="ar"/>
              </w:rPr>
              <w:t>4、智能命名功能：支持为扫描文件进行文件名的自动命名，如有错误还可框选进行重命名，减少人工手动输入；</w:t>
            </w:r>
            <w:r>
              <w:rPr>
                <w:rStyle w:val="91"/>
                <w:rFonts w:hint="default"/>
                <w:lang w:bidi="ar"/>
              </w:rPr>
              <w:br w:type="textWrapping"/>
            </w:r>
            <w:r>
              <w:rPr>
                <w:rStyle w:val="91"/>
                <w:rFonts w:hint="default"/>
                <w:lang w:bidi="ar"/>
              </w:rPr>
              <w:t>5、水印功能：可自动添加水印，自带多种常规水印模板，也可自定义添加水印；</w:t>
            </w:r>
            <w:r>
              <w:rPr>
                <w:rStyle w:val="91"/>
                <w:rFonts w:hint="default"/>
                <w:lang w:bidi="ar"/>
              </w:rPr>
              <w:br w:type="textWrapping"/>
            </w:r>
            <w:r>
              <w:rPr>
                <w:rStyle w:val="91"/>
                <w:rFonts w:hint="default"/>
                <w:lang w:bidi="ar"/>
              </w:rPr>
              <w:t>6、快速PDF：可快速将图片或多张图片转换或合并成PDF格式；</w:t>
            </w:r>
            <w:r>
              <w:rPr>
                <w:rStyle w:val="91"/>
                <w:rFonts w:hint="default"/>
                <w:lang w:bidi="ar"/>
              </w:rPr>
              <w:br w:type="textWrapping"/>
            </w:r>
            <w:r>
              <w:rPr>
                <w:rStyle w:val="91"/>
                <w:rFonts w:hint="default"/>
                <w:lang w:bidi="ar"/>
              </w:rPr>
              <w:t>7、框选OCR功能：支持快速框选图片，实现OCR的文字识别，并可以对文字进行复制、一键保存为word文档操作；</w:t>
            </w:r>
            <w:r>
              <w:rPr>
                <w:rStyle w:val="91"/>
                <w:rFonts w:hint="default"/>
                <w:lang w:bidi="ar"/>
              </w:rPr>
              <w:br w:type="textWrapping"/>
            </w:r>
            <w:r>
              <w:rPr>
                <w:rStyle w:val="91"/>
                <w:rFonts w:hint="default"/>
                <w:lang w:bidi="ar"/>
              </w:rPr>
              <w:t>8、智能搜索功能：可按图片内容识别搜索，对于扫描时间很长的图片，使用者可凭图片中的部分内容进行搜索原文件。</w:t>
            </w:r>
            <w:r>
              <w:rPr>
                <w:rStyle w:val="91"/>
                <w:rFonts w:hint="default"/>
                <w:lang w:bidi="ar"/>
              </w:rPr>
              <w:br w:type="textWrapping"/>
            </w:r>
            <w:r>
              <w:rPr>
                <w:rStyle w:val="92"/>
                <w:rFonts w:eastAsia="黑体"/>
                <w:lang w:bidi="ar"/>
              </w:rPr>
              <w:t>​</w:t>
            </w:r>
          </w:p>
        </w:tc>
      </w:tr>
      <w:tr w14:paraId="3BF9E047">
        <w:tblPrEx>
          <w:tblCellMar>
            <w:top w:w="0" w:type="dxa"/>
            <w:left w:w="108" w:type="dxa"/>
            <w:bottom w:w="0" w:type="dxa"/>
            <w:right w:w="108" w:type="dxa"/>
          </w:tblCellMar>
        </w:tblPrEx>
        <w:trPr>
          <w:trHeight w:val="1842"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5E3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79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91E4">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档案柜</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5E6EF">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0"/>
                <w:szCs w:val="20"/>
                <w:bdr w:val="single" w:color="000000" w:sz="4" w:space="0"/>
              </w:rPr>
              <w:drawing>
                <wp:anchor distT="0" distB="0" distL="114300" distR="114300" simplePos="0" relativeHeight="251738112" behindDoc="0" locked="0" layoutInCell="1" allowOverlap="1">
                  <wp:simplePos x="0" y="0"/>
                  <wp:positionH relativeFrom="column">
                    <wp:posOffset>596265</wp:posOffset>
                  </wp:positionH>
                  <wp:positionV relativeFrom="paragraph">
                    <wp:posOffset>133985</wp:posOffset>
                  </wp:positionV>
                  <wp:extent cx="556260" cy="939165"/>
                  <wp:effectExtent l="0" t="0" r="15240" b="13335"/>
                  <wp:wrapNone/>
                  <wp:docPr id="111" name="图片_38"/>
                  <wp:cNvGraphicFramePr/>
                  <a:graphic xmlns:a="http://schemas.openxmlformats.org/drawingml/2006/main">
                    <a:graphicData uri="http://schemas.openxmlformats.org/drawingml/2006/picture">
                      <pic:pic xmlns:pic="http://schemas.openxmlformats.org/drawingml/2006/picture">
                        <pic:nvPicPr>
                          <pic:cNvPr id="111" name="图片_38"/>
                          <pic:cNvPicPr/>
                        </pic:nvPicPr>
                        <pic:blipFill>
                          <a:blip r:embed="rId96"/>
                          <a:stretch>
                            <a:fillRect/>
                          </a:stretch>
                        </pic:blipFill>
                        <pic:spPr>
                          <a:xfrm>
                            <a:off x="0" y="0"/>
                            <a:ext cx="556260" cy="93916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7795">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800*400*1800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EDD1">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74F4">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876D">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板材采用环保优质E0级浸渍胶膜纸饰面刨花板，2mm厚PVC封边，优质五金配件。</w:t>
            </w:r>
          </w:p>
        </w:tc>
      </w:tr>
      <w:tr w14:paraId="3298AB56">
        <w:tblPrEx>
          <w:tblCellMar>
            <w:top w:w="0" w:type="dxa"/>
            <w:left w:w="108" w:type="dxa"/>
            <w:bottom w:w="0" w:type="dxa"/>
            <w:right w:w="108" w:type="dxa"/>
          </w:tblCellMar>
        </w:tblPrEx>
        <w:trPr>
          <w:trHeight w:val="199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D11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61A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心理健康自助管理系统V1.0</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F194">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2"/>
                <w:szCs w:val="22"/>
                <w:bdr w:val="single" w:color="000000" w:sz="4" w:space="0"/>
              </w:rPr>
              <w:drawing>
                <wp:anchor distT="0" distB="0" distL="114300" distR="114300" simplePos="0" relativeHeight="251739136" behindDoc="0" locked="0" layoutInCell="1" allowOverlap="1">
                  <wp:simplePos x="0" y="0"/>
                  <wp:positionH relativeFrom="column">
                    <wp:posOffset>290195</wp:posOffset>
                  </wp:positionH>
                  <wp:positionV relativeFrom="paragraph">
                    <wp:posOffset>1029335</wp:posOffset>
                  </wp:positionV>
                  <wp:extent cx="865505" cy="1061085"/>
                  <wp:effectExtent l="0" t="0" r="0" b="5715"/>
                  <wp:wrapNone/>
                  <wp:docPr id="112" name="图片_21"/>
                  <wp:cNvGraphicFramePr/>
                  <a:graphic xmlns:a="http://schemas.openxmlformats.org/drawingml/2006/main">
                    <a:graphicData uri="http://schemas.openxmlformats.org/drawingml/2006/picture">
                      <pic:pic xmlns:pic="http://schemas.openxmlformats.org/drawingml/2006/picture">
                        <pic:nvPicPr>
                          <pic:cNvPr id="112" name="图片_21"/>
                          <pic:cNvPicPr/>
                        </pic:nvPicPr>
                        <pic:blipFill>
                          <a:blip r:embed="rId97"/>
                          <a:stretch>
                            <a:fillRect/>
                          </a:stretch>
                        </pic:blipFill>
                        <pic:spPr>
                          <a:xfrm>
                            <a:off x="0" y="0"/>
                            <a:ext cx="865505" cy="106108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567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B7B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BB5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6DC08">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一、功能要求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1.系统基于Android语言开发，支持互联网上、局域网、单机使用，运行于局域网或互联网,支持远程管理。</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系统整体包含心理科普、心理悦读、心理影视、心理图库、能力训练、专业测试、趣味测试、心语心声、心理课堂、咨询辅导、放松减压、心理互动、机构介绍等不少于12大模块，各模块下支持无限添加二级栏目，文章无限扩充，支持视频，文章、图片、音频等格式上传。</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咨询辅导：包含经典案例、自助方案，咨询预约等功能，经典案例包含情绪调节、人际交往、学习问题、自我认识等4个方面；自助方案提供相应的自助式解答方案；咨询预约可查看心理咨询师的基本资料和个人简介，可预约心理咨询师，并描述个人想咨询的问题和联系方式，管理员可根据用户预约信息进行及时回复或者预约面谈咨询，并支持通过手机扫码实时对接心理综合测评管理系统的在线预约咨询。</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信息加工训练：其中包含汽车加工制造厂、快速邮递、速度匹配；信息加工训练是人体在环境内有效利用自身的感官，从外界获得不同的感觉信息输入大脑，大脑对输入信息进行加工处理并作出适应性反应的能力。</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空间认知训练：其中包含心理旋转、兔子吃萝卜、折叠箱、水吧服务生等空间构成中的形态认知与训练,揭示了立体形态的审美原理、构造原理,能帮助来访者建立抽象思维能力、创造性思维能力、空间思维能力。</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6.记忆力训练：前瞻记忆、寻找黑桃A、桌球记忆、藏宝阁、餐厅、看我72变、情绪记忆；记忆，是学习的重要环节，是巩固知识的重要手段。</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7.情绪调节训练：迁徒鸟、情绪消消乐；情绪调节能力形成的心理序列变化的历程与规律是遵循感知、觉察、理解、缺失感、对比、判断、探索、洞悉情境、领悟过程、熟练掌握策略、习得相关方法、内化吸收。</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8.放松协调训练：通过荷花冥想等释放压力、学会放松、松弛紧张的神经、恢复生活态度。</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9.注意力训练：其中有舒尔特方格、快乐跳舞毯、注意广度、注意分配、注意力及视觉反应训练、注意力及运动反应训练、注意力集中训练等，可以测量注意力水平和是否有注意力方面的困扰，评估注意力的各种细节能力。</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10.认知能力训练：猫抓老鼠、趣味图形、究极速算、认知能力训练等训练来访者成长中必须具备的最基本的判断能力、语言能力、注意力、思维能力、组合能力、想像能力、认知能力和认识数等，通过有趣的画面，鲜艳的色彩，生动活泼的文字描述，激发来访者的好奇心和求知欲，使来访者潜在智能得到最深度的开发和训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二、配置要求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1.屏幕尺寸：≥42英寸触摸屏，分辨率1920*1080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2.机身尺寸：≥1070mm×530mm×1200mm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3.操作系统：Android系统</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4.主机配置：≥3288主板，运存≥4g，内存≥32g</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5.机身外形：采用一级冷轧钢板，汽车烤漆，纳米技术，钢制机壳</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6.工作温度：-20℃～50℃，湿度10%～80%</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7.工作寿命：10年以上，单点使用寿命≥6000万次</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8.电源/电压：AC220V±10%50HZ±1HZ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9.功率：≤200W开机瞬间电流3A</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10.音响：双声道防磁立体声音响系统</w:t>
            </w:r>
          </w:p>
        </w:tc>
      </w:tr>
      <w:tr w14:paraId="4D599EBE">
        <w:tblPrEx>
          <w:tblCellMar>
            <w:top w:w="0" w:type="dxa"/>
            <w:left w:w="108" w:type="dxa"/>
            <w:bottom w:w="0" w:type="dxa"/>
            <w:right w:w="108" w:type="dxa"/>
          </w:tblCellMar>
        </w:tblPrEx>
        <w:trPr>
          <w:trHeight w:val="81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C8A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D5D69">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 xml:space="preserve"> 单人位沙发2个、茶几</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6C6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0"/>
                <w:szCs w:val="20"/>
                <w:bdr w:val="single" w:color="000000" w:sz="4" w:space="0"/>
              </w:rPr>
              <w:drawing>
                <wp:anchor distT="0" distB="0" distL="114300" distR="114300" simplePos="0" relativeHeight="251740160" behindDoc="0" locked="0" layoutInCell="1" allowOverlap="1">
                  <wp:simplePos x="0" y="0"/>
                  <wp:positionH relativeFrom="column">
                    <wp:posOffset>31750</wp:posOffset>
                  </wp:positionH>
                  <wp:positionV relativeFrom="paragraph">
                    <wp:posOffset>-101600</wp:posOffset>
                  </wp:positionV>
                  <wp:extent cx="1322070" cy="729615"/>
                  <wp:effectExtent l="0" t="0" r="11430" b="13335"/>
                  <wp:wrapNone/>
                  <wp:docPr id="113" name="图片_32"/>
                  <wp:cNvGraphicFramePr/>
                  <a:graphic xmlns:a="http://schemas.openxmlformats.org/drawingml/2006/main">
                    <a:graphicData uri="http://schemas.openxmlformats.org/drawingml/2006/picture">
                      <pic:pic xmlns:pic="http://schemas.openxmlformats.org/drawingml/2006/picture">
                        <pic:nvPicPr>
                          <pic:cNvPr id="113" name="图片_32"/>
                          <pic:cNvPicPr/>
                        </pic:nvPicPr>
                        <pic:blipFill>
                          <a:blip r:embed="rId98"/>
                          <a:stretch>
                            <a:fillRect/>
                          </a:stretch>
                        </pic:blipFill>
                        <pic:spPr>
                          <a:xfrm>
                            <a:off x="0" y="0"/>
                            <a:ext cx="1322070" cy="72961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427A">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2699">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934D">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8811">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布艺，高回弹海绵长度不小于100cm，坐深不小于90cm，茶几：木制结构，圆形，直接不小于40cm</w:t>
            </w:r>
          </w:p>
        </w:tc>
      </w:tr>
      <w:tr w14:paraId="42873A42">
        <w:tblPrEx>
          <w:tblCellMar>
            <w:top w:w="0" w:type="dxa"/>
            <w:left w:w="108" w:type="dxa"/>
            <w:bottom w:w="0" w:type="dxa"/>
            <w:right w:w="108" w:type="dxa"/>
          </w:tblCellMar>
        </w:tblPrEx>
        <w:trPr>
          <w:trHeight w:val="1558"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9D8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B61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饮水机</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5C7C">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bdr w:val="single" w:color="000000" w:sz="4" w:space="0"/>
              </w:rPr>
              <w:drawing>
                <wp:anchor distT="0" distB="0" distL="114300" distR="114300" simplePos="0" relativeHeight="251741184" behindDoc="0" locked="0" layoutInCell="1" allowOverlap="1">
                  <wp:simplePos x="0" y="0"/>
                  <wp:positionH relativeFrom="column">
                    <wp:posOffset>448310</wp:posOffset>
                  </wp:positionH>
                  <wp:positionV relativeFrom="paragraph">
                    <wp:posOffset>111125</wp:posOffset>
                  </wp:positionV>
                  <wp:extent cx="622935" cy="1109980"/>
                  <wp:effectExtent l="0" t="0" r="5715" b="13970"/>
                  <wp:wrapNone/>
                  <wp:docPr id="114" name="图片_36_SpCnt_1"/>
                  <wp:cNvGraphicFramePr/>
                  <a:graphic xmlns:a="http://schemas.openxmlformats.org/drawingml/2006/main">
                    <a:graphicData uri="http://schemas.openxmlformats.org/drawingml/2006/picture">
                      <pic:pic xmlns:pic="http://schemas.openxmlformats.org/drawingml/2006/picture">
                        <pic:nvPicPr>
                          <pic:cNvPr id="114" name="图片_36_SpCnt_1"/>
                          <pic:cNvPicPr/>
                        </pic:nvPicPr>
                        <pic:blipFill>
                          <a:blip r:embed="rId99"/>
                          <a:stretch>
                            <a:fillRect/>
                          </a:stretch>
                        </pic:blipFill>
                        <pic:spPr>
                          <a:xfrm>
                            <a:off x="0" y="0"/>
                            <a:ext cx="622935" cy="110998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259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359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7A6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73F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温热型，上进水，下层储物</w:t>
            </w:r>
          </w:p>
        </w:tc>
      </w:tr>
      <w:tr w14:paraId="2B906287">
        <w:tblPrEx>
          <w:tblCellMar>
            <w:top w:w="0" w:type="dxa"/>
            <w:left w:w="108" w:type="dxa"/>
            <w:bottom w:w="0" w:type="dxa"/>
            <w:right w:w="108" w:type="dxa"/>
          </w:tblCellMar>
        </w:tblPrEx>
        <w:trPr>
          <w:trHeight w:val="199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4C0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090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录音笔</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AC8C">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bdr w:val="single" w:color="000000" w:sz="4" w:space="0"/>
              </w:rPr>
              <w:drawing>
                <wp:anchor distT="0" distB="0" distL="114300" distR="114300" simplePos="0" relativeHeight="251742208" behindDoc="0" locked="0" layoutInCell="1" allowOverlap="1">
                  <wp:simplePos x="0" y="0"/>
                  <wp:positionH relativeFrom="column">
                    <wp:posOffset>93980</wp:posOffset>
                  </wp:positionH>
                  <wp:positionV relativeFrom="paragraph">
                    <wp:posOffset>36830</wp:posOffset>
                  </wp:positionV>
                  <wp:extent cx="1133475" cy="797560"/>
                  <wp:effectExtent l="0" t="0" r="9525" b="2540"/>
                  <wp:wrapNone/>
                  <wp:docPr id="115" name="图片_35"/>
                  <wp:cNvGraphicFramePr/>
                  <a:graphic xmlns:a="http://schemas.openxmlformats.org/drawingml/2006/main">
                    <a:graphicData uri="http://schemas.openxmlformats.org/drawingml/2006/picture">
                      <pic:pic xmlns:pic="http://schemas.openxmlformats.org/drawingml/2006/picture">
                        <pic:nvPicPr>
                          <pic:cNvPr id="115" name="图片_35"/>
                          <pic:cNvPicPr/>
                        </pic:nvPicPr>
                        <pic:blipFill>
                          <a:blip r:embed="rId100"/>
                          <a:stretch>
                            <a:fillRect/>
                          </a:stretch>
                        </pic:blipFill>
                        <pic:spPr>
                          <a:xfrm>
                            <a:off x="0" y="0"/>
                            <a:ext cx="1133475" cy="79756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4348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981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5E1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F2BF">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高保真录音，内存不小于8G</w:t>
            </w:r>
          </w:p>
        </w:tc>
      </w:tr>
      <w:tr w14:paraId="271B32B4">
        <w:tblPrEx>
          <w:tblCellMar>
            <w:top w:w="0" w:type="dxa"/>
            <w:left w:w="108" w:type="dxa"/>
            <w:bottom w:w="0" w:type="dxa"/>
            <w:right w:w="108" w:type="dxa"/>
          </w:tblCellMar>
        </w:tblPrEx>
        <w:trPr>
          <w:trHeight w:val="199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FC9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0F6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多维互动训练系统</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B1F8">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2"/>
                <w:szCs w:val="22"/>
                <w:bdr w:val="single" w:color="000000" w:sz="4" w:space="0"/>
              </w:rPr>
              <w:drawing>
                <wp:anchor distT="0" distB="0" distL="114300" distR="114300" simplePos="0" relativeHeight="251743232" behindDoc="0" locked="0" layoutInCell="1" allowOverlap="1">
                  <wp:simplePos x="0" y="0"/>
                  <wp:positionH relativeFrom="column">
                    <wp:posOffset>114300</wp:posOffset>
                  </wp:positionH>
                  <wp:positionV relativeFrom="paragraph">
                    <wp:posOffset>148590</wp:posOffset>
                  </wp:positionV>
                  <wp:extent cx="1282700" cy="723900"/>
                  <wp:effectExtent l="0" t="0" r="12700" b="0"/>
                  <wp:wrapNone/>
                  <wp:docPr id="116" name="图片_345"/>
                  <wp:cNvGraphicFramePr/>
                  <a:graphic xmlns:a="http://schemas.openxmlformats.org/drawingml/2006/main">
                    <a:graphicData uri="http://schemas.openxmlformats.org/drawingml/2006/picture">
                      <pic:pic xmlns:pic="http://schemas.openxmlformats.org/drawingml/2006/picture">
                        <pic:nvPicPr>
                          <pic:cNvPr id="116" name="图片_345"/>
                          <pic:cNvPicPr/>
                        </pic:nvPicPr>
                        <pic:blipFill>
                          <a:blip r:embed="rId101"/>
                          <a:stretch>
                            <a:fillRect/>
                          </a:stretch>
                        </pic:blipFill>
                        <pic:spPr>
                          <a:xfrm>
                            <a:off x="0" y="0"/>
                            <a:ext cx="1282700" cy="72390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6FB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520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17DA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50A6">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一、功能要求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1、系统主要包括训练中心，学习中心，报告中心，系统中心四个模块。</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2、系统借助安卓平台，可以实现更为便捷的携带和存放，在任意场合，任意地点，都可以任意使用。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用户通过标准训练范式快速掌握心理学研究的原理和方法，灵活变更训练参数和材料，丰富训练研究的手段和对象，对训练结果进行组间的统计分析，实现“范式学习-总结分析-应用研究-探索提升”的学习循环，从而大幅度提升训练教学的层次和目标。</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4、训练中心模块主要有：空间认知，逻辑思维训练，注意广度，数字记忆广度，工作记忆，反应时能力训练，决策能力，威斯康星卡片、眼动训练游戏测评模块。用户可通过对应的训练进行逻辑能力提升。</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5、空间认知包含三种难度的3D空间场景训练模式。</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6、工作记忆可以提供不少于15关记忆类模拟场景进行训练。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7、反应时能力训练可以提供不少于5种反应速度测试场景进行训练。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8、决策能力可以提供不少于15关模拟游戏进行训练。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9、眼动训练可以通过虚拟咨询师语音指导下，引导用户进行眼动脱敏训练。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二、配置要求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1、电容触摸平板1台：显示尺寸≥10英寸，分辨率≥1920×1200，运行内存≥4G，存储内存≥128G。</w:t>
            </w:r>
          </w:p>
        </w:tc>
      </w:tr>
      <w:tr w14:paraId="10DB6068">
        <w:tblPrEx>
          <w:tblCellMar>
            <w:top w:w="0" w:type="dxa"/>
            <w:left w:w="108" w:type="dxa"/>
            <w:bottom w:w="0" w:type="dxa"/>
            <w:right w:w="108" w:type="dxa"/>
          </w:tblCellMar>
        </w:tblPrEx>
        <w:trPr>
          <w:trHeight w:val="792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E712">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2EAA">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心理咨询沙发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165D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0"/>
                <w:szCs w:val="20"/>
                <w:bdr w:val="single" w:color="000000" w:sz="4" w:space="0"/>
              </w:rPr>
              <w:drawing>
                <wp:anchor distT="0" distB="0" distL="114300" distR="114300" simplePos="0" relativeHeight="251744256" behindDoc="0" locked="0" layoutInCell="1" allowOverlap="1">
                  <wp:simplePos x="0" y="0"/>
                  <wp:positionH relativeFrom="column">
                    <wp:posOffset>13970</wp:posOffset>
                  </wp:positionH>
                  <wp:positionV relativeFrom="paragraph">
                    <wp:posOffset>64770</wp:posOffset>
                  </wp:positionV>
                  <wp:extent cx="1305560" cy="720725"/>
                  <wp:effectExtent l="0" t="0" r="8890" b="3175"/>
                  <wp:wrapNone/>
                  <wp:docPr id="74" name="图片_27"/>
                  <wp:cNvGraphicFramePr/>
                  <a:graphic xmlns:a="http://schemas.openxmlformats.org/drawingml/2006/main">
                    <a:graphicData uri="http://schemas.openxmlformats.org/drawingml/2006/picture">
                      <pic:pic xmlns:pic="http://schemas.openxmlformats.org/drawingml/2006/picture">
                        <pic:nvPicPr>
                          <pic:cNvPr id="74" name="图片_27"/>
                          <pic:cNvPicPr/>
                        </pic:nvPicPr>
                        <pic:blipFill>
                          <a:blip r:embed="rId102"/>
                          <a:stretch>
                            <a:fillRect/>
                          </a:stretch>
                        </pic:blipFill>
                        <pic:spPr>
                          <a:xfrm>
                            <a:off x="0" y="0"/>
                            <a:ext cx="1305560" cy="7207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9DDE">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7D1B">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F3F1">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B512">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三人位,面料: 超柔绒布或科技布，，手感柔嫩细腻，光泽度好；防潮、防污易清洁；座垫采用全新45密度高回弹成型海绵，回弹性好，不易变形。加厚加宽实木架结构，经过防虫、防潮、防腐等化学处理、二次烘干蒸发处理；承重力强，含水率小于12%；弹簧扣精工制作。长度不小于180cm，坐深不小于90cm</w:t>
            </w:r>
          </w:p>
        </w:tc>
      </w:tr>
      <w:tr w14:paraId="059F69CB">
        <w:tblPrEx>
          <w:tblCellMar>
            <w:top w:w="0" w:type="dxa"/>
            <w:left w:w="108" w:type="dxa"/>
            <w:bottom w:w="0" w:type="dxa"/>
            <w:right w:w="108" w:type="dxa"/>
          </w:tblCellMar>
        </w:tblPrEx>
        <w:trPr>
          <w:trHeight w:val="199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99D0">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86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6CDF">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沙盘套装-标准版</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2EE3">
            <w:pPr>
              <w:widowControl/>
              <w:jc w:val="left"/>
              <w:textAlignment w:val="center"/>
              <w:rPr>
                <w:rFonts w:ascii="宋体" w:hAnsi="宋体" w:eastAsia="宋体" w:cs="宋体"/>
                <w:color w:val="FF0000"/>
                <w:sz w:val="20"/>
                <w:szCs w:val="20"/>
              </w:rPr>
            </w:pPr>
            <w:r>
              <w:rPr>
                <w:rFonts w:hint="eastAsia" w:ascii="黑体" w:hAnsi="宋体" w:eastAsia="黑体" w:cs="黑体"/>
                <w:b/>
                <w:bCs/>
                <w:color w:val="000000"/>
                <w:kern w:val="0"/>
                <w:sz w:val="20"/>
                <w:szCs w:val="20"/>
                <w:bdr w:val="single" w:color="000000" w:sz="4" w:space="0"/>
              </w:rPr>
              <w:drawing>
                <wp:anchor distT="0" distB="0" distL="114300" distR="114300" simplePos="0" relativeHeight="251745280" behindDoc="0" locked="0" layoutInCell="1" allowOverlap="1">
                  <wp:simplePos x="0" y="0"/>
                  <wp:positionH relativeFrom="column">
                    <wp:posOffset>57785</wp:posOffset>
                  </wp:positionH>
                  <wp:positionV relativeFrom="paragraph">
                    <wp:posOffset>167640</wp:posOffset>
                  </wp:positionV>
                  <wp:extent cx="1365250" cy="1219200"/>
                  <wp:effectExtent l="0" t="0" r="6350" b="0"/>
                  <wp:wrapNone/>
                  <wp:docPr id="77" name="图片_50"/>
                  <wp:cNvGraphicFramePr/>
                  <a:graphic xmlns:a="http://schemas.openxmlformats.org/drawingml/2006/main">
                    <a:graphicData uri="http://schemas.openxmlformats.org/drawingml/2006/picture">
                      <pic:pic xmlns:pic="http://schemas.openxmlformats.org/drawingml/2006/picture">
                        <pic:nvPicPr>
                          <pic:cNvPr id="77" name="图片_50"/>
                          <pic:cNvPicPr/>
                        </pic:nvPicPr>
                        <pic:blipFill>
                          <a:blip r:embed="rId103"/>
                          <a:stretch>
                            <a:fillRect/>
                          </a:stretch>
                        </pic:blipFill>
                        <pic:spPr>
                          <a:xfrm>
                            <a:off x="0" y="0"/>
                            <a:ext cx="1365250" cy="121920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A2D0">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7F17">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FCCB">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F9BD">
            <w:pPr>
              <w:widowControl/>
              <w:jc w:val="left"/>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一、功能要求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标准沙盘：实木材质内侧尺寸为720mm×570mm×70mm，边厚17mm，沙盘架尺寸不小于长660×530×600mm,全实木材质，内侧海蓝色设计，表面光滑不伤手，耐磨不掉色；底部安装防滑处理，在动沙过程中沙箱在桌面不会移动,用于个体和团体治疗的国际标准沙箱，上下分体式安装，便于移动和搬运。</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2、沙具摆放柜：实木材质，尺寸为1600×1200×300mm，5层9阶设计（充分满足不同类别玩具按不同阶层分类摆放，便于来访者清晰地看到全部沙具），结构稳定大方、天然木纹色、外观考究（表面清漆涂层）。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沙具国际标准分类，分大类和次类别。包括人物、动物、植物、建筑物、食品果实、家具生活用品、交通工具、宇宙天体、自然景观、宗教等18大类及若干次类别。通过次类别的划分面向不同群体的应用需求。通过次类别的划分面向不同群体的应用需求。材质为树脂、陶瓷、ABS工程塑料。玩具或物品接近于现实之物。</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4、海沙：天然海沙。</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5、书籍：专业心理沙盘游戏指导</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6、工具：沙盘、刮沙板等</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二、配置要求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1、标准沙盘*1套</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2、沙具摆放柜*2个</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3、沙具*1200个</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4、海沙*15KG</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5、心理沙盘书籍疗*1本</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6、沙盘教辅工具*1套</w:t>
            </w:r>
          </w:p>
        </w:tc>
      </w:tr>
      <w:tr w14:paraId="1B5AA13C">
        <w:tblPrEx>
          <w:tblCellMar>
            <w:top w:w="0" w:type="dxa"/>
            <w:left w:w="108" w:type="dxa"/>
            <w:bottom w:w="0" w:type="dxa"/>
            <w:right w:w="108" w:type="dxa"/>
          </w:tblCellMar>
        </w:tblPrEx>
        <w:trPr>
          <w:trHeight w:val="216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804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87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2BBA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沙盘小座椅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1FF5">
            <w:pPr>
              <w:widowControl/>
              <w:jc w:val="left"/>
              <w:textAlignment w:val="center"/>
              <w:rPr>
                <w:rFonts w:ascii="宋体" w:hAnsi="宋体" w:eastAsia="宋体" w:cs="宋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46304" behindDoc="0" locked="0" layoutInCell="1" allowOverlap="1">
                  <wp:simplePos x="0" y="0"/>
                  <wp:positionH relativeFrom="column">
                    <wp:posOffset>362585</wp:posOffset>
                  </wp:positionH>
                  <wp:positionV relativeFrom="paragraph">
                    <wp:posOffset>45085</wp:posOffset>
                  </wp:positionV>
                  <wp:extent cx="996315" cy="1063625"/>
                  <wp:effectExtent l="0" t="0" r="13335" b="3175"/>
                  <wp:wrapNone/>
                  <wp:docPr id="81" name="图片_46"/>
                  <wp:cNvGraphicFramePr/>
                  <a:graphic xmlns:a="http://schemas.openxmlformats.org/drawingml/2006/main">
                    <a:graphicData uri="http://schemas.openxmlformats.org/drawingml/2006/picture">
                      <pic:pic xmlns:pic="http://schemas.openxmlformats.org/drawingml/2006/picture">
                        <pic:nvPicPr>
                          <pic:cNvPr id="81" name="图片_46"/>
                          <pic:cNvPicPr/>
                        </pic:nvPicPr>
                        <pic:blipFill>
                          <a:blip r:embed="rId104"/>
                          <a:stretch>
                            <a:fillRect/>
                          </a:stretch>
                        </pic:blipFill>
                        <pic:spPr>
                          <a:xfrm>
                            <a:off x="0" y="0"/>
                            <a:ext cx="996315" cy="106362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3C3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6F38">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4</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70B5">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FCB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可移动，旋转</w:t>
            </w:r>
          </w:p>
        </w:tc>
      </w:tr>
      <w:tr w14:paraId="1C7124E3">
        <w:tblPrEx>
          <w:tblCellMar>
            <w:top w:w="0" w:type="dxa"/>
            <w:left w:w="108" w:type="dxa"/>
            <w:bottom w:w="0" w:type="dxa"/>
            <w:right w:w="108" w:type="dxa"/>
          </w:tblCellMar>
        </w:tblPrEx>
        <w:trPr>
          <w:trHeight w:val="81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50C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sz w:val="20"/>
                <w:szCs w:val="20"/>
              </w:rPr>
              <w:t>88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F3D1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智能身心减压调养舱</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B263">
            <w:pPr>
              <w:widowControl/>
              <w:jc w:val="left"/>
              <w:textAlignment w:val="center"/>
              <w:rPr>
                <w:rFonts w:ascii="黑体" w:hAnsi="宋体" w:eastAsia="黑体" w:cs="黑体"/>
                <w:b/>
                <w:bCs/>
                <w:color w:val="000000"/>
                <w:sz w:val="20"/>
                <w:szCs w:val="20"/>
              </w:rPr>
            </w:pPr>
            <w:r>
              <w:rPr>
                <w:rFonts w:hint="eastAsia" w:ascii="黑体" w:hAnsi="宋体" w:eastAsia="黑体" w:cs="黑体"/>
                <w:color w:val="000000"/>
                <w:kern w:val="0"/>
                <w:sz w:val="22"/>
                <w:szCs w:val="22"/>
                <w:bdr w:val="single" w:color="000000" w:sz="4" w:space="0"/>
              </w:rPr>
              <w:drawing>
                <wp:anchor distT="0" distB="0" distL="114300" distR="114300" simplePos="0" relativeHeight="251747328" behindDoc="0" locked="0" layoutInCell="1" allowOverlap="1">
                  <wp:simplePos x="0" y="0"/>
                  <wp:positionH relativeFrom="column">
                    <wp:posOffset>-6350</wp:posOffset>
                  </wp:positionH>
                  <wp:positionV relativeFrom="paragraph">
                    <wp:posOffset>-55245</wp:posOffset>
                  </wp:positionV>
                  <wp:extent cx="1212215" cy="1021715"/>
                  <wp:effectExtent l="0" t="0" r="6985" b="6985"/>
                  <wp:wrapNone/>
                  <wp:docPr id="83" name="图片_23"/>
                  <wp:cNvGraphicFramePr/>
                  <a:graphic xmlns:a="http://schemas.openxmlformats.org/drawingml/2006/main">
                    <a:graphicData uri="http://schemas.openxmlformats.org/drawingml/2006/picture">
                      <pic:pic xmlns:pic="http://schemas.openxmlformats.org/drawingml/2006/picture">
                        <pic:nvPicPr>
                          <pic:cNvPr id="83" name="图片_23"/>
                          <pic:cNvPicPr/>
                        </pic:nvPicPr>
                        <pic:blipFill>
                          <a:blip r:embed="rId105"/>
                          <a:stretch>
                            <a:fillRect/>
                          </a:stretch>
                        </pic:blipFill>
                        <pic:spPr>
                          <a:xfrm>
                            <a:off x="0" y="0"/>
                            <a:ext cx="1212215" cy="102171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39DC">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3BA8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4F10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8E35">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一、产品功能：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1、系统支持无需输入用户名与密码下快速更换登录用户。</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2、系统侧边栏可展开或隐藏，侧边栏中的按键能对调养舱所有功能实现控制，包括头罩姿态控制、靠背姿态控制、加热开关、足疗开关等，软硬件一体化操作，方便高效。</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3、身心检测功能具有精确的脉搏数据检测，快速准确地评估身心健康状况并给出评价建议；</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系统包含：呼吸训练、精力恢复、消除焦虑、激发活力、催眠释压、深度减压、身心合一、自主调养、健康检测等模块。健康检测时实时展示脉搏波。调养项目可自由选择男、女声引导语，针对不同环境、不同场合下的放松需求，在引导语、脑波背景音乐、脑波牵引灯的共同作用下，实现减压的效果。</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健康检测：通过脉搏采集器三分钟(通过设置中心设定)快速展示测试者的心率、稳定指数、抗压能力和自主神经等数值，脉搏波波形图及HRV折线图在测试过程中会展示实时数据及动态图表。在系统正常连接硬件情况下，点击开始，即可进行正式的生理数据采集，并进行实时保存。</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检测报告：通过检测时间查询检测报告列表，查看检测报告详情，包含用户基本信息（用户名、性别、年龄等信息），检测日期、训练时长、平均心率、检测指标（包括间期均值、相邻RR间期差的均方根、间期变异系数、相邻RR间期差的标准差、间期标准差、PNN50、间期极差、PNN50%、RR间期图等）、精神压力、自主神经、检测参数评价与建议（对精神压力指数的评价与建议）。长按可以删除。检测报告可以导出PDF文件</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7、图表管理：管理员可通过用户名检索某用户的图表，也可查看全部。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8、调养中心：每个训练模块均可设置引导语、男声、女声引导语选择。训练项目内显示同步实时心率与专注意数值。</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9、红外热疗：皮垫下内置红外热疗发生装置，人性化设计，温暖舒适利于身心放松，同时可促进血液循环和微循环。</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10、智能联动：调养中心每个子项目针对太空舱按摩程序、脑波灯牵引程序均需实现科学封装，在软件系统中一键进入任一调养项目，太空舱随即联动动作，自动展开姿态调整、音乐播放、脑波牵引等工作。</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二、产品配置：</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1、流线型电动抗干扰头罩，可任意调整闭合角度，最大角度下基本与外界环境全隔离，营造良好、客观、安静的放松氛围。</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2、脑波灯单元：实现1Hz至14Hz闪烁频率，并能调整亮度，可进行δ、θ、α、β脑波牵引。</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3、音乐单元：肩部内置两个全频高保真喇叭。</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4、体感单元：臀部内置不小于25W次声体感振动器。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5、按摩单元：按摩气囊覆盖小腿两侧及脚面周边，足底可进行滚轮刮痧按摩，针对足底穴位进行有效地放松，腰背设置红外加热功能。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6、采用高品质超纤皮包覆，与肌肤接触舒适。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7、触控训练器*1台，≥10.1寸，可控制舱身及各功能选项。</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8、生物传感器一套。"</w:t>
            </w:r>
          </w:p>
        </w:tc>
      </w:tr>
      <w:tr w14:paraId="4AF51B44">
        <w:tblPrEx>
          <w:tblCellMar>
            <w:top w:w="0" w:type="dxa"/>
            <w:left w:w="108" w:type="dxa"/>
            <w:bottom w:w="0" w:type="dxa"/>
            <w:right w:w="108" w:type="dxa"/>
          </w:tblCellMar>
        </w:tblPrEx>
        <w:trPr>
          <w:trHeight w:val="187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9957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sz w:val="20"/>
                <w:szCs w:val="20"/>
              </w:rPr>
              <w:t>89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60F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VR智慧心理舱</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D26D3">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bdr w:val="single" w:color="000000" w:sz="4" w:space="0"/>
              </w:rPr>
              <w:drawing>
                <wp:anchor distT="0" distB="0" distL="114300" distR="114300" simplePos="0" relativeHeight="251748352" behindDoc="0" locked="0" layoutInCell="1" allowOverlap="1">
                  <wp:simplePos x="0" y="0"/>
                  <wp:positionH relativeFrom="column">
                    <wp:posOffset>106680</wp:posOffset>
                  </wp:positionH>
                  <wp:positionV relativeFrom="paragraph">
                    <wp:posOffset>-31115</wp:posOffset>
                  </wp:positionV>
                  <wp:extent cx="1266190" cy="990600"/>
                  <wp:effectExtent l="0" t="0" r="10160" b="0"/>
                  <wp:wrapNone/>
                  <wp:docPr id="174" name="图片_3_SpCnt_1"/>
                  <wp:cNvGraphicFramePr/>
                  <a:graphic xmlns:a="http://schemas.openxmlformats.org/drawingml/2006/main">
                    <a:graphicData uri="http://schemas.openxmlformats.org/drawingml/2006/picture">
                      <pic:pic xmlns:pic="http://schemas.openxmlformats.org/drawingml/2006/picture">
                        <pic:nvPicPr>
                          <pic:cNvPr id="174" name="图片_3_SpCnt_1"/>
                          <pic:cNvPicPr/>
                        </pic:nvPicPr>
                        <pic:blipFill>
                          <a:blip r:embed="rId106"/>
                          <a:stretch>
                            <a:fillRect/>
                          </a:stretch>
                        </pic:blipFill>
                        <pic:spPr>
                          <a:xfrm>
                            <a:off x="0" y="0"/>
                            <a:ext cx="1266190" cy="99060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B1C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C26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D1C0">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776F">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一、功能简介</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1、软件包含心理健康系列课程、心理脱敏、职业体验、职场减压、心理宣泄、心理放松6大模块。</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2、心理健康系列课程分为心理检测、防社交恐惧、预防游戏沉迷、心理知识学习等4项功能。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3、心理脱敏分为社交恐惧症、幽闭恐惧症、恐高症治疗、焦虑症、心理自我检测等5项功能。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4、职业体验分为人民教师、科学家、人民警察、医生等4种角色体验。</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5、职场减压分为职场压力自我检测、职场压力缓解放松、职场心理压力原因、职场心理减压方式等4项功能。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6、心理宣泄分为知识科普、极速飞车、打靶宣泄、打地鼠等4项功能。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7、心理放松分为心理压力测试、休闲体验、音乐室、想象放松、肌肉放松等5项功能。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二、配置要求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1.便携式VR眼镜*1台，双眼分辨率：3664*1920，RAM≥4GB,ROM≥32GB。</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2.沉浸式旋转座舱*1台。</w:t>
            </w:r>
          </w:p>
        </w:tc>
      </w:tr>
      <w:tr w14:paraId="5178BCB7">
        <w:tblPrEx>
          <w:tblCellMar>
            <w:top w:w="0" w:type="dxa"/>
            <w:left w:w="108" w:type="dxa"/>
            <w:bottom w:w="0" w:type="dxa"/>
            <w:right w:w="108" w:type="dxa"/>
          </w:tblCellMar>
        </w:tblPrEx>
        <w:trPr>
          <w:trHeight w:val="81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933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ED21">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生物反馈型放松椅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68502">
            <w:pPr>
              <w:widowControl/>
              <w:jc w:val="left"/>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bdr w:val="single" w:color="000000" w:sz="4" w:space="0"/>
              </w:rPr>
              <w:drawing>
                <wp:anchor distT="0" distB="0" distL="114300" distR="114300" simplePos="0" relativeHeight="251749376" behindDoc="0" locked="0" layoutInCell="1" allowOverlap="1">
                  <wp:simplePos x="0" y="0"/>
                  <wp:positionH relativeFrom="column">
                    <wp:posOffset>-1270</wp:posOffset>
                  </wp:positionH>
                  <wp:positionV relativeFrom="paragraph">
                    <wp:posOffset>279400</wp:posOffset>
                  </wp:positionV>
                  <wp:extent cx="1363980" cy="1214120"/>
                  <wp:effectExtent l="0" t="0" r="7620" b="5080"/>
                  <wp:wrapNone/>
                  <wp:docPr id="175" name="图片_47"/>
                  <wp:cNvGraphicFramePr/>
                  <a:graphic xmlns:a="http://schemas.openxmlformats.org/drawingml/2006/main">
                    <a:graphicData uri="http://schemas.openxmlformats.org/drawingml/2006/picture">
                      <pic:pic xmlns:pic="http://schemas.openxmlformats.org/drawingml/2006/picture">
                        <pic:nvPicPr>
                          <pic:cNvPr id="175" name="图片_47"/>
                          <pic:cNvPicPr/>
                        </pic:nvPicPr>
                        <pic:blipFill>
                          <a:blip r:embed="rId107"/>
                          <a:stretch>
                            <a:fillRect/>
                          </a:stretch>
                        </pic:blipFill>
                        <pic:spPr>
                          <a:xfrm>
                            <a:off x="0" y="0"/>
                            <a:ext cx="1363980" cy="121412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6E4D">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7A08">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EAFB">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24400">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一 、功能要求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1.系统分为管理员和测试用户两种角色，用户主要拥有设置、健康检测、调养中心、检测报告四大功能模块。管理员还可以进行用户管理。</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2.用户管理可通过登录账号检索，并可查看、编辑用户信息，添加用户，删除用户及信息（包含用户名、性别、年龄、真实姓名、检测报告的用户数据管理）。</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详细的检测报告包含测试用户的用户名、性别等个人信息、训练日期、训练时间、训练时长、平均心率；间期均值、相邻RR间期差的均方根、间期变异系数、相邻RR间期差的标准差、间期标准差、PNN50、间期极差、PNN50%、RR间期图等实时检测信息；RR间期直方图、RR间期散点图和平衡图三种图形指标；疲劳指数、压力指数、情绪指数、稳定指数4种精神压力条形图表；对于检测参数的评价与建议。方便用户了解个人生理状态，便于及时调养。</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4.检测报告可导出PDF到安卓设备。</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调养中心：包含高效放松：荷花绽放、孔雀开屏、沙漠绿洲、菩提生长；呼吸训练：实物辅助训练和鼻腔呼吸训练；音乐调适：身心放松音乐；减压调养：肌肉放松、想象放松、精力恢复、消除焦虑、深度减压、催眠释压和身心合一。</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二、配置要求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1.真皮放松椅*1台</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2.尺寸：≥1000mm*900mm*1000mm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2.控制系统：放松椅靠背、腿部联动电机控制，靠背100度-160度，  腿部90度-180度任意调节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3.音乐单元：肩部内置两个3W全频高保真喇叭</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4.体感单元：背部与座部分别内置6个低频15W体感振动单元</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5.面料：接触面高品质头层小牛皮包覆，与肌肤接触更为舒适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6.填充：高回弹海绵</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7.框架：合金架+木质</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8.训练仪：10英寸，处理器≥10核，分辩率1920*1080，运行内存≥4G，储存≥64G，传感采集器一套</w:t>
            </w:r>
          </w:p>
        </w:tc>
      </w:tr>
      <w:tr w14:paraId="053BDA3B">
        <w:tblPrEx>
          <w:tblCellMar>
            <w:top w:w="0" w:type="dxa"/>
            <w:left w:w="108" w:type="dxa"/>
            <w:bottom w:w="0" w:type="dxa"/>
            <w:right w:w="108" w:type="dxa"/>
          </w:tblCellMar>
        </w:tblPrEx>
        <w:trPr>
          <w:trHeight w:val="1721"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97A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8BFC">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宣泄套装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E252">
            <w:pPr>
              <w:widowControl/>
              <w:jc w:val="left"/>
              <w:textAlignment w:val="center"/>
              <w:rPr>
                <w:rFonts w:ascii="黑体" w:hAnsi="宋体" w:eastAsia="黑体" w:cs="黑体"/>
                <w:color w:val="000000"/>
                <w:sz w:val="22"/>
                <w:szCs w:val="22"/>
              </w:rPr>
            </w:pPr>
            <w:r>
              <w:rPr>
                <w:rFonts w:hint="eastAsia" w:ascii="宋体" w:hAnsi="宋体" w:eastAsia="宋体" w:cs="宋体"/>
                <w:color w:val="000000"/>
                <w:kern w:val="0"/>
                <w:sz w:val="20"/>
                <w:szCs w:val="20"/>
                <w:bdr w:val="single" w:color="000000" w:sz="4" w:space="0"/>
              </w:rPr>
              <w:drawing>
                <wp:anchor distT="0" distB="0" distL="114300" distR="114300" simplePos="0" relativeHeight="251750400" behindDoc="0" locked="0" layoutInCell="1" allowOverlap="1">
                  <wp:simplePos x="0" y="0"/>
                  <wp:positionH relativeFrom="column">
                    <wp:posOffset>198755</wp:posOffset>
                  </wp:positionH>
                  <wp:positionV relativeFrom="paragraph">
                    <wp:posOffset>113030</wp:posOffset>
                  </wp:positionV>
                  <wp:extent cx="1173480" cy="992505"/>
                  <wp:effectExtent l="0" t="0" r="7620" b="17145"/>
                  <wp:wrapNone/>
                  <wp:docPr id="176" name="图片_57"/>
                  <wp:cNvGraphicFramePr/>
                  <a:graphic xmlns:a="http://schemas.openxmlformats.org/drawingml/2006/main">
                    <a:graphicData uri="http://schemas.openxmlformats.org/drawingml/2006/picture">
                      <pic:pic xmlns:pic="http://schemas.openxmlformats.org/drawingml/2006/picture">
                        <pic:nvPicPr>
                          <pic:cNvPr id="176" name="图片_57"/>
                          <pic:cNvPicPr/>
                        </pic:nvPicPr>
                        <pic:blipFill>
                          <a:blip r:embed="rId108"/>
                          <a:stretch>
                            <a:fillRect/>
                          </a:stretch>
                        </pic:blipFill>
                        <pic:spPr>
                          <a:xfrm>
                            <a:off x="0" y="0"/>
                            <a:ext cx="1173480" cy="99250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3204">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297F">
            <w:pPr>
              <w:widowControl/>
              <w:jc w:val="center"/>
              <w:textAlignment w:val="center"/>
              <w:rPr>
                <w:rFonts w:ascii="黑体" w:hAnsi="宋体" w:eastAsia="黑体" w:cs="黑体"/>
                <w:color w:val="000000"/>
                <w:sz w:val="24"/>
              </w:rPr>
            </w:pPr>
            <w:r>
              <w:rPr>
                <w:rFonts w:hint="eastAsia" w:ascii="仿宋_GB2312" w:hAnsi="宋体" w:eastAsia="仿宋_GB2312" w:cs="仿宋_GB2312"/>
                <w:color w:val="000000"/>
                <w:kern w:val="0"/>
                <w:sz w:val="20"/>
                <w:szCs w:val="20"/>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B2F24">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031FF">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宣泄套件包括橡胶宣泄人1个，宣泄沙袋1个，宣泄球1个，宣泄棒4个，宣泄手套一副。</w:t>
            </w:r>
          </w:p>
        </w:tc>
      </w:tr>
      <w:tr w14:paraId="63AD4353">
        <w:tblPrEx>
          <w:tblCellMar>
            <w:top w:w="0" w:type="dxa"/>
            <w:left w:w="108" w:type="dxa"/>
            <w:bottom w:w="0" w:type="dxa"/>
            <w:right w:w="108" w:type="dxa"/>
          </w:tblCellMar>
        </w:tblPrEx>
        <w:trPr>
          <w:trHeight w:val="2564"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313D">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7B54F">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智能运动减压训练仪</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3575D">
            <w:pPr>
              <w:widowControl/>
              <w:jc w:val="left"/>
              <w:textAlignment w:val="center"/>
              <w:rPr>
                <w:rFonts w:ascii="黑体" w:hAnsi="宋体" w:eastAsia="黑体" w:cs="黑体"/>
                <w:color w:val="000000"/>
                <w:sz w:val="20"/>
                <w:szCs w:val="20"/>
              </w:rPr>
            </w:pPr>
            <w:r>
              <w:rPr>
                <w:rFonts w:hint="eastAsia" w:ascii="宋体" w:hAnsi="宋体" w:eastAsia="宋体" w:cs="宋体"/>
                <w:color w:val="000000"/>
                <w:kern w:val="0"/>
                <w:sz w:val="22"/>
                <w:szCs w:val="22"/>
                <w:bdr w:val="single" w:color="000000" w:sz="4" w:space="0"/>
              </w:rPr>
              <w:drawing>
                <wp:anchor distT="0" distB="0" distL="114300" distR="114300" simplePos="0" relativeHeight="251751424" behindDoc="0" locked="0" layoutInCell="1" allowOverlap="1">
                  <wp:simplePos x="0" y="0"/>
                  <wp:positionH relativeFrom="column">
                    <wp:posOffset>201930</wp:posOffset>
                  </wp:positionH>
                  <wp:positionV relativeFrom="paragraph">
                    <wp:posOffset>118110</wp:posOffset>
                  </wp:positionV>
                  <wp:extent cx="1228725" cy="1238885"/>
                  <wp:effectExtent l="0" t="0" r="9525" b="18415"/>
                  <wp:wrapNone/>
                  <wp:docPr id="177" name="图片_31"/>
                  <wp:cNvGraphicFramePr/>
                  <a:graphic xmlns:a="http://schemas.openxmlformats.org/drawingml/2006/main">
                    <a:graphicData uri="http://schemas.openxmlformats.org/drawingml/2006/picture">
                      <pic:pic xmlns:pic="http://schemas.openxmlformats.org/drawingml/2006/picture">
                        <pic:nvPicPr>
                          <pic:cNvPr id="177" name="图片_31"/>
                          <pic:cNvPicPr/>
                        </pic:nvPicPr>
                        <pic:blipFill>
                          <a:blip r:embed="rId109"/>
                          <a:stretch>
                            <a:fillRect/>
                          </a:stretch>
                        </pic:blipFill>
                        <pic:spPr>
                          <a:xfrm>
                            <a:off x="0" y="0"/>
                            <a:ext cx="1228725" cy="123888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AA4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标准</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F7F9">
            <w:pPr>
              <w:widowControl/>
              <w:jc w:val="center"/>
              <w:textAlignment w:val="center"/>
              <w:rPr>
                <w:rFonts w:ascii="黑体" w:hAnsi="宋体" w:eastAsia="黑体" w:cs="黑体"/>
                <w:color w:val="000000"/>
                <w:sz w:val="20"/>
                <w:szCs w:val="20"/>
              </w:rPr>
            </w:pPr>
            <w:r>
              <w:rPr>
                <w:rFonts w:hint="eastAsia" w:ascii="仿宋_GB2312" w:hAnsi="宋体" w:eastAsia="仿宋_GB2312" w:cs="仿宋_GB2312"/>
                <w:color w:val="000000"/>
                <w:kern w:val="0"/>
                <w:sz w:val="24"/>
                <w:lang w:bidi="ar"/>
              </w:rPr>
              <w:t>1</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453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4"/>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3762F">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2"/>
                <w:szCs w:val="22"/>
                <w:lang w:bidi="ar"/>
              </w:rPr>
              <w:t>一 、功能要求</w:t>
            </w:r>
            <w:r>
              <w:rPr>
                <w:rFonts w:hint="eastAsia" w:ascii="黑体" w:hAnsi="宋体" w:eastAsia="黑体" w:cs="黑体"/>
                <w:color w:val="000000"/>
                <w:kern w:val="0"/>
                <w:sz w:val="22"/>
                <w:szCs w:val="22"/>
                <w:lang w:bidi="ar"/>
              </w:rPr>
              <w:br w:type="textWrapping"/>
            </w:r>
            <w:r>
              <w:rPr>
                <w:rFonts w:hint="eastAsia" w:ascii="黑体" w:hAnsi="宋体" w:eastAsia="黑体" w:cs="黑体"/>
                <w:color w:val="000000"/>
                <w:kern w:val="0"/>
                <w:sz w:val="22"/>
                <w:szCs w:val="22"/>
                <w:lang w:bidi="ar"/>
              </w:rPr>
              <w:t>1.操作台四色按键控制系统，四色按键分别是向左向右返回确定。当返回至个人主页或需要退出系统时，鼠标可控制系统。</w:t>
            </w:r>
            <w:r>
              <w:rPr>
                <w:rFonts w:hint="eastAsia" w:ascii="黑体" w:hAnsi="宋体" w:eastAsia="黑体" w:cs="黑体"/>
                <w:color w:val="000000"/>
                <w:kern w:val="0"/>
                <w:sz w:val="22"/>
                <w:szCs w:val="22"/>
                <w:lang w:bidi="ar"/>
              </w:rPr>
              <w:br w:type="textWrapping"/>
            </w:r>
            <w:r>
              <w:rPr>
                <w:rFonts w:hint="eastAsia" w:ascii="黑体" w:hAnsi="宋体" w:eastAsia="黑体" w:cs="黑体"/>
                <w:color w:val="000000"/>
                <w:kern w:val="0"/>
                <w:sz w:val="22"/>
                <w:szCs w:val="22"/>
                <w:lang w:bidi="ar"/>
              </w:rPr>
              <w:t>2.单车运动训练区可监测心率等身体运动指标。</w:t>
            </w:r>
            <w:r>
              <w:rPr>
                <w:rFonts w:hint="eastAsia" w:ascii="黑体" w:hAnsi="宋体" w:eastAsia="黑体" w:cs="黑体"/>
                <w:color w:val="000000"/>
                <w:kern w:val="0"/>
                <w:sz w:val="22"/>
                <w:szCs w:val="22"/>
                <w:lang w:bidi="ar"/>
              </w:rPr>
              <w:br w:type="textWrapping"/>
            </w:r>
            <w:r>
              <w:rPr>
                <w:rFonts w:hint="eastAsia" w:ascii="黑体" w:hAnsi="宋体" w:eastAsia="黑体" w:cs="黑体"/>
                <w:color w:val="000000"/>
                <w:kern w:val="0"/>
                <w:sz w:val="22"/>
                <w:szCs w:val="22"/>
                <w:lang w:bidi="ar"/>
              </w:rPr>
              <w:t>3.运动单车可进行独立比较自由的训练，不受软件系统干扰。</w:t>
            </w:r>
            <w:r>
              <w:rPr>
                <w:rFonts w:hint="eastAsia" w:ascii="黑体" w:hAnsi="宋体" w:eastAsia="黑体" w:cs="黑体"/>
                <w:color w:val="000000"/>
                <w:kern w:val="0"/>
                <w:sz w:val="22"/>
                <w:szCs w:val="22"/>
                <w:lang w:bidi="ar"/>
              </w:rPr>
              <w:br w:type="textWrapping"/>
            </w:r>
            <w:r>
              <w:rPr>
                <w:rFonts w:hint="eastAsia" w:ascii="黑体" w:hAnsi="宋体" w:eastAsia="黑体" w:cs="黑体"/>
                <w:color w:val="000000"/>
                <w:kern w:val="0"/>
                <w:sz w:val="22"/>
                <w:szCs w:val="22"/>
                <w:lang w:bidi="ar"/>
              </w:rPr>
              <w:t>4.运动减压区：跑跑乐、城市漫游、越野竞技、障碍酷跑、骑行探险、太空漫步。</w:t>
            </w:r>
            <w:r>
              <w:rPr>
                <w:rFonts w:hint="eastAsia" w:ascii="黑体" w:hAnsi="宋体" w:eastAsia="黑体" w:cs="黑体"/>
                <w:color w:val="000000"/>
                <w:kern w:val="0"/>
                <w:sz w:val="22"/>
                <w:szCs w:val="22"/>
                <w:lang w:bidi="ar"/>
              </w:rPr>
              <w:br w:type="textWrapping"/>
            </w:r>
            <w:r>
              <w:rPr>
                <w:rFonts w:hint="eastAsia" w:ascii="黑体" w:hAnsi="宋体" w:eastAsia="黑体" w:cs="黑体"/>
                <w:color w:val="000000"/>
                <w:kern w:val="0"/>
                <w:sz w:val="22"/>
                <w:szCs w:val="22"/>
                <w:lang w:bidi="ar"/>
              </w:rPr>
              <w:t>5.心理舒展区：心理图片、音乐能量。                                                                                                                                                                                     6.呐喊宣泄区：心灵之旅、快乐骑行、砸金蛋。</w:t>
            </w:r>
          </w:p>
        </w:tc>
      </w:tr>
      <w:tr w14:paraId="0F07D16E">
        <w:tblPrEx>
          <w:tblCellMar>
            <w:top w:w="0" w:type="dxa"/>
            <w:left w:w="108" w:type="dxa"/>
            <w:bottom w:w="0" w:type="dxa"/>
            <w:right w:w="108" w:type="dxa"/>
          </w:tblCellMar>
        </w:tblPrEx>
        <w:trPr>
          <w:trHeight w:val="1974"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613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93</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6245">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L异形沙发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F1F5">
            <w:pPr>
              <w:widowControl/>
              <w:jc w:val="left"/>
              <w:textAlignment w:val="center"/>
              <w:rPr>
                <w:rFonts w:ascii="宋体" w:hAnsi="宋体" w:eastAsia="宋体" w:cs="宋体"/>
                <w:color w:val="000000"/>
                <w:sz w:val="22"/>
                <w:szCs w:val="22"/>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2448" behindDoc="0" locked="0" layoutInCell="1" allowOverlap="1">
                  <wp:simplePos x="0" y="0"/>
                  <wp:positionH relativeFrom="column">
                    <wp:posOffset>11430</wp:posOffset>
                  </wp:positionH>
                  <wp:positionV relativeFrom="paragraph">
                    <wp:posOffset>163830</wp:posOffset>
                  </wp:positionV>
                  <wp:extent cx="1318260" cy="948690"/>
                  <wp:effectExtent l="0" t="0" r="15240" b="3810"/>
                  <wp:wrapNone/>
                  <wp:docPr id="248" name="图片_98"/>
                  <wp:cNvGraphicFramePr/>
                  <a:graphic xmlns:a="http://schemas.openxmlformats.org/drawingml/2006/main">
                    <a:graphicData uri="http://schemas.openxmlformats.org/drawingml/2006/picture">
                      <pic:pic xmlns:pic="http://schemas.openxmlformats.org/drawingml/2006/picture">
                        <pic:nvPicPr>
                          <pic:cNvPr id="248" name="图片_98"/>
                          <pic:cNvPicPr/>
                        </pic:nvPicPr>
                        <pic:blipFill>
                          <a:blip r:embed="rId110"/>
                          <a:stretch>
                            <a:fillRect/>
                          </a:stretch>
                        </pic:blipFill>
                        <pic:spPr>
                          <a:xfrm>
                            <a:off x="0" y="0"/>
                            <a:ext cx="1318260" cy="9486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2589">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3400*2600*770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7FF5">
            <w:pPr>
              <w:widowControl/>
              <w:jc w:val="center"/>
              <w:textAlignment w:val="center"/>
              <w:rPr>
                <w:rFonts w:ascii="仿宋_GB2312" w:hAnsi="宋体" w:eastAsia="仿宋_GB2312" w:cs="仿宋_GB2312"/>
                <w:color w:val="000000"/>
                <w:sz w:val="24"/>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545A">
            <w:pPr>
              <w:widowControl/>
              <w:jc w:val="center"/>
              <w:textAlignment w:val="center"/>
              <w:rPr>
                <w:rFonts w:ascii="黑体" w:hAnsi="宋体" w:eastAsia="黑体" w:cs="黑体"/>
                <w:color w:val="000000"/>
                <w:sz w:val="24"/>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CC20">
            <w:pPr>
              <w:widowControl/>
              <w:jc w:val="left"/>
              <w:textAlignment w:val="center"/>
              <w:rPr>
                <w:rFonts w:ascii="黑体" w:hAnsi="宋体" w:eastAsia="黑体" w:cs="黑体"/>
                <w:color w:val="000000"/>
                <w:sz w:val="22"/>
                <w:szCs w:val="22"/>
              </w:rPr>
            </w:pPr>
            <w:r>
              <w:rPr>
                <w:rFonts w:hint="eastAsia" w:ascii="黑体" w:hAnsi="宋体" w:eastAsia="黑体" w:cs="黑体"/>
                <w:color w:val="000000"/>
                <w:kern w:val="0"/>
                <w:sz w:val="20"/>
                <w:szCs w:val="20"/>
                <w:lang w:bidi="ar"/>
              </w:rPr>
              <w:t>采用优质环保布料饰面，实木框架，高密度定型海绵，含调节脚。</w:t>
            </w:r>
          </w:p>
        </w:tc>
      </w:tr>
      <w:tr w14:paraId="733D42D7">
        <w:tblPrEx>
          <w:tblCellMar>
            <w:top w:w="0" w:type="dxa"/>
            <w:left w:w="108" w:type="dxa"/>
            <w:bottom w:w="0" w:type="dxa"/>
            <w:right w:w="108" w:type="dxa"/>
          </w:tblCellMar>
        </w:tblPrEx>
        <w:trPr>
          <w:trHeight w:val="5686"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65FE">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94</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F754">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圆茶几</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3E66">
            <w:pPr>
              <w:widowControl/>
              <w:jc w:val="left"/>
              <w:textAlignment w:val="center"/>
              <w:rPr>
                <w:rFonts w:ascii="宋体" w:hAnsi="宋体" w:eastAsia="宋体" w:cs="宋体"/>
                <w:color w:val="FF0000"/>
                <w:sz w:val="22"/>
                <w:szCs w:val="22"/>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3472" behindDoc="0" locked="0" layoutInCell="1" allowOverlap="1">
                  <wp:simplePos x="0" y="0"/>
                  <wp:positionH relativeFrom="column">
                    <wp:posOffset>179705</wp:posOffset>
                  </wp:positionH>
                  <wp:positionV relativeFrom="paragraph">
                    <wp:posOffset>88265</wp:posOffset>
                  </wp:positionV>
                  <wp:extent cx="1028065" cy="847090"/>
                  <wp:effectExtent l="0" t="0" r="635" b="10160"/>
                  <wp:wrapNone/>
                  <wp:docPr id="249" name="图片_99"/>
                  <wp:cNvGraphicFramePr/>
                  <a:graphic xmlns:a="http://schemas.openxmlformats.org/drawingml/2006/main">
                    <a:graphicData uri="http://schemas.openxmlformats.org/drawingml/2006/picture">
                      <pic:pic xmlns:pic="http://schemas.openxmlformats.org/drawingml/2006/picture">
                        <pic:nvPicPr>
                          <pic:cNvPr id="249" name="图片_99"/>
                          <pic:cNvPicPr/>
                        </pic:nvPicPr>
                        <pic:blipFill>
                          <a:blip r:embed="rId111"/>
                          <a:stretch>
                            <a:fillRect/>
                          </a:stretch>
                        </pic:blipFill>
                        <pic:spPr>
                          <a:xfrm>
                            <a:off x="0" y="0"/>
                            <a:ext cx="1028065" cy="84709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C68B">
            <w:pPr>
              <w:widowControl/>
              <w:jc w:val="center"/>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φ800*φ400*650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0548B">
            <w:pPr>
              <w:widowControl/>
              <w:jc w:val="center"/>
              <w:textAlignment w:val="center"/>
              <w:rPr>
                <w:rFonts w:ascii="仿宋_GB2312" w:hAnsi="宋体" w:eastAsia="仿宋_GB2312" w:cs="仿宋_GB2312"/>
                <w:color w:val="FF0000"/>
                <w:sz w:val="24"/>
              </w:rPr>
            </w:pPr>
            <w:r>
              <w:rPr>
                <w:rFonts w:hint="eastAsia" w:ascii="黑体" w:hAnsi="宋体" w:eastAsia="黑体" w:cs="黑体"/>
                <w:color w:val="000000"/>
                <w:kern w:val="0"/>
                <w:sz w:val="20"/>
                <w:szCs w:val="20"/>
                <w:lang w:bidi="ar"/>
              </w:rPr>
              <w:t>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0ED6">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B420">
            <w:pPr>
              <w:widowControl/>
              <w:jc w:val="left"/>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台面板采用白色烤漆，四周45°斜切边，含调节脚。</w:t>
            </w:r>
          </w:p>
        </w:tc>
      </w:tr>
      <w:tr w14:paraId="32405184">
        <w:tblPrEx>
          <w:tblCellMar>
            <w:top w:w="0" w:type="dxa"/>
            <w:left w:w="108" w:type="dxa"/>
            <w:bottom w:w="0" w:type="dxa"/>
            <w:right w:w="108" w:type="dxa"/>
          </w:tblCellMar>
        </w:tblPrEx>
        <w:trPr>
          <w:trHeight w:val="819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946A">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95</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95C8">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休闲椅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C4806">
            <w:pPr>
              <w:widowControl/>
              <w:jc w:val="left"/>
              <w:textAlignment w:val="center"/>
              <w:rPr>
                <w:rFonts w:ascii="宋体" w:hAnsi="宋体" w:eastAsia="宋体" w:cs="宋体"/>
                <w:color w:val="FF0000"/>
                <w:sz w:val="22"/>
                <w:szCs w:val="22"/>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4496" behindDoc="0" locked="0" layoutInCell="1" allowOverlap="1">
                  <wp:simplePos x="0" y="0"/>
                  <wp:positionH relativeFrom="column">
                    <wp:posOffset>83185</wp:posOffset>
                  </wp:positionH>
                  <wp:positionV relativeFrom="paragraph">
                    <wp:posOffset>44450</wp:posOffset>
                  </wp:positionV>
                  <wp:extent cx="1173480" cy="1094740"/>
                  <wp:effectExtent l="0" t="0" r="7620" b="10160"/>
                  <wp:wrapNone/>
                  <wp:docPr id="250" name="图片_101"/>
                  <wp:cNvGraphicFramePr/>
                  <a:graphic xmlns:a="http://schemas.openxmlformats.org/drawingml/2006/main">
                    <a:graphicData uri="http://schemas.openxmlformats.org/drawingml/2006/picture">
                      <pic:pic xmlns:pic="http://schemas.openxmlformats.org/drawingml/2006/picture">
                        <pic:nvPicPr>
                          <pic:cNvPr id="250" name="图片_101"/>
                          <pic:cNvPicPr/>
                        </pic:nvPicPr>
                        <pic:blipFill>
                          <a:blip r:embed="rId112"/>
                          <a:stretch>
                            <a:fillRect/>
                          </a:stretch>
                        </pic:blipFill>
                        <pic:spPr>
                          <a:xfrm>
                            <a:off x="0" y="0"/>
                            <a:ext cx="1173480" cy="109474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4A439">
            <w:pPr>
              <w:widowControl/>
              <w:jc w:val="center"/>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700*600*820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82DD">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60DAE">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BFDC">
            <w:pPr>
              <w:widowControl/>
              <w:jc w:val="left"/>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采用优质环保布料饰面，高密度定型海绵，升降底盘，铝合金四星脚</w:t>
            </w:r>
          </w:p>
        </w:tc>
      </w:tr>
      <w:tr w14:paraId="3C0CDB9A">
        <w:tblPrEx>
          <w:tblCellMar>
            <w:top w:w="0" w:type="dxa"/>
            <w:left w:w="108" w:type="dxa"/>
            <w:bottom w:w="0" w:type="dxa"/>
            <w:right w:w="108" w:type="dxa"/>
          </w:tblCellMar>
        </w:tblPrEx>
        <w:trPr>
          <w:trHeight w:val="1437"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41D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96</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2DD7">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半圆异形沙发</w:t>
            </w:r>
          </w:p>
        </w:tc>
        <w:tc>
          <w:tcPr>
            <w:tcW w:w="2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7F37E">
            <w:pPr>
              <w:widowControl/>
              <w:jc w:val="left"/>
              <w:textAlignment w:val="center"/>
              <w:rPr>
                <w:rFonts w:ascii="宋体" w:hAnsi="宋体" w:eastAsia="宋体" w:cs="宋体"/>
                <w:color w:val="FF0000"/>
                <w:sz w:val="22"/>
                <w:szCs w:val="22"/>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5520" behindDoc="0" locked="0" layoutInCell="1" allowOverlap="1">
                  <wp:simplePos x="0" y="0"/>
                  <wp:positionH relativeFrom="column">
                    <wp:posOffset>-17780</wp:posOffset>
                  </wp:positionH>
                  <wp:positionV relativeFrom="paragraph">
                    <wp:posOffset>138430</wp:posOffset>
                  </wp:positionV>
                  <wp:extent cx="1285240" cy="753110"/>
                  <wp:effectExtent l="0" t="0" r="10160" b="8890"/>
                  <wp:wrapNone/>
                  <wp:docPr id="251" name="图片_103"/>
                  <wp:cNvGraphicFramePr/>
                  <a:graphic xmlns:a="http://schemas.openxmlformats.org/drawingml/2006/main">
                    <a:graphicData uri="http://schemas.openxmlformats.org/drawingml/2006/picture">
                      <pic:pic xmlns:pic="http://schemas.openxmlformats.org/drawingml/2006/picture">
                        <pic:nvPicPr>
                          <pic:cNvPr id="251" name="图片_103"/>
                          <pic:cNvPicPr/>
                        </pic:nvPicPr>
                        <pic:blipFill>
                          <a:blip r:embed="rId113"/>
                          <a:stretch>
                            <a:fillRect/>
                          </a:stretch>
                        </pic:blipFill>
                        <pic:spPr>
                          <a:xfrm>
                            <a:off x="0" y="0"/>
                            <a:ext cx="1285240" cy="7531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8F7CE">
            <w:pPr>
              <w:widowControl/>
              <w:jc w:val="center"/>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3000*1500*770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EF8C">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2</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32E8">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张</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3067">
            <w:pPr>
              <w:widowControl/>
              <w:jc w:val="left"/>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采用优质环保布料饰面，实木框架，高密度定型海绵，含调节脚。</w:t>
            </w:r>
          </w:p>
        </w:tc>
      </w:tr>
      <w:tr w14:paraId="54735526">
        <w:tblPrEx>
          <w:tblCellMar>
            <w:top w:w="0" w:type="dxa"/>
            <w:left w:w="108" w:type="dxa"/>
            <w:bottom w:w="0" w:type="dxa"/>
            <w:right w:w="108" w:type="dxa"/>
          </w:tblCellMar>
        </w:tblPrEx>
        <w:trPr>
          <w:trHeight w:val="2111"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31DA">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97</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D8C09">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圆凳1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03CC">
            <w:pPr>
              <w:widowControl/>
              <w:jc w:val="center"/>
              <w:textAlignment w:val="center"/>
              <w:rPr>
                <w:rFonts w:ascii="仿宋_GB2312" w:hAnsi="宋体" w:eastAsia="仿宋_GB2312" w:cs="仿宋_GB2312"/>
                <w:color w:val="FF0000"/>
                <w:sz w:val="24"/>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6544" behindDoc="0" locked="0" layoutInCell="1" allowOverlap="1">
                  <wp:simplePos x="0" y="0"/>
                  <wp:positionH relativeFrom="column">
                    <wp:posOffset>88900</wp:posOffset>
                  </wp:positionH>
                  <wp:positionV relativeFrom="paragraph">
                    <wp:posOffset>-93980</wp:posOffset>
                  </wp:positionV>
                  <wp:extent cx="875665" cy="889000"/>
                  <wp:effectExtent l="0" t="0" r="635" b="6350"/>
                  <wp:wrapNone/>
                  <wp:docPr id="252" name="图片_104"/>
                  <wp:cNvGraphicFramePr/>
                  <a:graphic xmlns:a="http://schemas.openxmlformats.org/drawingml/2006/main">
                    <a:graphicData uri="http://schemas.openxmlformats.org/drawingml/2006/picture">
                      <pic:pic xmlns:pic="http://schemas.openxmlformats.org/drawingml/2006/picture">
                        <pic:nvPicPr>
                          <pic:cNvPr id="252" name="图片_104"/>
                          <pic:cNvPicPr/>
                        </pic:nvPicPr>
                        <pic:blipFill>
                          <a:blip r:embed="rId114"/>
                          <a:stretch>
                            <a:fillRect/>
                          </a:stretch>
                        </pic:blipFill>
                        <pic:spPr>
                          <a:xfrm>
                            <a:off x="0" y="0"/>
                            <a:ext cx="875665" cy="88900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E260">
            <w:pPr>
              <w:widowControl/>
              <w:jc w:val="center"/>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φ460*440H</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243DE">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3EB1">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B1DD">
            <w:pPr>
              <w:widowControl/>
              <w:jc w:val="left"/>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采用优质环保布料饰面，烘干实木框架，双层加厚夹板，高密度海绵，底部配4个胶脚（黑色）；</w:t>
            </w:r>
          </w:p>
        </w:tc>
      </w:tr>
      <w:tr w14:paraId="1FBC9CA1">
        <w:tblPrEx>
          <w:tblCellMar>
            <w:top w:w="0" w:type="dxa"/>
            <w:left w:w="108" w:type="dxa"/>
            <w:bottom w:w="0" w:type="dxa"/>
            <w:right w:w="108" w:type="dxa"/>
          </w:tblCellMar>
        </w:tblPrEx>
        <w:trPr>
          <w:trHeight w:val="5659"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B2A8">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98</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A1E4A">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圆凳2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B9A5">
            <w:pPr>
              <w:widowControl/>
              <w:jc w:val="center"/>
              <w:textAlignment w:val="center"/>
              <w:rPr>
                <w:rFonts w:ascii="仿宋_GB2312" w:hAnsi="宋体" w:eastAsia="仿宋_GB2312" w:cs="仿宋_GB2312"/>
                <w:color w:val="FF0000"/>
                <w:sz w:val="24"/>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7568" behindDoc="0" locked="0" layoutInCell="1" allowOverlap="1">
                  <wp:simplePos x="0" y="0"/>
                  <wp:positionH relativeFrom="column">
                    <wp:posOffset>275590</wp:posOffset>
                  </wp:positionH>
                  <wp:positionV relativeFrom="paragraph">
                    <wp:posOffset>76835</wp:posOffset>
                  </wp:positionV>
                  <wp:extent cx="854710" cy="867410"/>
                  <wp:effectExtent l="0" t="0" r="2540" b="8890"/>
                  <wp:wrapNone/>
                  <wp:docPr id="253" name="图片_105"/>
                  <wp:cNvGraphicFramePr/>
                  <a:graphic xmlns:a="http://schemas.openxmlformats.org/drawingml/2006/main">
                    <a:graphicData uri="http://schemas.openxmlformats.org/drawingml/2006/picture">
                      <pic:pic xmlns:pic="http://schemas.openxmlformats.org/drawingml/2006/picture">
                        <pic:nvPicPr>
                          <pic:cNvPr id="253" name="图片_105"/>
                          <pic:cNvPicPr/>
                        </pic:nvPicPr>
                        <pic:blipFill>
                          <a:blip r:embed="rId115"/>
                          <a:stretch>
                            <a:fillRect/>
                          </a:stretch>
                        </pic:blipFill>
                        <pic:spPr>
                          <a:xfrm>
                            <a:off x="0" y="0"/>
                            <a:ext cx="854710" cy="867410"/>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2CA9">
            <w:pPr>
              <w:widowControl/>
              <w:jc w:val="center"/>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φ600*380H</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5472">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8</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36FD">
            <w:pPr>
              <w:widowControl/>
              <w:jc w:val="center"/>
              <w:textAlignment w:val="center"/>
              <w:rPr>
                <w:rFonts w:ascii="黑体" w:hAnsi="宋体" w:eastAsia="黑体" w:cs="黑体"/>
                <w:color w:val="FF0000"/>
                <w:sz w:val="24"/>
              </w:rPr>
            </w:pPr>
            <w:r>
              <w:rPr>
                <w:rFonts w:hint="eastAsia" w:ascii="黑体" w:hAnsi="宋体" w:eastAsia="黑体" w:cs="黑体"/>
                <w:color w:val="000000"/>
                <w:kern w:val="0"/>
                <w:sz w:val="20"/>
                <w:szCs w:val="20"/>
                <w:lang w:bidi="ar"/>
              </w:rPr>
              <w:t>个</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1E10">
            <w:pPr>
              <w:widowControl/>
              <w:jc w:val="left"/>
              <w:textAlignment w:val="center"/>
              <w:rPr>
                <w:rFonts w:ascii="黑体" w:hAnsi="宋体" w:eastAsia="黑体" w:cs="黑体"/>
                <w:color w:val="FF0000"/>
                <w:sz w:val="22"/>
                <w:szCs w:val="22"/>
              </w:rPr>
            </w:pPr>
            <w:r>
              <w:rPr>
                <w:rFonts w:hint="eastAsia" w:ascii="黑体" w:hAnsi="宋体" w:eastAsia="黑体" w:cs="黑体"/>
                <w:color w:val="000000"/>
                <w:kern w:val="0"/>
                <w:sz w:val="20"/>
                <w:szCs w:val="20"/>
                <w:lang w:bidi="ar"/>
              </w:rPr>
              <w:t>采用优质环保布料饰面，烘干实木框架，双层加厚夹板，高密度海绵，底部配4个胶脚（黑色）；</w:t>
            </w:r>
          </w:p>
        </w:tc>
      </w:tr>
      <w:tr w14:paraId="5D486D45">
        <w:tblPrEx>
          <w:tblCellMar>
            <w:top w:w="0" w:type="dxa"/>
            <w:left w:w="108" w:type="dxa"/>
            <w:bottom w:w="0" w:type="dxa"/>
            <w:right w:w="108" w:type="dxa"/>
          </w:tblCellMar>
        </w:tblPrEx>
        <w:trPr>
          <w:trHeight w:val="2442"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6A79">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99</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617A">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指挥椅</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2F30">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8592" behindDoc="0" locked="0" layoutInCell="1" allowOverlap="1">
                  <wp:simplePos x="0" y="0"/>
                  <wp:positionH relativeFrom="column">
                    <wp:posOffset>312420</wp:posOffset>
                  </wp:positionH>
                  <wp:positionV relativeFrom="paragraph">
                    <wp:posOffset>44450</wp:posOffset>
                  </wp:positionV>
                  <wp:extent cx="974090" cy="1364615"/>
                  <wp:effectExtent l="0" t="0" r="16510" b="6985"/>
                  <wp:wrapNone/>
                  <wp:docPr id="254" name="图片_2"/>
                  <wp:cNvGraphicFramePr/>
                  <a:graphic xmlns:a="http://schemas.openxmlformats.org/drawingml/2006/main">
                    <a:graphicData uri="http://schemas.openxmlformats.org/drawingml/2006/picture">
                      <pic:pic xmlns:pic="http://schemas.openxmlformats.org/drawingml/2006/picture">
                        <pic:nvPicPr>
                          <pic:cNvPr id="254" name="图片_2"/>
                          <pic:cNvPicPr/>
                        </pic:nvPicPr>
                        <pic:blipFill>
                          <a:blip r:embed="rId116"/>
                          <a:stretch>
                            <a:fillRect/>
                          </a:stretch>
                        </pic:blipFill>
                        <pic:spPr>
                          <a:xfrm>
                            <a:off x="0" y="0"/>
                            <a:ext cx="974090" cy="136461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CD2E">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760*724*1191</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F514B">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16</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62FE">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把</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529C">
            <w:pPr>
              <w:widowControl/>
              <w:jc w:val="left"/>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优质真皮饰面，高密度海绵填充，优质气压棒，铝合金抛光五星脚</w:t>
            </w:r>
          </w:p>
        </w:tc>
      </w:tr>
      <w:tr w14:paraId="3AAFC93B">
        <w:tblPrEx>
          <w:tblCellMar>
            <w:top w:w="0" w:type="dxa"/>
            <w:left w:w="108" w:type="dxa"/>
            <w:bottom w:w="0" w:type="dxa"/>
            <w:right w:w="108" w:type="dxa"/>
          </w:tblCellMar>
        </w:tblPrEx>
        <w:trPr>
          <w:trHeight w:val="3108"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15C3">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100</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FB3D">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刑警值班床1</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5143">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59616" behindDoc="0" locked="0" layoutInCell="1" allowOverlap="1">
                  <wp:simplePos x="0" y="0"/>
                  <wp:positionH relativeFrom="column">
                    <wp:posOffset>3810</wp:posOffset>
                  </wp:positionH>
                  <wp:positionV relativeFrom="paragraph">
                    <wp:posOffset>157480</wp:posOffset>
                  </wp:positionV>
                  <wp:extent cx="1348105" cy="575945"/>
                  <wp:effectExtent l="0" t="0" r="4445" b="14605"/>
                  <wp:wrapNone/>
                  <wp:docPr id="255" name="图片_15"/>
                  <wp:cNvGraphicFramePr/>
                  <a:graphic xmlns:a="http://schemas.openxmlformats.org/drawingml/2006/main">
                    <a:graphicData uri="http://schemas.openxmlformats.org/drawingml/2006/picture">
                      <pic:pic xmlns:pic="http://schemas.openxmlformats.org/drawingml/2006/picture">
                        <pic:nvPicPr>
                          <pic:cNvPr id="255" name="图片_15"/>
                          <pic:cNvPicPr/>
                        </pic:nvPicPr>
                        <pic:blipFill>
                          <a:blip r:embed="rId117"/>
                          <a:stretch>
                            <a:fillRect/>
                          </a:stretch>
                        </pic:blipFill>
                        <pic:spPr>
                          <a:xfrm>
                            <a:off x="0" y="0"/>
                            <a:ext cx="1348105" cy="57594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54D59">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W4500*D900*H1850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6988">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20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2BB7">
            <w:pPr>
              <w:widowControl/>
              <w:jc w:val="center"/>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C9454">
            <w:pPr>
              <w:widowControl/>
              <w:jc w:val="left"/>
              <w:textAlignment w:val="center"/>
              <w:rPr>
                <w:rFonts w:ascii="黑体" w:hAnsi="宋体" w:eastAsia="黑体" w:cs="黑体"/>
                <w:color w:val="FF0000"/>
                <w:sz w:val="20"/>
                <w:szCs w:val="20"/>
              </w:rPr>
            </w:pPr>
            <w:r>
              <w:rPr>
                <w:rFonts w:hint="eastAsia" w:ascii="黑体" w:hAnsi="宋体" w:eastAsia="黑体" w:cs="黑体"/>
                <w:color w:val="000000"/>
                <w:kern w:val="0"/>
                <w:sz w:val="20"/>
                <w:szCs w:val="20"/>
                <w:lang w:bidi="ar"/>
              </w:rPr>
              <w:t>整体规格：长4500mm，宽900mm，高1850mm。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1、立柱：采用优质冷轧钢板经成型线轧制而成的型钢，其立面为中空异形（双面喷涂）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2、长横梁：采用优质冷轧钢板经特制成型线轧制而成的型钢，其立面为中空异形（双面喷涂），下方R14.5外圆弧设计。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3、床短横梁：采用优质冷轧钢板经特制成型线轧制而成的型钢，其立面为中空异形（双面喷涂），下方R14.5外圆弧设计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4、床拉杆：采用优质冷轧钢板经特制成型线轧制而成的型钢，其立面为中空异形（双面喷涂），下方R14.5外圆弧设计。</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5、床恒：采用不小于30*20*0.8mm钢管制作，方管两端设有4*10mm安装空，与床恒卡扣内嵌式链接方式，具有防脱落功能、拆卸功能。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6、床恒卡扣：采用厚度1.2冷轧钢板折弯冲压一次成型，与床恒嵌式链接方式，具有防脱落功能、拆卸功能。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7、侧护栏：长度≥1250mm,采用≥Φ19mm*1.0mm圆管无内陷一次式弯管处理后与护栏竖焊接而成，竖管平均分布,不少于4根，净高度为≥300mm。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8、床头护栏：采用不小于Φ19mm*1.0mm圆管与护栏竖焊接而成，竖管平均分布,数量3根，净高度为300mm。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9、楼梯支架与楼梯脚踏板：楼梯支架采用≥25*25*0.9 mm管焊接而成，脚踏板采用优质冷轧钢板经冲压而成，两头成型后半圆设计，表面需有凹凸纹路，可以起到防滑作用。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10、卡式连接挂件：经冲床冲压成L型，需有三个连接卡口，成型后尺寸为30*30*202mm，材料厚度为2.0mm。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11、立柱顶盖和脚套：采用工程塑料(一次性注塑成型)。</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12、床下柜分左右两个,单开门，单个规格高400mm*宽450mm*厚450mm；明挂锁安全坚固；床下柜中间为单层鞋架,鞋架采用20*20*1.2mm优质方管制作；床下柜体板材料全部为厚度0.6mm冷轧钢板，柜门冲压一次成型标识框,放置人员信息，方便管理；底部安装有M8×40×40mm调节脚，防水、避免柜体生锈。</w:t>
            </w:r>
          </w:p>
        </w:tc>
      </w:tr>
      <w:tr w14:paraId="44FAE0B2">
        <w:tblPrEx>
          <w:tblCellMar>
            <w:top w:w="0" w:type="dxa"/>
            <w:left w:w="108" w:type="dxa"/>
            <w:bottom w:w="0" w:type="dxa"/>
            <w:right w:w="108" w:type="dxa"/>
          </w:tblCellMar>
        </w:tblPrEx>
        <w:trPr>
          <w:trHeight w:val="3533"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9884">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235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刑警值班床2</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A401">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bdr w:val="single" w:color="000000" w:sz="4" w:space="0"/>
              </w:rPr>
              <w:drawing>
                <wp:anchor distT="0" distB="0" distL="114300" distR="114300" simplePos="0" relativeHeight="251760640" behindDoc="0" locked="0" layoutInCell="1" allowOverlap="1">
                  <wp:simplePos x="0" y="0"/>
                  <wp:positionH relativeFrom="column">
                    <wp:posOffset>-42545</wp:posOffset>
                  </wp:positionH>
                  <wp:positionV relativeFrom="paragraph">
                    <wp:posOffset>105410</wp:posOffset>
                  </wp:positionV>
                  <wp:extent cx="1517015" cy="495935"/>
                  <wp:effectExtent l="0" t="0" r="6985" b="18415"/>
                  <wp:wrapNone/>
                  <wp:docPr id="256" name="图片_16"/>
                  <wp:cNvGraphicFramePr/>
                  <a:graphic xmlns:a="http://schemas.openxmlformats.org/drawingml/2006/main">
                    <a:graphicData uri="http://schemas.openxmlformats.org/drawingml/2006/picture">
                      <pic:pic xmlns:pic="http://schemas.openxmlformats.org/drawingml/2006/picture">
                        <pic:nvPicPr>
                          <pic:cNvPr id="256" name="图片_16"/>
                          <pic:cNvPicPr/>
                        </pic:nvPicPr>
                        <pic:blipFill>
                          <a:blip r:embed="rId118"/>
                          <a:stretch>
                            <a:fillRect/>
                          </a:stretch>
                        </pic:blipFill>
                        <pic:spPr>
                          <a:xfrm>
                            <a:off x="0" y="0"/>
                            <a:ext cx="1517015" cy="495935"/>
                          </a:xfrm>
                          <a:prstGeom prst="rect">
                            <a:avLst/>
                          </a:prstGeom>
                          <a:noFill/>
                          <a:ln>
                            <a:noFill/>
                          </a:ln>
                        </pic:spPr>
                      </pic:pic>
                    </a:graphicData>
                  </a:graphic>
                </wp:anchor>
              </w:drawing>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52E9">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W7000*D900*H1850</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EB1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624C3">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套</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86AB">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整体规格：长7000mm，宽900mm，高1850mm。。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1、立柱：采用优质冷轧钢板经成型线轧制而成的型钢，其立面为中空异形（双面喷涂）</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2、长横梁：采用优质冷轧钢板经特制成型线轧制而成的型钢，其立面为中空异形（双面喷涂），下方R14.5外圆弧设计。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3、床短横梁：采用优质冷轧钢板经特制成型线轧制而成的型钢，其立面为中空异形（双面喷涂），下方R14.5外圆弧设计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4、床拉杆：采用优质冷轧钢板经特制成型线轧制而成的型钢，其立面为中空异形（双面喷涂），下方R14.5外圆弧设计。</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5、床恒：采用不小于30*20*0.8mm钢管制作，方管两端设有4*10mm安装空，与床恒卡扣内嵌式链接方式，具有防脱落功能、拆卸功能。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6、床恒卡扣：采用厚度1.2冷轧钢板折弯冲压一次成型，与床恒嵌式链接方式，具有防脱落功能、拆卸功能。</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7、侧护栏：长度≥1250mm,采用≥Φ19mm*1.0mm圆管无内陷一次式弯管处理后与护栏竖焊接而成，竖管平均分布,不少于4根，净高度为≥300mm。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8、床头护栏：采用不小于Φ19mm*1.0mm圆管与护栏竖焊接而成，竖管平均分布,数量3根，净高度为300mm。</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9、楼梯支架与楼梯脚踏板：楼梯支架采用≥25*25*0.9 mm管焊接而成，脚踏板采用优质冷轧钢板经冲压而成，两头成型后半圆设计，表面需有凹凸纹路，可以起到防滑作用。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 xml:space="preserve">10、卡式连接挂件：经冲床冲压成L型，需有三个连接卡口，成型后尺寸为30*30*202mm，材料厚度为2.0mm。                           </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11、立柱顶盖和脚套：采用工程塑料(一次性注塑成型)。</w:t>
            </w:r>
            <w:r>
              <w:rPr>
                <w:rFonts w:hint="eastAsia" w:ascii="黑体" w:hAnsi="宋体" w:eastAsia="黑体" w:cs="黑体"/>
                <w:color w:val="000000"/>
                <w:kern w:val="0"/>
                <w:sz w:val="20"/>
                <w:szCs w:val="20"/>
                <w:lang w:bidi="ar"/>
              </w:rPr>
              <w:br w:type="textWrapping"/>
            </w:r>
            <w:r>
              <w:rPr>
                <w:rFonts w:hint="eastAsia" w:ascii="黑体" w:hAnsi="宋体" w:eastAsia="黑体" w:cs="黑体"/>
                <w:color w:val="000000"/>
                <w:kern w:val="0"/>
                <w:sz w:val="20"/>
                <w:szCs w:val="20"/>
                <w:lang w:bidi="ar"/>
              </w:rPr>
              <w:t>12、床下柜分左右两个,单开门，单个规格高400mm*宽450mm*厚450mm；明挂锁安全坚固；床下柜中间为单层鞋架,鞋架采用20*20*1.2mm优质方管制作；床下柜体板材料全部为厚度0.6mm冷轧钢板，柜门冲压一次成型标识框,放置人员信息，方便管理；底部安装有M8×40×40mm调节脚，防水、避免柜体生锈。</w:t>
            </w:r>
          </w:p>
        </w:tc>
      </w:tr>
      <w:tr w14:paraId="59A92B22">
        <w:tblPrEx>
          <w:tblCellMar>
            <w:top w:w="0" w:type="dxa"/>
            <w:left w:w="108" w:type="dxa"/>
            <w:bottom w:w="0" w:type="dxa"/>
            <w:right w:w="108" w:type="dxa"/>
          </w:tblCellMar>
        </w:tblPrEx>
        <w:trPr>
          <w:trHeight w:val="1980" w:hRule="atLeast"/>
          <w:jc w:val="center"/>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39FE">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102</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DBC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警用无人机展示台</w:t>
            </w:r>
          </w:p>
        </w:tc>
        <w:tc>
          <w:tcPr>
            <w:tcW w:w="2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B48A">
            <w:pPr>
              <w:widowControl/>
              <w:jc w:val="center"/>
              <w:textAlignment w:val="center"/>
              <w:rPr>
                <w:rFonts w:ascii="黑体" w:hAnsi="宋体" w:eastAsia="黑体" w:cs="黑体"/>
                <w:color w:val="000000"/>
                <w:sz w:val="20"/>
                <w:szCs w:val="20"/>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22396">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定制</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6607">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35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96BB">
            <w:pPr>
              <w:widowControl/>
              <w:jc w:val="center"/>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平方</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1209">
            <w:pPr>
              <w:widowControl/>
              <w:jc w:val="left"/>
              <w:textAlignment w:val="center"/>
              <w:rPr>
                <w:rFonts w:ascii="黑体" w:hAnsi="宋体" w:eastAsia="黑体" w:cs="黑体"/>
                <w:color w:val="000000"/>
                <w:sz w:val="20"/>
                <w:szCs w:val="20"/>
              </w:rPr>
            </w:pPr>
            <w:r>
              <w:rPr>
                <w:rFonts w:hint="eastAsia" w:ascii="黑体" w:hAnsi="宋体" w:eastAsia="黑体" w:cs="黑体"/>
                <w:color w:val="000000"/>
                <w:kern w:val="0"/>
                <w:sz w:val="20"/>
                <w:szCs w:val="20"/>
                <w:lang w:bidi="ar"/>
              </w:rPr>
              <w:t>木质烤漆，根据现场空间定制，满足无人机展示，电池充电，配件存储。</w:t>
            </w:r>
          </w:p>
        </w:tc>
      </w:tr>
    </w:tbl>
    <w:p w14:paraId="70D08B73">
      <w:pPr>
        <w:numPr>
          <w:ilvl w:val="0"/>
          <w:numId w:val="0"/>
        </w:numPr>
        <w:jc w:val="left"/>
        <w:rPr>
          <w:rFonts w:hint="eastAsia"/>
          <w:b/>
          <w:sz w:val="28"/>
          <w:szCs w:val="28"/>
        </w:rPr>
      </w:pPr>
    </w:p>
    <w:p w14:paraId="17806EB8">
      <w:pPr>
        <w:pStyle w:val="4"/>
        <w:ind w:left="0" w:leftChars="0"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rPr>
        <w:t>备注：</w:t>
      </w:r>
      <w:r>
        <w:rPr>
          <w:rFonts w:hint="eastAsia" w:ascii="仿宋" w:hAnsi="仿宋" w:eastAsia="仿宋" w:cs="仿宋"/>
          <w:b/>
          <w:bCs/>
          <w:sz w:val="24"/>
          <w:szCs w:val="24"/>
          <w:lang w:val="en-US" w:eastAsia="zh-CN"/>
        </w:rPr>
        <w:t>1、以上参数均不接受负偏离。</w:t>
      </w:r>
    </w:p>
    <w:p w14:paraId="0FBD96BB">
      <w:pPr>
        <w:pStyle w:val="4"/>
        <w:numPr>
          <w:ilvl w:val="0"/>
          <w:numId w:val="0"/>
        </w:numPr>
        <w:ind w:firstLine="723" w:firstLineChars="3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2、本项为性能要求描述，若参数涉及或指定到某品牌参数的，投标产品不低于该功能即可；若参数涉及或指定到某品牌产品功能性描述时，投标产品能满足类似功能即可；</w:t>
      </w:r>
    </w:p>
    <w:p w14:paraId="0F18352F">
      <w:pPr>
        <w:pStyle w:val="4"/>
        <w:numPr>
          <w:ilvl w:val="0"/>
          <w:numId w:val="0"/>
        </w:numPr>
        <w:ind w:firstLine="723" w:firstLineChars="300"/>
        <w:rPr>
          <w:rFonts w:hint="eastAsia" w:ascii="仿宋" w:hAnsi="仿宋" w:eastAsia="仿宋" w:cs="仿宋"/>
          <w:b/>
          <w:bCs/>
          <w:sz w:val="24"/>
          <w:szCs w:val="24"/>
          <w:lang w:val="en-US" w:eastAsia="zh-CN"/>
        </w:rPr>
      </w:pPr>
    </w:p>
    <w:p w14:paraId="0489B338">
      <w:pPr>
        <w:pStyle w:val="4"/>
        <w:ind w:left="0" w:leftChars="0" w:firstLine="723" w:firstLineChars="30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3、本项目的核心产品为：（序号</w:t>
      </w:r>
      <w:r>
        <w:rPr>
          <w:rFonts w:hint="eastAsia" w:ascii="仿宋" w:hAnsi="仿宋" w:eastAsia="仿宋" w:cs="仿宋"/>
          <w:b/>
          <w:bCs/>
          <w:color w:val="0000FF"/>
          <w:sz w:val="24"/>
          <w:szCs w:val="24"/>
          <w:u w:val="single"/>
          <w:lang w:val="en-US" w:eastAsia="zh-CN"/>
        </w:rPr>
        <w:t>25：会议椅1、序号26：会议椅2、序号33：办公桌5（屏风工作位）、序号35：办公椅、序号44：钢制文件柜）</w:t>
      </w:r>
    </w:p>
    <w:p w14:paraId="192F3D89">
      <w:pPr>
        <w:pStyle w:val="4"/>
        <w:ind w:left="0" w:leftChars="0" w:firstLine="723" w:firstLineChars="3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4、详细</w:t>
      </w:r>
      <w:r>
        <w:rPr>
          <w:rFonts w:hint="eastAsia" w:ascii="宋体" w:hAnsi="宋体" w:cs="宋体"/>
          <w:sz w:val="21"/>
          <w:szCs w:val="21"/>
        </w:rPr>
        <w:t>▲</w:t>
      </w:r>
      <w:r>
        <w:rPr>
          <w:rFonts w:hint="eastAsia" w:ascii="仿宋" w:hAnsi="仿宋" w:eastAsia="仿宋" w:cs="仿宋"/>
          <w:b/>
          <w:bCs/>
          <w:sz w:val="24"/>
          <w:szCs w:val="24"/>
          <w:lang w:val="en-US" w:eastAsia="zh-CN"/>
        </w:rPr>
        <w:t>参数见附表《具体要求》</w:t>
      </w:r>
    </w:p>
    <w:p w14:paraId="6303E168">
      <w:pPr>
        <w:pStyle w:val="4"/>
        <w:ind w:left="0" w:leftChars="0" w:firstLine="723" w:firstLineChars="300"/>
      </w:pPr>
      <w:r>
        <w:rPr>
          <w:rFonts w:hint="eastAsia" w:ascii="仿宋" w:hAnsi="仿宋" w:eastAsia="仿宋" w:cs="仿宋"/>
          <w:b/>
          <w:bCs/>
          <w:sz w:val="24"/>
          <w:szCs w:val="24"/>
          <w:lang w:val="en-US" w:eastAsia="zh-CN"/>
        </w:rPr>
        <w:t>5、所有产品规格尺寸误差不超过±5MM。</w:t>
      </w:r>
      <w:r>
        <w:br w:type="page"/>
      </w:r>
    </w:p>
    <w:p w14:paraId="699739D3">
      <w:pPr>
        <w:adjustRightInd w:val="0"/>
        <w:snapToGrid w:val="0"/>
        <w:spacing w:line="360" w:lineRule="auto"/>
        <w:jc w:val="center"/>
        <w:rPr>
          <w:rFonts w:ascii="宋体" w:hAnsi="宋体" w:cs="宋体"/>
          <w:b/>
          <w:sz w:val="30"/>
          <w:szCs w:val="30"/>
        </w:rPr>
      </w:pPr>
      <w:r>
        <w:rPr>
          <w:rFonts w:hint="eastAsia" w:ascii="宋体" w:hAnsi="宋体" w:cs="宋体"/>
          <w:b/>
          <w:sz w:val="30"/>
          <w:szCs w:val="30"/>
        </w:rPr>
        <w:t>具体要求</w:t>
      </w:r>
    </w:p>
    <w:p w14:paraId="46A62C9E">
      <w:pPr>
        <w:spacing w:line="288" w:lineRule="auto"/>
        <w:ind w:firstLine="560" w:firstLineChars="200"/>
        <w:rPr>
          <w:rFonts w:ascii="宋体" w:hAnsi="宋体" w:cs="宋体"/>
          <w:b w:val="0"/>
          <w:bCs w:val="0"/>
          <w:szCs w:val="21"/>
        </w:rPr>
      </w:pPr>
      <w:r>
        <w:rPr>
          <w:rFonts w:hint="eastAsia" w:ascii="仿宋" w:hAnsi="仿宋" w:eastAsia="仿宋" w:cs="仿宋"/>
          <w:b w:val="0"/>
          <w:bCs w:val="0"/>
          <w:szCs w:val="21"/>
        </w:rPr>
        <w:t>为满足本次采购项目整体质量要求及使用需求，本次采购项目产品所涉及各主要原材料均要求使用优质环保材料（包括：海绵、刨花板、热熔胶、水性喷胶、人造革、麻绒面料、水性漆、气压棒、冷轧钢板、中纤板、封边条），主要原材料需提供</w:t>
      </w:r>
      <w:r>
        <w:rPr>
          <w:rFonts w:hint="eastAsia" w:ascii="仿宋" w:hAnsi="仿宋" w:eastAsia="仿宋" w:cs="仿宋"/>
          <w:b w:val="0"/>
          <w:bCs w:val="0"/>
          <w:szCs w:val="21"/>
          <w:lang w:val="en-US" w:eastAsia="zh-CN"/>
        </w:rPr>
        <w:t>佐证材料例如：由具有CMA及CNAS资质的权威检测部门出具的检测报告（2025年1月1日起出具）、产品彩页说明、官网功能截图等任意一种</w:t>
      </w:r>
      <w:r>
        <w:rPr>
          <w:rFonts w:hint="eastAsia" w:ascii="仿宋" w:hAnsi="仿宋" w:eastAsia="仿宋" w:cs="仿宋"/>
          <w:b w:val="0"/>
          <w:bCs w:val="0"/>
          <w:szCs w:val="21"/>
        </w:rPr>
        <w:t>，技术性能要求如下：</w:t>
      </w:r>
    </w:p>
    <w:tbl>
      <w:tblPr>
        <w:tblStyle w:val="25"/>
        <w:tblW w:w="0" w:type="auto"/>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1873"/>
        <w:gridCol w:w="6261"/>
      </w:tblGrid>
      <w:tr w14:paraId="0428C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14:paraId="030388B2">
            <w:pPr>
              <w:spacing w:line="288" w:lineRule="auto"/>
              <w:rPr>
                <w:rFonts w:ascii="宋体" w:hAnsi="宋体" w:cs="宋体"/>
                <w:b/>
                <w:bCs/>
                <w:sz w:val="24"/>
                <w:szCs w:val="24"/>
              </w:rPr>
            </w:pPr>
            <w:r>
              <w:rPr>
                <w:rFonts w:hint="eastAsia" w:ascii="宋体" w:hAnsi="宋体"/>
                <w:b/>
                <w:bCs/>
                <w:sz w:val="24"/>
                <w:szCs w:val="24"/>
              </w:rPr>
              <w:t>序号</w:t>
            </w:r>
          </w:p>
        </w:tc>
        <w:tc>
          <w:tcPr>
            <w:tcW w:w="1873" w:type="dxa"/>
          </w:tcPr>
          <w:p w14:paraId="5E34893E">
            <w:pPr>
              <w:spacing w:line="288" w:lineRule="auto"/>
              <w:rPr>
                <w:rFonts w:ascii="宋体" w:hAnsi="宋体" w:cs="宋体"/>
                <w:b/>
                <w:bCs/>
                <w:sz w:val="24"/>
                <w:szCs w:val="24"/>
              </w:rPr>
            </w:pPr>
            <w:r>
              <w:rPr>
                <w:rFonts w:hint="eastAsia" w:ascii="宋体" w:hAnsi="宋体"/>
                <w:b/>
                <w:bCs/>
                <w:sz w:val="24"/>
                <w:szCs w:val="24"/>
              </w:rPr>
              <w:t>主要原材料名称</w:t>
            </w:r>
          </w:p>
        </w:tc>
        <w:tc>
          <w:tcPr>
            <w:tcW w:w="6261" w:type="dxa"/>
          </w:tcPr>
          <w:p w14:paraId="401C03FC">
            <w:pPr>
              <w:spacing w:line="288" w:lineRule="auto"/>
              <w:rPr>
                <w:rFonts w:ascii="宋体" w:hAnsi="宋体" w:cs="宋体"/>
                <w:b/>
                <w:bCs/>
                <w:sz w:val="24"/>
                <w:szCs w:val="24"/>
              </w:rPr>
            </w:pPr>
            <w:r>
              <w:rPr>
                <w:rFonts w:hint="eastAsia" w:ascii="宋体" w:hAnsi="宋体" w:cs="宋体"/>
                <w:b/>
                <w:bCs/>
                <w:sz w:val="24"/>
                <w:szCs w:val="24"/>
              </w:rPr>
              <w:t>技术性能要求</w:t>
            </w:r>
          </w:p>
        </w:tc>
      </w:tr>
      <w:tr w14:paraId="7C344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45885CFF">
            <w:pPr>
              <w:jc w:val="center"/>
              <w:rPr>
                <w:rFonts w:ascii="微软雅黑" w:hAnsi="微软雅黑" w:eastAsia="微软雅黑" w:cs="宋体"/>
                <w:sz w:val="21"/>
                <w:szCs w:val="21"/>
              </w:rPr>
            </w:pPr>
            <w:r>
              <w:rPr>
                <w:rFonts w:hint="eastAsia" w:ascii="微软雅黑" w:hAnsi="微软雅黑" w:eastAsia="微软雅黑"/>
                <w:sz w:val="21"/>
                <w:szCs w:val="21"/>
              </w:rPr>
              <w:t>1</w:t>
            </w:r>
          </w:p>
        </w:tc>
        <w:tc>
          <w:tcPr>
            <w:tcW w:w="1873" w:type="dxa"/>
            <w:vAlign w:val="center"/>
          </w:tcPr>
          <w:p w14:paraId="09EC8E26">
            <w:pPr>
              <w:jc w:val="center"/>
              <w:rPr>
                <w:rFonts w:ascii="微软雅黑" w:hAnsi="微软雅黑" w:eastAsia="微软雅黑" w:cs="宋体"/>
                <w:sz w:val="21"/>
                <w:szCs w:val="21"/>
              </w:rPr>
            </w:pPr>
            <w:r>
              <w:rPr>
                <w:rFonts w:hint="eastAsia" w:ascii="微软雅黑" w:hAnsi="微软雅黑" w:eastAsia="微软雅黑"/>
                <w:sz w:val="21"/>
                <w:szCs w:val="21"/>
              </w:rPr>
              <w:t>高回弹海绵</w:t>
            </w:r>
          </w:p>
        </w:tc>
        <w:tc>
          <w:tcPr>
            <w:tcW w:w="6261" w:type="dxa"/>
            <w:vAlign w:val="center"/>
          </w:tcPr>
          <w:p w14:paraId="41CDC594">
            <w:pPr>
              <w:rPr>
                <w:rFonts w:ascii="宋体" w:hAnsi="宋体" w:cs="宋体"/>
                <w:sz w:val="21"/>
                <w:szCs w:val="21"/>
              </w:rPr>
            </w:pPr>
            <w:r>
              <w:rPr>
                <w:rFonts w:hint="eastAsia" w:ascii="宋体" w:hAnsi="宋体" w:cs="宋体"/>
                <w:sz w:val="21"/>
                <w:szCs w:val="21"/>
              </w:rPr>
              <w:t>参照国标、行标：GB/T 10802-2023、QB/T 1952.1-2023、QB/T 2280-2016、GB 17927-2024、QB/T 4370-2012、QB/T 2080-2018、GB/T 37866-2019、HJ 2547-2016、QB/T 4371-2012、GB/T 24128-2018、WS/T 650-2019标准，设立▲参数需求以及</w:t>
            </w:r>
          </w:p>
          <w:p w14:paraId="191905D4">
            <w:pPr>
              <w:rPr>
                <w:rFonts w:ascii="宋体" w:hAnsi="宋体" w:cs="宋体"/>
                <w:sz w:val="21"/>
                <w:szCs w:val="21"/>
              </w:rPr>
            </w:pPr>
            <w:r>
              <w:rPr>
                <w:rFonts w:hint="eastAsia" w:ascii="宋体" w:hAnsi="宋体" w:cs="宋体"/>
                <w:sz w:val="21"/>
                <w:szCs w:val="21"/>
              </w:rPr>
              <w:t>▲▲参数需求。</w:t>
            </w:r>
          </w:p>
          <w:p w14:paraId="51F0E100">
            <w:pPr>
              <w:rPr>
                <w:rFonts w:ascii="宋体" w:hAnsi="宋体" w:cs="宋体"/>
                <w:sz w:val="21"/>
                <w:szCs w:val="21"/>
              </w:rPr>
            </w:pPr>
            <w:r>
              <w:rPr>
                <w:rFonts w:hint="eastAsia" w:ascii="宋体" w:hAnsi="宋体" w:cs="宋体"/>
                <w:sz w:val="21"/>
                <w:szCs w:val="21"/>
              </w:rPr>
              <w:t>▲一、参数需求：</w:t>
            </w:r>
          </w:p>
          <w:p w14:paraId="2203AF6A">
            <w:pPr>
              <w:rPr>
                <w:rFonts w:ascii="微软雅黑" w:hAnsi="微软雅黑" w:eastAsia="微软雅黑" w:cs="宋体"/>
                <w:sz w:val="21"/>
                <w:szCs w:val="21"/>
              </w:rPr>
            </w:pPr>
            <w:r>
              <w:rPr>
                <w:rFonts w:hint="eastAsia" w:ascii="微软雅黑" w:hAnsi="微软雅黑" w:eastAsia="微软雅黑" w:cs="宋体"/>
                <w:sz w:val="21"/>
                <w:szCs w:val="21"/>
              </w:rPr>
              <w:t>1、阻燃性能安全技术要求-阻燃等级Ⅰ级符合要求；</w:t>
            </w:r>
          </w:p>
          <w:p w14:paraId="13C0BE13">
            <w:pPr>
              <w:rPr>
                <w:rFonts w:ascii="微软雅黑" w:hAnsi="微软雅黑" w:eastAsia="微软雅黑" w:cs="宋体"/>
                <w:sz w:val="21"/>
                <w:szCs w:val="21"/>
              </w:rPr>
            </w:pPr>
            <w:r>
              <w:rPr>
                <w:rFonts w:hint="eastAsia" w:ascii="微软雅黑" w:hAnsi="微软雅黑" w:eastAsia="微软雅黑" w:cs="宋体"/>
                <w:sz w:val="21"/>
                <w:szCs w:val="21"/>
              </w:rPr>
              <w:t>2、</w:t>
            </w:r>
            <w:bookmarkStart w:id="45" w:name="OLE_LINK3"/>
            <w:r>
              <w:rPr>
                <w:rFonts w:hint="eastAsia" w:ascii="微软雅黑" w:hAnsi="微软雅黑" w:eastAsia="微软雅黑" w:cs="宋体"/>
                <w:sz w:val="21"/>
                <w:szCs w:val="21"/>
              </w:rPr>
              <w:t>甲醛释放量≤0.12mg/</w:t>
            </w:r>
            <w:r>
              <w:rPr>
                <w:rFonts w:ascii="微软雅黑" w:hAnsi="微软雅黑" w:eastAsia="微软雅黑" w:cs="宋体"/>
                <w:sz w:val="21"/>
                <w:szCs w:val="21"/>
              </w:rPr>
              <w:t>m²h</w:t>
            </w:r>
            <w:r>
              <w:rPr>
                <w:rFonts w:hint="eastAsia" w:ascii="微软雅黑" w:hAnsi="微软雅黑" w:eastAsia="微软雅黑" w:cs="宋体"/>
                <w:sz w:val="21"/>
                <w:szCs w:val="21"/>
              </w:rPr>
              <w:t>、TVOC≤0.5 mg/</w:t>
            </w:r>
            <w:r>
              <w:rPr>
                <w:rFonts w:ascii="微软雅黑" w:hAnsi="微软雅黑" w:eastAsia="微软雅黑" w:cs="宋体"/>
                <w:sz w:val="21"/>
                <w:szCs w:val="21"/>
              </w:rPr>
              <w:t>m²</w:t>
            </w:r>
            <w:r>
              <w:rPr>
                <w:rFonts w:hint="eastAsia" w:ascii="微软雅黑" w:hAnsi="微软雅黑" w:eastAsia="微软雅黑" w:cs="宋体"/>
                <w:sz w:val="21"/>
                <w:szCs w:val="21"/>
              </w:rPr>
              <w:t>.</w:t>
            </w:r>
            <w:r>
              <w:rPr>
                <w:rFonts w:ascii="微软雅黑" w:hAnsi="微软雅黑" w:eastAsia="微软雅黑" w:cs="宋体"/>
                <w:sz w:val="21"/>
                <w:szCs w:val="21"/>
              </w:rPr>
              <w:t>h</w:t>
            </w:r>
            <w:bookmarkEnd w:id="45"/>
            <w:r>
              <w:rPr>
                <w:rFonts w:hint="eastAsia" w:ascii="微软雅黑" w:hAnsi="微软雅黑" w:eastAsia="微软雅黑" w:cs="宋体"/>
                <w:sz w:val="21"/>
                <w:szCs w:val="21"/>
              </w:rPr>
              <w:t>；</w:t>
            </w:r>
          </w:p>
          <w:p w14:paraId="62B55153">
            <w:pPr>
              <w:rPr>
                <w:rFonts w:ascii="微软雅黑" w:hAnsi="微软雅黑" w:eastAsia="微软雅黑" w:cs="宋体"/>
                <w:sz w:val="21"/>
                <w:szCs w:val="21"/>
              </w:rPr>
            </w:pPr>
            <w:r>
              <w:rPr>
                <w:rFonts w:hint="eastAsia" w:ascii="微软雅黑" w:hAnsi="微软雅黑" w:eastAsia="微软雅黑" w:cs="宋体"/>
                <w:sz w:val="21"/>
                <w:szCs w:val="21"/>
              </w:rPr>
              <w:t>3、抗菌效果-结核分枝杆菌抗菌率达到≥90.0%；</w:t>
            </w:r>
          </w:p>
          <w:p w14:paraId="3332C28D">
            <w:pPr>
              <w:rPr>
                <w:rFonts w:ascii="微软雅黑" w:hAnsi="微软雅黑" w:eastAsia="微软雅黑" w:cs="宋体"/>
                <w:sz w:val="21"/>
                <w:szCs w:val="21"/>
              </w:rPr>
            </w:pPr>
            <w:r>
              <w:rPr>
                <w:rFonts w:hint="eastAsia" w:ascii="微软雅黑" w:hAnsi="微软雅黑" w:eastAsia="微软雅黑" w:cs="宋体"/>
                <w:sz w:val="21"/>
                <w:szCs w:val="21"/>
              </w:rPr>
              <w:t>4、重金属含量（mg/kg）：镉含量≤0.5、铅含量≤15、汞不得检出、铬含量≤15、砷含量≤5、铜含量≤50、镍含量≤15、硒不得检出、锌含量≤150、钼含量≤1；</w:t>
            </w:r>
          </w:p>
          <w:p w14:paraId="4508B0A5">
            <w:pPr>
              <w:rPr>
                <w:rFonts w:ascii="微软雅黑" w:hAnsi="微软雅黑" w:eastAsia="微软雅黑" w:cs="宋体"/>
                <w:sz w:val="21"/>
                <w:szCs w:val="21"/>
              </w:rPr>
            </w:pPr>
            <w:r>
              <w:rPr>
                <w:rFonts w:hint="eastAsia" w:ascii="微软雅黑" w:hAnsi="微软雅黑" w:eastAsia="微软雅黑" w:cs="宋体"/>
                <w:sz w:val="21"/>
                <w:szCs w:val="21"/>
              </w:rPr>
              <w:t>5、性能要求-回弹率≥35%、75％压缩永久变形≤8%；气味等级≥7级；恒定负荷反复压陷疲劳后的40%压陷硬度损失值(P)80000次达到≤22%；断裂伸长率≥100%；干热老化后拉伸强度≥55kPa；湿热老化后拉伸强度≥55kPa。</w:t>
            </w:r>
          </w:p>
          <w:p w14:paraId="4704E3A7">
            <w:pPr>
              <w:numPr>
                <w:ilvl w:val="0"/>
                <w:numId w:val="6"/>
              </w:numPr>
              <w:rPr>
                <w:rFonts w:ascii="宋体" w:hAnsi="宋体" w:cs="宋体"/>
                <w:b/>
                <w:bCs/>
                <w:sz w:val="21"/>
                <w:szCs w:val="21"/>
              </w:rPr>
            </w:pPr>
            <w:r>
              <w:rPr>
                <w:rFonts w:hint="eastAsia" w:ascii="宋体" w:hAnsi="宋体" w:cs="宋体"/>
                <w:b/>
                <w:bCs/>
                <w:sz w:val="21"/>
                <w:szCs w:val="21"/>
              </w:rPr>
              <w:t>优于</w:t>
            </w:r>
            <w:r>
              <w:rPr>
                <w:rFonts w:hint="eastAsia" w:ascii="宋体" w:hAnsi="宋体" w:cs="宋体"/>
                <w:sz w:val="21"/>
                <w:szCs w:val="21"/>
              </w:rPr>
              <w:t>▲参数</w:t>
            </w:r>
            <w:r>
              <w:rPr>
                <w:rFonts w:hint="eastAsia" w:ascii="宋体" w:hAnsi="宋体" w:cs="宋体"/>
                <w:b/>
                <w:bCs/>
                <w:sz w:val="21"/>
                <w:szCs w:val="21"/>
              </w:rPr>
              <w:t>（优质原（辅）材料加分项）：</w:t>
            </w:r>
          </w:p>
          <w:p w14:paraId="6E68AC64">
            <w:pPr>
              <w:rPr>
                <w:rFonts w:ascii="微软雅黑" w:hAnsi="微软雅黑" w:eastAsia="微软雅黑" w:cs="宋体"/>
                <w:sz w:val="21"/>
                <w:szCs w:val="21"/>
              </w:rPr>
            </w:pPr>
            <w:r>
              <w:rPr>
                <w:rFonts w:hint="eastAsia" w:ascii="宋体" w:hAnsi="宋体" w:cs="宋体"/>
                <w:sz w:val="21"/>
                <w:szCs w:val="21"/>
              </w:rPr>
              <w:t>▲▲1</w:t>
            </w:r>
            <w:r>
              <w:rPr>
                <w:rFonts w:hint="eastAsia" w:ascii="微软雅黑" w:hAnsi="微软雅黑" w:eastAsia="微软雅黑" w:cs="宋体"/>
                <w:sz w:val="21"/>
                <w:szCs w:val="21"/>
              </w:rPr>
              <w:t>、甲醛释放量未检出、TVOC达到未检出</w:t>
            </w:r>
          </w:p>
          <w:p w14:paraId="4A052861">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2、重金属含量（mg/kg）：镉含量、铅含量、汞含量、铬含量、砷含量、铜含量、镍含量、硒含量、锌含量、钼含量均未检出。</w:t>
            </w:r>
          </w:p>
          <w:p w14:paraId="410E0F36">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3、抗菌效果-结核分枝杆菌抗菌率达到≥99.0%；</w:t>
            </w:r>
          </w:p>
          <w:p w14:paraId="777575D1">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4、性能要求-回弹率≥45%、75％压缩永久变形≤3.1%；气味等级≥10级；恒定负荷反复压陷疲劳后的40%压陷硬度损失值(P)80000次达到≤15%；断裂伸长率≥150%；干热老化后拉伸强度≥95kPa；湿热老化后拉伸强度≥95kPa。</w:t>
            </w:r>
          </w:p>
        </w:tc>
      </w:tr>
      <w:tr w14:paraId="0487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2864F9BA">
            <w:pPr>
              <w:jc w:val="center"/>
              <w:rPr>
                <w:rFonts w:ascii="微软雅黑" w:hAnsi="微软雅黑" w:eastAsia="微软雅黑" w:cs="宋体"/>
                <w:sz w:val="21"/>
                <w:szCs w:val="21"/>
              </w:rPr>
            </w:pPr>
            <w:r>
              <w:rPr>
                <w:rFonts w:hint="eastAsia" w:ascii="微软雅黑" w:hAnsi="微软雅黑" w:eastAsia="微软雅黑"/>
                <w:sz w:val="21"/>
                <w:szCs w:val="21"/>
              </w:rPr>
              <w:t>2</w:t>
            </w:r>
          </w:p>
        </w:tc>
        <w:tc>
          <w:tcPr>
            <w:tcW w:w="1873" w:type="dxa"/>
            <w:vAlign w:val="center"/>
          </w:tcPr>
          <w:p w14:paraId="3166FD2F">
            <w:pPr>
              <w:jc w:val="center"/>
              <w:rPr>
                <w:rFonts w:ascii="微软雅黑" w:hAnsi="微软雅黑" w:eastAsia="微软雅黑"/>
                <w:sz w:val="21"/>
                <w:szCs w:val="21"/>
              </w:rPr>
            </w:pPr>
            <w:r>
              <w:rPr>
                <w:rFonts w:hint="eastAsia" w:ascii="微软雅黑" w:hAnsi="微软雅黑" w:eastAsia="微软雅黑"/>
                <w:sz w:val="21"/>
                <w:szCs w:val="21"/>
              </w:rPr>
              <w:t xml:space="preserve">刨花板      </w:t>
            </w:r>
          </w:p>
          <w:p w14:paraId="4B30A1EE">
            <w:pPr>
              <w:jc w:val="center"/>
              <w:rPr>
                <w:rFonts w:ascii="微软雅黑" w:hAnsi="微软雅黑" w:eastAsia="微软雅黑" w:cs="宋体"/>
                <w:sz w:val="21"/>
                <w:szCs w:val="21"/>
              </w:rPr>
            </w:pPr>
            <w:r>
              <w:rPr>
                <w:rFonts w:hint="eastAsia" w:ascii="微软雅黑" w:hAnsi="微软雅黑" w:eastAsia="微软雅黑"/>
                <w:sz w:val="21"/>
                <w:szCs w:val="21"/>
              </w:rPr>
              <w:t>（实木颗粒板）</w:t>
            </w:r>
          </w:p>
        </w:tc>
        <w:tc>
          <w:tcPr>
            <w:tcW w:w="6261" w:type="dxa"/>
            <w:vAlign w:val="center"/>
          </w:tcPr>
          <w:p w14:paraId="7D78C4E6">
            <w:pPr>
              <w:rPr>
                <w:rFonts w:ascii="宋体" w:hAnsi="宋体" w:cs="宋体"/>
                <w:sz w:val="21"/>
                <w:szCs w:val="21"/>
              </w:rPr>
            </w:pPr>
            <w:r>
              <w:rPr>
                <w:rFonts w:hint="eastAsia" w:ascii="宋体" w:hAnsi="宋体" w:cs="宋体"/>
                <w:sz w:val="21"/>
                <w:szCs w:val="21"/>
              </w:rPr>
              <w:t>参照国标、行标：GB/T 4897-2015、 GB/T 40493-2021、 GB/T 39600-2021、LY/T1985-2011、 GB 18580-2017、 GB/T 35601-2024、 HJ 571-2010、 JC/T 2039-2010、 QB/T 4371-2012、 WS/T 650-2019、GB/T 17657-2022、 GB/T 42898-2023、 GB/T 2423.34-2024、GB/T 44689-2024、 JC/T 1074-2021、 JC/T 2761-2023 标准，设立▲参数需求以及▲▲参数需求。</w:t>
            </w:r>
          </w:p>
          <w:p w14:paraId="2B676C1B">
            <w:pPr>
              <w:rPr>
                <w:rFonts w:ascii="宋体" w:hAnsi="宋体" w:cs="宋体"/>
                <w:sz w:val="21"/>
                <w:szCs w:val="21"/>
              </w:rPr>
            </w:pPr>
            <w:r>
              <w:rPr>
                <w:rFonts w:hint="eastAsia" w:ascii="宋体" w:hAnsi="宋体" w:cs="宋体"/>
                <w:sz w:val="21"/>
                <w:szCs w:val="21"/>
              </w:rPr>
              <w:t>▲</w:t>
            </w:r>
            <w:r>
              <w:rPr>
                <w:rFonts w:hint="eastAsia" w:ascii="宋体" w:hAnsi="宋体" w:cs="宋体"/>
                <w:b/>
                <w:bCs/>
                <w:sz w:val="21"/>
                <w:szCs w:val="21"/>
              </w:rPr>
              <w:t>一、</w:t>
            </w:r>
            <w:r>
              <w:rPr>
                <w:rFonts w:hint="eastAsia" w:ascii="宋体" w:hAnsi="宋体" w:cs="宋体"/>
                <w:sz w:val="21"/>
                <w:szCs w:val="21"/>
              </w:rPr>
              <w:t>参数需求：</w:t>
            </w:r>
          </w:p>
          <w:p w14:paraId="624CEFB1">
            <w:pPr>
              <w:rPr>
                <w:rFonts w:ascii="微软雅黑" w:hAnsi="微软雅黑" w:eastAsia="微软雅黑" w:cs="宋体"/>
                <w:sz w:val="21"/>
                <w:szCs w:val="21"/>
              </w:rPr>
            </w:pPr>
            <w:r>
              <w:rPr>
                <w:rFonts w:hint="eastAsia" w:ascii="微软雅黑" w:hAnsi="微软雅黑" w:eastAsia="微软雅黑" w:cs="宋体"/>
                <w:sz w:val="21"/>
                <w:szCs w:val="21"/>
              </w:rPr>
              <w:t>1、甲醛释放量（1m³气候箱法）≤0.025mg/</w:t>
            </w:r>
            <w:r>
              <w:rPr>
                <w:rFonts w:ascii="微软雅黑" w:hAnsi="微软雅黑" w:eastAsia="微软雅黑" w:cs="宋体"/>
                <w:sz w:val="21"/>
                <w:szCs w:val="21"/>
              </w:rPr>
              <w:t>m³</w:t>
            </w:r>
            <w:r>
              <w:rPr>
                <w:rFonts w:hint="eastAsia" w:ascii="微软雅黑" w:hAnsi="微软雅黑" w:eastAsia="微软雅黑" w:cs="宋体"/>
                <w:sz w:val="21"/>
                <w:szCs w:val="21"/>
              </w:rPr>
              <w:t>、总挥发性有机化合物(TVOC)释放率≤0.5 mg/</w:t>
            </w:r>
            <w:r>
              <w:rPr>
                <w:rFonts w:ascii="微软雅黑" w:hAnsi="微软雅黑" w:eastAsia="微软雅黑" w:cs="宋体"/>
                <w:sz w:val="21"/>
                <w:szCs w:val="21"/>
              </w:rPr>
              <w:t>m²</w:t>
            </w:r>
            <w:r>
              <w:rPr>
                <w:rFonts w:hint="eastAsia" w:ascii="微软雅黑" w:hAnsi="微软雅黑" w:eastAsia="微软雅黑" w:cs="宋体"/>
                <w:sz w:val="21"/>
                <w:szCs w:val="21"/>
              </w:rPr>
              <w:t>.</w:t>
            </w:r>
            <w:r>
              <w:rPr>
                <w:rFonts w:ascii="微软雅黑" w:hAnsi="微软雅黑" w:eastAsia="微软雅黑" w:cs="宋体"/>
                <w:sz w:val="21"/>
                <w:szCs w:val="21"/>
              </w:rPr>
              <w:t>h</w:t>
            </w:r>
          </w:p>
          <w:p w14:paraId="318A1C70">
            <w:pPr>
              <w:rPr>
                <w:rFonts w:ascii="微软雅黑" w:hAnsi="微软雅黑" w:eastAsia="微软雅黑" w:cs="宋体"/>
                <w:sz w:val="21"/>
                <w:szCs w:val="21"/>
              </w:rPr>
            </w:pPr>
            <w:r>
              <w:rPr>
                <w:rFonts w:hint="eastAsia" w:ascii="微软雅黑" w:hAnsi="微软雅黑" w:eastAsia="微软雅黑" w:cs="宋体"/>
                <w:sz w:val="21"/>
                <w:szCs w:val="21"/>
              </w:rPr>
              <w:t>2、含水率3~13%、静曲强度≥11MPa、弹性模量≥1600MPa、内胶合强度≥0.35MPa、握螺钉力-板面≥900N，</w:t>
            </w:r>
            <w:bookmarkStart w:id="46" w:name="OLE_LINK8"/>
            <w:r>
              <w:rPr>
                <w:rFonts w:hint="eastAsia" w:ascii="微软雅黑" w:hAnsi="微软雅黑" w:eastAsia="微软雅黑" w:cs="宋体"/>
                <w:sz w:val="21"/>
                <w:szCs w:val="21"/>
              </w:rPr>
              <w:t>板边≥600N</w:t>
            </w:r>
            <w:bookmarkEnd w:id="46"/>
            <w:r>
              <w:rPr>
                <w:rFonts w:hint="eastAsia" w:ascii="微软雅黑" w:hAnsi="微软雅黑" w:eastAsia="微软雅黑" w:cs="宋体"/>
                <w:sz w:val="21"/>
                <w:szCs w:val="21"/>
              </w:rPr>
              <w:t>、表面胶合强度≥0.8MPa、密度达到0.65-0.90、板内密度偏差达到±10，密度偏差合格率≥95%；</w:t>
            </w:r>
          </w:p>
          <w:p w14:paraId="39803CDE">
            <w:pPr>
              <w:rPr>
                <w:rFonts w:ascii="微软雅黑" w:hAnsi="微软雅黑" w:eastAsia="微软雅黑" w:cs="宋体"/>
                <w:sz w:val="21"/>
                <w:szCs w:val="21"/>
              </w:rPr>
            </w:pPr>
            <w:r>
              <w:rPr>
                <w:rFonts w:hint="eastAsia" w:ascii="微软雅黑" w:hAnsi="微软雅黑" w:eastAsia="微软雅黑" w:cs="宋体"/>
                <w:sz w:val="21"/>
                <w:szCs w:val="21"/>
              </w:rPr>
              <w:t>3、温度/湿度组合循环试验200h试验后，试样表面无开裂；</w:t>
            </w:r>
          </w:p>
          <w:p w14:paraId="2E9E3686">
            <w:pPr>
              <w:rPr>
                <w:rFonts w:ascii="微软雅黑" w:hAnsi="微软雅黑" w:eastAsia="微软雅黑" w:cs="宋体"/>
                <w:sz w:val="21"/>
                <w:szCs w:val="21"/>
              </w:rPr>
            </w:pPr>
            <w:r>
              <w:rPr>
                <w:rFonts w:hint="eastAsia" w:ascii="微软雅黑" w:hAnsi="微软雅黑" w:eastAsia="微软雅黑" w:cs="宋体"/>
                <w:sz w:val="21"/>
                <w:szCs w:val="21"/>
              </w:rPr>
              <w:t>4、</w:t>
            </w:r>
            <w:bookmarkStart w:id="47" w:name="OLE_LINK9"/>
            <w:r>
              <w:rPr>
                <w:rFonts w:hint="eastAsia" w:ascii="微软雅黑" w:hAnsi="微软雅黑" w:eastAsia="微软雅黑" w:cs="宋体"/>
                <w:sz w:val="21"/>
                <w:szCs w:val="21"/>
              </w:rPr>
              <w:t>甲醛净化效率≥55%</w:t>
            </w:r>
            <w:bookmarkEnd w:id="47"/>
            <w:r>
              <w:rPr>
                <w:rFonts w:hint="eastAsia" w:ascii="微软雅黑" w:hAnsi="微软雅黑" w:eastAsia="微软雅黑" w:cs="宋体"/>
                <w:sz w:val="21"/>
                <w:szCs w:val="21"/>
              </w:rPr>
              <w:t>；</w:t>
            </w:r>
          </w:p>
          <w:p w14:paraId="00DAF552">
            <w:pPr>
              <w:rPr>
                <w:rFonts w:ascii="微软雅黑" w:hAnsi="微软雅黑" w:eastAsia="微软雅黑" w:cs="宋体"/>
                <w:sz w:val="21"/>
                <w:szCs w:val="21"/>
              </w:rPr>
            </w:pPr>
            <w:r>
              <w:rPr>
                <w:rFonts w:hint="eastAsia" w:ascii="微软雅黑" w:hAnsi="微软雅黑" w:eastAsia="微软雅黑" w:cs="宋体"/>
                <w:sz w:val="21"/>
                <w:szCs w:val="21"/>
              </w:rPr>
              <w:t>5、单一半挥发性有机化合物释放量-邻苯二甲酸二丁酯达到未检出；</w:t>
            </w:r>
          </w:p>
          <w:p w14:paraId="68783D42">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1B625828">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1、甲醛释放量（1m³气候箱法）甲醛释放量未检出、总挥发性有机化合物(TVOC)释放率达到未检出；</w:t>
            </w:r>
          </w:p>
          <w:p w14:paraId="5B31FFDE">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2、温度/湿度组合循环试验500h试验后，试样表面无开裂；</w:t>
            </w:r>
          </w:p>
          <w:p w14:paraId="3576F818">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3、甲醛净化效率≥75%。</w:t>
            </w:r>
          </w:p>
          <w:p w14:paraId="22423075">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4、重金属元素含量：铅、隔、铬、汞均达到未检出；</w:t>
            </w:r>
          </w:p>
        </w:tc>
      </w:tr>
      <w:tr w14:paraId="4FD5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3DA121E5">
            <w:pPr>
              <w:jc w:val="center"/>
              <w:rPr>
                <w:rFonts w:ascii="微软雅黑" w:hAnsi="微软雅黑" w:eastAsia="微软雅黑" w:cs="宋体"/>
                <w:sz w:val="21"/>
                <w:szCs w:val="21"/>
              </w:rPr>
            </w:pPr>
            <w:r>
              <w:rPr>
                <w:rFonts w:hint="eastAsia" w:ascii="微软雅黑" w:hAnsi="微软雅黑" w:eastAsia="微软雅黑"/>
                <w:sz w:val="21"/>
                <w:szCs w:val="21"/>
              </w:rPr>
              <w:t>3</w:t>
            </w:r>
          </w:p>
        </w:tc>
        <w:tc>
          <w:tcPr>
            <w:tcW w:w="1873" w:type="dxa"/>
            <w:vAlign w:val="center"/>
          </w:tcPr>
          <w:p w14:paraId="77E7E6F5">
            <w:pPr>
              <w:jc w:val="center"/>
              <w:rPr>
                <w:rFonts w:ascii="微软雅黑" w:hAnsi="微软雅黑" w:eastAsia="微软雅黑" w:cs="宋体"/>
                <w:sz w:val="21"/>
                <w:szCs w:val="21"/>
              </w:rPr>
            </w:pPr>
            <w:r>
              <w:rPr>
                <w:rFonts w:hint="eastAsia" w:ascii="微软雅黑" w:hAnsi="微软雅黑" w:eastAsia="微软雅黑"/>
                <w:sz w:val="21"/>
                <w:szCs w:val="21"/>
              </w:rPr>
              <w:t>热熔胶</w:t>
            </w:r>
          </w:p>
        </w:tc>
        <w:tc>
          <w:tcPr>
            <w:tcW w:w="6261" w:type="dxa"/>
            <w:vAlign w:val="center"/>
          </w:tcPr>
          <w:p w14:paraId="5BEA5E20">
            <w:pPr>
              <w:rPr>
                <w:rFonts w:ascii="宋体" w:hAnsi="宋体" w:cs="宋体"/>
                <w:sz w:val="21"/>
                <w:szCs w:val="21"/>
              </w:rPr>
            </w:pPr>
            <w:r>
              <w:rPr>
                <w:rFonts w:hint="eastAsia" w:ascii="宋体" w:hAnsi="宋体" w:cs="宋体"/>
                <w:sz w:val="21"/>
                <w:szCs w:val="21"/>
              </w:rPr>
              <w:t>参照国标、行标：HG/T 4065-2008、GB18583-2008、HJ 2541-2016、GB 33372-2020、HG/T 5989-2021、GB/T 7124-2008、GB/T 17517-1998、GB/T35489-2017、GB/T 32448-2015标准，设立▲参数需求以及▲▲参数需求。</w:t>
            </w:r>
          </w:p>
          <w:p w14:paraId="4076FA2B">
            <w:pPr>
              <w:rPr>
                <w:rFonts w:ascii="宋体" w:hAnsi="宋体" w:cs="宋体"/>
                <w:sz w:val="21"/>
                <w:szCs w:val="21"/>
              </w:rPr>
            </w:pPr>
            <w:r>
              <w:rPr>
                <w:rFonts w:hint="eastAsia" w:ascii="宋体" w:hAnsi="宋体" w:cs="宋体"/>
                <w:sz w:val="21"/>
                <w:szCs w:val="21"/>
              </w:rPr>
              <w:t>▲</w:t>
            </w:r>
            <w:r>
              <w:rPr>
                <w:rFonts w:hint="eastAsia" w:ascii="宋体" w:hAnsi="宋体" w:cs="宋体"/>
                <w:b/>
                <w:bCs/>
                <w:sz w:val="21"/>
                <w:szCs w:val="21"/>
              </w:rPr>
              <w:t>一、</w:t>
            </w:r>
            <w:r>
              <w:rPr>
                <w:rFonts w:hint="eastAsia" w:ascii="宋体" w:hAnsi="宋体" w:cs="宋体"/>
                <w:sz w:val="21"/>
                <w:szCs w:val="21"/>
              </w:rPr>
              <w:t>参数需求：</w:t>
            </w:r>
          </w:p>
          <w:p w14:paraId="5A01F4DD">
            <w:pPr>
              <w:rPr>
                <w:rFonts w:ascii="微软雅黑" w:hAnsi="微软雅黑" w:eastAsia="微软雅黑" w:cs="宋体"/>
                <w:sz w:val="21"/>
                <w:szCs w:val="21"/>
              </w:rPr>
            </w:pPr>
            <w:r>
              <w:rPr>
                <w:rFonts w:hint="eastAsia" w:ascii="微软雅黑" w:hAnsi="微软雅黑" w:eastAsia="微软雅黑" w:cs="宋体"/>
                <w:sz w:val="21"/>
                <w:szCs w:val="21"/>
              </w:rPr>
              <w:t>1、游离甲醛达到未检出、VOC含量≤50g/kg、总挥发性有机物≤20g/kg；</w:t>
            </w:r>
          </w:p>
          <w:p w14:paraId="0EA5D72B">
            <w:pPr>
              <w:rPr>
                <w:rFonts w:ascii="微软雅黑" w:hAnsi="微软雅黑" w:eastAsia="微软雅黑" w:cs="宋体"/>
                <w:sz w:val="21"/>
                <w:szCs w:val="21"/>
              </w:rPr>
            </w:pPr>
            <w:r>
              <w:rPr>
                <w:rFonts w:hint="eastAsia" w:ascii="微软雅黑" w:hAnsi="微软雅黑" w:eastAsia="微软雅黑" w:cs="宋体"/>
                <w:sz w:val="21"/>
                <w:szCs w:val="21"/>
              </w:rPr>
              <w:t xml:space="preserve">2、拉伸剪切强度达到≥0.1MPa； </w:t>
            </w:r>
          </w:p>
          <w:p w14:paraId="7F982450">
            <w:pPr>
              <w:rPr>
                <w:rFonts w:ascii="微软雅黑" w:hAnsi="微软雅黑" w:eastAsia="微软雅黑" w:cs="宋体"/>
                <w:sz w:val="21"/>
                <w:szCs w:val="21"/>
              </w:rPr>
            </w:pPr>
            <w:r>
              <w:rPr>
                <w:rFonts w:hint="eastAsia" w:ascii="微软雅黑" w:hAnsi="微软雅黑" w:eastAsia="微软雅黑" w:cs="宋体"/>
                <w:sz w:val="21"/>
                <w:szCs w:val="21"/>
              </w:rPr>
              <w:t>3、</w:t>
            </w:r>
            <w:bookmarkStart w:id="48" w:name="OLE_LINK11"/>
            <w:r>
              <w:rPr>
                <w:rFonts w:hint="eastAsia" w:ascii="微软雅黑" w:hAnsi="微软雅黑" w:eastAsia="微软雅黑" w:cs="宋体"/>
                <w:sz w:val="21"/>
                <w:szCs w:val="21"/>
              </w:rPr>
              <w:t>压缩剪切强度达到≥1MPa</w:t>
            </w:r>
            <w:bookmarkEnd w:id="48"/>
            <w:r>
              <w:rPr>
                <w:rFonts w:hint="eastAsia" w:ascii="微软雅黑" w:hAnsi="微软雅黑" w:eastAsia="微软雅黑" w:cs="宋体"/>
                <w:sz w:val="21"/>
                <w:szCs w:val="21"/>
              </w:rPr>
              <w:t>；</w:t>
            </w:r>
          </w:p>
          <w:p w14:paraId="036D7418">
            <w:pPr>
              <w:rPr>
                <w:rFonts w:ascii="微软雅黑" w:hAnsi="微软雅黑" w:eastAsia="微软雅黑" w:cs="宋体"/>
                <w:sz w:val="21"/>
                <w:szCs w:val="21"/>
              </w:rPr>
            </w:pPr>
            <w:r>
              <w:rPr>
                <w:rFonts w:hint="eastAsia" w:ascii="微软雅黑" w:hAnsi="微软雅黑" w:eastAsia="微软雅黑" w:cs="宋体"/>
                <w:sz w:val="21"/>
                <w:szCs w:val="21"/>
              </w:rPr>
              <w:t>4、热老化-干热老化180h-老化后无目视可见的破坏现象（无明显变化）；</w:t>
            </w:r>
          </w:p>
          <w:p w14:paraId="274AE0A3">
            <w:pPr>
              <w:rPr>
                <w:rFonts w:ascii="微软雅黑" w:hAnsi="微软雅黑" w:eastAsia="微软雅黑" w:cs="宋体"/>
                <w:sz w:val="21"/>
                <w:szCs w:val="21"/>
              </w:rPr>
            </w:pPr>
            <w:r>
              <w:rPr>
                <w:rFonts w:hint="eastAsia" w:ascii="微软雅黑" w:hAnsi="微软雅黑" w:eastAsia="微软雅黑" w:cs="宋体"/>
                <w:sz w:val="21"/>
                <w:szCs w:val="21"/>
              </w:rPr>
              <w:t>5、邻苯18项（总量限值）≤500mg/kg、有机锡10项不得检出；</w:t>
            </w:r>
          </w:p>
          <w:p w14:paraId="00A35EA2">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1C46CC15">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1、VOC含量≤10g/kg、总挥发性有机物≤5g/kg；</w:t>
            </w:r>
          </w:p>
          <w:p w14:paraId="6346B316">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2、热老化-干热老化360h-老化后无目视可见的破坏现象（无明显变化）；</w:t>
            </w:r>
          </w:p>
          <w:p w14:paraId="1DF93FF3">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3、邻苯18项（总量限值）未检出；</w:t>
            </w:r>
          </w:p>
          <w:p w14:paraId="49434656">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4、可溶性重金属：铅、铬、镉、汞、砷均未检出。</w:t>
            </w:r>
          </w:p>
        </w:tc>
      </w:tr>
      <w:tr w14:paraId="3BEA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0B03E7F2">
            <w:pPr>
              <w:jc w:val="center"/>
              <w:rPr>
                <w:rFonts w:ascii="微软雅黑" w:hAnsi="微软雅黑" w:eastAsia="微软雅黑" w:cs="宋体"/>
                <w:sz w:val="21"/>
                <w:szCs w:val="21"/>
              </w:rPr>
            </w:pPr>
            <w:r>
              <w:rPr>
                <w:rFonts w:hint="eastAsia" w:ascii="微软雅黑" w:hAnsi="微软雅黑" w:eastAsia="微软雅黑"/>
                <w:sz w:val="21"/>
                <w:szCs w:val="21"/>
              </w:rPr>
              <w:t>4</w:t>
            </w:r>
          </w:p>
        </w:tc>
        <w:tc>
          <w:tcPr>
            <w:tcW w:w="1873" w:type="dxa"/>
            <w:vAlign w:val="center"/>
          </w:tcPr>
          <w:p w14:paraId="0BB7AC37">
            <w:pPr>
              <w:jc w:val="center"/>
              <w:rPr>
                <w:rFonts w:ascii="微软雅黑" w:hAnsi="微软雅黑" w:eastAsia="微软雅黑" w:cs="宋体"/>
                <w:sz w:val="21"/>
                <w:szCs w:val="21"/>
              </w:rPr>
            </w:pPr>
            <w:r>
              <w:rPr>
                <w:rFonts w:hint="eastAsia" w:ascii="微软雅黑" w:hAnsi="微软雅黑" w:eastAsia="微软雅黑"/>
                <w:sz w:val="21"/>
                <w:szCs w:val="21"/>
              </w:rPr>
              <w:t>水性喷胶</w:t>
            </w:r>
          </w:p>
        </w:tc>
        <w:tc>
          <w:tcPr>
            <w:tcW w:w="6261" w:type="dxa"/>
            <w:vAlign w:val="center"/>
          </w:tcPr>
          <w:p w14:paraId="4CD96691">
            <w:pPr>
              <w:rPr>
                <w:rFonts w:ascii="宋体" w:hAnsi="宋体" w:cs="宋体"/>
                <w:b/>
                <w:bCs/>
                <w:sz w:val="21"/>
                <w:szCs w:val="21"/>
              </w:rPr>
            </w:pPr>
            <w:r>
              <w:rPr>
                <w:rFonts w:hint="eastAsia" w:ascii="宋体" w:hAnsi="宋体" w:cs="宋体"/>
                <w:sz w:val="21"/>
                <w:szCs w:val="21"/>
              </w:rPr>
              <w:t>参照国标、行标：HG/T 4065-2008、GB18583-2008、GB/T 14518-1993、HG/T2727-2010、HJ 2541-2016、GB 33372-2020、GB/T 35489-2017、GB/T 21604-2022标准，设立▲参数需求以及▲▲参数需求。</w:t>
            </w:r>
          </w:p>
          <w:p w14:paraId="5D76C41B">
            <w:pPr>
              <w:rPr>
                <w:rFonts w:ascii="宋体" w:hAnsi="宋体" w:cs="宋体"/>
                <w:sz w:val="21"/>
                <w:szCs w:val="21"/>
              </w:rPr>
            </w:pPr>
            <w:r>
              <w:rPr>
                <w:rFonts w:hint="eastAsia" w:ascii="宋体" w:hAnsi="宋体" w:cs="宋体"/>
                <w:sz w:val="21"/>
                <w:szCs w:val="21"/>
              </w:rPr>
              <w:t>▲</w:t>
            </w:r>
            <w:r>
              <w:rPr>
                <w:rFonts w:hint="eastAsia" w:ascii="宋体" w:hAnsi="宋体" w:cs="宋体"/>
                <w:b/>
                <w:bCs/>
                <w:sz w:val="21"/>
                <w:szCs w:val="21"/>
              </w:rPr>
              <w:t>一、</w:t>
            </w:r>
            <w:r>
              <w:rPr>
                <w:rFonts w:hint="eastAsia" w:ascii="宋体" w:hAnsi="宋体" w:cs="宋体"/>
                <w:sz w:val="21"/>
                <w:szCs w:val="21"/>
              </w:rPr>
              <w:t>参数需求：</w:t>
            </w:r>
          </w:p>
          <w:p w14:paraId="45FF47D2">
            <w:pPr>
              <w:rPr>
                <w:rFonts w:ascii="微软雅黑" w:hAnsi="微软雅黑" w:eastAsia="微软雅黑" w:cs="宋体"/>
                <w:sz w:val="21"/>
                <w:szCs w:val="21"/>
              </w:rPr>
            </w:pPr>
            <w:r>
              <w:rPr>
                <w:rFonts w:hint="eastAsia" w:ascii="微软雅黑" w:hAnsi="微软雅黑" w:eastAsia="微软雅黑" w:cs="宋体"/>
                <w:sz w:val="21"/>
                <w:szCs w:val="21"/>
              </w:rPr>
              <w:t>1、游离甲醛≤1.0g/kg、总挥发性有机物达到≤110g/L）、VOC含量≤100g/L；</w:t>
            </w:r>
          </w:p>
          <w:p w14:paraId="306029B3">
            <w:pPr>
              <w:rPr>
                <w:rFonts w:ascii="微软雅黑" w:hAnsi="微软雅黑" w:eastAsia="微软雅黑" w:cs="宋体"/>
                <w:sz w:val="21"/>
                <w:szCs w:val="21"/>
              </w:rPr>
            </w:pPr>
            <w:r>
              <w:rPr>
                <w:rFonts w:hint="eastAsia" w:ascii="微软雅黑" w:hAnsi="微软雅黑" w:eastAsia="微软雅黑" w:cs="宋体"/>
                <w:sz w:val="21"/>
                <w:szCs w:val="21"/>
              </w:rPr>
              <w:t>2、热老化-干热老化180h-老化后无目视可见的破坏现象（无明显变化）；</w:t>
            </w:r>
          </w:p>
          <w:p w14:paraId="33F902C4">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43D62ACF">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1、游离甲醛未检出、总挥发性有机物达到≤10g/L、VOC含量未检出。</w:t>
            </w:r>
          </w:p>
          <w:p w14:paraId="670AEAC7">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2、急性皮肤刺激性/腐蚀性试验达到无刺激性。</w:t>
            </w:r>
          </w:p>
          <w:p w14:paraId="5B857069">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3、热老化-干热老化360h-老化后无目视可见的破坏现象（无明显变化）；</w:t>
            </w:r>
          </w:p>
        </w:tc>
      </w:tr>
      <w:tr w14:paraId="7323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24D4E023">
            <w:pPr>
              <w:jc w:val="center"/>
              <w:rPr>
                <w:rFonts w:ascii="微软雅黑" w:hAnsi="微软雅黑" w:eastAsia="微软雅黑" w:cs="宋体"/>
                <w:sz w:val="21"/>
                <w:szCs w:val="21"/>
              </w:rPr>
            </w:pPr>
            <w:r>
              <w:rPr>
                <w:rFonts w:hint="eastAsia" w:ascii="微软雅黑" w:hAnsi="微软雅黑" w:eastAsia="微软雅黑"/>
                <w:sz w:val="21"/>
                <w:szCs w:val="21"/>
              </w:rPr>
              <w:t>5</w:t>
            </w:r>
          </w:p>
        </w:tc>
        <w:tc>
          <w:tcPr>
            <w:tcW w:w="1873" w:type="dxa"/>
            <w:vAlign w:val="center"/>
          </w:tcPr>
          <w:p w14:paraId="12CC9157">
            <w:pPr>
              <w:jc w:val="center"/>
              <w:rPr>
                <w:rFonts w:ascii="微软雅黑" w:hAnsi="微软雅黑" w:eastAsia="微软雅黑"/>
                <w:sz w:val="21"/>
                <w:szCs w:val="21"/>
              </w:rPr>
            </w:pPr>
            <w:r>
              <w:rPr>
                <w:rFonts w:hint="eastAsia" w:ascii="微软雅黑" w:hAnsi="微软雅黑" w:eastAsia="微软雅黑"/>
                <w:sz w:val="21"/>
                <w:szCs w:val="21"/>
              </w:rPr>
              <w:t xml:space="preserve">人造革      </w:t>
            </w:r>
          </w:p>
          <w:p w14:paraId="640C8065">
            <w:pPr>
              <w:jc w:val="center"/>
              <w:rPr>
                <w:rFonts w:ascii="微软雅黑" w:hAnsi="微软雅黑" w:eastAsia="微软雅黑" w:cs="宋体"/>
                <w:sz w:val="21"/>
                <w:szCs w:val="21"/>
              </w:rPr>
            </w:pPr>
            <w:r>
              <w:rPr>
                <w:rFonts w:hint="eastAsia" w:ascii="微软雅黑" w:hAnsi="微软雅黑" w:eastAsia="微软雅黑"/>
                <w:sz w:val="21"/>
                <w:szCs w:val="21"/>
              </w:rPr>
              <w:t>（西皮）</w:t>
            </w:r>
          </w:p>
        </w:tc>
        <w:tc>
          <w:tcPr>
            <w:tcW w:w="6261" w:type="dxa"/>
            <w:vAlign w:val="center"/>
          </w:tcPr>
          <w:p w14:paraId="59D98FCE">
            <w:pPr>
              <w:rPr>
                <w:rFonts w:ascii="宋体" w:hAnsi="宋体" w:cs="宋体"/>
                <w:sz w:val="21"/>
                <w:szCs w:val="21"/>
              </w:rPr>
            </w:pPr>
            <w:r>
              <w:rPr>
                <w:rFonts w:hint="eastAsia" w:ascii="宋体" w:hAnsi="宋体" w:cs="宋体"/>
                <w:sz w:val="21"/>
                <w:szCs w:val="21"/>
              </w:rPr>
              <w:t>参照国标、行标：GB/T 16799-2018、 GB/T 19941.1-2019、 HJ 507-2009、GB/T 22808-2021、 GB 17927-2024、QB/T 5253.1-2018、 QB/T 4199-2011、 QB/T 4371-2012、GB21550-2008、 GB/T 4745-2012、 GB/T 30398-2013、 WS/T 650-2019、 QB/T 4671-2014、 QB/T 4672-2014标准，设立▲参数需求以及▲▲参数需求。</w:t>
            </w:r>
          </w:p>
          <w:p w14:paraId="6CEA7EAC">
            <w:pPr>
              <w:rPr>
                <w:rFonts w:ascii="宋体" w:hAnsi="宋体" w:cs="宋体"/>
                <w:sz w:val="21"/>
                <w:szCs w:val="21"/>
              </w:rPr>
            </w:pPr>
            <w:r>
              <w:rPr>
                <w:rFonts w:hint="eastAsia" w:ascii="宋体" w:hAnsi="宋体" w:cs="宋体"/>
                <w:sz w:val="21"/>
                <w:szCs w:val="21"/>
              </w:rPr>
              <w:t>▲</w:t>
            </w:r>
            <w:r>
              <w:rPr>
                <w:rFonts w:hint="eastAsia" w:ascii="宋体" w:hAnsi="宋体" w:cs="宋体"/>
                <w:b/>
                <w:bCs/>
                <w:sz w:val="21"/>
                <w:szCs w:val="21"/>
              </w:rPr>
              <w:t>一、</w:t>
            </w:r>
            <w:r>
              <w:rPr>
                <w:rFonts w:hint="eastAsia" w:ascii="宋体" w:hAnsi="宋体" w:cs="宋体"/>
                <w:sz w:val="21"/>
                <w:szCs w:val="21"/>
              </w:rPr>
              <w:t>参数需求：</w:t>
            </w:r>
          </w:p>
          <w:p w14:paraId="37C8231D">
            <w:pPr>
              <w:rPr>
                <w:rFonts w:ascii="微软雅黑" w:hAnsi="微软雅黑" w:eastAsia="微软雅黑" w:cs="宋体"/>
                <w:sz w:val="21"/>
                <w:szCs w:val="21"/>
              </w:rPr>
            </w:pPr>
            <w:r>
              <w:rPr>
                <w:rFonts w:hint="eastAsia" w:ascii="微软雅黑" w:hAnsi="微软雅黑" w:eastAsia="微软雅黑" w:cs="宋体"/>
                <w:sz w:val="21"/>
                <w:szCs w:val="21"/>
              </w:rPr>
              <w:t>1、游离甲醛≤75mg/kg、挥发性有机物(VOC) ≤150mg/kg；</w:t>
            </w:r>
          </w:p>
          <w:p w14:paraId="210E1203">
            <w:pPr>
              <w:rPr>
                <w:rFonts w:ascii="微软雅黑" w:hAnsi="微软雅黑" w:eastAsia="微软雅黑" w:cs="宋体"/>
                <w:sz w:val="21"/>
                <w:szCs w:val="21"/>
              </w:rPr>
            </w:pPr>
            <w:r>
              <w:rPr>
                <w:rFonts w:hint="eastAsia" w:ascii="微软雅黑" w:hAnsi="微软雅黑" w:eastAsia="微软雅黑" w:cs="宋体"/>
                <w:sz w:val="21"/>
                <w:szCs w:val="21"/>
              </w:rPr>
              <w:t>2、理化性能-耐折牢度(50000次)达到无裂纹；</w:t>
            </w:r>
          </w:p>
          <w:p w14:paraId="088FA3BF">
            <w:pPr>
              <w:rPr>
                <w:rFonts w:ascii="宋体" w:hAnsi="宋体" w:eastAsia="微软雅黑" w:cs="宋体"/>
                <w:sz w:val="21"/>
                <w:szCs w:val="21"/>
              </w:rPr>
            </w:pPr>
            <w:r>
              <w:rPr>
                <w:rFonts w:hint="eastAsia" w:ascii="微软雅黑" w:hAnsi="微软雅黑" w:eastAsia="微软雅黑" w:cs="宋体"/>
                <w:sz w:val="21"/>
                <w:szCs w:val="21"/>
              </w:rPr>
              <w:t>3、产品中有害物质限值-邻苯基苯酚(OPP)-A类达到≤0.5mg/kg。</w:t>
            </w:r>
          </w:p>
          <w:p w14:paraId="00E9048F">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5FF06B31">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1、游离甲醛未检出、挥发性有机物(VOC未检出；</w:t>
            </w:r>
          </w:p>
          <w:p w14:paraId="691845A9">
            <w:pPr>
              <w:rPr>
                <w:rFonts w:ascii="微软雅黑" w:hAnsi="微软雅黑" w:eastAsia="微软雅黑" w:cs="宋体"/>
                <w:sz w:val="21"/>
                <w:szCs w:val="21"/>
              </w:rPr>
            </w:pPr>
            <w:r>
              <w:rPr>
                <w:rFonts w:hint="eastAsia" w:ascii="宋体" w:hAnsi="宋体" w:cs="宋体"/>
                <w:sz w:val="21"/>
                <w:szCs w:val="21"/>
              </w:rPr>
              <w:t>▲▲2、</w:t>
            </w:r>
            <w:r>
              <w:rPr>
                <w:rFonts w:hint="eastAsia" w:ascii="微软雅黑" w:hAnsi="微软雅黑" w:eastAsia="微软雅黑" w:cs="宋体"/>
                <w:sz w:val="21"/>
                <w:szCs w:val="21"/>
              </w:rPr>
              <w:t>致敏性分散染料达到未检出；</w:t>
            </w:r>
          </w:p>
          <w:p w14:paraId="6A5B2723">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3、其他挥发物限量≤5g/m²；</w:t>
            </w:r>
          </w:p>
          <w:p w14:paraId="156DD175">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4、含氯苯酚含量-含氯苯酚(CP)达到未检出；</w:t>
            </w:r>
          </w:p>
          <w:p w14:paraId="11A082C6">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5、产品中有害物质限值-邻苯基苯酚(OPP)-A类达到未检出。</w:t>
            </w:r>
          </w:p>
        </w:tc>
      </w:tr>
      <w:tr w14:paraId="6E27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29D751C4">
            <w:pPr>
              <w:jc w:val="center"/>
              <w:rPr>
                <w:rFonts w:ascii="微软雅黑" w:hAnsi="微软雅黑" w:eastAsia="微软雅黑" w:cs="宋体"/>
                <w:sz w:val="21"/>
                <w:szCs w:val="21"/>
              </w:rPr>
            </w:pPr>
            <w:r>
              <w:rPr>
                <w:rFonts w:hint="eastAsia" w:ascii="微软雅黑" w:hAnsi="微软雅黑" w:eastAsia="微软雅黑"/>
                <w:sz w:val="21"/>
                <w:szCs w:val="21"/>
              </w:rPr>
              <w:t>6</w:t>
            </w:r>
          </w:p>
        </w:tc>
        <w:tc>
          <w:tcPr>
            <w:tcW w:w="1873" w:type="dxa"/>
            <w:vAlign w:val="center"/>
          </w:tcPr>
          <w:p w14:paraId="00B4B811">
            <w:pPr>
              <w:jc w:val="center"/>
              <w:rPr>
                <w:rFonts w:ascii="微软雅黑" w:hAnsi="微软雅黑" w:eastAsia="微软雅黑" w:cs="宋体"/>
                <w:sz w:val="21"/>
                <w:szCs w:val="21"/>
              </w:rPr>
            </w:pPr>
            <w:r>
              <w:rPr>
                <w:rFonts w:hint="eastAsia" w:ascii="微软雅黑" w:hAnsi="微软雅黑" w:eastAsia="微软雅黑"/>
                <w:sz w:val="21"/>
                <w:szCs w:val="21"/>
              </w:rPr>
              <w:t>气压棒</w:t>
            </w:r>
          </w:p>
        </w:tc>
        <w:tc>
          <w:tcPr>
            <w:tcW w:w="6261" w:type="dxa"/>
            <w:vAlign w:val="center"/>
          </w:tcPr>
          <w:p w14:paraId="5B3C62DD">
            <w:pPr>
              <w:rPr>
                <w:rFonts w:ascii="宋体" w:hAnsi="宋体" w:cs="宋体"/>
                <w:sz w:val="21"/>
                <w:szCs w:val="21"/>
              </w:rPr>
            </w:pPr>
            <w:r>
              <w:rPr>
                <w:rFonts w:hint="eastAsia" w:ascii="宋体" w:hAnsi="宋体" w:cs="宋体"/>
                <w:sz w:val="21"/>
                <w:szCs w:val="21"/>
              </w:rPr>
              <w:t>参照国标、行标：GB/T 4337-2015、 GB/T 2423.34-2024、 GB/T 29525-2013、 QB/T 2280-2016、 GB/T 3325-2024、QB/T 4371-2012、GB/T 1741-2020、QB/T 3826-1999、 QB/T 3832-1999、 GB/T 6461-2002、QB/T 3827-1999、 QB/T 3828-1999、 GB/T 10125-2021、 GB/T 28416-2012、 JB/T 7901-2023、 JB/T 13755-2020、GB/T 25750-2010标准，设立▲参数需求以及▲▲参数需求。</w:t>
            </w:r>
          </w:p>
          <w:p w14:paraId="180EABAC">
            <w:pPr>
              <w:rPr>
                <w:rFonts w:ascii="宋体" w:hAnsi="宋体" w:cs="宋体"/>
                <w:sz w:val="21"/>
                <w:szCs w:val="21"/>
              </w:rPr>
            </w:pPr>
            <w:r>
              <w:rPr>
                <w:rFonts w:hint="eastAsia" w:ascii="宋体" w:hAnsi="宋体" w:cs="宋体"/>
                <w:sz w:val="21"/>
                <w:szCs w:val="21"/>
              </w:rPr>
              <w:t>▲</w:t>
            </w:r>
            <w:r>
              <w:rPr>
                <w:rFonts w:hint="eastAsia" w:ascii="宋体" w:hAnsi="宋体" w:cs="宋体"/>
                <w:b/>
                <w:bCs/>
                <w:sz w:val="21"/>
                <w:szCs w:val="21"/>
              </w:rPr>
              <w:t>一、</w:t>
            </w:r>
            <w:r>
              <w:rPr>
                <w:rFonts w:hint="eastAsia" w:ascii="宋体" w:hAnsi="宋体" w:cs="宋体"/>
                <w:sz w:val="21"/>
                <w:szCs w:val="21"/>
              </w:rPr>
              <w:t>参数需求：</w:t>
            </w:r>
          </w:p>
          <w:p w14:paraId="2C5D95FB">
            <w:pPr>
              <w:rPr>
                <w:rFonts w:ascii="微软雅黑" w:hAnsi="微软雅黑" w:eastAsia="微软雅黑" w:cs="宋体"/>
                <w:sz w:val="21"/>
                <w:szCs w:val="21"/>
              </w:rPr>
            </w:pPr>
            <w:r>
              <w:rPr>
                <w:rFonts w:hint="eastAsia" w:ascii="微软雅黑" w:hAnsi="微软雅黑" w:eastAsia="微软雅黑" w:cs="宋体"/>
                <w:sz w:val="21"/>
                <w:szCs w:val="21"/>
              </w:rPr>
              <w:t>1、中性盐雾试验连续喷雾360h镀（涂）层对基体的保护等级10级、乙酸盐雾试验连续喷雾360h镀（涂）层对基体的保护等级10级、铜盐加速乙酸盐雾试验连续喷雾360h镀（涂）层对基体的保护等级10级、铜加速乙酸盐雾试验连续喷雾360h镀（涂）层对基体的保护等级10级；</w:t>
            </w:r>
          </w:p>
          <w:p w14:paraId="00F4E249">
            <w:pPr>
              <w:rPr>
                <w:rFonts w:ascii="微软雅黑" w:hAnsi="微软雅黑" w:eastAsia="微软雅黑" w:cs="宋体"/>
                <w:sz w:val="21"/>
                <w:szCs w:val="21"/>
              </w:rPr>
            </w:pPr>
            <w:r>
              <w:rPr>
                <w:rFonts w:hint="eastAsia" w:ascii="微软雅黑" w:hAnsi="微软雅黑" w:eastAsia="微软雅黑" w:cs="宋体"/>
                <w:sz w:val="21"/>
                <w:szCs w:val="21"/>
              </w:rPr>
              <w:t>2、耐腐蚀性能气弹簧立筒涂层经96h中性盐雾试验后,其简身表面不得有起泡、脱皮和腐蚀缺陷；</w:t>
            </w:r>
          </w:p>
          <w:p w14:paraId="60F9C824">
            <w:pPr>
              <w:rPr>
                <w:rFonts w:ascii="微软雅黑" w:hAnsi="微软雅黑" w:eastAsia="微软雅黑" w:cs="宋体"/>
                <w:sz w:val="21"/>
                <w:szCs w:val="21"/>
              </w:rPr>
            </w:pPr>
            <w:r>
              <w:rPr>
                <w:rFonts w:hint="eastAsia" w:ascii="微软雅黑" w:hAnsi="微软雅黑" w:eastAsia="微软雅黑" w:cs="宋体"/>
                <w:sz w:val="21"/>
                <w:szCs w:val="21"/>
              </w:rPr>
              <w:t>3、旋转弯曲疲劳测试（循环周次500000次）样品未断裂；</w:t>
            </w:r>
          </w:p>
          <w:p w14:paraId="1055CBA8">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3A40CFE9">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1、交替暴露在腐蚀性气体、中性盐雾及干燥环境中的加速腐蚀试验168h测试后，目视检查样品表面无腐蚀生锈等现象；</w:t>
            </w:r>
          </w:p>
          <w:p w14:paraId="55A01543">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2、旋转弯曲疲劳测试（循环周次2000000次）样品未断裂；</w:t>
            </w:r>
          </w:p>
          <w:p w14:paraId="7B449C9D">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3温度/湿度组合循环试验（360h）试验后，试样表面无开裂；</w:t>
            </w:r>
          </w:p>
        </w:tc>
      </w:tr>
      <w:tr w14:paraId="27B6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6DF89E7C">
            <w:pPr>
              <w:jc w:val="center"/>
              <w:rPr>
                <w:rFonts w:ascii="微软雅黑" w:hAnsi="微软雅黑" w:eastAsia="微软雅黑" w:cs="宋体"/>
                <w:sz w:val="21"/>
                <w:szCs w:val="21"/>
              </w:rPr>
            </w:pPr>
            <w:r>
              <w:rPr>
                <w:rFonts w:hint="eastAsia" w:ascii="微软雅黑" w:hAnsi="微软雅黑" w:eastAsia="微软雅黑"/>
                <w:sz w:val="21"/>
                <w:szCs w:val="21"/>
              </w:rPr>
              <w:t>7</w:t>
            </w:r>
          </w:p>
        </w:tc>
        <w:tc>
          <w:tcPr>
            <w:tcW w:w="1873" w:type="dxa"/>
            <w:vAlign w:val="center"/>
          </w:tcPr>
          <w:p w14:paraId="0D0B5B72">
            <w:pPr>
              <w:jc w:val="center"/>
              <w:rPr>
                <w:rFonts w:ascii="微软雅黑" w:hAnsi="微软雅黑" w:eastAsia="微软雅黑" w:cs="宋体"/>
                <w:sz w:val="21"/>
                <w:szCs w:val="21"/>
              </w:rPr>
            </w:pPr>
            <w:r>
              <w:rPr>
                <w:rFonts w:hint="eastAsia" w:ascii="微软雅黑" w:hAnsi="微软雅黑" w:eastAsia="微软雅黑"/>
                <w:sz w:val="21"/>
                <w:szCs w:val="21"/>
              </w:rPr>
              <w:t>麻绒面料</w:t>
            </w:r>
          </w:p>
        </w:tc>
        <w:tc>
          <w:tcPr>
            <w:tcW w:w="6261" w:type="dxa"/>
            <w:vAlign w:val="center"/>
          </w:tcPr>
          <w:p w14:paraId="5A38FF1A">
            <w:pPr>
              <w:rPr>
                <w:rFonts w:ascii="宋体" w:hAnsi="宋体" w:cs="宋体"/>
                <w:sz w:val="21"/>
                <w:szCs w:val="21"/>
              </w:rPr>
            </w:pPr>
            <w:r>
              <w:rPr>
                <w:rFonts w:hint="eastAsia" w:ascii="宋体" w:hAnsi="宋体" w:cs="宋体"/>
                <w:sz w:val="21"/>
                <w:szCs w:val="21"/>
              </w:rPr>
              <w:t>参照国标、行标：GB18401-2010、GB/T40904-2021、GB/T20944.2-2007、GB17927-2024、GB/T30159.1-2013、GB/T21196.2-2007、GB/T19976-2005、GB/T5453-1997、GB/T24253-2009、QB/T4371-2012、GB/T20384-2024、WS/T650-2019、GB/T19977-2014、GB/T12703.1-2021、GB/T24346-2009、GB/T16991-2008、GB/T30157-2013、GB/T18885-2020、GB/T18886-2019标准，设立▲参数需求以及▲▲参数需求。</w:t>
            </w:r>
          </w:p>
          <w:p w14:paraId="348740A3">
            <w:pPr>
              <w:rPr>
                <w:rFonts w:ascii="宋体" w:hAnsi="宋体" w:cs="宋体"/>
                <w:sz w:val="21"/>
                <w:szCs w:val="21"/>
              </w:rPr>
            </w:pPr>
            <w:r>
              <w:rPr>
                <w:rFonts w:hint="eastAsia" w:ascii="宋体" w:hAnsi="宋体" w:cs="宋体"/>
                <w:sz w:val="21"/>
                <w:szCs w:val="21"/>
              </w:rPr>
              <w:t>▲</w:t>
            </w:r>
            <w:r>
              <w:rPr>
                <w:rFonts w:hint="eastAsia" w:ascii="宋体" w:hAnsi="宋体" w:cs="宋体"/>
                <w:b/>
                <w:bCs/>
                <w:sz w:val="21"/>
                <w:szCs w:val="21"/>
              </w:rPr>
              <w:t>一、</w:t>
            </w:r>
            <w:r>
              <w:rPr>
                <w:rFonts w:hint="eastAsia" w:ascii="宋体" w:hAnsi="宋体" w:cs="宋体"/>
                <w:sz w:val="21"/>
                <w:szCs w:val="21"/>
              </w:rPr>
              <w:t>参数需求：</w:t>
            </w:r>
          </w:p>
          <w:p w14:paraId="4F4BC1FB">
            <w:pPr>
              <w:rPr>
                <w:rFonts w:ascii="微软雅黑" w:hAnsi="微软雅黑" w:eastAsia="微软雅黑" w:cs="宋体"/>
                <w:sz w:val="21"/>
                <w:szCs w:val="21"/>
              </w:rPr>
            </w:pPr>
            <w:r>
              <w:rPr>
                <w:rFonts w:hint="eastAsia" w:ascii="微软雅黑" w:hAnsi="微软雅黑" w:eastAsia="微软雅黑" w:cs="宋体"/>
                <w:sz w:val="21"/>
                <w:szCs w:val="21"/>
              </w:rPr>
              <w:t>1、甲醛含量≤20mg/kg、可分解致癌芳香胺染料未检出；</w:t>
            </w:r>
          </w:p>
          <w:p w14:paraId="094E5CE8">
            <w:pPr>
              <w:rPr>
                <w:rFonts w:ascii="微软雅黑" w:hAnsi="微软雅黑" w:eastAsia="微软雅黑" w:cs="宋体"/>
                <w:sz w:val="21"/>
                <w:szCs w:val="21"/>
              </w:rPr>
            </w:pPr>
            <w:r>
              <w:rPr>
                <w:rFonts w:hint="eastAsia" w:ascii="微软雅黑" w:hAnsi="微软雅黑" w:eastAsia="微软雅黑" w:cs="宋体"/>
                <w:sz w:val="21"/>
                <w:szCs w:val="21"/>
              </w:rPr>
              <w:t>2、阻燃性能安全技术要求-阻燃等级-阻燃I级合格；</w:t>
            </w:r>
          </w:p>
          <w:p w14:paraId="1CA72412">
            <w:pPr>
              <w:rPr>
                <w:rFonts w:ascii="微软雅黑" w:hAnsi="微软雅黑" w:eastAsia="微软雅黑" w:cs="宋体"/>
                <w:sz w:val="21"/>
                <w:szCs w:val="21"/>
              </w:rPr>
            </w:pPr>
            <w:r>
              <w:rPr>
                <w:rFonts w:hint="eastAsia" w:ascii="微软雅黑" w:hAnsi="微软雅黑" w:eastAsia="微软雅黑" w:cs="宋体"/>
                <w:sz w:val="21"/>
                <w:szCs w:val="21"/>
              </w:rPr>
              <w:t>3、透气率≥70mm/s；</w:t>
            </w:r>
          </w:p>
          <w:p w14:paraId="2378E72C">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7E2E1DB1">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1、甲醛含量未检出；</w:t>
            </w:r>
          </w:p>
          <w:p w14:paraId="0C4B4009">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2、静电性能半衰期≤10s，抗静电性能优异；</w:t>
            </w:r>
          </w:p>
          <w:p w14:paraId="25F9D482">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w:t>
            </w:r>
            <w:bookmarkStart w:id="49" w:name="OLE_LINK16"/>
            <w:r>
              <w:rPr>
                <w:rFonts w:hint="eastAsia" w:ascii="微软雅黑" w:hAnsi="微软雅黑" w:eastAsia="微软雅黑" w:cs="宋体"/>
                <w:sz w:val="21"/>
                <w:szCs w:val="21"/>
              </w:rPr>
              <w:t>拒油等级达到5级，具有较好的拒油性能；</w:t>
            </w:r>
            <w:bookmarkEnd w:id="49"/>
          </w:p>
          <w:p w14:paraId="6D55FD61">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4、氯化苯和氯化甲苯类化合物未检出；</w:t>
            </w:r>
          </w:p>
          <w:p w14:paraId="4931DDD9">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5、防螨性能-驱避率≥90%（样品具有较强的防螨效果）；</w:t>
            </w:r>
          </w:p>
        </w:tc>
      </w:tr>
      <w:tr w14:paraId="2CB6D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429F7CF7">
            <w:pPr>
              <w:jc w:val="center"/>
              <w:rPr>
                <w:rFonts w:ascii="微软雅黑" w:hAnsi="微软雅黑" w:eastAsia="微软雅黑" w:cs="宋体"/>
                <w:sz w:val="21"/>
                <w:szCs w:val="21"/>
              </w:rPr>
            </w:pPr>
            <w:r>
              <w:rPr>
                <w:rFonts w:hint="eastAsia" w:ascii="微软雅黑" w:hAnsi="微软雅黑" w:eastAsia="微软雅黑"/>
                <w:sz w:val="21"/>
                <w:szCs w:val="21"/>
              </w:rPr>
              <w:t>8</w:t>
            </w:r>
          </w:p>
        </w:tc>
        <w:tc>
          <w:tcPr>
            <w:tcW w:w="1873" w:type="dxa"/>
            <w:vAlign w:val="center"/>
          </w:tcPr>
          <w:p w14:paraId="60221C8C">
            <w:pPr>
              <w:jc w:val="center"/>
              <w:rPr>
                <w:rFonts w:ascii="微软雅黑" w:hAnsi="微软雅黑" w:eastAsia="微软雅黑" w:cs="宋体"/>
                <w:sz w:val="21"/>
                <w:szCs w:val="21"/>
              </w:rPr>
            </w:pPr>
            <w:r>
              <w:rPr>
                <w:rFonts w:hint="eastAsia" w:ascii="微软雅黑" w:hAnsi="微软雅黑" w:eastAsia="微软雅黑"/>
                <w:sz w:val="21"/>
                <w:szCs w:val="21"/>
              </w:rPr>
              <w:t>水性漆</w:t>
            </w:r>
          </w:p>
        </w:tc>
        <w:tc>
          <w:tcPr>
            <w:tcW w:w="6261" w:type="dxa"/>
            <w:vAlign w:val="center"/>
          </w:tcPr>
          <w:p w14:paraId="4FB66947">
            <w:pPr>
              <w:rPr>
                <w:rFonts w:ascii="宋体" w:hAnsi="宋体" w:cs="宋体"/>
                <w:sz w:val="21"/>
                <w:szCs w:val="21"/>
              </w:rPr>
            </w:pPr>
            <w:r>
              <w:rPr>
                <w:rFonts w:hint="eastAsia" w:ascii="宋体" w:hAnsi="宋体" w:cs="宋体"/>
                <w:sz w:val="21"/>
                <w:szCs w:val="21"/>
              </w:rPr>
              <w:t>参照国标、行标：GB18581-2020、HJ2537-2014、GB/T23999-2009、GB/T35602-2017、JC/T1074-2021、GB/T21866-2008、HG/T3950-2007、GB/T9751.1-2008、GB/T31591-2015、GB/T21604-2022、WS/T650-2019标准，设立▲参数需求以及▲▲参数需求。</w:t>
            </w:r>
          </w:p>
          <w:p w14:paraId="08FAEE56">
            <w:pPr>
              <w:rPr>
                <w:rFonts w:ascii="宋体" w:hAnsi="宋体" w:cs="宋体"/>
                <w:sz w:val="21"/>
                <w:szCs w:val="21"/>
              </w:rPr>
            </w:pPr>
            <w:r>
              <w:rPr>
                <w:rFonts w:hint="eastAsia" w:ascii="宋体" w:hAnsi="宋体" w:cs="宋体"/>
                <w:sz w:val="21"/>
                <w:szCs w:val="21"/>
              </w:rPr>
              <w:t>▲一、参数需求：</w:t>
            </w:r>
          </w:p>
          <w:p w14:paraId="0D367A52">
            <w:pPr>
              <w:rPr>
                <w:rFonts w:ascii="微软雅黑" w:hAnsi="微软雅黑" w:eastAsia="微软雅黑" w:cs="宋体"/>
                <w:sz w:val="21"/>
                <w:szCs w:val="21"/>
              </w:rPr>
            </w:pPr>
            <w:r>
              <w:rPr>
                <w:rFonts w:hint="eastAsia" w:ascii="微软雅黑" w:hAnsi="微软雅黑" w:eastAsia="微软雅黑" w:cs="宋体"/>
                <w:sz w:val="21"/>
                <w:szCs w:val="21"/>
              </w:rPr>
              <w:t>1、甲醛含量≤100mg/kg 、VOC含量≤250g/L；</w:t>
            </w:r>
          </w:p>
          <w:p w14:paraId="281FB752">
            <w:pPr>
              <w:rPr>
                <w:rFonts w:ascii="微软雅黑" w:hAnsi="微软雅黑" w:eastAsia="微软雅黑" w:cs="宋体"/>
                <w:sz w:val="21"/>
                <w:szCs w:val="21"/>
              </w:rPr>
            </w:pPr>
            <w:r>
              <w:rPr>
                <w:rFonts w:hint="eastAsia" w:ascii="微软雅黑" w:hAnsi="微软雅黑" w:eastAsia="微软雅黑" w:cs="宋体"/>
                <w:sz w:val="21"/>
                <w:szCs w:val="21"/>
              </w:rPr>
              <w:t>2、甲醛净化效率≥80%；</w:t>
            </w:r>
          </w:p>
          <w:p w14:paraId="48A39523">
            <w:pPr>
              <w:rPr>
                <w:rFonts w:ascii="微软雅黑" w:hAnsi="微软雅黑" w:eastAsia="微软雅黑" w:cs="宋体"/>
                <w:sz w:val="21"/>
                <w:szCs w:val="21"/>
              </w:rPr>
            </w:pPr>
            <w:r>
              <w:rPr>
                <w:rFonts w:hint="eastAsia" w:ascii="微软雅黑" w:hAnsi="微软雅黑" w:eastAsia="微软雅黑" w:cs="宋体"/>
                <w:sz w:val="21"/>
                <w:szCs w:val="21"/>
              </w:rPr>
              <w:t>3、可溶性重金属含量（mg/kg）：镉含量≤75、铬含量≤60、汞含量≤60；</w:t>
            </w:r>
          </w:p>
          <w:p w14:paraId="360966B1">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170B8934">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1、甲醛含量甲醛含量未检出 、VOC含量≤50g/L；</w:t>
            </w:r>
          </w:p>
          <w:p w14:paraId="73E7A8D9">
            <w:pPr>
              <w:rPr>
                <w:rFonts w:ascii="宋体" w:hAnsi="宋体"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2、可溶性重金属含量（mg/kg）：镉含量未检出、铬含量未检出、汞含量未检出；</w:t>
            </w:r>
          </w:p>
          <w:p w14:paraId="4FF1884D">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3、N-甲基呲咯烷酮（NMP）含量未检出；</w:t>
            </w:r>
          </w:p>
          <w:p w14:paraId="79F8C143">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4、N,N二甲基甲酰胺（DMF）含量未检出；</w:t>
            </w:r>
          </w:p>
          <w:p w14:paraId="2EC03AE3">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5、急性皮肤刺激性/腐蚀性试验达到无刺激性；</w:t>
            </w:r>
          </w:p>
          <w:p w14:paraId="1FD00E7C">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6、黏度达到≥100mPa.s；</w:t>
            </w:r>
          </w:p>
        </w:tc>
      </w:tr>
      <w:tr w14:paraId="1FCB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900" w:type="dxa"/>
            <w:vAlign w:val="center"/>
          </w:tcPr>
          <w:p w14:paraId="123D37F1">
            <w:pPr>
              <w:jc w:val="center"/>
              <w:rPr>
                <w:rFonts w:ascii="微软雅黑" w:hAnsi="微软雅黑" w:eastAsia="微软雅黑"/>
                <w:sz w:val="21"/>
                <w:szCs w:val="21"/>
              </w:rPr>
            </w:pPr>
            <w:r>
              <w:rPr>
                <w:rFonts w:hint="eastAsia" w:ascii="微软雅黑" w:hAnsi="微软雅黑" w:eastAsia="微软雅黑"/>
                <w:sz w:val="21"/>
                <w:szCs w:val="21"/>
              </w:rPr>
              <w:t>9</w:t>
            </w:r>
          </w:p>
        </w:tc>
        <w:tc>
          <w:tcPr>
            <w:tcW w:w="1873" w:type="dxa"/>
            <w:vAlign w:val="center"/>
          </w:tcPr>
          <w:p w14:paraId="74DA60EC">
            <w:pPr>
              <w:jc w:val="center"/>
              <w:rPr>
                <w:rFonts w:ascii="宋体" w:hAnsi="宋体" w:cs="宋体"/>
                <w:sz w:val="21"/>
                <w:szCs w:val="21"/>
              </w:rPr>
            </w:pPr>
            <w:r>
              <w:rPr>
                <w:rFonts w:hint="eastAsia" w:ascii="宋体" w:hAnsi="宋体" w:cs="宋体"/>
                <w:sz w:val="21"/>
                <w:szCs w:val="21"/>
              </w:rPr>
              <w:t>冷轧钢板</w:t>
            </w:r>
          </w:p>
        </w:tc>
        <w:tc>
          <w:tcPr>
            <w:tcW w:w="6261" w:type="dxa"/>
            <w:vAlign w:val="center"/>
          </w:tcPr>
          <w:p w14:paraId="45FE2652">
            <w:pPr>
              <w:rPr>
                <w:rFonts w:ascii="宋体" w:hAnsi="宋体" w:cs="宋体"/>
                <w:b/>
                <w:bCs/>
                <w:sz w:val="21"/>
                <w:szCs w:val="21"/>
              </w:rPr>
            </w:pPr>
            <w:r>
              <w:rPr>
                <w:rFonts w:hint="eastAsia" w:ascii="宋体" w:hAnsi="宋体" w:cs="宋体"/>
                <w:b/>
                <w:bCs/>
                <w:sz w:val="21"/>
                <w:szCs w:val="21"/>
              </w:rPr>
              <w:t>参照国标、行标：GB/T 13668-2015 、 GB/T 3325-2024 、 QB/T 4767-2014、 QB/T 3826-1999 、QB/T3832-1999 、 QB/T 3827-1999 、QB/T 3828-1999 、 GB/T 11253-2019 、QB/T 4371-2012标准设立▲参数需求以及▲▲参数需求。</w:t>
            </w:r>
          </w:p>
          <w:p w14:paraId="10A2876C">
            <w:pPr>
              <w:rPr>
                <w:rFonts w:ascii="宋体" w:hAnsi="宋体" w:cs="宋体"/>
                <w:sz w:val="21"/>
                <w:szCs w:val="21"/>
              </w:rPr>
            </w:pPr>
            <w:r>
              <w:rPr>
                <w:rFonts w:hint="eastAsia" w:ascii="宋体" w:hAnsi="宋体" w:cs="宋体"/>
                <w:sz w:val="21"/>
                <w:szCs w:val="21"/>
              </w:rPr>
              <w:t>▲一、参数需求：</w:t>
            </w:r>
          </w:p>
          <w:p w14:paraId="2E69EE13">
            <w:pPr>
              <w:rPr>
                <w:rFonts w:ascii="微软雅黑" w:hAnsi="微软雅黑" w:eastAsia="微软雅黑" w:cs="宋体"/>
                <w:sz w:val="21"/>
                <w:szCs w:val="21"/>
              </w:rPr>
            </w:pPr>
            <w:r>
              <w:rPr>
                <w:rFonts w:hint="eastAsia" w:ascii="微软雅黑" w:hAnsi="微软雅黑" w:eastAsia="微软雅黑" w:cs="宋体"/>
                <w:sz w:val="21"/>
                <w:szCs w:val="21"/>
              </w:rPr>
              <w:t>1、表面理化性能-金属喷漆(塑)涂层：硬度≥5H；耐腐蚀：100h内,观察在溶液中样板上划道两侧3mm以外，应无鼓泡现象；100h后，检查样板上划道两侧3mm外，应无锈迹、剥落、起皱、变色和失光等现象；附着力为0级。</w:t>
            </w:r>
          </w:p>
          <w:p w14:paraId="4D0AC107">
            <w:pPr>
              <w:rPr>
                <w:rFonts w:ascii="微软雅黑" w:hAnsi="微软雅黑" w:eastAsia="微软雅黑" w:cs="宋体"/>
                <w:sz w:val="21"/>
                <w:szCs w:val="21"/>
              </w:rPr>
            </w:pPr>
            <w:r>
              <w:rPr>
                <w:rFonts w:hint="eastAsia" w:ascii="微软雅黑" w:hAnsi="微软雅黑" w:eastAsia="微软雅黑" w:cs="宋体"/>
                <w:sz w:val="21"/>
                <w:szCs w:val="21"/>
              </w:rPr>
              <w:t>2、理化性能：产品表面理化性能-金属喷漆(塑)涂层-冲击强度：冲击高度400mm，应无剥落、裂纹、皱纹，检测结果为：符合要求；</w:t>
            </w:r>
          </w:p>
          <w:p w14:paraId="1768FECC">
            <w:pPr>
              <w:rPr>
                <w:rFonts w:ascii="微软雅黑" w:hAnsi="微软雅黑" w:eastAsia="微软雅黑" w:cs="宋体"/>
                <w:sz w:val="21"/>
                <w:szCs w:val="21"/>
              </w:rPr>
            </w:pPr>
            <w:r>
              <w:rPr>
                <w:rFonts w:hint="eastAsia" w:ascii="微软雅黑" w:hAnsi="微软雅黑" w:eastAsia="微软雅黑" w:cs="宋体"/>
                <w:sz w:val="21"/>
                <w:szCs w:val="21"/>
              </w:rPr>
              <w:t>3、产品表面涂层的可溶性元素（mg/kg）：（铅≤90、镉≤75、铬≤60、汞≤60）。</w:t>
            </w:r>
          </w:p>
          <w:p w14:paraId="2DF45BA4">
            <w:pPr>
              <w:rPr>
                <w:rFonts w:ascii="微软雅黑" w:hAnsi="微软雅黑" w:eastAsia="微软雅黑" w:cs="宋体"/>
                <w:sz w:val="21"/>
                <w:szCs w:val="21"/>
              </w:rPr>
            </w:pPr>
            <w:r>
              <w:rPr>
                <w:rFonts w:hint="eastAsia" w:ascii="微软雅黑" w:hAnsi="微软雅黑" w:eastAsia="微软雅黑" w:cs="宋体"/>
                <w:sz w:val="21"/>
                <w:szCs w:val="21"/>
              </w:rPr>
              <w:t>4、中性盐雾试验(NSS)连续喷雾100h：金属表面(镀，涂)层本身的耐腐蚀等级：10级；金属表面(镀，涂)层对基体的保护等级：10级。</w:t>
            </w:r>
          </w:p>
          <w:p w14:paraId="0A38071F">
            <w:pPr>
              <w:rPr>
                <w:rFonts w:ascii="微软雅黑" w:hAnsi="微软雅黑" w:eastAsia="微软雅黑" w:cs="宋体"/>
                <w:sz w:val="21"/>
                <w:szCs w:val="21"/>
              </w:rPr>
            </w:pPr>
            <w:r>
              <w:rPr>
                <w:rFonts w:hint="eastAsia" w:ascii="微软雅黑" w:hAnsi="微软雅黑" w:eastAsia="微软雅黑" w:cs="宋体"/>
                <w:sz w:val="21"/>
                <w:szCs w:val="21"/>
              </w:rPr>
              <w:t>5、力学性能：下屈服强度ReL≥235MPa；抗拉强度Rm（370-500）M</w:t>
            </w:r>
            <w:r>
              <w:rPr>
                <w:rFonts w:ascii="微软雅黑" w:hAnsi="微软雅黑" w:eastAsia="微软雅黑" w:cs="宋体"/>
                <w:sz w:val="21"/>
                <w:szCs w:val="21"/>
              </w:rPr>
              <w:t>p</w:t>
            </w:r>
            <w:r>
              <w:rPr>
                <w:rFonts w:hint="eastAsia" w:ascii="微软雅黑" w:hAnsi="微软雅黑" w:eastAsia="微软雅黑" w:cs="宋体"/>
                <w:sz w:val="21"/>
                <w:szCs w:val="21"/>
              </w:rPr>
              <w:t>a；断后伸长率A80mm≥20％。</w:t>
            </w:r>
          </w:p>
          <w:p w14:paraId="06909413">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7EA33CA4">
            <w:pPr>
              <w:rPr>
                <w:rFonts w:ascii="宋体" w:hAnsi="宋体"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1、产品表面涂层的可溶性元素：铅含量未检出、镉含量未检出、铬含量未检出、汞含量未检出；</w:t>
            </w:r>
          </w:p>
          <w:p w14:paraId="0509F8D2">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2、乙酸盐雾试验(ASS)连续喷雾600h ：金属表面(镀，涂)层本身的耐腐蚀等级：10级；金属表面(镀，涂)层对基体的保护等级：10级。</w:t>
            </w:r>
          </w:p>
          <w:p w14:paraId="169EE2EB">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3、铜盐加速乙酸盐雾试验(CASS)连续喷雾600h：金属表面(镀，涂)层本身的耐腐蚀等级：10级；金属表面(镀，涂)层对基体的保护等级：10级。</w:t>
            </w:r>
          </w:p>
          <w:p w14:paraId="555244BC">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4、化学成分：C ≤0.22%、Si ≤0.35%、Mn ≤1.4%、P≤0.035%、S ≤0.035%、Ni≤0.30%、Cr≤0.3%、Cu ≤0.3%。</w:t>
            </w:r>
          </w:p>
        </w:tc>
      </w:tr>
      <w:tr w14:paraId="64F9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900" w:type="dxa"/>
            <w:vAlign w:val="center"/>
          </w:tcPr>
          <w:p w14:paraId="1E2EBD95">
            <w:pPr>
              <w:jc w:val="center"/>
              <w:rPr>
                <w:rFonts w:ascii="微软雅黑" w:hAnsi="微软雅黑" w:eastAsia="微软雅黑"/>
                <w:sz w:val="21"/>
                <w:szCs w:val="21"/>
              </w:rPr>
            </w:pPr>
            <w:r>
              <w:rPr>
                <w:rFonts w:hint="eastAsia" w:ascii="微软雅黑" w:hAnsi="微软雅黑" w:eastAsia="微软雅黑"/>
                <w:sz w:val="21"/>
                <w:szCs w:val="21"/>
              </w:rPr>
              <w:t>10</w:t>
            </w:r>
          </w:p>
        </w:tc>
        <w:tc>
          <w:tcPr>
            <w:tcW w:w="1873" w:type="dxa"/>
            <w:vAlign w:val="center"/>
          </w:tcPr>
          <w:p w14:paraId="4042FCD3">
            <w:pPr>
              <w:jc w:val="center"/>
              <w:rPr>
                <w:rFonts w:ascii="宋体" w:hAnsi="宋体" w:cs="宋体"/>
                <w:sz w:val="21"/>
                <w:szCs w:val="21"/>
              </w:rPr>
            </w:pPr>
            <w:r>
              <w:rPr>
                <w:rFonts w:hint="eastAsia" w:ascii="宋体" w:hAnsi="宋体" w:cs="宋体"/>
                <w:sz w:val="21"/>
                <w:szCs w:val="21"/>
              </w:rPr>
              <w:t>中密度纤维板</w:t>
            </w:r>
          </w:p>
        </w:tc>
        <w:tc>
          <w:tcPr>
            <w:tcW w:w="6261" w:type="dxa"/>
            <w:vAlign w:val="center"/>
          </w:tcPr>
          <w:p w14:paraId="0C096942">
            <w:pPr>
              <w:rPr>
                <w:rFonts w:ascii="宋体" w:hAnsi="宋体" w:cs="宋体"/>
                <w:b/>
                <w:bCs/>
                <w:sz w:val="21"/>
                <w:szCs w:val="21"/>
              </w:rPr>
            </w:pPr>
            <w:r>
              <w:rPr>
                <w:rFonts w:hint="eastAsia" w:ascii="宋体" w:hAnsi="宋体" w:cs="宋体"/>
                <w:b/>
                <w:bCs/>
                <w:sz w:val="21"/>
                <w:szCs w:val="21"/>
              </w:rPr>
              <w:t>参照国标、行标：</w:t>
            </w:r>
            <w:r>
              <w:rPr>
                <w:rFonts w:ascii="宋体" w:hAnsi="宋体" w:cs="宋体"/>
                <w:b/>
                <w:bCs/>
                <w:sz w:val="21"/>
                <w:szCs w:val="21"/>
              </w:rPr>
              <w:t xml:space="preserve">GB 18580-2017 </w:t>
            </w:r>
            <w:r>
              <w:rPr>
                <w:rFonts w:hint="eastAsia" w:ascii="宋体" w:hAnsi="宋体" w:cs="宋体"/>
                <w:b/>
                <w:bCs/>
                <w:sz w:val="21"/>
                <w:szCs w:val="21"/>
              </w:rPr>
              <w:t>、</w:t>
            </w:r>
            <w:r>
              <w:rPr>
                <w:rFonts w:ascii="宋体" w:hAnsi="宋体" w:cs="宋体"/>
                <w:b/>
                <w:bCs/>
                <w:sz w:val="21"/>
                <w:szCs w:val="21"/>
              </w:rPr>
              <w:t xml:space="preserve">GB/T 39600-2021 </w:t>
            </w:r>
            <w:r>
              <w:rPr>
                <w:rFonts w:hint="eastAsia" w:ascii="宋体" w:hAnsi="宋体" w:cs="宋体"/>
                <w:b/>
                <w:bCs/>
                <w:sz w:val="21"/>
                <w:szCs w:val="21"/>
              </w:rPr>
              <w:t>、</w:t>
            </w:r>
            <w:r>
              <w:rPr>
                <w:rFonts w:ascii="宋体" w:hAnsi="宋体" w:cs="宋体"/>
                <w:b/>
                <w:bCs/>
                <w:sz w:val="21"/>
                <w:szCs w:val="21"/>
              </w:rPr>
              <w:t xml:space="preserve">GB/T 31762-2015 </w:t>
            </w:r>
            <w:r>
              <w:rPr>
                <w:rFonts w:hint="eastAsia" w:ascii="宋体" w:hAnsi="宋体" w:cs="宋体"/>
                <w:b/>
                <w:bCs/>
                <w:sz w:val="21"/>
                <w:szCs w:val="21"/>
              </w:rPr>
              <w:t>、</w:t>
            </w:r>
            <w:r>
              <w:rPr>
                <w:rFonts w:ascii="宋体" w:hAnsi="宋体" w:cs="宋体"/>
                <w:b/>
                <w:bCs/>
                <w:sz w:val="21"/>
                <w:szCs w:val="21"/>
              </w:rPr>
              <w:t xml:space="preserve">GB/T 36022-2018 </w:t>
            </w:r>
            <w:r>
              <w:rPr>
                <w:rFonts w:hint="eastAsia" w:ascii="宋体" w:hAnsi="宋体" w:cs="宋体"/>
                <w:b/>
                <w:bCs/>
                <w:sz w:val="21"/>
                <w:szCs w:val="21"/>
              </w:rPr>
              <w:t>、</w:t>
            </w:r>
            <w:r>
              <w:rPr>
                <w:rFonts w:ascii="宋体" w:hAnsi="宋体" w:cs="宋体"/>
                <w:b/>
                <w:bCs/>
                <w:sz w:val="21"/>
                <w:szCs w:val="21"/>
              </w:rPr>
              <w:t xml:space="preserve">GB/T 35601-2024 </w:t>
            </w:r>
            <w:r>
              <w:rPr>
                <w:rFonts w:hint="eastAsia" w:ascii="宋体" w:hAnsi="宋体" w:cs="宋体"/>
                <w:b/>
                <w:bCs/>
                <w:sz w:val="21"/>
                <w:szCs w:val="21"/>
              </w:rPr>
              <w:t>、</w:t>
            </w:r>
            <w:r>
              <w:rPr>
                <w:rFonts w:ascii="宋体" w:hAnsi="宋体" w:cs="宋体"/>
                <w:b/>
                <w:bCs/>
                <w:sz w:val="21"/>
                <w:szCs w:val="21"/>
              </w:rPr>
              <w:t xml:space="preserve">GB/T 18958-2022 </w:t>
            </w:r>
            <w:r>
              <w:rPr>
                <w:rFonts w:hint="eastAsia" w:ascii="宋体" w:hAnsi="宋体" w:cs="宋体"/>
                <w:b/>
                <w:bCs/>
                <w:sz w:val="21"/>
                <w:szCs w:val="21"/>
              </w:rPr>
              <w:t>、</w:t>
            </w:r>
            <w:r>
              <w:rPr>
                <w:rFonts w:ascii="宋体" w:hAnsi="宋体" w:cs="宋体"/>
                <w:b/>
                <w:bCs/>
                <w:sz w:val="21"/>
                <w:szCs w:val="21"/>
              </w:rPr>
              <w:t xml:space="preserve">GB/T 11718-2021 </w:t>
            </w:r>
            <w:r>
              <w:rPr>
                <w:rFonts w:hint="eastAsia" w:ascii="宋体" w:hAnsi="宋体" w:cs="宋体"/>
                <w:b/>
                <w:bCs/>
                <w:sz w:val="21"/>
                <w:szCs w:val="21"/>
              </w:rPr>
              <w:t>、</w:t>
            </w:r>
            <w:r>
              <w:rPr>
                <w:rFonts w:ascii="宋体" w:hAnsi="宋体" w:cs="宋体"/>
                <w:b/>
                <w:bCs/>
                <w:sz w:val="21"/>
                <w:szCs w:val="21"/>
              </w:rPr>
              <w:t>GB/T 17657-2022</w:t>
            </w:r>
            <w:r>
              <w:rPr>
                <w:rFonts w:hint="eastAsia" w:ascii="宋体" w:hAnsi="宋体" w:cs="宋体"/>
                <w:b/>
                <w:bCs/>
                <w:sz w:val="21"/>
                <w:szCs w:val="21"/>
              </w:rPr>
              <w:t>标准设立▲参数需求以及▲▲参数需求。</w:t>
            </w:r>
          </w:p>
          <w:p w14:paraId="341E328A">
            <w:pPr>
              <w:rPr>
                <w:rFonts w:ascii="宋体" w:hAnsi="宋体" w:cs="宋体"/>
                <w:sz w:val="21"/>
                <w:szCs w:val="21"/>
              </w:rPr>
            </w:pPr>
            <w:r>
              <w:rPr>
                <w:rFonts w:hint="eastAsia" w:ascii="宋体" w:hAnsi="宋体" w:cs="宋体"/>
                <w:sz w:val="21"/>
                <w:szCs w:val="21"/>
              </w:rPr>
              <w:t>▲一、参数需求：</w:t>
            </w:r>
          </w:p>
          <w:p w14:paraId="6DFD4E16">
            <w:pPr>
              <w:rPr>
                <w:rFonts w:ascii="微软雅黑" w:hAnsi="微软雅黑" w:eastAsia="微软雅黑" w:cs="宋体"/>
                <w:sz w:val="21"/>
                <w:szCs w:val="21"/>
              </w:rPr>
            </w:pPr>
            <w:r>
              <w:rPr>
                <w:rFonts w:hint="eastAsia" w:ascii="微软雅黑" w:hAnsi="微软雅黑" w:eastAsia="微软雅黑" w:cs="宋体"/>
                <w:sz w:val="21"/>
                <w:szCs w:val="21"/>
              </w:rPr>
              <w:t>1、甲醛释放量（1m³气候箱法）≤0.025mg/</w:t>
            </w:r>
            <w:r>
              <w:rPr>
                <w:rFonts w:ascii="微软雅黑" w:hAnsi="微软雅黑" w:eastAsia="微软雅黑" w:cs="宋体"/>
                <w:sz w:val="21"/>
                <w:szCs w:val="21"/>
              </w:rPr>
              <w:t>m³</w:t>
            </w:r>
            <w:r>
              <w:rPr>
                <w:rFonts w:hint="eastAsia" w:ascii="微软雅黑" w:hAnsi="微软雅黑" w:eastAsia="微软雅黑" w:cs="宋体"/>
                <w:sz w:val="21"/>
                <w:szCs w:val="21"/>
              </w:rPr>
              <w:t xml:space="preserve"> ；</w:t>
            </w:r>
          </w:p>
          <w:p w14:paraId="3DB707BA">
            <w:pPr>
              <w:rPr>
                <w:rFonts w:ascii="微软雅黑" w:hAnsi="微软雅黑" w:eastAsia="微软雅黑" w:cs="宋体"/>
                <w:sz w:val="21"/>
                <w:szCs w:val="21"/>
              </w:rPr>
            </w:pPr>
            <w:r>
              <w:rPr>
                <w:rFonts w:hint="eastAsia" w:ascii="微软雅黑" w:hAnsi="微软雅黑" w:eastAsia="微软雅黑" w:cs="宋体"/>
                <w:sz w:val="21"/>
                <w:szCs w:val="21"/>
              </w:rPr>
              <w:t>2、品质属性-挥发有机化合物释放浓度（7d）-苯≤2ug/</w:t>
            </w:r>
            <w:r>
              <w:rPr>
                <w:rFonts w:ascii="微软雅黑" w:hAnsi="微软雅黑" w:eastAsia="微软雅黑" w:cs="宋体"/>
                <w:sz w:val="21"/>
                <w:szCs w:val="21"/>
              </w:rPr>
              <w:t>m³</w:t>
            </w:r>
            <w:r>
              <w:rPr>
                <w:rFonts w:hint="eastAsia" w:ascii="微软雅黑" w:hAnsi="微软雅黑" w:eastAsia="微软雅黑" w:cs="宋体"/>
                <w:sz w:val="21"/>
                <w:szCs w:val="21"/>
              </w:rPr>
              <w:t>、甲苯≤10ug/</w:t>
            </w:r>
            <w:r>
              <w:rPr>
                <w:rFonts w:ascii="微软雅黑" w:hAnsi="微软雅黑" w:eastAsia="微软雅黑" w:cs="宋体"/>
                <w:sz w:val="21"/>
                <w:szCs w:val="21"/>
              </w:rPr>
              <w:t>m³</w:t>
            </w:r>
            <w:r>
              <w:rPr>
                <w:rFonts w:hint="eastAsia" w:ascii="微软雅黑" w:hAnsi="微软雅黑" w:eastAsia="微软雅黑" w:cs="宋体"/>
                <w:sz w:val="21"/>
                <w:szCs w:val="21"/>
              </w:rPr>
              <w:t>、二甲苯≤10ug/</w:t>
            </w:r>
            <w:r>
              <w:rPr>
                <w:rFonts w:ascii="微软雅黑" w:hAnsi="微软雅黑" w:eastAsia="微软雅黑" w:cs="宋体"/>
                <w:sz w:val="21"/>
                <w:szCs w:val="21"/>
              </w:rPr>
              <w:t>m³</w:t>
            </w:r>
            <w:r>
              <w:rPr>
                <w:rFonts w:hint="eastAsia" w:ascii="微软雅黑" w:hAnsi="微软雅黑" w:eastAsia="微软雅黑" w:cs="宋体"/>
                <w:sz w:val="21"/>
                <w:szCs w:val="21"/>
              </w:rPr>
              <w:t>、总挥发有机化合物（TVOC）检验检测结果为≤100ug/</w:t>
            </w:r>
            <w:r>
              <w:rPr>
                <w:rFonts w:ascii="微软雅黑" w:hAnsi="微软雅黑" w:eastAsia="微软雅黑" w:cs="宋体"/>
                <w:sz w:val="21"/>
                <w:szCs w:val="21"/>
              </w:rPr>
              <w:t>m³</w:t>
            </w:r>
            <w:r>
              <w:rPr>
                <w:rFonts w:hint="eastAsia" w:ascii="微软雅黑" w:hAnsi="微软雅黑" w:eastAsia="微软雅黑" w:cs="宋体"/>
                <w:sz w:val="21"/>
                <w:szCs w:val="21"/>
              </w:rPr>
              <w:t>；</w:t>
            </w:r>
          </w:p>
          <w:p w14:paraId="109BC504">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10A3CD42">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1、甲醛释放量（1m³气候箱</w:t>
            </w:r>
            <w:r>
              <w:rPr>
                <w:rFonts w:hint="eastAsia" w:ascii="宋体" w:hAnsi="宋体" w:eastAsia="宋体" w:cs="宋体"/>
                <w:b/>
                <w:bCs/>
                <w:sz w:val="21"/>
                <w:szCs w:val="21"/>
              </w:rPr>
              <w:t>法）</w:t>
            </w:r>
            <w:r>
              <w:rPr>
                <w:rFonts w:hint="eastAsia" w:ascii="微软雅黑" w:hAnsi="微软雅黑" w:eastAsia="微软雅黑" w:cs="宋体"/>
                <w:sz w:val="21"/>
                <w:szCs w:val="21"/>
              </w:rPr>
              <w:t>达到未检出 ；</w:t>
            </w:r>
          </w:p>
          <w:p w14:paraId="7F4B7ED7">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2、苯酚释放量检验检测结果为：未检出 ；</w:t>
            </w:r>
          </w:p>
          <w:p w14:paraId="6882757A">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3、氨释放量（干燥器法）检验检测结果为：未检出 ；</w:t>
            </w:r>
          </w:p>
          <w:p w14:paraId="47988113">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4、品质属性-挥发有机化合物释放浓度苯、甲苯、二甲苯、总挥发有机化合物（TVOC）检验检测结果均为未检出 ；</w:t>
            </w:r>
          </w:p>
          <w:p w14:paraId="460F2397">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5、物理力学性能：静曲强度≥24Mpa、弹性模量≥2300Mpa、内胶合强度（内结合强度）≥0.45Mpa、吸水厚度膨胀率≤12%、表面胶合强度≥0.9Mpa；</w:t>
            </w:r>
          </w:p>
          <w:p w14:paraId="6DA62FB9">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6、含砂量 ≤0.05%。</w:t>
            </w:r>
          </w:p>
          <w:p w14:paraId="4C62FE2B">
            <w:pPr>
              <w:rPr>
                <w:rFonts w:ascii="微软雅黑" w:hAnsi="微软雅黑" w:eastAsia="微软雅黑" w:cs="微软雅黑"/>
                <w:sz w:val="21"/>
                <w:szCs w:val="21"/>
              </w:rPr>
            </w:pPr>
            <w:r>
              <w:rPr>
                <w:rFonts w:hint="eastAsia" w:ascii="宋体" w:hAnsi="宋体" w:cs="宋体"/>
                <w:sz w:val="21"/>
                <w:szCs w:val="21"/>
              </w:rPr>
              <w:t>▲▲</w:t>
            </w:r>
            <w:r>
              <w:rPr>
                <w:rFonts w:hint="eastAsia" w:ascii="微软雅黑" w:hAnsi="微软雅黑" w:eastAsia="微软雅黑" w:cs="宋体"/>
                <w:sz w:val="21"/>
                <w:szCs w:val="21"/>
              </w:rPr>
              <w:t>7、握螺钉力：板面≥1000N，板边≥1000N。</w:t>
            </w:r>
          </w:p>
        </w:tc>
      </w:tr>
      <w:tr w14:paraId="3988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900" w:type="dxa"/>
            <w:vAlign w:val="center"/>
          </w:tcPr>
          <w:p w14:paraId="2E65F362">
            <w:pPr>
              <w:jc w:val="center"/>
              <w:rPr>
                <w:rFonts w:ascii="微软雅黑" w:hAnsi="微软雅黑" w:eastAsia="微软雅黑"/>
                <w:sz w:val="21"/>
                <w:szCs w:val="21"/>
              </w:rPr>
            </w:pPr>
            <w:r>
              <w:rPr>
                <w:rFonts w:hint="eastAsia" w:ascii="微软雅黑" w:hAnsi="微软雅黑" w:eastAsia="微软雅黑"/>
                <w:sz w:val="21"/>
                <w:szCs w:val="21"/>
              </w:rPr>
              <w:t>11</w:t>
            </w:r>
          </w:p>
        </w:tc>
        <w:tc>
          <w:tcPr>
            <w:tcW w:w="1873" w:type="dxa"/>
            <w:vAlign w:val="center"/>
          </w:tcPr>
          <w:p w14:paraId="7BF7FCFD">
            <w:pPr>
              <w:jc w:val="center"/>
              <w:rPr>
                <w:rFonts w:ascii="宋体" w:hAnsi="宋体" w:eastAsia="宋体" w:cs="宋体"/>
                <w:sz w:val="21"/>
                <w:szCs w:val="21"/>
              </w:rPr>
            </w:pPr>
            <w:r>
              <w:rPr>
                <w:rFonts w:hint="eastAsia" w:ascii="宋体" w:hAnsi="宋体" w:cs="宋体"/>
                <w:sz w:val="21"/>
                <w:szCs w:val="21"/>
              </w:rPr>
              <w:t>封边条</w:t>
            </w:r>
          </w:p>
        </w:tc>
        <w:tc>
          <w:tcPr>
            <w:tcW w:w="6261" w:type="dxa"/>
            <w:vAlign w:val="center"/>
          </w:tcPr>
          <w:p w14:paraId="5DB13DFB">
            <w:pPr>
              <w:rPr>
                <w:rFonts w:ascii="宋体" w:hAnsi="宋体" w:cs="宋体"/>
                <w:sz w:val="21"/>
                <w:szCs w:val="21"/>
              </w:rPr>
            </w:pPr>
            <w:r>
              <w:rPr>
                <w:rFonts w:hint="eastAsia" w:ascii="宋体" w:hAnsi="宋体" w:cs="宋体"/>
                <w:sz w:val="21"/>
                <w:szCs w:val="21"/>
              </w:rPr>
              <w:t>参照国标、行标：QB/T 4463-20</w:t>
            </w:r>
            <w:r>
              <w:rPr>
                <w:rFonts w:hint="eastAsia" w:ascii="宋体" w:hAnsi="宋体" w:cs="宋体"/>
                <w:sz w:val="21"/>
                <w:szCs w:val="21"/>
                <w:lang w:val="en-US" w:eastAsia="zh-CN"/>
              </w:rPr>
              <w:t>25</w:t>
            </w:r>
            <w:r>
              <w:rPr>
                <w:rFonts w:hint="eastAsia" w:ascii="宋体" w:hAnsi="宋体" w:cs="宋体"/>
                <w:sz w:val="21"/>
                <w:szCs w:val="21"/>
              </w:rPr>
              <w:t>、GB/T 12000-2017、 GB/T 2423.4-2008、 GB/T 37866-2019、 GB/T 9341-2008、 GB/T 6040-2019、 GB/T 27761-2011标准，设立▲参数需求以及▲▲参数需求。</w:t>
            </w:r>
          </w:p>
          <w:p w14:paraId="7C3AA4EE">
            <w:pPr>
              <w:rPr>
                <w:rFonts w:ascii="宋体" w:hAnsi="宋体" w:cs="宋体"/>
                <w:sz w:val="21"/>
                <w:szCs w:val="21"/>
              </w:rPr>
            </w:pPr>
            <w:r>
              <w:rPr>
                <w:rFonts w:hint="eastAsia" w:ascii="宋体" w:hAnsi="宋体" w:cs="宋体"/>
                <w:sz w:val="21"/>
                <w:szCs w:val="21"/>
              </w:rPr>
              <w:t>▲一、参数需求：</w:t>
            </w:r>
          </w:p>
          <w:p w14:paraId="0BCABCDF">
            <w:pPr>
              <w:rPr>
                <w:rFonts w:ascii="微软雅黑" w:hAnsi="微软雅黑" w:eastAsia="微软雅黑" w:cs="宋体"/>
                <w:sz w:val="21"/>
                <w:szCs w:val="21"/>
              </w:rPr>
            </w:pPr>
            <w:r>
              <w:rPr>
                <w:rFonts w:hint="eastAsia" w:ascii="微软雅黑" w:hAnsi="微软雅黑" w:eastAsia="微软雅黑" w:cs="宋体"/>
                <w:sz w:val="21"/>
                <w:szCs w:val="21"/>
              </w:rPr>
              <w:t>1、有害物质限量-塑料封边条：甲醛释放量</w:t>
            </w:r>
            <w:bookmarkStart w:id="50" w:name="OLE_LINK10"/>
            <w:r>
              <w:rPr>
                <w:rFonts w:hint="eastAsia" w:ascii="微软雅黑" w:hAnsi="微软雅黑" w:eastAsia="微软雅黑" w:cs="宋体"/>
                <w:sz w:val="21"/>
                <w:szCs w:val="21"/>
              </w:rPr>
              <w:t>≤1.5mg/L</w:t>
            </w:r>
            <w:bookmarkEnd w:id="50"/>
            <w:r>
              <w:rPr>
                <w:rFonts w:hint="eastAsia" w:ascii="微软雅黑" w:hAnsi="微软雅黑" w:eastAsia="微软雅黑" w:cs="宋体"/>
                <w:sz w:val="21"/>
                <w:szCs w:val="21"/>
              </w:rPr>
              <w:t>、氯乙烯单体≤5mg/kg、可迁移元素(可溶性重金属) ≤25mg/kg、邻苯二甲酸酯(DBP、BBP、DEHP、DNOP、DINP和DIDP) 的总量≤0.1%、多溴联苯(PBB)、多溴联苯醚(PBDE)均达到未检出；</w:t>
            </w:r>
          </w:p>
          <w:p w14:paraId="7C5F37B9">
            <w:pPr>
              <w:rPr>
                <w:rFonts w:ascii="宋体" w:hAnsi="宋体" w:cs="宋体"/>
                <w:b/>
                <w:bCs/>
                <w:sz w:val="21"/>
                <w:szCs w:val="21"/>
              </w:rPr>
            </w:pPr>
            <w:r>
              <w:rPr>
                <w:rFonts w:hint="eastAsia" w:ascii="宋体" w:hAnsi="宋体" w:cs="宋体"/>
                <w:b/>
                <w:bCs/>
                <w:sz w:val="21"/>
                <w:szCs w:val="21"/>
              </w:rPr>
              <w:t>二、优于</w:t>
            </w:r>
            <w:r>
              <w:rPr>
                <w:rFonts w:hint="eastAsia" w:ascii="宋体" w:hAnsi="宋体" w:cs="宋体"/>
                <w:sz w:val="21"/>
                <w:szCs w:val="21"/>
              </w:rPr>
              <w:t>▲参数</w:t>
            </w:r>
            <w:r>
              <w:rPr>
                <w:rFonts w:hint="eastAsia" w:ascii="宋体" w:hAnsi="宋体" w:cs="宋体"/>
                <w:b/>
                <w:bCs/>
                <w:sz w:val="21"/>
                <w:szCs w:val="21"/>
              </w:rPr>
              <w:t>（优质原（辅）材料加分项）：</w:t>
            </w:r>
          </w:p>
          <w:p w14:paraId="098BA47A">
            <w:pPr>
              <w:rPr>
                <w:rFonts w:ascii="微软雅黑" w:hAnsi="微软雅黑" w:eastAsia="微软雅黑" w:cs="宋体"/>
                <w:sz w:val="21"/>
                <w:szCs w:val="21"/>
              </w:rPr>
            </w:pPr>
            <w:r>
              <w:rPr>
                <w:rFonts w:hint="eastAsia" w:ascii="宋体" w:hAnsi="宋体" w:cs="宋体"/>
                <w:sz w:val="21"/>
                <w:szCs w:val="21"/>
              </w:rPr>
              <w:t>▲▲</w:t>
            </w:r>
            <w:r>
              <w:rPr>
                <w:rFonts w:hint="eastAsia" w:ascii="微软雅黑" w:hAnsi="微软雅黑" w:eastAsia="微软雅黑" w:cs="宋体"/>
                <w:sz w:val="21"/>
                <w:szCs w:val="21"/>
              </w:rPr>
              <w:t>1、耐盐雾，外观变化-100h无变色无裂纹等明显变化，质量变化率-100h达到≤3%；</w:t>
            </w:r>
          </w:p>
          <w:p w14:paraId="77733529">
            <w:pPr>
              <w:rPr>
                <w:rFonts w:ascii="微软雅黑" w:hAnsi="微软雅黑" w:eastAsia="微软雅黑" w:cs="宋体"/>
                <w:sz w:val="21"/>
                <w:szCs w:val="21"/>
              </w:rPr>
            </w:pPr>
            <w:r>
              <w:rPr>
                <w:rFonts w:hint="eastAsia" w:ascii="宋体" w:hAnsi="宋体" w:cs="宋体"/>
                <w:sz w:val="21"/>
                <w:szCs w:val="21"/>
              </w:rPr>
              <w:t>▲▲2</w:t>
            </w:r>
            <w:r>
              <w:rPr>
                <w:rFonts w:hint="eastAsia" w:ascii="微软雅黑" w:hAnsi="微软雅黑" w:eastAsia="微软雅黑" w:cs="宋体"/>
                <w:sz w:val="21"/>
                <w:szCs w:val="21"/>
              </w:rPr>
              <w:t>、环境属性-可分解芳香胺染料含量≤5mg/kg；</w:t>
            </w:r>
          </w:p>
          <w:p w14:paraId="5B3111FA">
            <w:pPr>
              <w:rPr>
                <w:rFonts w:ascii="微软雅黑" w:hAnsi="微软雅黑" w:eastAsia="微软雅黑" w:cs="宋体"/>
                <w:sz w:val="21"/>
                <w:szCs w:val="21"/>
              </w:rPr>
            </w:pPr>
            <w:r>
              <w:rPr>
                <w:rFonts w:hint="eastAsia" w:ascii="宋体" w:hAnsi="宋体" w:cs="宋体"/>
                <w:sz w:val="21"/>
                <w:szCs w:val="21"/>
              </w:rPr>
              <w:t>▲▲3</w:t>
            </w:r>
            <w:r>
              <w:rPr>
                <w:rFonts w:hint="eastAsia" w:ascii="微软雅黑" w:hAnsi="微软雅黑" w:eastAsia="微软雅黑" w:cs="宋体"/>
                <w:sz w:val="21"/>
                <w:szCs w:val="21"/>
              </w:rPr>
              <w:t>、交变湿热试验（100h）试验后，试样表面无开裂；</w:t>
            </w:r>
          </w:p>
          <w:p w14:paraId="781B1C85">
            <w:pPr>
              <w:rPr>
                <w:rFonts w:ascii="宋体" w:hAnsi="宋体" w:cs="宋体"/>
                <w:sz w:val="21"/>
                <w:szCs w:val="21"/>
              </w:rPr>
            </w:pPr>
            <w:r>
              <w:rPr>
                <w:rFonts w:hint="eastAsia" w:ascii="宋体" w:hAnsi="宋体" w:cs="宋体"/>
                <w:sz w:val="21"/>
                <w:szCs w:val="21"/>
              </w:rPr>
              <w:t>▲▲4</w:t>
            </w:r>
            <w:r>
              <w:rPr>
                <w:rFonts w:hint="eastAsia" w:ascii="微软雅黑" w:hAnsi="微软雅黑" w:eastAsia="微软雅黑" w:cs="宋体"/>
                <w:sz w:val="21"/>
                <w:szCs w:val="21"/>
              </w:rPr>
              <w:t>、主成分定性定量-聚氯乙烯含量达到≥50%；</w:t>
            </w:r>
          </w:p>
        </w:tc>
      </w:tr>
    </w:tbl>
    <w:p w14:paraId="7D19F256">
      <w:pPr>
        <w:keepNext w:val="0"/>
        <w:keepLines w:val="0"/>
        <w:widowControl/>
        <w:suppressLineNumbers w:val="0"/>
        <w:jc w:val="left"/>
        <w:rPr>
          <w:rFonts w:ascii="仿宋" w:hAnsi="仿宋" w:eastAsia="仿宋" w:cs="仿宋"/>
          <w:b/>
          <w:bCs/>
          <w:color w:val="000000"/>
          <w:kern w:val="0"/>
          <w:sz w:val="28"/>
          <w:szCs w:val="28"/>
          <w:lang w:val="en-US" w:eastAsia="zh-CN" w:bidi="ar"/>
        </w:rPr>
      </w:pPr>
    </w:p>
    <w:p w14:paraId="7149EB75">
      <w:pPr>
        <w:spacing w:line="360" w:lineRule="auto"/>
        <w:ind w:firstLine="560" w:firstLineChars="200"/>
        <w:rPr>
          <w:rFonts w:hint="eastAsia" w:ascii="仿宋" w:hAnsi="仿宋" w:eastAsia="仿宋" w:cs="仿宋"/>
        </w:rPr>
      </w:pPr>
      <w:r>
        <w:rPr>
          <w:rFonts w:hint="eastAsia" w:ascii="仿宋" w:hAnsi="仿宋" w:eastAsia="仿宋" w:cs="仿宋"/>
        </w:rPr>
        <w:t>三、采购要求</w:t>
      </w:r>
    </w:p>
    <w:p w14:paraId="760B3E29">
      <w:pPr>
        <w:spacing w:before="96" w:after="96" w:line="500" w:lineRule="exact"/>
        <w:ind w:right="73" w:rightChars="26" w:firstLine="560" w:firstLineChars="200"/>
        <w:rPr>
          <w:rFonts w:ascii="仿宋" w:hAnsi="仿宋" w:eastAsia="仿宋" w:cs="仿宋"/>
        </w:rPr>
      </w:pPr>
      <w:r>
        <w:rPr>
          <w:rFonts w:hint="eastAsia" w:ascii="仿宋" w:hAnsi="仿宋" w:eastAsia="仿宋" w:cs="仿宋"/>
          <w:lang w:val="en-US" w:eastAsia="zh-CN"/>
        </w:rPr>
        <w:t>1</w:t>
      </w:r>
      <w:r>
        <w:rPr>
          <w:rFonts w:hint="eastAsia" w:ascii="仿宋" w:hAnsi="仿宋" w:eastAsia="仿宋" w:cs="仿宋"/>
        </w:rPr>
        <w:t>、供应商应在</w:t>
      </w:r>
      <w:r>
        <w:rPr>
          <w:rFonts w:hint="eastAsia" w:ascii="仿宋" w:hAnsi="仿宋" w:eastAsia="仿宋" w:cs="仿宋"/>
          <w:lang w:eastAsia="zh-CN"/>
        </w:rPr>
        <w:t>投标响应文件</w:t>
      </w:r>
      <w:r>
        <w:rPr>
          <w:rFonts w:hint="eastAsia" w:ascii="仿宋" w:hAnsi="仿宋" w:eastAsia="仿宋" w:cs="仿宋"/>
        </w:rPr>
        <w:t>中指明所投产品货物的品牌、规格、制造商、生产地。</w:t>
      </w:r>
    </w:p>
    <w:p w14:paraId="288271BE">
      <w:pPr>
        <w:spacing w:before="96" w:after="96" w:line="500" w:lineRule="exact"/>
        <w:ind w:right="73" w:rightChars="26" w:firstLine="560" w:firstLineChars="200"/>
        <w:rPr>
          <w:rFonts w:ascii="仿宋" w:hAnsi="仿宋" w:eastAsia="仿宋" w:cs="仿宋"/>
        </w:rPr>
      </w:pPr>
      <w:r>
        <w:rPr>
          <w:rFonts w:hint="eastAsia" w:ascii="仿宋" w:hAnsi="仿宋" w:eastAsia="仿宋" w:cs="仿宋"/>
          <w:lang w:val="en-US" w:eastAsia="zh-CN"/>
        </w:rPr>
        <w:t>2</w:t>
      </w:r>
      <w:r>
        <w:rPr>
          <w:rFonts w:hint="eastAsia" w:ascii="仿宋" w:hAnsi="仿宋" w:eastAsia="仿宋" w:cs="仿宋"/>
        </w:rPr>
        <w:t>、所供货物必须为原装品牌产品。货物各项指标符合或优于本次采购</w:t>
      </w:r>
      <w:r>
        <w:rPr>
          <w:rFonts w:hint="eastAsia" w:ascii="仿宋" w:hAnsi="仿宋" w:eastAsia="仿宋" w:cs="仿宋"/>
          <w:lang w:val="en-US" w:eastAsia="zh-CN"/>
        </w:rPr>
        <w:t>项目</w:t>
      </w:r>
      <w:r>
        <w:rPr>
          <w:rFonts w:hint="eastAsia" w:ascii="仿宋" w:hAnsi="仿宋" w:eastAsia="仿宋" w:cs="仿宋"/>
        </w:rPr>
        <w:t>的国家标准、行业标准及规范。</w:t>
      </w:r>
    </w:p>
    <w:p w14:paraId="0598A8CD">
      <w:pPr>
        <w:spacing w:line="360" w:lineRule="auto"/>
        <w:ind w:firstLine="594" w:firstLineChars="200"/>
        <w:rPr>
          <w:rFonts w:hint="eastAsia" w:ascii="仿宋" w:hAnsi="仿宋" w:eastAsia="仿宋" w:cs="仿宋"/>
          <w:lang w:val="en-US" w:eastAsia="zh-CN"/>
        </w:rPr>
      </w:pPr>
      <w:r>
        <w:rPr>
          <w:rFonts w:hint="eastAsia" w:ascii="仿宋" w:hAnsi="仿宋" w:eastAsia="仿宋" w:cs="仿宋"/>
          <w:b/>
          <w:spacing w:val="8"/>
          <w:sz w:val="28"/>
          <w:szCs w:val="28"/>
          <w:lang w:val="en-US" w:eastAsia="zh-CN"/>
        </w:rPr>
        <w:t>四</w:t>
      </w:r>
      <w:r>
        <w:rPr>
          <w:rFonts w:hint="eastAsia" w:ascii="仿宋" w:hAnsi="仿宋" w:eastAsia="仿宋" w:cs="仿宋"/>
          <w:b/>
          <w:spacing w:val="8"/>
          <w:sz w:val="28"/>
          <w:szCs w:val="28"/>
          <w:lang w:val="en-US"/>
        </w:rPr>
        <w:t>、</w:t>
      </w:r>
      <w:r>
        <w:rPr>
          <w:rFonts w:hint="eastAsia" w:ascii="仿宋" w:hAnsi="仿宋" w:eastAsia="仿宋" w:cs="仿宋"/>
          <w:b/>
          <w:bCs/>
          <w:sz w:val="28"/>
          <w:szCs w:val="28"/>
        </w:rPr>
        <w:t>交货期</w:t>
      </w:r>
      <w:r>
        <w:rPr>
          <w:rFonts w:hint="eastAsia" w:ascii="仿宋" w:hAnsi="仿宋" w:eastAsia="仿宋" w:cs="仿宋"/>
          <w:b/>
          <w:bCs/>
          <w:sz w:val="28"/>
          <w:szCs w:val="28"/>
          <w:lang w:val="zh-CN"/>
        </w:rPr>
        <w:t>要求</w:t>
      </w:r>
      <w:r>
        <w:rPr>
          <w:rFonts w:hint="eastAsia" w:ascii="仿宋" w:hAnsi="仿宋" w:eastAsia="仿宋" w:cs="仿宋"/>
          <w:sz w:val="28"/>
          <w:szCs w:val="28"/>
          <w:lang w:val="zh-CN"/>
        </w:rPr>
        <w:t>：</w:t>
      </w:r>
      <w:r>
        <w:rPr>
          <w:rFonts w:hint="eastAsia" w:ascii="仿宋" w:hAnsi="仿宋" w:eastAsia="仿宋" w:cs="仿宋"/>
          <w:sz w:val="28"/>
          <w:szCs w:val="28"/>
        </w:rPr>
        <w:t>供应商于合同签订后</w:t>
      </w:r>
      <w:r>
        <w:rPr>
          <w:rFonts w:hint="eastAsia" w:ascii="仿宋" w:hAnsi="仿宋" w:eastAsia="仿宋" w:cs="仿宋"/>
          <w:sz w:val="28"/>
          <w:szCs w:val="28"/>
          <w:lang w:val="en-US" w:eastAsia="zh-CN"/>
        </w:rPr>
        <w:t>50</w:t>
      </w:r>
      <w:r>
        <w:rPr>
          <w:rFonts w:hint="eastAsia" w:ascii="仿宋" w:hAnsi="仿宋" w:eastAsia="仿宋" w:cs="仿宋"/>
          <w:sz w:val="28"/>
          <w:szCs w:val="28"/>
        </w:rPr>
        <w:t>日内供货完毕向采购人交验。</w:t>
      </w:r>
    </w:p>
    <w:p w14:paraId="43F5DB48">
      <w:pPr>
        <w:spacing w:line="360" w:lineRule="auto"/>
        <w:ind w:firstLine="562" w:firstLineChars="200"/>
        <w:rPr>
          <w:rFonts w:hint="default" w:ascii="仿宋" w:hAnsi="仿宋" w:eastAsia="仿宋" w:cs="仿宋"/>
          <w:b/>
          <w:bCs/>
          <w:u w:val="single"/>
          <w:lang w:val="en-US" w:eastAsia="zh-CN"/>
        </w:rPr>
      </w:pPr>
      <w:r>
        <w:rPr>
          <w:rFonts w:hint="eastAsia" w:ascii="仿宋" w:hAnsi="仿宋" w:eastAsia="仿宋" w:cs="仿宋"/>
          <w:b/>
          <w:bCs/>
          <w:u w:val="single"/>
          <w:lang w:val="en-US" w:eastAsia="zh-CN"/>
        </w:rPr>
        <w:t>本次采购核心产品为：（序号25：会议椅1、序号26：会议椅2、序号33：办公桌5（屏风工作位）、序号35：办公椅、序号44：钢制文件柜）</w:t>
      </w:r>
    </w:p>
    <w:p w14:paraId="23C02C50">
      <w:pPr>
        <w:keepNext w:val="0"/>
        <w:keepLines w:val="0"/>
        <w:pageBreakBefore w:val="0"/>
        <w:kinsoku/>
        <w:wordWrap/>
        <w:overflowPunct/>
        <w:topLinePunct w:val="0"/>
        <w:autoSpaceDE/>
        <w:autoSpaceDN/>
        <w:bidi w:val="0"/>
        <w:spacing w:before="96" w:after="96" w:line="460" w:lineRule="exact"/>
        <w:ind w:right="73" w:rightChars="26" w:firstLine="437" w:firstLineChars="147"/>
        <w:textAlignment w:val="auto"/>
        <w:rPr>
          <w:rFonts w:hint="eastAsia" w:ascii="仿宋" w:hAnsi="仿宋" w:eastAsia="仿宋" w:cs="仿宋"/>
          <w:b/>
          <w:color w:val="000000"/>
        </w:rPr>
      </w:pPr>
      <w:r>
        <w:rPr>
          <w:rFonts w:hint="eastAsia" w:ascii="仿宋" w:hAnsi="仿宋" w:eastAsia="仿宋" w:cs="仿宋"/>
          <w:b/>
          <w:spacing w:val="8"/>
        </w:rPr>
        <w:t xml:space="preserve"> </w:t>
      </w:r>
      <w:r>
        <w:rPr>
          <w:rFonts w:hint="eastAsia" w:ascii="仿宋" w:hAnsi="仿宋" w:eastAsia="仿宋" w:cs="仿宋"/>
          <w:b/>
          <w:spacing w:val="8"/>
          <w:lang w:val="en-US" w:eastAsia="zh-CN"/>
        </w:rPr>
        <w:t>五</w:t>
      </w:r>
      <w:r>
        <w:rPr>
          <w:rFonts w:hint="eastAsia" w:ascii="仿宋" w:hAnsi="仿宋" w:eastAsia="仿宋" w:cs="仿宋"/>
          <w:b/>
          <w:spacing w:val="8"/>
        </w:rPr>
        <w:t>、售后服务响应时间（质保期内）要求</w:t>
      </w:r>
      <w:r>
        <w:rPr>
          <w:rFonts w:hint="eastAsia" w:ascii="仿宋" w:hAnsi="仿宋" w:eastAsia="仿宋" w:cs="仿宋"/>
          <w:b/>
          <w:color w:val="000000"/>
        </w:rPr>
        <w:t>：</w:t>
      </w:r>
    </w:p>
    <w:p w14:paraId="09021D3C">
      <w:pPr>
        <w:spacing w:before="96" w:after="96" w:line="500" w:lineRule="exact"/>
        <w:ind w:right="73" w:rightChars="26" w:firstLine="551" w:firstLineChars="197"/>
        <w:rPr>
          <w:rFonts w:ascii="仿宋" w:hAnsi="仿宋" w:eastAsia="仿宋" w:cs="仿宋"/>
        </w:rPr>
      </w:pPr>
      <w:r>
        <w:rPr>
          <w:rFonts w:hint="eastAsia" w:ascii="仿宋" w:hAnsi="仿宋" w:eastAsia="仿宋" w:cs="仿宋"/>
        </w:rPr>
        <w:t>（1）即时响应（包括电话响应）；</w:t>
      </w:r>
      <w:r>
        <w:rPr>
          <w:rFonts w:ascii="仿宋" w:hAnsi="仿宋" w:eastAsia="仿宋" w:cs="仿宋"/>
        </w:rPr>
        <w:t>12</w:t>
      </w:r>
      <w:r>
        <w:rPr>
          <w:rFonts w:hint="eastAsia" w:ascii="仿宋" w:hAnsi="仿宋" w:eastAsia="仿宋" w:cs="仿宋"/>
        </w:rPr>
        <w:t>小时内到达现场（如电话响应无法解决）。</w:t>
      </w:r>
    </w:p>
    <w:p w14:paraId="0BEDF8AC">
      <w:pPr>
        <w:spacing w:before="96" w:after="96" w:line="500" w:lineRule="exact"/>
        <w:ind w:right="73" w:rightChars="26" w:firstLine="551" w:firstLineChars="197"/>
        <w:rPr>
          <w:rFonts w:hint="eastAsia" w:ascii="仿宋" w:hAnsi="仿宋" w:eastAsia="仿宋" w:cs="仿宋"/>
        </w:rPr>
      </w:pPr>
      <w:r>
        <w:rPr>
          <w:rFonts w:hint="eastAsia" w:ascii="仿宋" w:hAnsi="仿宋" w:eastAsia="仿宋" w:cs="仿宋"/>
        </w:rPr>
        <w:t>（2）修复时间（质保期内）：</w:t>
      </w:r>
      <w:r>
        <w:rPr>
          <w:rFonts w:hint="eastAsia" w:ascii="仿宋" w:hAnsi="仿宋" w:eastAsia="仿宋" w:cs="仿宋"/>
          <w:lang w:val="en-US" w:eastAsia="zh-CN"/>
        </w:rPr>
        <w:t>24</w:t>
      </w:r>
      <w:r>
        <w:rPr>
          <w:rFonts w:hint="eastAsia" w:ascii="仿宋" w:hAnsi="仿宋" w:eastAsia="仿宋" w:cs="仿宋"/>
        </w:rPr>
        <w:t xml:space="preserve"> 小时内解决；如在</w:t>
      </w:r>
      <w:r>
        <w:rPr>
          <w:rFonts w:hint="eastAsia" w:ascii="仿宋" w:hAnsi="仿宋" w:eastAsia="仿宋" w:cs="仿宋"/>
          <w:lang w:val="en-US" w:eastAsia="zh-CN"/>
        </w:rPr>
        <w:t>24</w:t>
      </w:r>
      <w:r>
        <w:rPr>
          <w:rFonts w:hint="eastAsia" w:ascii="仿宋" w:hAnsi="仿宋" w:eastAsia="仿宋" w:cs="仿宋"/>
        </w:rPr>
        <w:t>小时内无法修复，则提供部件冗余服务或采取应急措施，提供相同产品或不低于故障产品规格档次的备用产品供采购人使用，以确保货物的正常使用。</w:t>
      </w:r>
    </w:p>
    <w:p w14:paraId="21D98990">
      <w:pPr>
        <w:spacing w:before="96" w:after="96" w:line="500" w:lineRule="exact"/>
        <w:ind w:right="73" w:rightChars="26" w:firstLine="551" w:firstLineChars="197"/>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3</w:t>
      </w:r>
      <w:r>
        <w:rPr>
          <w:rFonts w:hint="eastAsia" w:ascii="仿宋" w:hAnsi="仿宋" w:eastAsia="仿宋" w:cs="仿宋"/>
        </w:rPr>
        <w:t>）</w:t>
      </w:r>
      <w:r>
        <w:rPr>
          <w:rFonts w:hint="eastAsia" w:ascii="仿宋" w:hAnsi="仿宋" w:eastAsia="仿宋" w:cs="仿宋"/>
          <w:lang w:val="en-US" w:eastAsia="zh-CN"/>
        </w:rPr>
        <w:t>采购货品质保期：</w:t>
      </w:r>
      <w:r>
        <w:rPr>
          <w:rFonts w:hint="eastAsia" w:ascii="仿宋" w:hAnsi="仿宋" w:eastAsia="仿宋" w:cs="仿宋"/>
          <w:u w:val="single"/>
          <w:lang w:val="en-US" w:eastAsia="zh-CN"/>
        </w:rPr>
        <w:t xml:space="preserve">  5年 。</w:t>
      </w:r>
      <w:r>
        <w:rPr>
          <w:rFonts w:hint="eastAsia" w:ascii="仿宋" w:hAnsi="仿宋" w:eastAsia="仿宋" w:cs="仿宋"/>
          <w:lang w:val="en-US" w:eastAsia="zh-CN"/>
        </w:rPr>
        <w:t xml:space="preserve">   </w:t>
      </w:r>
    </w:p>
    <w:p w14:paraId="0CA44AAD">
      <w:pPr>
        <w:keepNext w:val="0"/>
        <w:keepLines w:val="0"/>
        <w:pageBreakBefore w:val="0"/>
        <w:tabs>
          <w:tab w:val="left" w:pos="567"/>
          <w:tab w:val="left" w:pos="2694"/>
          <w:tab w:val="left" w:pos="5103"/>
          <w:tab w:val="left" w:pos="7513"/>
        </w:tabs>
        <w:kinsoku/>
        <w:wordWrap/>
        <w:overflowPunct/>
        <w:topLinePunct w:val="0"/>
        <w:autoSpaceDE/>
        <w:autoSpaceDN/>
        <w:bidi w:val="0"/>
        <w:adjustRightInd w:val="0"/>
        <w:snapToGrid w:val="0"/>
        <w:spacing w:line="460" w:lineRule="exact"/>
        <w:ind w:firstLine="437" w:firstLineChars="147"/>
        <w:textAlignment w:val="auto"/>
        <w:rPr>
          <w:rFonts w:hint="eastAsia" w:ascii="仿宋" w:hAnsi="仿宋" w:eastAsia="仿宋" w:cs="仿宋"/>
          <w:b/>
          <w:spacing w:val="8"/>
        </w:rPr>
      </w:pPr>
      <w:r>
        <w:rPr>
          <w:rFonts w:hint="eastAsia" w:ascii="仿宋" w:hAnsi="仿宋" w:eastAsia="仿宋" w:cs="仿宋"/>
          <w:b/>
          <w:spacing w:val="8"/>
        </w:rPr>
        <w:t xml:space="preserve"> </w:t>
      </w:r>
      <w:r>
        <w:rPr>
          <w:rFonts w:hint="eastAsia" w:ascii="仿宋" w:hAnsi="仿宋" w:eastAsia="仿宋" w:cs="仿宋"/>
          <w:b/>
          <w:spacing w:val="8"/>
          <w:lang w:val="en-US" w:eastAsia="zh-CN"/>
        </w:rPr>
        <w:t>六</w:t>
      </w:r>
      <w:r>
        <w:rPr>
          <w:rFonts w:hint="eastAsia" w:ascii="仿宋" w:hAnsi="仿宋" w:eastAsia="仿宋" w:cs="仿宋"/>
          <w:b/>
          <w:spacing w:val="8"/>
        </w:rPr>
        <w:t>、供货商的职责</w:t>
      </w:r>
    </w:p>
    <w:p w14:paraId="46FF7B23">
      <w:pPr>
        <w:spacing w:before="96" w:after="96" w:line="500" w:lineRule="exact"/>
        <w:ind w:right="73" w:rightChars="26" w:firstLine="560" w:firstLineChars="200"/>
        <w:rPr>
          <w:rFonts w:ascii="仿宋" w:hAnsi="仿宋" w:eastAsia="仿宋" w:cs="仿宋"/>
        </w:rPr>
      </w:pPr>
      <w:r>
        <w:rPr>
          <w:rFonts w:hint="eastAsia" w:ascii="仿宋" w:hAnsi="仿宋" w:eastAsia="仿宋" w:cs="仿宋"/>
        </w:rPr>
        <w:t>1、供应商在响应文件中提供的货物必须与实际提供给采购人的产品一致，否则采购人有权利拒收并追究供应商因此而给采购人造成的损失和相应的责任。</w:t>
      </w:r>
    </w:p>
    <w:p w14:paraId="53E1E6F5">
      <w:pPr>
        <w:snapToGrid w:val="0"/>
        <w:spacing w:line="500" w:lineRule="exact"/>
        <w:ind w:firstLine="560" w:firstLineChars="200"/>
        <w:rPr>
          <w:rFonts w:ascii="仿宋" w:hAnsi="仿宋" w:eastAsia="仿宋" w:cs="仿宋"/>
        </w:rPr>
      </w:pPr>
      <w:r>
        <w:rPr>
          <w:rFonts w:hint="eastAsia" w:ascii="仿宋" w:hAnsi="仿宋" w:eastAsia="仿宋" w:cs="仿宋"/>
        </w:rPr>
        <w:t>2、供应商应提供供货产品的全套资料。</w:t>
      </w:r>
    </w:p>
    <w:p w14:paraId="10B9C91B">
      <w:pPr>
        <w:pStyle w:val="42"/>
        <w:keepNext w:val="0"/>
        <w:keepLines w:val="0"/>
        <w:pageBreakBefore w:val="0"/>
        <w:kinsoku/>
        <w:wordWrap/>
        <w:overflowPunct/>
        <w:topLinePunct w:val="0"/>
        <w:autoSpaceDE/>
        <w:autoSpaceDN/>
        <w:bidi w:val="0"/>
        <w:spacing w:line="460" w:lineRule="exact"/>
        <w:ind w:firstLine="574"/>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、履约验收标准和方法</w:t>
      </w:r>
    </w:p>
    <w:p w14:paraId="28100E95">
      <w:pPr>
        <w:ind w:firstLine="560" w:firstLineChars="200"/>
        <w:rPr>
          <w:rFonts w:ascii="仿宋" w:hAnsi="仿宋" w:eastAsia="仿宋" w:cs="仿宋"/>
        </w:rPr>
      </w:pPr>
      <w:r>
        <w:rPr>
          <w:rFonts w:hint="eastAsia" w:ascii="仿宋" w:hAnsi="仿宋" w:eastAsia="仿宋" w:cs="仿宋"/>
        </w:rPr>
        <w:t>1、供应商</w:t>
      </w:r>
      <w:r>
        <w:rPr>
          <w:rFonts w:ascii="仿宋" w:hAnsi="仿宋" w:eastAsia="仿宋" w:cs="仿宋"/>
        </w:rPr>
        <w:t>应安排</w:t>
      </w:r>
      <w:r>
        <w:rPr>
          <w:rFonts w:hint="eastAsia" w:ascii="仿宋" w:hAnsi="仿宋" w:eastAsia="仿宋" w:cs="仿宋"/>
        </w:rPr>
        <w:t>专业</w:t>
      </w:r>
      <w:r>
        <w:rPr>
          <w:rFonts w:ascii="仿宋" w:hAnsi="仿宋" w:eastAsia="仿宋" w:cs="仿宋"/>
        </w:rPr>
        <w:t>的安装团队，</w:t>
      </w:r>
      <w:r>
        <w:rPr>
          <w:rFonts w:hint="eastAsia" w:ascii="仿宋" w:hAnsi="仿宋" w:eastAsia="仿宋" w:cs="仿宋"/>
        </w:rPr>
        <w:t>按照</w:t>
      </w:r>
      <w:r>
        <w:rPr>
          <w:rFonts w:hint="eastAsia" w:ascii="仿宋" w:hAnsi="仿宋" w:eastAsia="仿宋" w:cs="仿宋"/>
          <w:lang w:val="en-US" w:eastAsia="zh-CN"/>
        </w:rPr>
        <w:t>采购人</w:t>
      </w:r>
      <w:r>
        <w:rPr>
          <w:rFonts w:ascii="仿宋" w:hAnsi="仿宋" w:eastAsia="仿宋" w:cs="仿宋"/>
        </w:rPr>
        <w:t>的</w:t>
      </w:r>
      <w:r>
        <w:rPr>
          <w:rFonts w:hint="eastAsia" w:ascii="仿宋" w:hAnsi="仿宋" w:eastAsia="仿宋" w:cs="仿宋"/>
        </w:rPr>
        <w:t>要求</w:t>
      </w:r>
      <w:r>
        <w:rPr>
          <w:rFonts w:ascii="仿宋" w:hAnsi="仿宋" w:eastAsia="仿宋" w:cs="仿宋"/>
        </w:rPr>
        <w:t>和</w:t>
      </w:r>
      <w:r>
        <w:rPr>
          <w:rFonts w:hint="eastAsia" w:ascii="仿宋" w:hAnsi="仿宋" w:eastAsia="仿宋" w:cs="仿宋"/>
        </w:rPr>
        <w:t>时间表完成</w:t>
      </w:r>
      <w:r>
        <w:rPr>
          <w:rFonts w:hint="eastAsia" w:ascii="仿宋" w:hAnsi="仿宋" w:eastAsia="仿宋" w:cs="仿宋"/>
          <w:lang w:val="en-US" w:eastAsia="zh-CN"/>
        </w:rPr>
        <w:t>采购装备</w:t>
      </w:r>
      <w:r>
        <w:rPr>
          <w:rFonts w:ascii="仿宋" w:hAnsi="仿宋" w:eastAsia="仿宋" w:cs="仿宋"/>
        </w:rPr>
        <w:t>的安装调试工作</w:t>
      </w:r>
      <w:r>
        <w:rPr>
          <w:rFonts w:hint="eastAsia" w:ascii="仿宋" w:hAnsi="仿宋" w:eastAsia="仿宋" w:cs="仿宋"/>
        </w:rPr>
        <w:t>。</w:t>
      </w:r>
    </w:p>
    <w:p w14:paraId="126881FB">
      <w:pPr>
        <w:pStyle w:val="42"/>
        <w:keepNext w:val="0"/>
        <w:keepLines w:val="0"/>
        <w:pageBreakBefore w:val="0"/>
        <w:kinsoku/>
        <w:wordWrap/>
        <w:overflowPunct/>
        <w:topLinePunct w:val="0"/>
        <w:autoSpaceDE/>
        <w:autoSpaceDN/>
        <w:bidi w:val="0"/>
        <w:spacing w:line="460" w:lineRule="exact"/>
        <w:ind w:firstLine="574"/>
        <w:textAlignment w:val="auto"/>
        <w:rPr>
          <w:rFonts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采购人</w:t>
      </w:r>
      <w:r>
        <w:rPr>
          <w:rFonts w:ascii="仿宋" w:hAnsi="仿宋" w:eastAsia="仿宋" w:cs="仿宋"/>
          <w:sz w:val="28"/>
          <w:szCs w:val="28"/>
        </w:rPr>
        <w:t>按照采购清单</w:t>
      </w:r>
      <w:r>
        <w:rPr>
          <w:rFonts w:hint="eastAsia" w:ascii="仿宋" w:hAnsi="仿宋" w:eastAsia="仿宋" w:cs="仿宋"/>
          <w:sz w:val="28"/>
          <w:szCs w:val="28"/>
        </w:rPr>
        <w:t>数量和技术</w:t>
      </w:r>
      <w:r>
        <w:rPr>
          <w:rFonts w:ascii="仿宋" w:hAnsi="仿宋" w:eastAsia="仿宋" w:cs="仿宋"/>
          <w:sz w:val="28"/>
          <w:szCs w:val="28"/>
        </w:rPr>
        <w:t>指标要求</w:t>
      </w:r>
      <w:r>
        <w:rPr>
          <w:rFonts w:hint="eastAsia" w:ascii="仿宋" w:hAnsi="仿宋" w:eastAsia="仿宋" w:cs="仿宋"/>
          <w:sz w:val="28"/>
          <w:szCs w:val="28"/>
        </w:rPr>
        <w:t>，</w:t>
      </w:r>
      <w:r>
        <w:rPr>
          <w:rFonts w:ascii="仿宋" w:hAnsi="仿宋" w:eastAsia="仿宋" w:cs="仿宋"/>
          <w:sz w:val="28"/>
          <w:szCs w:val="28"/>
        </w:rPr>
        <w:t>逐一</w:t>
      </w:r>
      <w:r>
        <w:rPr>
          <w:rFonts w:hint="eastAsia" w:ascii="仿宋" w:hAnsi="仿宋" w:eastAsia="仿宋" w:cs="仿宋"/>
          <w:sz w:val="28"/>
          <w:szCs w:val="28"/>
        </w:rPr>
        <w:t>核实所购买</w:t>
      </w:r>
      <w:r>
        <w:rPr>
          <w:rFonts w:ascii="仿宋" w:hAnsi="仿宋" w:eastAsia="仿宋" w:cs="仿宋"/>
          <w:sz w:val="28"/>
          <w:szCs w:val="28"/>
        </w:rPr>
        <w:t>产品</w:t>
      </w:r>
      <w:r>
        <w:rPr>
          <w:rFonts w:hint="eastAsia" w:ascii="仿宋" w:hAnsi="仿宋" w:eastAsia="仿宋" w:cs="仿宋"/>
          <w:sz w:val="28"/>
          <w:szCs w:val="28"/>
        </w:rPr>
        <w:t>是否</w:t>
      </w:r>
      <w:r>
        <w:rPr>
          <w:rFonts w:ascii="仿宋" w:hAnsi="仿宋" w:eastAsia="仿宋" w:cs="仿宋"/>
          <w:sz w:val="28"/>
          <w:szCs w:val="28"/>
        </w:rPr>
        <w:t>符合要求。查验相关产品的检验</w:t>
      </w:r>
      <w:r>
        <w:rPr>
          <w:rFonts w:hint="eastAsia" w:ascii="仿宋" w:hAnsi="仿宋" w:eastAsia="仿宋" w:cs="仿宋"/>
          <w:sz w:val="28"/>
          <w:szCs w:val="28"/>
        </w:rPr>
        <w:t>检测报告</w:t>
      </w:r>
      <w:r>
        <w:rPr>
          <w:rFonts w:hint="eastAsia" w:ascii="仿宋" w:hAnsi="仿宋" w:eastAsia="仿宋" w:cs="仿宋"/>
          <w:sz w:val="28"/>
          <w:szCs w:val="28"/>
          <w:lang w:eastAsia="zh-CN"/>
        </w:rPr>
        <w:t>等</w:t>
      </w:r>
      <w:r>
        <w:rPr>
          <w:rFonts w:hint="eastAsia" w:ascii="仿宋" w:hAnsi="仿宋" w:eastAsia="仿宋" w:cs="仿宋"/>
          <w:sz w:val="28"/>
          <w:szCs w:val="28"/>
        </w:rPr>
        <w:t>。</w:t>
      </w:r>
      <w:r>
        <w:rPr>
          <w:rFonts w:ascii="仿宋" w:hAnsi="仿宋" w:eastAsia="仿宋" w:cs="仿宋"/>
          <w:sz w:val="28"/>
          <w:szCs w:val="28"/>
        </w:rPr>
        <w:t>发现不符合要求的</w:t>
      </w:r>
      <w:r>
        <w:rPr>
          <w:rFonts w:hint="eastAsia" w:ascii="仿宋" w:hAnsi="仿宋" w:eastAsia="仿宋" w:cs="仿宋"/>
          <w:sz w:val="28"/>
          <w:szCs w:val="28"/>
        </w:rPr>
        <w:t>产品</w:t>
      </w:r>
      <w:r>
        <w:rPr>
          <w:rFonts w:ascii="仿宋" w:hAnsi="仿宋" w:eastAsia="仿宋" w:cs="仿宋"/>
          <w:sz w:val="28"/>
          <w:szCs w:val="28"/>
        </w:rPr>
        <w:t>，</w:t>
      </w:r>
      <w:r>
        <w:rPr>
          <w:rFonts w:hint="eastAsia" w:ascii="仿宋" w:hAnsi="仿宋" w:eastAsia="仿宋" w:cs="仿宋"/>
          <w:sz w:val="28"/>
          <w:szCs w:val="28"/>
          <w:lang w:val="en-US" w:eastAsia="zh-CN"/>
        </w:rPr>
        <w:t>采购人</w:t>
      </w:r>
      <w:r>
        <w:rPr>
          <w:rFonts w:ascii="仿宋" w:hAnsi="仿宋" w:eastAsia="仿宋" w:cs="仿宋"/>
          <w:sz w:val="28"/>
          <w:szCs w:val="28"/>
        </w:rPr>
        <w:t>有权拒收并</w:t>
      </w:r>
      <w:r>
        <w:rPr>
          <w:rFonts w:hint="eastAsia" w:ascii="仿宋" w:hAnsi="仿宋" w:eastAsia="仿宋" w:cs="仿宋"/>
          <w:sz w:val="28"/>
          <w:szCs w:val="28"/>
        </w:rPr>
        <w:t>清退</w:t>
      </w:r>
      <w:r>
        <w:rPr>
          <w:rFonts w:ascii="仿宋" w:hAnsi="仿宋" w:eastAsia="仿宋" w:cs="仿宋"/>
          <w:sz w:val="28"/>
          <w:szCs w:val="28"/>
        </w:rPr>
        <w:t>出场</w:t>
      </w:r>
      <w:r>
        <w:rPr>
          <w:rFonts w:hint="eastAsia" w:ascii="仿宋" w:hAnsi="仿宋" w:eastAsia="仿宋" w:cs="仿宋"/>
          <w:sz w:val="28"/>
          <w:szCs w:val="28"/>
        </w:rPr>
        <w:t>，造成</w:t>
      </w:r>
      <w:r>
        <w:rPr>
          <w:rFonts w:ascii="仿宋" w:hAnsi="仿宋" w:eastAsia="仿宋" w:cs="仿宋"/>
          <w:sz w:val="28"/>
          <w:szCs w:val="28"/>
        </w:rPr>
        <w:t>的</w:t>
      </w:r>
      <w:r>
        <w:rPr>
          <w:rFonts w:hint="eastAsia" w:ascii="仿宋" w:hAnsi="仿宋" w:eastAsia="仿宋" w:cs="仿宋"/>
          <w:sz w:val="28"/>
          <w:szCs w:val="28"/>
        </w:rPr>
        <w:t>损失</w:t>
      </w:r>
      <w:r>
        <w:rPr>
          <w:rFonts w:ascii="仿宋" w:hAnsi="仿宋" w:eastAsia="仿宋" w:cs="仿宋"/>
          <w:sz w:val="28"/>
          <w:szCs w:val="28"/>
        </w:rPr>
        <w:t>由供应商自行承担。</w:t>
      </w:r>
    </w:p>
    <w:p w14:paraId="02A604F9">
      <w:pPr>
        <w:pStyle w:val="42"/>
        <w:keepNext w:val="0"/>
        <w:keepLines w:val="0"/>
        <w:pageBreakBefore w:val="0"/>
        <w:kinsoku/>
        <w:wordWrap/>
        <w:overflowPunct/>
        <w:topLinePunct w:val="0"/>
        <w:autoSpaceDE/>
        <w:autoSpaceDN/>
        <w:bidi w:val="0"/>
        <w:spacing w:line="460" w:lineRule="exact"/>
        <w:ind w:firstLine="574"/>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八</w:t>
      </w:r>
      <w:r>
        <w:rPr>
          <w:rFonts w:hint="eastAsia" w:ascii="仿宋" w:hAnsi="仿宋" w:eastAsia="仿宋" w:cs="仿宋"/>
          <w:b/>
          <w:bCs/>
          <w:sz w:val="28"/>
          <w:szCs w:val="28"/>
        </w:rPr>
        <w:t>、付款方式</w:t>
      </w:r>
    </w:p>
    <w:p w14:paraId="5EC31CB5">
      <w:pPr>
        <w:keepNext w:val="0"/>
        <w:keepLines w:val="0"/>
        <w:widowControl/>
        <w:suppressLineNumbers w:val="0"/>
        <w:ind w:firstLine="560" w:firstLineChars="200"/>
        <w:jc w:val="left"/>
      </w:pPr>
      <w:r>
        <w:rPr>
          <w:rFonts w:hint="eastAsia" w:ascii="仿宋" w:hAnsi="仿宋" w:eastAsia="仿宋" w:cs="仿宋"/>
        </w:rPr>
        <w:t>合同签订后支付总价款3</w:t>
      </w:r>
      <w:r>
        <w:rPr>
          <w:rFonts w:hint="eastAsia" w:ascii="仿宋" w:hAnsi="仿宋" w:eastAsia="仿宋" w:cs="仿宋"/>
          <w:lang w:val="en-US" w:eastAsia="zh-CN"/>
        </w:rPr>
        <w:t>5</w:t>
      </w:r>
      <w:r>
        <w:rPr>
          <w:rFonts w:hint="eastAsia" w:ascii="仿宋" w:hAnsi="仿宋" w:eastAsia="仿宋" w:cs="仿宋"/>
        </w:rPr>
        <w:t>％首付款，</w:t>
      </w:r>
      <w:r>
        <w:rPr>
          <w:rFonts w:ascii="仿宋" w:hAnsi="仿宋" w:eastAsia="仿宋" w:cs="仿宋"/>
        </w:rPr>
        <w:t>验收</w:t>
      </w:r>
      <w:r>
        <w:rPr>
          <w:rFonts w:hint="eastAsia" w:ascii="仿宋" w:hAnsi="仿宋" w:eastAsia="仿宋" w:cs="仿宋"/>
        </w:rPr>
        <w:t>完成后</w:t>
      </w:r>
      <w:r>
        <w:rPr>
          <w:rFonts w:ascii="仿宋" w:hAnsi="仿宋" w:eastAsia="仿宋" w:cs="仿宋"/>
        </w:rPr>
        <w:t>付款</w:t>
      </w:r>
      <w:r>
        <w:rPr>
          <w:rFonts w:hint="eastAsia" w:ascii="仿宋" w:hAnsi="仿宋" w:eastAsia="仿宋" w:cs="仿宋"/>
          <w:lang w:val="en-US" w:eastAsia="zh-CN"/>
        </w:rPr>
        <w:t>65</w:t>
      </w:r>
      <w:r>
        <w:rPr>
          <w:rFonts w:hint="eastAsia" w:ascii="仿宋" w:hAnsi="仿宋" w:eastAsia="仿宋" w:cs="仿宋"/>
        </w:rPr>
        <w:t>％</w:t>
      </w:r>
      <w:r>
        <w:rPr>
          <w:rFonts w:hint="eastAsia" w:ascii="仿宋" w:hAnsi="仿宋" w:eastAsia="仿宋" w:cs="仿宋"/>
          <w:lang w:eastAsia="zh-CN"/>
        </w:rPr>
        <w:t>。</w:t>
      </w:r>
      <w:r>
        <w:rPr>
          <w:rFonts w:hint="eastAsia" w:ascii="仿宋" w:hAnsi="仿宋" w:eastAsia="仿宋" w:cs="仿宋"/>
          <w:color w:val="000000"/>
          <w:kern w:val="0"/>
          <w:sz w:val="28"/>
          <w:szCs w:val="28"/>
          <w:lang w:val="en-US" w:eastAsia="zh-CN" w:bidi="ar"/>
        </w:rPr>
        <w:t xml:space="preserve"> </w:t>
      </w:r>
    </w:p>
    <w:p w14:paraId="3C2D20E1">
      <w:pPr>
        <w:keepNext w:val="0"/>
        <w:keepLines w:val="0"/>
        <w:widowControl/>
        <w:suppressLineNumbers w:val="0"/>
        <w:ind w:firstLine="281" w:firstLineChars="100"/>
        <w:jc w:val="left"/>
      </w:pPr>
      <w:r>
        <w:rPr>
          <w:rFonts w:hint="eastAsia" w:ascii="仿宋" w:hAnsi="仿宋" w:eastAsia="仿宋" w:cs="仿宋"/>
          <w:b/>
          <w:bCs/>
          <w:color w:val="000000"/>
          <w:kern w:val="0"/>
          <w:sz w:val="28"/>
          <w:szCs w:val="28"/>
          <w:lang w:val="en-US" w:eastAsia="zh-CN" w:bidi="ar"/>
        </w:rPr>
        <w:t xml:space="preserve">★九、实质性条款要求（以下条款须提供承诺函，未提供承诺函的视 </w:t>
      </w:r>
    </w:p>
    <w:p w14:paraId="3B175040">
      <w:pPr>
        <w:keepNext w:val="0"/>
        <w:keepLines w:val="0"/>
        <w:widowControl/>
        <w:suppressLineNumbers w:val="0"/>
        <w:jc w:val="left"/>
      </w:pPr>
      <w:r>
        <w:rPr>
          <w:rFonts w:hint="eastAsia" w:ascii="仿宋" w:hAnsi="仿宋" w:eastAsia="仿宋" w:cs="仿宋"/>
          <w:b/>
          <w:bCs/>
          <w:color w:val="000000"/>
          <w:kern w:val="0"/>
          <w:sz w:val="28"/>
          <w:szCs w:val="28"/>
          <w:lang w:val="en-US" w:eastAsia="zh-CN" w:bidi="ar"/>
        </w:rPr>
        <w:t xml:space="preserve">为无效投标） </w:t>
      </w:r>
    </w:p>
    <w:p w14:paraId="0555CCAE">
      <w:pPr>
        <w:keepNext w:val="0"/>
        <w:keepLines w:val="0"/>
        <w:widowControl/>
        <w:suppressLineNumbers w:val="0"/>
        <w:jc w:val="left"/>
      </w:pPr>
      <w:r>
        <w:rPr>
          <w:rFonts w:hint="eastAsia" w:ascii="仿宋" w:hAnsi="仿宋" w:eastAsia="仿宋" w:cs="仿宋"/>
          <w:b/>
          <w:bCs/>
          <w:color w:val="000000"/>
          <w:kern w:val="0"/>
          <w:sz w:val="28"/>
          <w:szCs w:val="28"/>
          <w:lang w:val="en-US" w:eastAsia="zh-CN" w:bidi="ar"/>
        </w:rPr>
        <w:t xml:space="preserve">（一）投标人须承诺：完全满足本项目全部采购货物数量要求 </w:t>
      </w:r>
    </w:p>
    <w:p w14:paraId="2382137E">
      <w:pPr>
        <w:keepNext w:val="0"/>
        <w:keepLines w:val="0"/>
        <w:widowControl/>
        <w:suppressLineNumbers w:val="0"/>
        <w:jc w:val="left"/>
      </w:pPr>
      <w:r>
        <w:rPr>
          <w:rFonts w:hint="eastAsia" w:ascii="仿宋" w:hAnsi="仿宋" w:eastAsia="仿宋" w:cs="仿宋"/>
          <w:b/>
          <w:bCs/>
          <w:color w:val="000000"/>
          <w:kern w:val="0"/>
          <w:sz w:val="28"/>
          <w:szCs w:val="28"/>
          <w:lang w:val="en-US" w:eastAsia="zh-CN" w:bidi="ar"/>
        </w:rPr>
        <w:t xml:space="preserve">（二）投标人须承诺：所投产品出厂检测合格、全新、未启封过，无假 </w:t>
      </w:r>
    </w:p>
    <w:p w14:paraId="2A173302">
      <w:pPr>
        <w:keepNext w:val="0"/>
        <w:keepLines w:val="0"/>
        <w:widowControl/>
        <w:suppressLineNumbers w:val="0"/>
        <w:jc w:val="left"/>
      </w:pPr>
      <w:r>
        <w:rPr>
          <w:rFonts w:hint="eastAsia" w:ascii="仿宋" w:hAnsi="仿宋" w:eastAsia="仿宋" w:cs="仿宋"/>
          <w:b/>
          <w:bCs/>
          <w:color w:val="000000"/>
          <w:kern w:val="0"/>
          <w:sz w:val="28"/>
          <w:szCs w:val="28"/>
          <w:lang w:val="en-US" w:eastAsia="zh-CN" w:bidi="ar"/>
        </w:rPr>
        <w:t xml:space="preserve">货。 </w:t>
      </w:r>
    </w:p>
    <w:p w14:paraId="3E20AD70">
      <w:pPr>
        <w:adjustRightInd w:val="0"/>
        <w:snapToGrid w:val="0"/>
        <w:spacing w:line="360" w:lineRule="auto"/>
        <w:rPr>
          <w:rFonts w:ascii="宋体" w:hAnsi="宋体"/>
        </w:rPr>
      </w:pPr>
    </w:p>
    <w:p w14:paraId="53613C9F">
      <w:pPr>
        <w:adjustRightInd w:val="0"/>
        <w:snapToGrid w:val="0"/>
        <w:spacing w:line="360" w:lineRule="auto"/>
        <w:rPr>
          <w:rFonts w:ascii="宋体" w:hAnsi="宋体"/>
        </w:rPr>
      </w:pPr>
    </w:p>
    <w:p w14:paraId="7BB015C8">
      <w:pPr>
        <w:adjustRightInd w:val="0"/>
        <w:snapToGrid w:val="0"/>
        <w:spacing w:line="360" w:lineRule="auto"/>
        <w:rPr>
          <w:rFonts w:ascii="宋体" w:hAnsi="宋体"/>
        </w:rPr>
      </w:pPr>
    </w:p>
    <w:p w14:paraId="187D8025">
      <w:pPr>
        <w:adjustRightInd w:val="0"/>
        <w:snapToGrid w:val="0"/>
        <w:spacing w:line="360" w:lineRule="auto"/>
        <w:rPr>
          <w:rFonts w:ascii="宋体" w:hAnsi="宋体"/>
        </w:rPr>
      </w:pPr>
    </w:p>
    <w:p w14:paraId="2B403EEE">
      <w:pPr>
        <w:keepNext w:val="0"/>
        <w:keepLines w:val="0"/>
        <w:pageBreakBefore w:val="0"/>
        <w:numPr>
          <w:ilvl w:val="0"/>
          <w:numId w:val="0"/>
        </w:numPr>
        <w:kinsoku/>
        <w:wordWrap/>
        <w:overflowPunct/>
        <w:topLinePunct w:val="0"/>
        <w:autoSpaceDE/>
        <w:autoSpaceDN/>
        <w:bidi w:val="0"/>
        <w:adjustRightInd/>
        <w:snapToGrid/>
        <w:spacing w:line="240" w:lineRule="auto"/>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本章备注：</w:t>
      </w:r>
    </w:p>
    <w:p w14:paraId="72AA95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华文仿宋" w:hAnsi="华文仿宋" w:eastAsia="华文仿宋" w:cs="华文仿宋"/>
          <w:b/>
          <w:bCs/>
          <w:spacing w:val="9"/>
          <w:sz w:val="20"/>
          <w:szCs w:val="20"/>
          <w:lang w:eastAsia="zh-CN"/>
        </w:rPr>
      </w:pPr>
      <w:r>
        <w:rPr>
          <w:rFonts w:hint="eastAsia" w:ascii="华文仿宋" w:hAnsi="华文仿宋" w:eastAsia="华文仿宋" w:cs="华文仿宋"/>
          <w:b/>
          <w:bCs/>
          <w:sz w:val="24"/>
          <w:szCs w:val="24"/>
          <w:lang w:val="en-US" w:eastAsia="zh-CN"/>
        </w:rPr>
        <w:t>1、本章中★参数为实质性条款，不接受负偏离。投标人在投标文件</w:t>
      </w:r>
      <w:r>
        <w:rPr>
          <w:rFonts w:hint="eastAsia" w:ascii="华文仿宋" w:hAnsi="华文仿宋" w:cs="华文仿宋"/>
          <w:b/>
          <w:bCs/>
          <w:sz w:val="24"/>
          <w:szCs w:val="24"/>
          <w:lang w:val="en-US" w:eastAsia="zh-CN"/>
        </w:rPr>
        <w:t>《实质性条款响应》</w:t>
      </w:r>
      <w:r>
        <w:rPr>
          <w:rFonts w:hint="eastAsia" w:ascii="华文仿宋" w:hAnsi="华文仿宋" w:eastAsia="华文仿宋" w:cs="华文仿宋"/>
          <w:b/>
          <w:bCs/>
          <w:sz w:val="24"/>
          <w:szCs w:val="24"/>
          <w:lang w:val="en-US" w:eastAsia="zh-CN"/>
        </w:rPr>
        <w:t>中应逐条响应，并按要求提供佐证材料予以证明，未逐条响应或有缺漏或有负偏离或未提供佐证材料的，按无效投标处理。</w:t>
      </w:r>
    </w:p>
    <w:p w14:paraId="457B6097">
      <w:pPr>
        <w:keepNext w:val="0"/>
        <w:keepLines w:val="0"/>
        <w:pageBreakBefore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华文仿宋" w:hAnsi="华文仿宋" w:eastAsia="华文仿宋" w:cs="华文仿宋"/>
          <w:b/>
          <w:bCs/>
          <w:sz w:val="24"/>
          <w:szCs w:val="24"/>
          <w:lang w:val="en-US" w:eastAsia="zh-CN"/>
        </w:rPr>
      </w:pPr>
      <w:r>
        <w:rPr>
          <w:rFonts w:hint="eastAsia" w:ascii="华文仿宋" w:hAnsi="华文仿宋" w:eastAsia="华文仿宋" w:cs="华文仿宋"/>
          <w:b/>
          <w:bCs/>
          <w:sz w:val="24"/>
          <w:szCs w:val="24"/>
          <w:lang w:val="en-US" w:eastAsia="zh-CN"/>
        </w:rPr>
        <w:t>2、本章中▲参数，为重要要求，投标人未达到要求或未响应将影响评分，具体评分规则见《评审要素及分值一览表》。</w:t>
      </w:r>
    </w:p>
    <w:p w14:paraId="440FFA5B">
      <w:pPr>
        <w:keepNext w:val="0"/>
        <w:keepLines w:val="0"/>
        <w:pageBreakBefore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b/>
          <w:bCs/>
          <w:sz w:val="24"/>
          <w:szCs w:val="24"/>
          <w:lang w:val="en-US" w:eastAsia="zh-CN"/>
        </w:rPr>
      </w:pPr>
      <w:r>
        <w:rPr>
          <w:rFonts w:hint="eastAsia" w:ascii="华文仿宋" w:hAnsi="华文仿宋" w:eastAsia="华文仿宋" w:cs="华文仿宋"/>
          <w:b/>
          <w:bCs/>
          <w:sz w:val="24"/>
          <w:szCs w:val="24"/>
          <w:lang w:val="en-US" w:eastAsia="zh-CN"/>
        </w:rPr>
        <w:t>3、除★参数、▲参数以外的其他要求，为一般要求，不接受负偏离。</w:t>
      </w:r>
    </w:p>
    <w:p w14:paraId="49D9A99C">
      <w:pPr>
        <w:pStyle w:val="42"/>
      </w:pPr>
    </w:p>
    <w:p w14:paraId="735422F5">
      <w:pPr>
        <w:keepNext w:val="0"/>
        <w:keepLines w:val="0"/>
        <w:widowControl/>
        <w:suppressLineNumbers w:val="0"/>
        <w:ind w:firstLine="480" w:firstLineChars="200"/>
        <w:jc w:val="left"/>
        <w:textAlignment w:val="center"/>
        <w:rPr>
          <w:rFonts w:hint="default" w:ascii="仿宋" w:hAnsi="仿宋" w:eastAsia="仿宋" w:cs="仿宋"/>
          <w:i w:val="0"/>
          <w:iCs w:val="0"/>
          <w:color w:val="auto"/>
          <w:kern w:val="0"/>
          <w:sz w:val="24"/>
          <w:szCs w:val="24"/>
          <w:u w:val="none"/>
          <w:lang w:val="en-US" w:eastAsia="zh-CN" w:bidi="ar"/>
        </w:rPr>
      </w:pPr>
    </w:p>
    <w:p w14:paraId="59B045FE">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br w:type="page"/>
      </w:r>
    </w:p>
    <w:p w14:paraId="2BB92D68">
      <w:pPr>
        <w:spacing w:line="240" w:lineRule="auto"/>
        <w:jc w:val="center"/>
        <w:rPr>
          <w:rFonts w:ascii="Calibri Light" w:hAnsi="Calibri Light" w:eastAsia="华文仿宋" w:cs="Calibri Light"/>
          <w:kern w:val="2"/>
          <w:sz w:val="28"/>
          <w:szCs w:val="28"/>
          <w:lang w:val="en-US" w:eastAsia="zh-CN" w:bidi="ar-SA"/>
        </w:rPr>
      </w:pPr>
      <w:r>
        <w:rPr>
          <w:rStyle w:val="55"/>
          <w:rFonts w:hint="eastAsia" w:ascii="黑体" w:hAnsi="黑体" w:eastAsia="黑体" w:cs="黑体"/>
          <w:color w:val="auto"/>
          <w:sz w:val="32"/>
          <w:szCs w:val="32"/>
        </w:rPr>
        <w:t>第五章  商务</w:t>
      </w:r>
      <w:r>
        <w:rPr>
          <w:rStyle w:val="55"/>
          <w:rFonts w:hint="eastAsia" w:ascii="黑体" w:hAnsi="黑体" w:eastAsia="黑体" w:cs="黑体"/>
          <w:sz w:val="32"/>
          <w:szCs w:val="32"/>
        </w:rPr>
        <w:t>响应</w:t>
      </w:r>
      <w:r>
        <w:rPr>
          <w:rStyle w:val="55"/>
          <w:rFonts w:hint="eastAsia" w:ascii="黑体" w:hAnsi="黑体" w:eastAsia="黑体" w:cs="黑体"/>
          <w:color w:val="auto"/>
          <w:sz w:val="32"/>
          <w:szCs w:val="32"/>
        </w:rPr>
        <w:t>及合同</w:t>
      </w:r>
      <w:r>
        <w:rPr>
          <w:rStyle w:val="55"/>
          <w:rFonts w:ascii="黑体" w:hAnsi="黑体" w:eastAsia="黑体" w:cs="黑体"/>
          <w:color w:val="auto"/>
          <w:sz w:val="32"/>
          <w:szCs w:val="32"/>
        </w:rPr>
        <w:t>主要</w:t>
      </w:r>
      <w:r>
        <w:rPr>
          <w:rStyle w:val="55"/>
          <w:rFonts w:hint="eastAsia" w:ascii="黑体" w:hAnsi="黑体" w:eastAsia="黑体" w:cs="黑体"/>
          <w:color w:val="auto"/>
          <w:sz w:val="32"/>
          <w:szCs w:val="32"/>
        </w:rPr>
        <w:t>条款</w:t>
      </w:r>
      <w:bookmarkStart w:id="51" w:name="_Toc6843"/>
    </w:p>
    <w:bookmarkEnd w:id="51"/>
    <w:p w14:paraId="38FAB0B2">
      <w:pPr>
        <w:pStyle w:val="84"/>
        <w:keepNext w:val="0"/>
        <w:keepLines w:val="0"/>
        <w:pageBreakBefore w:val="0"/>
        <w:kinsoku/>
        <w:wordWrap/>
        <w:overflowPunct/>
        <w:topLinePunct w:val="0"/>
        <w:autoSpaceDE/>
        <w:autoSpaceDN/>
        <w:bidi w:val="0"/>
        <w:adjustRightInd w:val="0"/>
        <w:snapToGrid w:val="0"/>
        <w:spacing w:after="0" w:line="360" w:lineRule="auto"/>
        <w:ind w:left="0" w:leftChars="0" w:firstLine="0" w:firstLineChars="0"/>
        <w:jc w:val="center"/>
        <w:textAlignment w:val="auto"/>
        <w:rPr>
          <w:rFonts w:hint="eastAsia" w:ascii="华文仿宋" w:hAnsi="华文仿宋" w:eastAsia="华文仿宋" w:cs="华文仿宋"/>
          <w:b/>
          <w:bCs/>
          <w:color w:val="auto"/>
          <w:sz w:val="28"/>
          <w:szCs w:val="28"/>
        </w:rPr>
      </w:pPr>
      <w:bookmarkStart w:id="52" w:name="_Toc495012773"/>
      <w:bookmarkStart w:id="53" w:name="_Toc495014651"/>
      <w:bookmarkStart w:id="54" w:name="_Toc495014587"/>
      <w:bookmarkStart w:id="55" w:name="_Toc495012823"/>
      <w:bookmarkStart w:id="56" w:name="_Toc495014613"/>
      <w:bookmarkStart w:id="57" w:name="_Toc495014922"/>
      <w:bookmarkStart w:id="58" w:name="_Toc495014956"/>
      <w:bookmarkStart w:id="59" w:name="_Toc445306495"/>
    </w:p>
    <w:p w14:paraId="03CB5281">
      <w:pPr>
        <w:spacing w:line="240" w:lineRule="auto"/>
        <w:ind w:firstLine="2520" w:firstLineChars="1200"/>
        <w:rPr>
          <w:rStyle w:val="55"/>
          <w:rFonts w:ascii="黑体" w:hAnsi="黑体" w:eastAsia="黑体" w:cs="黑体"/>
          <w:b w:val="0"/>
          <w:bCs w:val="0"/>
          <w:sz w:val="21"/>
          <w:szCs w:val="21"/>
        </w:rPr>
      </w:pPr>
      <w:r>
        <w:rPr>
          <w:rStyle w:val="55"/>
          <w:rFonts w:hint="eastAsia" w:ascii="黑体" w:hAnsi="黑体" w:eastAsia="黑体" w:cs="黑体"/>
          <w:b w:val="0"/>
          <w:bCs w:val="0"/>
          <w:sz w:val="21"/>
          <w:szCs w:val="21"/>
        </w:rPr>
        <w:t>（仅供参考，具体依照甲乙双方协商签订）</w:t>
      </w:r>
    </w:p>
    <w:p w14:paraId="2DCC2489">
      <w:pPr>
        <w:pStyle w:val="3"/>
        <w:spacing w:line="520" w:lineRule="exact"/>
        <w:ind w:firstLine="562" w:firstLineChars="200"/>
        <w:rPr>
          <w:rFonts w:hint="eastAsia" w:ascii="仿宋" w:hAnsi="仿宋" w:eastAsia="仿宋" w:cs="仿宋"/>
          <w:color w:val="000000"/>
          <w:sz w:val="28"/>
          <w:szCs w:val="28"/>
        </w:rPr>
      </w:pPr>
      <w:bookmarkStart w:id="60" w:name="_Toc35871572"/>
      <w:bookmarkStart w:id="61" w:name="_Toc14082139"/>
      <w:r>
        <w:rPr>
          <w:rFonts w:hint="eastAsia" w:ascii="仿宋" w:hAnsi="仿宋" w:eastAsia="仿宋" w:cs="仿宋"/>
          <w:color w:val="000000"/>
          <w:sz w:val="28"/>
          <w:szCs w:val="28"/>
        </w:rPr>
        <w:t>一、服务条件</w:t>
      </w:r>
      <w:bookmarkEnd w:id="60"/>
      <w:bookmarkEnd w:id="61"/>
    </w:p>
    <w:p w14:paraId="67D56D0B">
      <w:pPr>
        <w:spacing w:line="500" w:lineRule="exact"/>
        <w:ind w:firstLine="560" w:firstLineChars="200"/>
        <w:rPr>
          <w:rFonts w:hint="eastAsia" w:ascii="仿宋" w:hAnsi="仿宋" w:eastAsia="仿宋" w:cs="仿宋"/>
        </w:rPr>
      </w:pPr>
      <w:bookmarkStart w:id="62" w:name="_Toc35871573"/>
      <w:bookmarkStart w:id="63" w:name="_Toc14082140"/>
      <w:r>
        <w:rPr>
          <w:rFonts w:hint="eastAsia" w:ascii="仿宋" w:hAnsi="仿宋" w:eastAsia="仿宋" w:cs="仿宋"/>
        </w:rPr>
        <w:t>（一）交货地点：采购人指定地点</w:t>
      </w:r>
    </w:p>
    <w:p w14:paraId="2246F3E2">
      <w:pPr>
        <w:spacing w:line="500" w:lineRule="exact"/>
        <w:ind w:firstLine="560" w:firstLineChars="200"/>
        <w:rPr>
          <w:rFonts w:hint="eastAsia" w:ascii="仿宋" w:hAnsi="仿宋" w:eastAsia="仿宋" w:cs="仿宋"/>
        </w:rPr>
      </w:pPr>
      <w:r>
        <w:rPr>
          <w:rFonts w:hint="eastAsia" w:ascii="仿宋" w:hAnsi="仿宋" w:eastAsia="仿宋" w:cs="仿宋"/>
        </w:rPr>
        <w:t>（二）交货时间：合同签订后</w:t>
      </w:r>
      <w:r>
        <w:rPr>
          <w:rFonts w:hint="eastAsia" w:ascii="仿宋" w:hAnsi="仿宋" w:eastAsia="仿宋" w:cs="仿宋"/>
          <w:lang w:val="en-US" w:eastAsia="zh-CN"/>
        </w:rPr>
        <w:t>50</w:t>
      </w:r>
      <w:r>
        <w:rPr>
          <w:rFonts w:hint="eastAsia" w:ascii="仿宋" w:hAnsi="仿宋" w:eastAsia="仿宋" w:cs="仿宋"/>
        </w:rPr>
        <w:t>日内所有设备安装调试完毕并交付使用</w:t>
      </w:r>
    </w:p>
    <w:p w14:paraId="789F925F">
      <w:pPr>
        <w:pStyle w:val="75"/>
        <w:spacing w:line="520" w:lineRule="exact"/>
        <w:ind w:left="560" w:leftChars="200" w:firstLine="0" w:firstLineChars="0"/>
        <w:rPr>
          <w:rFonts w:hint="eastAsia" w:ascii="仿宋" w:hAnsi="仿宋" w:eastAsia="仿宋" w:cs="仿宋"/>
          <w:b/>
          <w:bCs/>
          <w:color w:val="000000"/>
        </w:rPr>
      </w:pPr>
      <w:r>
        <w:rPr>
          <w:rFonts w:hint="eastAsia" w:ascii="仿宋" w:hAnsi="仿宋" w:eastAsia="仿宋" w:cs="仿宋"/>
          <w:b/>
          <w:bCs/>
          <w:color w:val="000000"/>
        </w:rPr>
        <w:t>二、合同价款</w:t>
      </w:r>
      <w:bookmarkEnd w:id="62"/>
      <w:bookmarkEnd w:id="63"/>
    </w:p>
    <w:p w14:paraId="56414B62">
      <w:pPr>
        <w:pStyle w:val="75"/>
        <w:spacing w:line="500" w:lineRule="exact"/>
        <w:ind w:left="560" w:leftChars="200" w:firstLine="0" w:firstLineChars="0"/>
        <w:rPr>
          <w:rFonts w:hint="eastAsia" w:ascii="仿宋" w:hAnsi="仿宋" w:eastAsia="仿宋" w:cs="仿宋"/>
        </w:rPr>
      </w:pPr>
      <w:bookmarkStart w:id="64" w:name="_Toc14082141"/>
      <w:bookmarkStart w:id="65" w:name="_Toc35871574"/>
      <w:r>
        <w:rPr>
          <w:rFonts w:hint="eastAsia" w:ascii="仿宋" w:hAnsi="仿宋" w:eastAsia="仿宋" w:cs="仿宋"/>
        </w:rPr>
        <w:t>（一）合同总价款为人民币（大写）</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rPr>
        <w:t>）（二）合同总价一次性包死，不受市场价格变化因素的影响</w:t>
      </w:r>
    </w:p>
    <w:p w14:paraId="6973163B">
      <w:pPr>
        <w:pStyle w:val="3"/>
        <w:spacing w:line="500" w:lineRule="exact"/>
        <w:ind w:firstLine="560" w:firstLineChars="200"/>
        <w:rPr>
          <w:rFonts w:hint="eastAsia" w:ascii="仿宋" w:hAnsi="仿宋" w:eastAsia="仿宋" w:cs="仿宋"/>
          <w:b w:val="0"/>
          <w:bCs w:val="0"/>
          <w:kern w:val="2"/>
          <w:sz w:val="28"/>
          <w:szCs w:val="28"/>
          <w:lang w:val="en-US" w:eastAsia="zh-CN"/>
        </w:rPr>
      </w:pPr>
      <w:r>
        <w:rPr>
          <w:rFonts w:hint="eastAsia" w:ascii="仿宋" w:hAnsi="仿宋" w:eastAsia="仿宋" w:cs="仿宋"/>
          <w:b w:val="0"/>
          <w:bCs w:val="0"/>
          <w:kern w:val="2"/>
          <w:sz w:val="28"/>
          <w:szCs w:val="28"/>
          <w:lang w:val="en-US" w:eastAsia="zh-CN"/>
        </w:rPr>
        <w:t>（三）合同总价包括但不限于制造、生产、运输、装卸、保险、检测、验收、税金等一切相关费用</w:t>
      </w:r>
    </w:p>
    <w:bookmarkEnd w:id="64"/>
    <w:bookmarkEnd w:id="65"/>
    <w:p w14:paraId="28B8559E">
      <w:pPr>
        <w:pStyle w:val="4"/>
        <w:ind w:firstLine="554" w:firstLineChars="197"/>
        <w:rPr>
          <w:rFonts w:hint="eastAsia" w:ascii="仿宋" w:hAnsi="仿宋" w:eastAsia="仿宋" w:cs="仿宋"/>
        </w:rPr>
      </w:pPr>
      <w:r>
        <w:rPr>
          <w:rFonts w:hint="eastAsia" w:ascii="仿宋" w:hAnsi="仿宋" w:eastAsia="仿宋" w:cs="仿宋"/>
          <w:b/>
          <w:bCs/>
          <w:kern w:val="0"/>
        </w:rPr>
        <w:t>三、产品清单</w:t>
      </w:r>
      <w:r>
        <w:rPr>
          <w:rFonts w:hint="eastAsia" w:ascii="仿宋" w:hAnsi="仿宋" w:eastAsia="仿宋" w:cs="仿宋"/>
        </w:rPr>
        <w:t>（见采购清单）</w:t>
      </w:r>
    </w:p>
    <w:p w14:paraId="04017069">
      <w:pPr>
        <w:pStyle w:val="3"/>
        <w:spacing w:line="500" w:lineRule="exact"/>
        <w:ind w:firstLine="562" w:firstLineChars="200"/>
        <w:rPr>
          <w:rFonts w:hint="eastAsia" w:ascii="仿宋" w:hAnsi="仿宋" w:eastAsia="仿宋" w:cs="仿宋"/>
          <w:b w:val="0"/>
          <w:sz w:val="28"/>
          <w:szCs w:val="28"/>
        </w:rPr>
      </w:pPr>
      <w:bookmarkStart w:id="66" w:name="_Toc56066559"/>
      <w:bookmarkStart w:id="67" w:name="_Toc16156"/>
      <w:r>
        <w:rPr>
          <w:rFonts w:hint="eastAsia" w:ascii="仿宋" w:hAnsi="仿宋" w:eastAsia="仿宋" w:cs="仿宋"/>
          <w:sz w:val="28"/>
          <w:szCs w:val="28"/>
        </w:rPr>
        <w:t>四、款项结算</w:t>
      </w:r>
      <w:bookmarkEnd w:id="66"/>
      <w:bookmarkEnd w:id="67"/>
    </w:p>
    <w:p w14:paraId="7B2AEEC4">
      <w:pPr>
        <w:spacing w:line="500" w:lineRule="exact"/>
        <w:ind w:firstLine="560" w:firstLineChars="200"/>
        <w:jc w:val="left"/>
        <w:rPr>
          <w:rFonts w:hint="eastAsia" w:ascii="仿宋" w:hAnsi="仿宋" w:eastAsia="仿宋" w:cs="仿宋"/>
        </w:rPr>
      </w:pPr>
      <w:r>
        <w:rPr>
          <w:rFonts w:hint="eastAsia" w:ascii="仿宋" w:hAnsi="仿宋" w:eastAsia="仿宋" w:cs="仿宋"/>
        </w:rPr>
        <w:t>（一）支付方式：银行转账。</w:t>
      </w:r>
    </w:p>
    <w:p w14:paraId="60BBB821">
      <w:pPr>
        <w:spacing w:line="500" w:lineRule="exact"/>
        <w:ind w:firstLine="560" w:firstLineChars="200"/>
        <w:jc w:val="left"/>
        <w:rPr>
          <w:rFonts w:hint="eastAsia" w:ascii="仿宋" w:hAnsi="仿宋" w:eastAsia="仿宋" w:cs="仿宋"/>
        </w:rPr>
      </w:pPr>
      <w:r>
        <w:rPr>
          <w:rFonts w:hint="eastAsia" w:ascii="仿宋" w:hAnsi="仿宋" w:eastAsia="仿宋" w:cs="仿宋"/>
        </w:rPr>
        <w:t>（二）货币单位：人民币</w:t>
      </w:r>
    </w:p>
    <w:p w14:paraId="7D47DC72">
      <w:pPr>
        <w:spacing w:line="500" w:lineRule="exact"/>
        <w:ind w:firstLine="560" w:firstLineChars="200"/>
        <w:jc w:val="left"/>
        <w:rPr>
          <w:rFonts w:hint="eastAsia" w:ascii="仿宋" w:hAnsi="仿宋" w:eastAsia="仿宋" w:cs="仿宋"/>
          <w:lang w:val="en-US" w:eastAsia="zh-CN"/>
        </w:rPr>
      </w:pPr>
      <w:r>
        <w:rPr>
          <w:rFonts w:hint="eastAsia" w:ascii="仿宋" w:hAnsi="仿宋" w:eastAsia="仿宋" w:cs="仿宋"/>
        </w:rPr>
        <w:t>（三）合同款项的支付：合同签订后支付总价款3</w:t>
      </w:r>
      <w:r>
        <w:rPr>
          <w:rFonts w:hint="eastAsia" w:ascii="仿宋" w:hAnsi="仿宋" w:eastAsia="仿宋" w:cs="仿宋"/>
          <w:lang w:val="en-US" w:eastAsia="zh-CN"/>
        </w:rPr>
        <w:t>5</w:t>
      </w:r>
      <w:r>
        <w:rPr>
          <w:rFonts w:hint="eastAsia" w:ascii="仿宋" w:hAnsi="仿宋" w:eastAsia="仿宋" w:cs="仿宋"/>
        </w:rPr>
        <w:t>％首付款，生产完成后送至交货现场验收合格</w:t>
      </w:r>
      <w:r>
        <w:rPr>
          <w:rFonts w:hint="eastAsia" w:ascii="仿宋" w:hAnsi="仿宋" w:eastAsia="仿宋" w:cs="仿宋"/>
          <w:lang w:val="en-US" w:eastAsia="zh-CN"/>
        </w:rPr>
        <w:t>10</w:t>
      </w:r>
      <w:r>
        <w:rPr>
          <w:rFonts w:hint="eastAsia" w:ascii="仿宋" w:hAnsi="仿宋" w:eastAsia="仿宋" w:cs="仿宋"/>
        </w:rPr>
        <w:t>日内，支付</w:t>
      </w:r>
      <w:r>
        <w:rPr>
          <w:rFonts w:hint="eastAsia" w:ascii="仿宋" w:hAnsi="仿宋" w:eastAsia="仿宋" w:cs="仿宋"/>
          <w:lang w:val="en-US" w:eastAsia="zh-CN"/>
        </w:rPr>
        <w:t>65</w:t>
      </w:r>
      <w:r>
        <w:rPr>
          <w:rFonts w:hint="eastAsia" w:ascii="仿宋" w:hAnsi="仿宋" w:eastAsia="仿宋" w:cs="仿宋"/>
        </w:rPr>
        <w:t>％尾款</w:t>
      </w:r>
      <w:r>
        <w:rPr>
          <w:rFonts w:hint="eastAsia" w:ascii="仿宋" w:hAnsi="仿宋" w:eastAsia="仿宋" w:cs="仿宋"/>
          <w:lang w:val="en-US" w:eastAsia="zh-CN"/>
        </w:rPr>
        <w:t>.</w:t>
      </w:r>
    </w:p>
    <w:p w14:paraId="41801EE7">
      <w:pPr>
        <w:spacing w:line="500" w:lineRule="exact"/>
        <w:ind w:firstLine="560" w:firstLineChars="200"/>
        <w:jc w:val="left"/>
        <w:rPr>
          <w:rFonts w:hint="eastAsia" w:ascii="仿宋" w:hAnsi="仿宋" w:eastAsia="仿宋" w:cs="仿宋"/>
        </w:rPr>
      </w:pPr>
      <w:r>
        <w:rPr>
          <w:rFonts w:hint="eastAsia" w:ascii="仿宋" w:hAnsi="仿宋" w:eastAsia="仿宋" w:cs="仿宋"/>
        </w:rPr>
        <w:t>（具体以合同约定为准）</w:t>
      </w:r>
    </w:p>
    <w:p w14:paraId="2AA3AF4B">
      <w:pPr>
        <w:spacing w:line="500" w:lineRule="exact"/>
        <w:ind w:firstLine="560" w:firstLineChars="200"/>
        <w:jc w:val="left"/>
        <w:rPr>
          <w:rFonts w:hint="eastAsia" w:ascii="仿宋" w:hAnsi="仿宋" w:eastAsia="仿宋" w:cs="仿宋"/>
        </w:rPr>
      </w:pPr>
      <w:r>
        <w:rPr>
          <w:rFonts w:hint="eastAsia" w:ascii="仿宋" w:hAnsi="仿宋" w:eastAsia="仿宋" w:cs="仿宋"/>
        </w:rPr>
        <w:t>（四）结算方式：具体合同约定</w:t>
      </w:r>
    </w:p>
    <w:p w14:paraId="43D1C9CD">
      <w:pPr>
        <w:pStyle w:val="24"/>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五、运输</w:t>
      </w:r>
    </w:p>
    <w:p w14:paraId="06A18344">
      <w:pPr>
        <w:spacing w:line="500" w:lineRule="exact"/>
        <w:ind w:firstLine="560" w:firstLineChars="200"/>
        <w:jc w:val="left"/>
        <w:rPr>
          <w:rFonts w:hint="eastAsia" w:ascii="仿宋" w:hAnsi="仿宋" w:eastAsia="仿宋" w:cs="仿宋"/>
        </w:rPr>
      </w:pPr>
      <w:r>
        <w:rPr>
          <w:rFonts w:hint="eastAsia" w:ascii="仿宋" w:hAnsi="仿宋" w:eastAsia="仿宋" w:cs="仿宋"/>
        </w:rPr>
        <w:t>1、运输由成交供应商负责，运杂费已包含在合同总价内。</w:t>
      </w:r>
    </w:p>
    <w:p w14:paraId="18A8FB6F">
      <w:pPr>
        <w:spacing w:line="500" w:lineRule="exact"/>
        <w:ind w:firstLine="560" w:firstLineChars="200"/>
        <w:jc w:val="left"/>
        <w:rPr>
          <w:rFonts w:hint="eastAsia" w:ascii="仿宋" w:hAnsi="仿宋" w:eastAsia="仿宋" w:cs="仿宋"/>
        </w:rPr>
      </w:pPr>
      <w:r>
        <w:rPr>
          <w:rFonts w:hint="eastAsia" w:ascii="仿宋" w:hAnsi="仿宋" w:eastAsia="仿宋" w:cs="仿宋"/>
        </w:rPr>
        <w:t>2、运输方式由成交供应商自行选择，但必须保证按期交付。不得断货，因断货造成的损失由成交供应商负责赔偿。</w:t>
      </w:r>
    </w:p>
    <w:p w14:paraId="770D0E32">
      <w:pPr>
        <w:spacing w:line="500" w:lineRule="exact"/>
        <w:ind w:firstLine="562" w:firstLineChars="200"/>
        <w:rPr>
          <w:rFonts w:hint="eastAsia" w:ascii="仿宋" w:hAnsi="仿宋" w:eastAsia="仿宋" w:cs="仿宋"/>
          <w:b/>
          <w:color w:val="000000"/>
        </w:rPr>
      </w:pPr>
      <w:bookmarkStart w:id="68" w:name="_Toc31057"/>
      <w:bookmarkStart w:id="69" w:name="_Toc56066561"/>
      <w:r>
        <w:rPr>
          <w:rFonts w:hint="eastAsia" w:ascii="仿宋" w:hAnsi="仿宋" w:eastAsia="仿宋" w:cs="仿宋"/>
          <w:b/>
        </w:rPr>
        <w:t>六、</w:t>
      </w:r>
      <w:r>
        <w:rPr>
          <w:rFonts w:hint="eastAsia" w:ascii="仿宋" w:hAnsi="仿宋" w:eastAsia="仿宋" w:cs="仿宋"/>
          <w:b/>
          <w:color w:val="000000"/>
        </w:rPr>
        <w:t>技术标准、质量标准及服务要求</w:t>
      </w:r>
    </w:p>
    <w:p w14:paraId="6F7F6707">
      <w:pPr>
        <w:spacing w:line="500" w:lineRule="exact"/>
        <w:ind w:firstLine="280" w:firstLineChars="100"/>
        <w:rPr>
          <w:rFonts w:hint="eastAsia" w:ascii="仿宋" w:hAnsi="仿宋" w:eastAsia="仿宋" w:cs="仿宋"/>
          <w:color w:val="000000"/>
        </w:rPr>
      </w:pPr>
      <w:r>
        <w:rPr>
          <w:rFonts w:hint="eastAsia" w:ascii="仿宋" w:hAnsi="仿宋" w:eastAsia="仿宋" w:cs="仿宋"/>
          <w:color w:val="000000"/>
        </w:rPr>
        <w:t>（一）所供货物必须保证质量可靠、进货渠道正规， 符合国家、行业标准合格品要求，</w:t>
      </w:r>
      <w:r>
        <w:rPr>
          <w:rFonts w:hint="eastAsia" w:ascii="仿宋" w:hAnsi="仿宋" w:eastAsia="仿宋" w:cs="仿宋"/>
        </w:rPr>
        <w:t>商品按最新国标要求标识</w:t>
      </w:r>
    </w:p>
    <w:p w14:paraId="5EE309E3">
      <w:pPr>
        <w:spacing w:line="500" w:lineRule="exact"/>
        <w:ind w:firstLine="280" w:firstLineChars="100"/>
        <w:rPr>
          <w:rFonts w:hint="eastAsia" w:ascii="仿宋" w:hAnsi="仿宋" w:eastAsia="仿宋" w:cs="仿宋"/>
          <w:color w:val="000000"/>
        </w:rPr>
      </w:pPr>
      <w:r>
        <w:rPr>
          <w:rFonts w:hint="eastAsia" w:ascii="仿宋" w:hAnsi="仿宋" w:eastAsia="仿宋" w:cs="仿宋"/>
          <w:color w:val="000000"/>
        </w:rPr>
        <w:t>（二）所供货物符合国家现行标准和相应的技术规范，这些标准和技术规范应为合同签订之日为止最新公布发行的标准和技术规范。</w:t>
      </w:r>
    </w:p>
    <w:p w14:paraId="543F60E6">
      <w:pPr>
        <w:spacing w:line="500" w:lineRule="exact"/>
        <w:ind w:firstLine="280" w:firstLineChars="100"/>
        <w:rPr>
          <w:rFonts w:hint="eastAsia" w:ascii="仿宋" w:hAnsi="仿宋" w:eastAsia="仿宋" w:cs="仿宋"/>
          <w:color w:val="000000"/>
        </w:rPr>
      </w:pPr>
      <w:r>
        <w:rPr>
          <w:rFonts w:hint="eastAsia" w:ascii="仿宋" w:hAnsi="仿宋" w:eastAsia="仿宋" w:cs="仿宋"/>
          <w:color w:val="000000"/>
        </w:rPr>
        <w:t>（三）质保期内出现质量问题予以免费维修或调换。</w:t>
      </w:r>
    </w:p>
    <w:p w14:paraId="61755729">
      <w:pPr>
        <w:spacing w:line="500" w:lineRule="exact"/>
        <w:ind w:firstLine="280" w:firstLineChars="100"/>
        <w:rPr>
          <w:rFonts w:hint="eastAsia" w:ascii="仿宋" w:hAnsi="仿宋" w:eastAsia="仿宋" w:cs="仿宋"/>
          <w:color w:val="000000"/>
        </w:rPr>
      </w:pPr>
      <w:r>
        <w:rPr>
          <w:rFonts w:hint="eastAsia" w:ascii="仿宋" w:hAnsi="仿宋" w:eastAsia="仿宋" w:cs="仿宋"/>
          <w:color w:val="000000"/>
        </w:rPr>
        <w:t>（四）具有良好的外观，适合工作人员的使用。</w:t>
      </w:r>
    </w:p>
    <w:p w14:paraId="6310A74A">
      <w:pPr>
        <w:spacing w:line="500" w:lineRule="exact"/>
        <w:ind w:firstLine="280" w:firstLineChars="100"/>
        <w:rPr>
          <w:rFonts w:hint="eastAsia" w:ascii="仿宋" w:hAnsi="仿宋" w:eastAsia="仿宋" w:cs="仿宋"/>
          <w:color w:val="000000"/>
        </w:rPr>
      </w:pPr>
      <w:r>
        <w:rPr>
          <w:rFonts w:hint="eastAsia" w:ascii="仿宋" w:hAnsi="仿宋" w:eastAsia="仿宋" w:cs="仿宋"/>
          <w:color w:val="000000"/>
        </w:rPr>
        <w:t>（五）供应商提供的商品，若发生侵权而产生的一切后果，由乙方负责，甲方保留索赔权力。</w:t>
      </w:r>
    </w:p>
    <w:p w14:paraId="7598BA88">
      <w:pPr>
        <w:pStyle w:val="3"/>
        <w:spacing w:line="500" w:lineRule="exact"/>
        <w:ind w:firstLine="562" w:firstLineChars="200"/>
        <w:rPr>
          <w:rFonts w:hint="eastAsia" w:ascii="仿宋" w:hAnsi="仿宋" w:eastAsia="仿宋" w:cs="仿宋"/>
          <w:sz w:val="28"/>
          <w:szCs w:val="28"/>
        </w:rPr>
      </w:pPr>
      <w:r>
        <w:rPr>
          <w:rFonts w:hint="eastAsia" w:ascii="仿宋" w:hAnsi="仿宋" w:eastAsia="仿宋" w:cs="仿宋"/>
          <w:sz w:val="28"/>
          <w:szCs w:val="28"/>
        </w:rPr>
        <w:t>七、验收</w:t>
      </w:r>
      <w:bookmarkEnd w:id="68"/>
      <w:bookmarkEnd w:id="69"/>
    </w:p>
    <w:p w14:paraId="4F61AAD8">
      <w:pPr>
        <w:pStyle w:val="21"/>
        <w:spacing w:line="500" w:lineRule="exact"/>
        <w:ind w:firstLine="560" w:firstLineChars="200"/>
        <w:jc w:val="both"/>
        <w:rPr>
          <w:rFonts w:hint="eastAsia" w:ascii="仿宋" w:hAnsi="仿宋" w:eastAsia="仿宋" w:cs="仿宋"/>
          <w:kern w:val="2"/>
          <w:sz w:val="28"/>
        </w:rPr>
      </w:pPr>
      <w:r>
        <w:rPr>
          <w:rFonts w:hint="eastAsia" w:ascii="仿宋" w:hAnsi="仿宋" w:eastAsia="仿宋" w:cs="仿宋"/>
          <w:kern w:val="2"/>
          <w:sz w:val="28"/>
        </w:rPr>
        <w:t>（一）货物到达甲方指定地点后，采购人根据合同要求，组织供应商进行验收，验收合格后，填写验收单作为最终认可。</w:t>
      </w:r>
    </w:p>
    <w:p w14:paraId="7CAD3673">
      <w:pPr>
        <w:pStyle w:val="21"/>
        <w:spacing w:line="500" w:lineRule="exact"/>
        <w:ind w:firstLine="560" w:firstLineChars="200"/>
        <w:jc w:val="both"/>
        <w:rPr>
          <w:rFonts w:hint="eastAsia" w:ascii="仿宋" w:hAnsi="仿宋" w:eastAsia="仿宋" w:cs="仿宋"/>
          <w:kern w:val="2"/>
          <w:sz w:val="28"/>
        </w:rPr>
      </w:pPr>
      <w:r>
        <w:rPr>
          <w:rFonts w:hint="eastAsia" w:ascii="仿宋" w:hAnsi="仿宋" w:eastAsia="仿宋" w:cs="仿宋"/>
          <w:kern w:val="2"/>
          <w:sz w:val="28"/>
        </w:rPr>
        <w:t>（二）验收依据</w:t>
      </w:r>
    </w:p>
    <w:p w14:paraId="60842789">
      <w:pPr>
        <w:pStyle w:val="21"/>
        <w:spacing w:line="500" w:lineRule="exact"/>
        <w:ind w:firstLine="560" w:firstLineChars="200"/>
        <w:jc w:val="both"/>
        <w:rPr>
          <w:rFonts w:hint="eastAsia" w:ascii="仿宋" w:hAnsi="仿宋" w:eastAsia="仿宋" w:cs="仿宋"/>
          <w:kern w:val="2"/>
          <w:sz w:val="28"/>
        </w:rPr>
      </w:pPr>
      <w:r>
        <w:rPr>
          <w:rFonts w:hint="eastAsia" w:ascii="仿宋" w:hAnsi="仿宋" w:eastAsia="仿宋" w:cs="仿宋"/>
          <w:kern w:val="2"/>
          <w:sz w:val="28"/>
        </w:rPr>
        <w:t>1.</w:t>
      </w:r>
      <w:r>
        <w:rPr>
          <w:rFonts w:hint="eastAsia" w:ascii="仿宋" w:hAnsi="仿宋" w:eastAsia="仿宋" w:cs="仿宋"/>
          <w:kern w:val="2"/>
          <w:sz w:val="28"/>
          <w:lang w:eastAsia="zh-CN"/>
        </w:rPr>
        <w:t>招标文件</w:t>
      </w:r>
      <w:r>
        <w:rPr>
          <w:rFonts w:hint="eastAsia" w:ascii="仿宋" w:hAnsi="仿宋" w:eastAsia="仿宋" w:cs="仿宋"/>
          <w:kern w:val="2"/>
          <w:sz w:val="28"/>
        </w:rPr>
        <w:t>、响应文件、澄清表（函）；</w:t>
      </w:r>
    </w:p>
    <w:p w14:paraId="2AAF7A68">
      <w:pPr>
        <w:pStyle w:val="21"/>
        <w:spacing w:line="500" w:lineRule="exact"/>
        <w:ind w:firstLine="560" w:firstLineChars="200"/>
        <w:jc w:val="both"/>
        <w:rPr>
          <w:rFonts w:hint="eastAsia" w:ascii="仿宋" w:hAnsi="仿宋" w:eastAsia="仿宋" w:cs="仿宋"/>
          <w:kern w:val="2"/>
          <w:sz w:val="28"/>
        </w:rPr>
      </w:pPr>
      <w:r>
        <w:rPr>
          <w:rFonts w:hint="eastAsia" w:ascii="仿宋" w:hAnsi="仿宋" w:eastAsia="仿宋" w:cs="仿宋"/>
          <w:kern w:val="2"/>
          <w:sz w:val="28"/>
          <w:lang w:val="en-US" w:eastAsia="zh-CN"/>
        </w:rPr>
        <w:t>2</w:t>
      </w:r>
      <w:r>
        <w:rPr>
          <w:rFonts w:hint="eastAsia" w:ascii="仿宋" w:hAnsi="仿宋" w:eastAsia="仿宋" w:cs="仿宋"/>
          <w:kern w:val="2"/>
          <w:sz w:val="28"/>
        </w:rPr>
        <w:t>.合同及附件文本；</w:t>
      </w:r>
    </w:p>
    <w:p w14:paraId="5F95F3AD">
      <w:pPr>
        <w:pStyle w:val="21"/>
        <w:spacing w:line="500" w:lineRule="exact"/>
        <w:ind w:firstLine="560" w:firstLineChars="200"/>
        <w:jc w:val="both"/>
        <w:rPr>
          <w:rFonts w:hint="eastAsia" w:ascii="仿宋" w:hAnsi="仿宋" w:eastAsia="仿宋" w:cs="仿宋"/>
          <w:kern w:val="2"/>
          <w:sz w:val="28"/>
        </w:rPr>
      </w:pPr>
      <w:r>
        <w:rPr>
          <w:rFonts w:hint="eastAsia" w:ascii="仿宋" w:hAnsi="仿宋" w:eastAsia="仿宋" w:cs="仿宋"/>
          <w:kern w:val="2"/>
          <w:sz w:val="28"/>
          <w:lang w:val="en-US" w:eastAsia="zh-CN"/>
        </w:rPr>
        <w:t>3</w:t>
      </w:r>
      <w:r>
        <w:rPr>
          <w:rFonts w:hint="eastAsia" w:ascii="仿宋" w:hAnsi="仿宋" w:eastAsia="仿宋" w:cs="仿宋"/>
          <w:kern w:val="2"/>
          <w:sz w:val="28"/>
        </w:rPr>
        <w:t>.同签订时国家及行业现行的标准和技术规范。</w:t>
      </w:r>
      <w:bookmarkStart w:id="70" w:name="_Toc14082144"/>
      <w:bookmarkStart w:id="71" w:name="_Toc35871577"/>
      <w:bookmarkStart w:id="72" w:name="_Toc2501"/>
      <w:bookmarkStart w:id="73" w:name="_Toc16881"/>
      <w:bookmarkStart w:id="74" w:name="_Toc31284"/>
      <w:bookmarkStart w:id="75" w:name="_Toc56066563"/>
    </w:p>
    <w:p w14:paraId="312E902D">
      <w:pPr>
        <w:pStyle w:val="3"/>
        <w:spacing w:line="500" w:lineRule="exact"/>
        <w:ind w:firstLine="562" w:firstLineChars="200"/>
        <w:rPr>
          <w:rFonts w:hint="eastAsia" w:ascii="仿宋" w:hAnsi="仿宋" w:eastAsia="仿宋" w:cs="仿宋"/>
          <w:sz w:val="28"/>
          <w:szCs w:val="28"/>
        </w:rPr>
      </w:pPr>
      <w:r>
        <w:rPr>
          <w:rFonts w:hint="eastAsia" w:ascii="仿宋" w:hAnsi="仿宋" w:eastAsia="仿宋" w:cs="仿宋"/>
          <w:sz w:val="28"/>
          <w:szCs w:val="28"/>
        </w:rPr>
        <w:t>八、</w:t>
      </w:r>
      <w:bookmarkEnd w:id="70"/>
      <w:bookmarkStart w:id="76" w:name="_Toc14082145"/>
      <w:r>
        <w:rPr>
          <w:rFonts w:hint="eastAsia" w:ascii="仿宋" w:hAnsi="仿宋" w:eastAsia="仿宋" w:cs="仿宋"/>
          <w:sz w:val="28"/>
          <w:szCs w:val="28"/>
        </w:rPr>
        <w:t>违约责任</w:t>
      </w:r>
      <w:bookmarkEnd w:id="71"/>
      <w:bookmarkEnd w:id="72"/>
      <w:bookmarkEnd w:id="73"/>
      <w:bookmarkEnd w:id="74"/>
      <w:bookmarkEnd w:id="75"/>
      <w:bookmarkEnd w:id="76"/>
    </w:p>
    <w:p w14:paraId="33F2262A">
      <w:pPr>
        <w:spacing w:line="500" w:lineRule="exact"/>
        <w:ind w:firstLine="280" w:firstLineChars="100"/>
        <w:rPr>
          <w:rFonts w:hint="eastAsia" w:ascii="仿宋" w:hAnsi="仿宋" w:eastAsia="仿宋" w:cs="仿宋"/>
          <w:color w:val="000000"/>
        </w:rPr>
      </w:pPr>
      <w:r>
        <w:rPr>
          <w:rFonts w:hint="eastAsia" w:ascii="仿宋" w:hAnsi="仿宋" w:eastAsia="仿宋" w:cs="仿宋"/>
          <w:color w:val="000000"/>
        </w:rPr>
        <w:t>（一）按《合同法》中的相关条款执行。</w:t>
      </w:r>
    </w:p>
    <w:p w14:paraId="38616799">
      <w:pPr>
        <w:spacing w:line="500" w:lineRule="exact"/>
        <w:ind w:firstLine="280" w:firstLineChars="100"/>
        <w:rPr>
          <w:rFonts w:hint="eastAsia" w:ascii="仿宋" w:hAnsi="仿宋" w:eastAsia="仿宋" w:cs="仿宋"/>
        </w:rPr>
      </w:pPr>
      <w:r>
        <w:rPr>
          <w:rFonts w:hint="eastAsia" w:ascii="仿宋" w:hAnsi="仿宋" w:eastAsia="仿宋" w:cs="仿宋"/>
          <w:color w:val="000000"/>
        </w:rPr>
        <w:t>（二）未按合同要求提供货物或货物质量不能满足合同要求，采购人有权依据《合同法》有关条款及合同约定终止合同，并要求</w:t>
      </w:r>
      <w:r>
        <w:rPr>
          <w:rFonts w:hint="eastAsia" w:ascii="仿宋" w:hAnsi="仿宋" w:eastAsia="仿宋" w:cs="仿宋"/>
        </w:rPr>
        <w:t>成交</w:t>
      </w:r>
      <w:r>
        <w:rPr>
          <w:rFonts w:hint="eastAsia" w:ascii="仿宋" w:hAnsi="仿宋" w:eastAsia="仿宋" w:cs="仿宋"/>
          <w:color w:val="000000"/>
        </w:rPr>
        <w:t>供应商承担违约责任。</w:t>
      </w:r>
    </w:p>
    <w:p w14:paraId="6A44A04E">
      <w:pPr>
        <w:pStyle w:val="3"/>
        <w:spacing w:line="500" w:lineRule="exact"/>
        <w:ind w:firstLine="562" w:firstLineChars="200"/>
        <w:rPr>
          <w:rFonts w:hint="eastAsia" w:ascii="仿宋" w:hAnsi="仿宋" w:eastAsia="仿宋" w:cs="仿宋"/>
          <w:sz w:val="28"/>
          <w:szCs w:val="28"/>
        </w:rPr>
      </w:pPr>
      <w:bookmarkStart w:id="77" w:name="_Toc10301"/>
      <w:bookmarkStart w:id="78" w:name="_Toc3841"/>
      <w:bookmarkStart w:id="79" w:name="_Toc29394"/>
      <w:bookmarkStart w:id="80" w:name="_Toc56066564"/>
      <w:r>
        <w:rPr>
          <w:rFonts w:hint="eastAsia" w:ascii="仿宋" w:hAnsi="仿宋" w:eastAsia="仿宋" w:cs="仿宋"/>
          <w:sz w:val="28"/>
          <w:szCs w:val="28"/>
        </w:rPr>
        <w:t>九、争议解决</w:t>
      </w:r>
      <w:bookmarkEnd w:id="77"/>
      <w:bookmarkEnd w:id="78"/>
      <w:bookmarkEnd w:id="79"/>
      <w:bookmarkEnd w:id="80"/>
    </w:p>
    <w:p w14:paraId="673FC111">
      <w:pPr>
        <w:spacing w:line="500" w:lineRule="exact"/>
        <w:ind w:firstLine="560" w:firstLineChars="200"/>
        <w:rPr>
          <w:rFonts w:hint="eastAsia" w:ascii="仿宋" w:hAnsi="仿宋" w:eastAsia="仿宋" w:cs="仿宋"/>
          <w:b/>
        </w:rPr>
      </w:pPr>
      <w:r>
        <w:rPr>
          <w:rFonts w:hint="eastAsia" w:ascii="仿宋" w:hAnsi="仿宋" w:eastAsia="仿宋" w:cs="仿宋"/>
        </w:rPr>
        <w:t>执行本合同中产生纠纷，由采购人与成交供应商双方协商解决；协商不成，向采购人所在地人民法院提起诉讼。</w:t>
      </w:r>
    </w:p>
    <w:p w14:paraId="596E2B1D">
      <w:pPr>
        <w:pStyle w:val="3"/>
        <w:spacing w:line="500" w:lineRule="exact"/>
        <w:ind w:firstLine="562" w:firstLineChars="200"/>
        <w:rPr>
          <w:rFonts w:hint="eastAsia" w:ascii="仿宋" w:hAnsi="仿宋" w:eastAsia="仿宋" w:cs="仿宋"/>
          <w:sz w:val="28"/>
          <w:szCs w:val="28"/>
        </w:rPr>
      </w:pPr>
      <w:bookmarkStart w:id="81" w:name="_Toc25504"/>
      <w:bookmarkStart w:id="82" w:name="_Toc27675"/>
      <w:bookmarkStart w:id="83" w:name="_Toc14464"/>
      <w:bookmarkStart w:id="84" w:name="_Toc56066565"/>
      <w:r>
        <w:rPr>
          <w:rFonts w:hint="eastAsia" w:ascii="仿宋" w:hAnsi="仿宋" w:eastAsia="仿宋" w:cs="仿宋"/>
          <w:sz w:val="28"/>
          <w:szCs w:val="28"/>
        </w:rPr>
        <w:t>十一、合同生效及其他</w:t>
      </w:r>
      <w:bookmarkEnd w:id="81"/>
      <w:bookmarkEnd w:id="82"/>
      <w:bookmarkEnd w:id="83"/>
      <w:bookmarkEnd w:id="84"/>
    </w:p>
    <w:p w14:paraId="389B72CD">
      <w:pPr>
        <w:spacing w:line="500" w:lineRule="exact"/>
        <w:ind w:firstLine="560" w:firstLineChars="200"/>
        <w:rPr>
          <w:rFonts w:hint="eastAsia" w:ascii="仿宋" w:hAnsi="仿宋" w:eastAsia="仿宋" w:cs="仿宋"/>
        </w:rPr>
      </w:pPr>
      <w:r>
        <w:rPr>
          <w:rFonts w:hint="eastAsia" w:ascii="仿宋" w:hAnsi="仿宋" w:eastAsia="仿宋" w:cs="仿宋"/>
        </w:rPr>
        <w:t>1、本合同自签订之日起生效。</w:t>
      </w:r>
    </w:p>
    <w:p w14:paraId="7236496C">
      <w:pPr>
        <w:spacing w:line="500" w:lineRule="exact"/>
        <w:ind w:firstLine="560" w:firstLineChars="200"/>
        <w:rPr>
          <w:rFonts w:hint="eastAsia" w:ascii="仿宋" w:hAnsi="仿宋" w:eastAsia="仿宋" w:cs="仿宋"/>
          <w:color w:val="000000"/>
        </w:rPr>
      </w:pPr>
      <w:r>
        <w:rPr>
          <w:rFonts w:hint="eastAsia" w:ascii="仿宋" w:hAnsi="仿宋" w:eastAsia="仿宋" w:cs="仿宋"/>
        </w:rPr>
        <w:t>2、本合同一式叁份，甲乙双方各执一份，政府采购监督部门备案一份，效力相同</w:t>
      </w:r>
      <w:r>
        <w:rPr>
          <w:rFonts w:hint="eastAsia" w:ascii="仿宋" w:hAnsi="仿宋" w:eastAsia="仿宋" w:cs="仿宋"/>
          <w:color w:val="000000"/>
        </w:rPr>
        <w:t>。</w:t>
      </w:r>
    </w:p>
    <w:p w14:paraId="3F493C2A">
      <w:pPr>
        <w:spacing w:line="240" w:lineRule="auto"/>
        <w:jc w:val="left"/>
        <w:rPr>
          <w:rFonts w:hint="eastAsia" w:ascii="仿宋" w:hAnsi="仿宋" w:eastAsia="仿宋" w:cs="仿宋"/>
        </w:rPr>
      </w:pPr>
      <w:r>
        <w:rPr>
          <w:rFonts w:hint="eastAsia" w:ascii="仿宋" w:hAnsi="仿宋" w:eastAsia="仿宋" w:cs="仿宋"/>
        </w:rPr>
        <w:t>3、未尽事宜由双方在签订合同时具体明确。</w:t>
      </w:r>
    </w:p>
    <w:p w14:paraId="023F11DC">
      <w:pPr>
        <w:spacing w:line="240" w:lineRule="auto"/>
        <w:jc w:val="left"/>
        <w:rPr>
          <w:rFonts w:hint="eastAsia" w:ascii="仿宋" w:hAnsi="仿宋" w:eastAsia="仿宋" w:cs="仿宋"/>
        </w:rPr>
      </w:pPr>
    </w:p>
    <w:p w14:paraId="392EA440">
      <w:pPr>
        <w:spacing w:line="240" w:lineRule="auto"/>
        <w:jc w:val="left"/>
        <w:rPr>
          <w:rFonts w:hint="eastAsia" w:ascii="仿宋" w:hAnsi="仿宋" w:eastAsia="仿宋" w:cs="仿宋"/>
        </w:rPr>
      </w:pPr>
    </w:p>
    <w:p w14:paraId="77BB5EBB">
      <w:pPr>
        <w:spacing w:line="240" w:lineRule="auto"/>
        <w:jc w:val="left"/>
        <w:rPr>
          <w:sz w:val="30"/>
          <w:szCs w:val="30"/>
        </w:rPr>
      </w:pPr>
      <w:r>
        <w:rPr>
          <w:rFonts w:hint="eastAsia"/>
          <w:sz w:val="30"/>
          <w:szCs w:val="30"/>
        </w:rPr>
        <w:t>封面格式</w:t>
      </w:r>
    </w:p>
    <w:p w14:paraId="203AD719">
      <w:pPr>
        <w:pStyle w:val="75"/>
        <w:spacing w:line="240" w:lineRule="auto"/>
        <w:ind w:firstLine="0" w:firstLineChars="0"/>
        <w:rPr>
          <w:sz w:val="36"/>
        </w:rPr>
      </w:pPr>
      <w:r>
        <w:rPr>
          <w:rFonts w:hint="eastAsia"/>
          <w:sz w:val="36"/>
        </w:rPr>
        <w:t>项目编号：</w:t>
      </w:r>
    </w:p>
    <w:p w14:paraId="58BF56E8">
      <w:pPr>
        <w:spacing w:line="240" w:lineRule="auto"/>
        <w:ind w:right="11"/>
        <w:rPr>
          <w:rFonts w:ascii="宋体" w:hAnsi="宋体" w:eastAsia="宋体" w:cs="宋体"/>
          <w:b/>
          <w:bCs/>
          <w:sz w:val="52"/>
          <w:szCs w:val="52"/>
        </w:rPr>
      </w:pPr>
    </w:p>
    <w:p w14:paraId="66403B54">
      <w:pPr>
        <w:spacing w:line="240" w:lineRule="auto"/>
        <w:ind w:right="11"/>
        <w:jc w:val="center"/>
        <w:rPr>
          <w:rFonts w:hint="eastAsia" w:ascii="华文仿宋" w:hAnsi="华文仿宋" w:eastAsia="华文仿宋" w:cs="华文仿宋"/>
          <w:b/>
          <w:kern w:val="0"/>
          <w:sz w:val="56"/>
          <w:szCs w:val="56"/>
          <w:lang w:val="en-US" w:eastAsia="zh-CN" w:bidi="ar-SA"/>
        </w:rPr>
      </w:pPr>
      <w:r>
        <w:rPr>
          <w:rFonts w:hint="eastAsia" w:ascii="华文仿宋" w:hAnsi="华文仿宋" w:cs="华文仿宋"/>
          <w:b/>
          <w:sz w:val="56"/>
          <w:szCs w:val="56"/>
          <w:lang w:eastAsia="zh-CN"/>
        </w:rPr>
        <w:t>府谷县公安局业务技术用房及大数据应用中心办公、数据操作等家具设备采购项目</w:t>
      </w:r>
    </w:p>
    <w:p w14:paraId="139DB3BA">
      <w:pPr>
        <w:spacing w:line="500" w:lineRule="exact"/>
        <w:ind w:right="11"/>
        <w:rPr>
          <w:rFonts w:hint="eastAsia" w:ascii="仿宋" w:hAnsi="仿宋" w:eastAsia="仿宋" w:cs="Times New Roman"/>
          <w:b/>
          <w:kern w:val="0"/>
          <w:sz w:val="52"/>
          <w:szCs w:val="52"/>
          <w:lang w:val="en-US" w:eastAsia="zh-CN" w:bidi="ar-SA"/>
        </w:rPr>
      </w:pPr>
    </w:p>
    <w:p w14:paraId="0C75554B">
      <w:pPr>
        <w:spacing w:line="500" w:lineRule="exact"/>
        <w:ind w:right="11"/>
        <w:rPr>
          <w:rFonts w:hint="eastAsia" w:ascii="仿宋" w:hAnsi="仿宋" w:eastAsia="仿宋" w:cs="Times New Roman"/>
          <w:b/>
          <w:kern w:val="0"/>
          <w:sz w:val="72"/>
          <w:szCs w:val="72"/>
          <w:lang w:val="en-US" w:eastAsia="zh-CN" w:bidi="ar-SA"/>
        </w:rPr>
      </w:pPr>
    </w:p>
    <w:p w14:paraId="185F685B">
      <w:pPr>
        <w:pStyle w:val="16"/>
      </w:pPr>
    </w:p>
    <w:p w14:paraId="684CAB92">
      <w:pPr>
        <w:pStyle w:val="16"/>
        <w:jc w:val="center"/>
        <w:rPr>
          <w:rFonts w:hint="eastAsia" w:ascii="华文仿宋" w:hAnsi="华文仿宋" w:eastAsia="华文仿宋" w:cs="华文仿宋"/>
          <w:b/>
          <w:sz w:val="72"/>
          <w:szCs w:val="72"/>
        </w:rPr>
      </w:pPr>
      <w:r>
        <w:rPr>
          <w:rFonts w:hint="eastAsia" w:ascii="华文仿宋" w:hAnsi="华文仿宋" w:eastAsia="华文仿宋" w:cs="华文仿宋"/>
          <w:b/>
          <w:sz w:val="72"/>
          <w:szCs w:val="72"/>
        </w:rPr>
        <w:t>资格响应文件</w:t>
      </w:r>
    </w:p>
    <w:p w14:paraId="6D3478D4">
      <w:pPr>
        <w:spacing w:line="240" w:lineRule="auto"/>
        <w:jc w:val="center"/>
        <w:rPr>
          <w:sz w:val="36"/>
        </w:rPr>
      </w:pPr>
    </w:p>
    <w:p w14:paraId="088913D8">
      <w:pPr>
        <w:pStyle w:val="16"/>
      </w:pPr>
    </w:p>
    <w:p w14:paraId="158478D6">
      <w:pPr>
        <w:pStyle w:val="16"/>
      </w:pPr>
    </w:p>
    <w:p w14:paraId="300628BB">
      <w:pPr>
        <w:pStyle w:val="75"/>
        <w:spacing w:line="240" w:lineRule="auto"/>
        <w:ind w:firstLine="1684" w:firstLineChars="468"/>
        <w:rPr>
          <w:sz w:val="36"/>
        </w:rPr>
      </w:pPr>
    </w:p>
    <w:p w14:paraId="3A7CB442">
      <w:pPr>
        <w:pStyle w:val="75"/>
        <w:spacing w:line="240" w:lineRule="auto"/>
        <w:ind w:firstLine="1684" w:firstLineChars="468"/>
        <w:rPr>
          <w:sz w:val="36"/>
        </w:rPr>
      </w:pPr>
    </w:p>
    <w:p w14:paraId="4BAC8C34">
      <w:pPr>
        <w:pStyle w:val="75"/>
        <w:spacing w:line="240" w:lineRule="auto"/>
        <w:ind w:firstLine="1684" w:firstLineChars="468"/>
        <w:rPr>
          <w:sz w:val="36"/>
        </w:rPr>
      </w:pPr>
    </w:p>
    <w:p w14:paraId="1E111B88">
      <w:pPr>
        <w:pStyle w:val="75"/>
        <w:spacing w:line="240" w:lineRule="auto"/>
        <w:ind w:firstLine="1684" w:firstLineChars="468"/>
        <w:rPr>
          <w:sz w:val="36"/>
        </w:rPr>
      </w:pPr>
    </w:p>
    <w:p w14:paraId="04C195B4">
      <w:pPr>
        <w:pStyle w:val="75"/>
        <w:spacing w:line="240" w:lineRule="auto"/>
        <w:ind w:firstLine="194" w:firstLineChars="54"/>
        <w:jc w:val="center"/>
        <w:rPr>
          <w:sz w:val="36"/>
        </w:rPr>
      </w:pPr>
      <w:r>
        <w:rPr>
          <w:rFonts w:hint="eastAsia"/>
          <w:sz w:val="36"/>
        </w:rPr>
        <w:t>投标人全称：</w:t>
      </w:r>
      <w:r>
        <w:rPr>
          <w:rFonts w:hint="eastAsia"/>
          <w:sz w:val="36"/>
          <w:u w:val="single"/>
        </w:rPr>
        <w:t xml:space="preserve">            </w:t>
      </w:r>
      <w:r>
        <w:rPr>
          <w:rFonts w:hint="eastAsia"/>
          <w:sz w:val="36"/>
        </w:rPr>
        <w:t>（公章）</w:t>
      </w:r>
    </w:p>
    <w:p w14:paraId="5DE3A3CE">
      <w:pPr>
        <w:pStyle w:val="75"/>
        <w:spacing w:line="240" w:lineRule="auto"/>
        <w:ind w:firstLine="1634" w:firstLineChars="454"/>
        <w:rPr>
          <w:sz w:val="36"/>
          <w:u w:val="single"/>
        </w:rPr>
      </w:pPr>
      <w:r>
        <w:rPr>
          <w:rFonts w:hint="eastAsia"/>
          <w:sz w:val="36"/>
        </w:rPr>
        <w:t>时　    间：</w:t>
      </w:r>
      <w:r>
        <w:rPr>
          <w:rFonts w:hint="eastAsia"/>
          <w:sz w:val="36"/>
          <w:u w:val="single"/>
        </w:rPr>
        <w:t xml:space="preserve">            </w:t>
      </w:r>
      <w:r>
        <w:rPr>
          <w:rFonts w:hint="eastAsia"/>
          <w:sz w:val="36"/>
        </w:rPr>
        <w:t xml:space="preserve"> </w:t>
      </w:r>
    </w:p>
    <w:p w14:paraId="61864BC7">
      <w:pPr>
        <w:spacing w:line="240" w:lineRule="auto"/>
        <w:jc w:val="left"/>
        <w:rPr>
          <w:sz w:val="36"/>
        </w:rPr>
      </w:pPr>
      <w:r>
        <w:rPr>
          <w:sz w:val="36"/>
        </w:rPr>
        <w:br w:type="page"/>
      </w:r>
    </w:p>
    <w:p w14:paraId="0A2E9E79">
      <w:pPr>
        <w:pStyle w:val="75"/>
        <w:ind w:firstLine="0" w:firstLineChars="0"/>
        <w:jc w:val="center"/>
        <w:rPr>
          <w:b/>
          <w:sz w:val="36"/>
        </w:rPr>
      </w:pPr>
      <w:r>
        <w:rPr>
          <w:rFonts w:hint="eastAsia"/>
          <w:b/>
          <w:sz w:val="36"/>
        </w:rPr>
        <w:t>目   录</w:t>
      </w:r>
    </w:p>
    <w:p w14:paraId="54BCFCDD">
      <w:pPr>
        <w:pStyle w:val="75"/>
        <w:ind w:firstLine="1686" w:firstLineChars="468"/>
        <w:rPr>
          <w:b/>
          <w:sz w:val="36"/>
          <w:szCs w:val="36"/>
        </w:rPr>
      </w:pPr>
    </w:p>
    <w:p w14:paraId="5AB4B353">
      <w:pPr>
        <w:tabs>
          <w:tab w:val="right" w:leader="hyphen" w:pos="8504"/>
        </w:tabs>
        <w:spacing w:line="500" w:lineRule="exact"/>
        <w:ind w:left="1960" w:leftChars="200" w:right="840" w:rightChars="300" w:hanging="1400" w:hangingChars="500"/>
      </w:pPr>
      <w:r>
        <w:rPr>
          <w:rFonts w:hint="eastAsia"/>
        </w:rPr>
        <w:t>一、</w:t>
      </w:r>
      <w:r>
        <w:rPr>
          <w:rFonts w:hint="eastAsia" w:cs="Times New Roman"/>
        </w:rPr>
        <w:t>供应商性质证明文件</w:t>
      </w:r>
      <w:r>
        <w:tab/>
      </w:r>
      <w:r>
        <w:t>X</w:t>
      </w:r>
    </w:p>
    <w:p w14:paraId="7D082EED">
      <w:pPr>
        <w:tabs>
          <w:tab w:val="right" w:leader="hyphen" w:pos="8504"/>
        </w:tabs>
        <w:spacing w:line="500" w:lineRule="exact"/>
        <w:ind w:left="1960" w:leftChars="200" w:right="840" w:rightChars="300" w:hanging="1400" w:hangingChars="500"/>
      </w:pPr>
      <w:r>
        <w:rPr>
          <w:rFonts w:hint="eastAsia"/>
          <w:lang w:val="en-US" w:eastAsia="zh-CN"/>
        </w:rPr>
        <w:t>二</w:t>
      </w:r>
      <w:r>
        <w:rPr>
          <w:rFonts w:hint="eastAsia"/>
        </w:rPr>
        <w:t>、营业执照等主体资格证明文件</w:t>
      </w:r>
      <w:r>
        <w:tab/>
      </w:r>
      <w:r>
        <w:t>X</w:t>
      </w:r>
    </w:p>
    <w:p w14:paraId="328615B1">
      <w:pPr>
        <w:tabs>
          <w:tab w:val="right" w:leader="hyphen" w:pos="8504"/>
        </w:tabs>
        <w:spacing w:line="500" w:lineRule="exact"/>
        <w:ind w:right="840" w:rightChars="300" w:firstLine="551" w:firstLineChars="197"/>
      </w:pPr>
      <w:r>
        <w:rPr>
          <w:rFonts w:hint="eastAsia"/>
          <w:lang w:val="en-US" w:eastAsia="zh-CN"/>
        </w:rPr>
        <w:t>三</w:t>
      </w:r>
      <w:r>
        <w:rPr>
          <w:rFonts w:hint="eastAsia"/>
        </w:rPr>
        <w:t>、财务状况报告</w:t>
      </w:r>
      <w:r>
        <w:tab/>
      </w:r>
      <w:r>
        <w:t>X</w:t>
      </w:r>
    </w:p>
    <w:p w14:paraId="4ECBB3FE">
      <w:pPr>
        <w:tabs>
          <w:tab w:val="right" w:leader="hyphen" w:pos="8504"/>
        </w:tabs>
        <w:spacing w:line="500" w:lineRule="exact"/>
        <w:ind w:right="840" w:rightChars="300" w:firstLine="551" w:firstLineChars="197"/>
      </w:pPr>
      <w:r>
        <w:rPr>
          <w:rFonts w:hint="eastAsia"/>
          <w:lang w:val="en-US" w:eastAsia="zh-CN"/>
        </w:rPr>
        <w:t>四</w:t>
      </w:r>
      <w:r>
        <w:rPr>
          <w:rFonts w:hint="eastAsia"/>
        </w:rPr>
        <w:t>、设备和专业技术能力承诺</w:t>
      </w:r>
      <w:r>
        <w:tab/>
      </w:r>
      <w:r>
        <w:t>X</w:t>
      </w:r>
    </w:p>
    <w:p w14:paraId="21EDE2C4">
      <w:pPr>
        <w:tabs>
          <w:tab w:val="right" w:leader="hyphen" w:pos="8504"/>
        </w:tabs>
        <w:spacing w:line="500" w:lineRule="exact"/>
        <w:ind w:right="840" w:rightChars="300" w:firstLine="551" w:firstLineChars="197"/>
        <w:rPr>
          <w:rFonts w:hint="eastAsia"/>
        </w:rPr>
      </w:pPr>
      <w:r>
        <w:rPr>
          <w:rFonts w:hint="eastAsia"/>
          <w:lang w:val="en-US" w:eastAsia="zh-CN"/>
        </w:rPr>
        <w:t>五</w:t>
      </w:r>
      <w:r>
        <w:rPr>
          <w:rFonts w:hint="eastAsia"/>
        </w:rPr>
        <w:t>、</w:t>
      </w:r>
      <w:r>
        <w:rPr>
          <w:rFonts w:hint="eastAsia" w:cs="Times New Roman"/>
        </w:rPr>
        <w:t>社保缴纳证明</w:t>
      </w:r>
      <w:r>
        <w:tab/>
      </w:r>
      <w:r>
        <w:t>X</w:t>
      </w:r>
    </w:p>
    <w:p w14:paraId="2287DB40">
      <w:pPr>
        <w:tabs>
          <w:tab w:val="right" w:leader="hyphen" w:pos="8504"/>
        </w:tabs>
        <w:spacing w:line="500" w:lineRule="exact"/>
        <w:ind w:right="840" w:rightChars="300" w:firstLine="551" w:firstLineChars="197"/>
        <w:rPr>
          <w:rFonts w:hint="eastAsia"/>
        </w:rPr>
      </w:pPr>
      <w:r>
        <w:rPr>
          <w:rFonts w:hint="eastAsia"/>
          <w:lang w:val="en-US" w:eastAsia="zh-CN"/>
        </w:rPr>
        <w:t>六</w:t>
      </w:r>
      <w:r>
        <w:rPr>
          <w:rFonts w:hint="eastAsia"/>
        </w:rPr>
        <w:t>、税收缴纳证明</w:t>
      </w:r>
      <w:r>
        <w:tab/>
      </w:r>
      <w:r>
        <w:t>X</w:t>
      </w:r>
    </w:p>
    <w:p w14:paraId="5AA674E6">
      <w:pPr>
        <w:tabs>
          <w:tab w:val="right" w:leader="hyphen" w:pos="8504"/>
        </w:tabs>
        <w:spacing w:line="500" w:lineRule="exact"/>
        <w:ind w:right="840" w:rightChars="300" w:firstLine="551" w:firstLineChars="197"/>
      </w:pPr>
      <w:r>
        <w:rPr>
          <w:rFonts w:hint="eastAsia"/>
          <w:lang w:val="en-US" w:eastAsia="zh-CN"/>
        </w:rPr>
        <w:t>七</w:t>
      </w:r>
      <w:r>
        <w:rPr>
          <w:rFonts w:hint="eastAsia"/>
        </w:rPr>
        <w:t>、</w:t>
      </w:r>
      <w:r>
        <w:rPr>
          <w:rFonts w:hint="eastAsia"/>
          <w:lang w:val="en-US" w:eastAsia="zh-CN"/>
        </w:rPr>
        <w:t>投标人信用记录</w:t>
      </w:r>
      <w:r>
        <w:rPr>
          <w:rFonts w:hint="eastAsia"/>
        </w:rPr>
        <w:t>书面声明函及信用查询记录</w:t>
      </w:r>
      <w:r>
        <w:tab/>
      </w:r>
      <w:r>
        <w:t>X</w:t>
      </w:r>
    </w:p>
    <w:p w14:paraId="4996B98C">
      <w:pPr>
        <w:tabs>
          <w:tab w:val="right" w:leader="hyphen" w:pos="8504"/>
        </w:tabs>
        <w:spacing w:line="500" w:lineRule="exact"/>
        <w:ind w:right="840" w:rightChars="300" w:firstLine="551" w:firstLineChars="197"/>
      </w:pPr>
      <w:r>
        <w:rPr>
          <w:rFonts w:hint="eastAsia"/>
          <w:lang w:val="en-US" w:eastAsia="zh-CN"/>
        </w:rPr>
        <w:t>八</w:t>
      </w:r>
      <w:r>
        <w:rPr>
          <w:rFonts w:hint="eastAsia"/>
        </w:rPr>
        <w:t>、</w:t>
      </w:r>
      <w:r>
        <w:rPr>
          <w:rFonts w:hint="eastAsia" w:ascii="仿宋" w:hAnsi="仿宋" w:eastAsia="仿宋"/>
        </w:rPr>
        <w:t>身份证明文件</w:t>
      </w:r>
      <w:r>
        <w:tab/>
      </w:r>
      <w:r>
        <w:t>X</w:t>
      </w:r>
    </w:p>
    <w:p w14:paraId="2557FDAE">
      <w:pPr>
        <w:tabs>
          <w:tab w:val="right" w:leader="hyphen" w:pos="8504"/>
        </w:tabs>
        <w:spacing w:line="500" w:lineRule="exact"/>
        <w:ind w:right="840" w:rightChars="300" w:firstLine="560" w:firstLineChars="200"/>
      </w:pPr>
      <w:r>
        <w:rPr>
          <w:rFonts w:hint="eastAsia"/>
          <w:lang w:val="en-US" w:eastAsia="zh-CN"/>
        </w:rPr>
        <w:t>九</w:t>
      </w:r>
      <w:r>
        <w:rPr>
          <w:rFonts w:hint="eastAsia"/>
        </w:rPr>
        <w:t>、</w:t>
      </w:r>
      <w:r>
        <w:rPr>
          <w:rFonts w:hint="eastAsia" w:ascii="仿宋" w:hAnsi="仿宋" w:eastAsia="仿宋"/>
        </w:rPr>
        <w:t>信用承诺书</w:t>
      </w:r>
      <w:r>
        <w:tab/>
      </w:r>
      <w:r>
        <w:t>X</w:t>
      </w:r>
    </w:p>
    <w:p w14:paraId="17628A27">
      <w:pPr>
        <w:tabs>
          <w:tab w:val="right" w:leader="hyphen" w:pos="8504"/>
        </w:tabs>
        <w:spacing w:line="500" w:lineRule="exact"/>
        <w:ind w:right="840" w:rightChars="300" w:firstLine="560" w:firstLineChars="200"/>
        <w:rPr>
          <w:rFonts w:hint="eastAsia" w:eastAsia="华文仿宋"/>
          <w:lang w:val="en-US" w:eastAsia="zh-CN"/>
        </w:rPr>
      </w:pPr>
      <w:r>
        <w:rPr>
          <w:rFonts w:hint="eastAsia"/>
          <w:lang w:val="en-US" w:eastAsia="zh-CN"/>
        </w:rPr>
        <w:t>十、</w:t>
      </w:r>
      <w:r>
        <w:rPr>
          <w:rFonts w:hint="eastAsia" w:ascii="仿宋" w:hAnsi="仿宋" w:eastAsia="仿宋"/>
          <w:lang w:eastAsia="zh-CN"/>
        </w:rPr>
        <w:t>非联合体不分包投标声明</w:t>
      </w:r>
      <w:r>
        <w:tab/>
      </w:r>
      <w:r>
        <w:t>X</w:t>
      </w:r>
    </w:p>
    <w:p w14:paraId="4B578A5F">
      <w:pPr>
        <w:tabs>
          <w:tab w:val="right" w:leader="hyphen" w:pos="8504"/>
        </w:tabs>
        <w:spacing w:line="500" w:lineRule="exact"/>
        <w:ind w:right="840" w:rightChars="300" w:firstLine="551" w:firstLineChars="197"/>
      </w:pPr>
      <w:r>
        <w:rPr>
          <w:rFonts w:hint="eastAsia"/>
          <w:lang w:val="en-US" w:eastAsia="zh-CN"/>
        </w:rPr>
        <w:t>十一</w:t>
      </w:r>
      <w:r>
        <w:rPr>
          <w:rFonts w:hint="eastAsia"/>
        </w:rPr>
        <w:t>、供应商企业关系关联承诺书</w:t>
      </w:r>
      <w:r>
        <w:tab/>
      </w:r>
      <w:r>
        <w:t>X</w:t>
      </w:r>
    </w:p>
    <w:p w14:paraId="3F647F6B">
      <w:pPr>
        <w:tabs>
          <w:tab w:val="right" w:leader="hyphen" w:pos="8504"/>
        </w:tabs>
        <w:spacing w:line="500" w:lineRule="exact"/>
        <w:ind w:right="840" w:rightChars="300" w:firstLine="551" w:firstLineChars="197"/>
      </w:pPr>
      <w:r>
        <w:rPr>
          <w:rFonts w:hint="eastAsia"/>
          <w:lang w:val="en-US" w:eastAsia="zh-CN"/>
        </w:rPr>
        <w:t>十二</w:t>
      </w:r>
      <w:r>
        <w:rPr>
          <w:rFonts w:hint="eastAsia"/>
        </w:rPr>
        <w:t>、</w:t>
      </w:r>
      <w:r>
        <w:rPr>
          <w:rFonts w:hint="eastAsia"/>
          <w:lang w:val="en-US" w:eastAsia="zh-CN"/>
        </w:rPr>
        <w:t>纸质文件要求资料</w:t>
      </w:r>
      <w:r>
        <w:tab/>
      </w:r>
      <w:r>
        <w:t>X</w:t>
      </w:r>
    </w:p>
    <w:p w14:paraId="43E01C75">
      <w:pPr>
        <w:pStyle w:val="4"/>
      </w:pPr>
    </w:p>
    <w:p w14:paraId="49EE78D5">
      <w:pPr>
        <w:spacing w:line="240" w:lineRule="auto"/>
        <w:jc w:val="left"/>
        <w:rPr>
          <w:rStyle w:val="55"/>
          <w:rFonts w:ascii="黑体" w:hAnsi="黑体" w:eastAsia="黑体" w:cs="黑体"/>
          <w:b w:val="0"/>
          <w:sz w:val="32"/>
          <w:szCs w:val="32"/>
        </w:rPr>
      </w:pPr>
      <w:bookmarkStart w:id="85" w:name="_Toc186"/>
      <w:bookmarkStart w:id="86" w:name="_Toc56066567"/>
      <w:r>
        <w:rPr>
          <w:rStyle w:val="55"/>
          <w:rFonts w:ascii="黑体" w:hAnsi="黑体" w:eastAsia="黑体" w:cs="黑体"/>
          <w:sz w:val="32"/>
          <w:szCs w:val="32"/>
        </w:rPr>
        <w:br w:type="page"/>
      </w:r>
    </w:p>
    <w:p w14:paraId="332392DA">
      <w:pPr>
        <w:pStyle w:val="2"/>
        <w:rPr>
          <w:rFonts w:ascii="黑体" w:hAnsi="黑体" w:eastAsia="黑体"/>
          <w:b w:val="0"/>
          <w:sz w:val="32"/>
          <w:szCs w:val="32"/>
        </w:rPr>
      </w:pPr>
      <w:r>
        <w:rPr>
          <w:rStyle w:val="55"/>
          <w:rFonts w:hint="eastAsia" w:ascii="黑体" w:hAnsi="黑体" w:eastAsia="黑体" w:cs="黑体"/>
          <w:b w:val="0"/>
          <w:sz w:val="32"/>
          <w:szCs w:val="32"/>
        </w:rPr>
        <w:t xml:space="preserve">  资格响应文件</w:t>
      </w:r>
      <w:bookmarkEnd w:id="85"/>
      <w:bookmarkEnd w:id="86"/>
      <w:r>
        <w:rPr>
          <w:rStyle w:val="55"/>
          <w:rFonts w:hint="eastAsia" w:ascii="黑体" w:hAnsi="黑体" w:eastAsia="黑体" w:cs="黑体"/>
          <w:b w:val="0"/>
          <w:sz w:val="32"/>
          <w:szCs w:val="32"/>
        </w:rPr>
        <w:t>编制说明</w:t>
      </w:r>
    </w:p>
    <w:p w14:paraId="585EB1E8">
      <w:pPr>
        <w:spacing w:line="500" w:lineRule="exact"/>
        <w:ind w:firstLine="560" w:firstLineChars="200"/>
      </w:pPr>
      <w:r>
        <w:rPr>
          <w:rFonts w:hint="eastAsia"/>
        </w:rPr>
        <w:t>1、投标人</w:t>
      </w:r>
      <w:r>
        <w:t>应按照</w:t>
      </w:r>
      <w:r>
        <w:rPr>
          <w:rFonts w:hint="eastAsia"/>
        </w:rPr>
        <w:t>投标</w:t>
      </w:r>
      <w:r>
        <w:t>文件</w:t>
      </w:r>
      <w:r>
        <w:rPr>
          <w:rFonts w:hint="eastAsia" w:ascii="华文仿宋" w:hAnsi="华文仿宋"/>
          <w:bCs/>
        </w:rPr>
        <w:t>“</w:t>
      </w:r>
      <w:r>
        <w:rPr>
          <w:rFonts w:hint="eastAsia"/>
        </w:rPr>
        <w:t>第二章</w:t>
      </w:r>
      <w:r>
        <w:t>4.2.</w:t>
      </w:r>
      <w:r>
        <w:rPr>
          <w:rFonts w:hint="eastAsia"/>
        </w:rPr>
        <w:t>2 资格响应文件</w:t>
      </w:r>
      <w:r>
        <w:rPr>
          <w:rFonts w:hint="eastAsia" w:ascii="华文仿宋" w:hAnsi="华文仿宋"/>
          <w:bCs/>
        </w:rPr>
        <w:t>”</w:t>
      </w:r>
      <w:r>
        <w:rPr>
          <w:rFonts w:hint="eastAsia"/>
        </w:rPr>
        <w:t>编制要求</w:t>
      </w:r>
      <w:r>
        <w:t>提供全部资格证明文件</w:t>
      </w:r>
      <w:r>
        <w:rPr>
          <w:rFonts w:hint="eastAsia"/>
        </w:rPr>
        <w:t>（逐页电子签章）</w:t>
      </w:r>
      <w:r>
        <w:t>。</w:t>
      </w:r>
      <w:r>
        <w:rPr>
          <w:rFonts w:hint="eastAsia"/>
        </w:rPr>
        <w:t>缺少其中任何一项</w:t>
      </w:r>
      <w:r>
        <w:rPr>
          <w:rFonts w:hint="eastAsia"/>
          <w:lang w:val="en-US" w:eastAsia="zh-CN"/>
        </w:rPr>
        <w:t>或提供资料模糊不清无法辨认相关信息的，</w:t>
      </w:r>
      <w:r>
        <w:rPr>
          <w:rFonts w:hint="eastAsia"/>
        </w:rPr>
        <w:t>其投标文件将被视为无效文件。</w:t>
      </w:r>
    </w:p>
    <w:p w14:paraId="54D06734">
      <w:pPr>
        <w:pStyle w:val="22"/>
        <w:shd w:val="clear" w:color="auto" w:fill="FFFFFF"/>
        <w:spacing w:beforeAutospacing="0" w:afterAutospacing="0"/>
        <w:ind w:firstLine="480"/>
        <w:rPr>
          <w:rFonts w:cs="Calibri Light"/>
          <w:kern w:val="2"/>
          <w:sz w:val="28"/>
        </w:rPr>
      </w:pPr>
      <w:r>
        <w:rPr>
          <w:rFonts w:hint="eastAsia" w:cs="Calibri Light"/>
          <w:kern w:val="2"/>
          <w:sz w:val="28"/>
        </w:rPr>
        <w:t>2、其</w:t>
      </w:r>
      <w:r>
        <w:rPr>
          <w:rFonts w:hint="eastAsia" w:cs="Calibri Light"/>
          <w:kern w:val="2"/>
          <w:sz w:val="28"/>
          <w:lang w:val="en-US" w:eastAsia="zh-CN"/>
        </w:rPr>
        <w:t>中，《法定代表人授权委托书》、《投标人信用记录书面声明函</w:t>
      </w:r>
      <w:r>
        <w:rPr>
          <w:rFonts w:hint="eastAsia" w:cs="Calibri Light"/>
          <w:kern w:val="2"/>
          <w:sz w:val="28"/>
        </w:rPr>
        <w:t>》、《投标人企业关系关联承诺书》、《榆林市政府采购供应商信</w:t>
      </w:r>
      <w:r>
        <w:rPr>
          <w:rFonts w:cs="Calibri Light"/>
          <w:kern w:val="2"/>
          <w:sz w:val="28"/>
        </w:rPr>
        <w:t>用承诺书</w:t>
      </w:r>
      <w:r>
        <w:rPr>
          <w:rFonts w:hint="eastAsia" w:cs="Calibri Light"/>
          <w:kern w:val="2"/>
          <w:sz w:val="28"/>
        </w:rPr>
        <w:t>》、</w:t>
      </w:r>
      <w:r>
        <w:rPr>
          <w:rFonts w:hint="eastAsia" w:cs="Calibri Light"/>
          <w:kern w:val="2"/>
          <w:sz w:val="28"/>
          <w:lang w:val="en-US" w:eastAsia="zh-CN"/>
        </w:rPr>
        <w:t>《</w:t>
      </w:r>
      <w:r>
        <w:rPr>
          <w:rFonts w:hint="eastAsia" w:cs="Calibri Light"/>
          <w:kern w:val="2"/>
          <w:sz w:val="28"/>
        </w:rPr>
        <w:t>供应商性质证明文件</w:t>
      </w:r>
      <w:r>
        <w:rPr>
          <w:rFonts w:hint="eastAsia" w:cs="Calibri Light"/>
          <w:kern w:val="2"/>
          <w:sz w:val="28"/>
          <w:lang w:val="en-US" w:eastAsia="zh-CN"/>
        </w:rPr>
        <w:t>》、</w:t>
      </w:r>
      <w:r>
        <w:rPr>
          <w:rFonts w:hint="eastAsia" w:cs="Calibri Light"/>
          <w:kern w:val="2"/>
          <w:sz w:val="28"/>
          <w:lang w:eastAsia="zh-CN"/>
        </w:rPr>
        <w:t>《非联合体不分包投标声明》、《</w:t>
      </w:r>
      <w:r>
        <w:rPr>
          <w:rFonts w:hint="eastAsia" w:cs="Calibri Light"/>
          <w:kern w:val="2"/>
          <w:sz w:val="28"/>
        </w:rPr>
        <w:t>电子</w:t>
      </w:r>
      <w:r>
        <w:rPr>
          <w:rFonts w:hint="eastAsia" w:cs="Calibri Light"/>
          <w:kern w:val="2"/>
          <w:sz w:val="28"/>
          <w:lang w:val="en-US" w:eastAsia="zh-CN"/>
        </w:rPr>
        <w:t>响应</w:t>
      </w:r>
      <w:r>
        <w:rPr>
          <w:rFonts w:hint="eastAsia" w:cs="Calibri Light"/>
          <w:kern w:val="2"/>
          <w:sz w:val="28"/>
        </w:rPr>
        <w:t>文件与纸质</w:t>
      </w:r>
      <w:r>
        <w:rPr>
          <w:rFonts w:hint="eastAsia" w:cs="Calibri Light"/>
          <w:kern w:val="2"/>
          <w:sz w:val="28"/>
          <w:lang w:val="en-US" w:eastAsia="zh-CN"/>
        </w:rPr>
        <w:t>响应</w:t>
      </w:r>
      <w:r>
        <w:rPr>
          <w:rFonts w:hint="eastAsia" w:cs="Calibri Light"/>
          <w:kern w:val="2"/>
          <w:sz w:val="28"/>
        </w:rPr>
        <w:t>文件一致承诺书》须按下文给定附件格式填写，否则按无效处理。</w:t>
      </w:r>
    </w:p>
    <w:p w14:paraId="34254A7E">
      <w:pPr>
        <w:spacing w:line="500" w:lineRule="exact"/>
        <w:ind w:firstLine="560" w:firstLineChars="200"/>
      </w:pPr>
      <w:r>
        <w:rPr>
          <w:rFonts w:hint="eastAsia"/>
        </w:rPr>
        <w:t>3、特别说明，法定代表人亲自参加开标的，可不提供法定代表人授权委托书，但须提供其本人身份证（正反面）复印件。</w:t>
      </w:r>
    </w:p>
    <w:p w14:paraId="7B477DB5">
      <w:pPr>
        <w:spacing w:line="500" w:lineRule="exact"/>
        <w:ind w:firstLine="560" w:firstLineChars="200"/>
        <w:rPr>
          <w:rFonts w:ascii="宋体" w:hAnsi="宋体" w:cs="宋体"/>
        </w:rPr>
      </w:pPr>
      <w:r>
        <w:rPr>
          <w:rFonts w:hint="eastAsia"/>
        </w:rPr>
        <w:t>4、</w:t>
      </w:r>
      <w:r>
        <w:rPr>
          <w:rFonts w:hint="eastAsia" w:ascii="宋体" w:hAnsi="宋体" w:cs="宋体"/>
        </w:rPr>
        <w:t>设备和专业技术能力承诺书为具有履行合同所必需的设备和专业技术能力的承诺，格式自拟。</w:t>
      </w:r>
    </w:p>
    <w:p w14:paraId="562949F4">
      <w:pPr>
        <w:spacing w:line="500" w:lineRule="exact"/>
        <w:ind w:firstLine="561" w:firstLineChars="200"/>
        <w:rPr>
          <w:rFonts w:hint="eastAsia"/>
          <w:b/>
        </w:rPr>
      </w:pPr>
      <w:r>
        <w:rPr>
          <w:rFonts w:hint="eastAsia"/>
          <w:b/>
        </w:rPr>
        <w:t>5、资格响应文件装订顺序为：</w:t>
      </w:r>
    </w:p>
    <w:p w14:paraId="5E0B90E1">
      <w:pPr>
        <w:spacing w:line="500" w:lineRule="exact"/>
        <w:ind w:firstLine="561" w:firstLineChars="200"/>
        <w:rPr>
          <w:rFonts w:hint="eastAsia"/>
          <w:b/>
        </w:rPr>
      </w:pPr>
      <w:r>
        <w:rPr>
          <w:rFonts w:hint="eastAsia"/>
          <w:b/>
          <w:lang w:eastAsia="zh-CN"/>
        </w:rPr>
        <w:t>（</w:t>
      </w:r>
      <w:r>
        <w:rPr>
          <w:rFonts w:hint="eastAsia"/>
          <w:b/>
          <w:lang w:val="en-US" w:eastAsia="zh-CN"/>
        </w:rPr>
        <w:t>1</w:t>
      </w:r>
      <w:r>
        <w:rPr>
          <w:rFonts w:hint="eastAsia"/>
          <w:b/>
          <w:lang w:eastAsia="zh-CN"/>
        </w:rPr>
        <w:t>）</w:t>
      </w:r>
      <w:r>
        <w:rPr>
          <w:rFonts w:hint="eastAsia"/>
          <w:b/>
        </w:rPr>
        <w:t>供应商性质证明文件</w:t>
      </w:r>
    </w:p>
    <w:p w14:paraId="58DD1703">
      <w:pPr>
        <w:spacing w:line="500" w:lineRule="exact"/>
        <w:ind w:firstLine="561" w:firstLineChars="200"/>
        <w:rPr>
          <w:rFonts w:hint="eastAsia"/>
          <w:b/>
        </w:rPr>
      </w:pPr>
      <w:r>
        <w:rPr>
          <w:rFonts w:hint="eastAsia"/>
          <w:b/>
        </w:rPr>
        <w:t>（</w:t>
      </w:r>
      <w:r>
        <w:rPr>
          <w:rFonts w:hint="eastAsia"/>
          <w:b/>
          <w:lang w:val="en-US" w:eastAsia="zh-CN"/>
        </w:rPr>
        <w:t>2</w:t>
      </w:r>
      <w:r>
        <w:rPr>
          <w:rFonts w:hint="eastAsia"/>
          <w:b/>
        </w:rPr>
        <w:t>）营业执照等主体资格证明文件</w:t>
      </w:r>
    </w:p>
    <w:p w14:paraId="194BBA0E">
      <w:pPr>
        <w:spacing w:line="500" w:lineRule="exact"/>
        <w:ind w:firstLine="561" w:firstLineChars="200"/>
        <w:rPr>
          <w:rFonts w:hint="eastAsia"/>
          <w:b/>
        </w:rPr>
      </w:pPr>
      <w:r>
        <w:rPr>
          <w:rFonts w:hint="eastAsia"/>
          <w:b/>
        </w:rPr>
        <w:t>（</w:t>
      </w:r>
      <w:r>
        <w:rPr>
          <w:rFonts w:hint="eastAsia"/>
          <w:b/>
          <w:lang w:val="en-US" w:eastAsia="zh-CN"/>
        </w:rPr>
        <w:t>3</w:t>
      </w:r>
      <w:r>
        <w:rPr>
          <w:rFonts w:hint="eastAsia"/>
          <w:b/>
        </w:rPr>
        <w:t>）财务状况报告</w:t>
      </w:r>
    </w:p>
    <w:p w14:paraId="0D987706">
      <w:pPr>
        <w:spacing w:line="500" w:lineRule="exact"/>
        <w:ind w:firstLine="561" w:firstLineChars="200"/>
        <w:rPr>
          <w:rFonts w:hint="eastAsia"/>
          <w:b/>
        </w:rPr>
      </w:pPr>
      <w:r>
        <w:rPr>
          <w:rFonts w:hint="eastAsia"/>
          <w:b/>
        </w:rPr>
        <w:t>（</w:t>
      </w:r>
      <w:r>
        <w:rPr>
          <w:rFonts w:hint="eastAsia"/>
          <w:b/>
          <w:lang w:val="en-US" w:eastAsia="zh-CN"/>
        </w:rPr>
        <w:t>4</w:t>
      </w:r>
      <w:r>
        <w:rPr>
          <w:rFonts w:hint="eastAsia"/>
          <w:b/>
        </w:rPr>
        <w:t>）设备和专业技术能力承诺书</w:t>
      </w:r>
    </w:p>
    <w:p w14:paraId="2A49A58A">
      <w:pPr>
        <w:spacing w:line="500" w:lineRule="exact"/>
        <w:ind w:firstLine="561" w:firstLineChars="200"/>
        <w:rPr>
          <w:rFonts w:hint="eastAsia"/>
          <w:b/>
        </w:rPr>
      </w:pPr>
      <w:r>
        <w:rPr>
          <w:rFonts w:hint="eastAsia"/>
          <w:b/>
        </w:rPr>
        <w:t>（</w:t>
      </w:r>
      <w:r>
        <w:rPr>
          <w:rFonts w:hint="eastAsia"/>
          <w:b/>
          <w:lang w:val="en-US" w:eastAsia="zh-CN"/>
        </w:rPr>
        <w:t>5</w:t>
      </w:r>
      <w:r>
        <w:rPr>
          <w:rFonts w:hint="eastAsia"/>
          <w:b/>
        </w:rPr>
        <w:t>）社保缴纳证明</w:t>
      </w:r>
    </w:p>
    <w:p w14:paraId="1193DC99">
      <w:pPr>
        <w:spacing w:line="500" w:lineRule="exact"/>
        <w:ind w:firstLine="561" w:firstLineChars="200"/>
        <w:rPr>
          <w:rFonts w:hint="eastAsia"/>
          <w:b/>
        </w:rPr>
      </w:pPr>
      <w:r>
        <w:rPr>
          <w:rFonts w:hint="eastAsia"/>
          <w:b/>
        </w:rPr>
        <w:t>（</w:t>
      </w:r>
      <w:r>
        <w:rPr>
          <w:rFonts w:hint="eastAsia"/>
          <w:b/>
          <w:lang w:val="en-US" w:eastAsia="zh-CN"/>
        </w:rPr>
        <w:t>6</w:t>
      </w:r>
      <w:r>
        <w:rPr>
          <w:rFonts w:hint="eastAsia"/>
          <w:b/>
        </w:rPr>
        <w:t>）税收缴纳证明</w:t>
      </w:r>
    </w:p>
    <w:p w14:paraId="43F74855">
      <w:pPr>
        <w:spacing w:line="500" w:lineRule="exact"/>
        <w:ind w:firstLine="561" w:firstLineChars="200"/>
        <w:rPr>
          <w:rFonts w:hint="eastAsia"/>
          <w:b/>
        </w:rPr>
      </w:pPr>
      <w:r>
        <w:rPr>
          <w:rFonts w:hint="eastAsia"/>
          <w:b/>
        </w:rPr>
        <w:t>（</w:t>
      </w:r>
      <w:r>
        <w:rPr>
          <w:rFonts w:hint="eastAsia"/>
          <w:b/>
          <w:lang w:val="en-US" w:eastAsia="zh-CN"/>
        </w:rPr>
        <w:t>7</w:t>
      </w:r>
      <w:r>
        <w:rPr>
          <w:rFonts w:hint="eastAsia"/>
          <w:b/>
        </w:rPr>
        <w:t>）投标人</w:t>
      </w:r>
      <w:r>
        <w:rPr>
          <w:rFonts w:hint="eastAsia"/>
          <w:b/>
          <w:lang w:val="en-US" w:eastAsia="zh-CN"/>
        </w:rPr>
        <w:t>信用记录</w:t>
      </w:r>
      <w:r>
        <w:rPr>
          <w:rFonts w:hint="eastAsia"/>
          <w:b/>
        </w:rPr>
        <w:t>书面声明函及信用查询记录</w:t>
      </w:r>
    </w:p>
    <w:p w14:paraId="30AE89B9">
      <w:pPr>
        <w:spacing w:line="500" w:lineRule="exact"/>
        <w:ind w:firstLine="561" w:firstLineChars="200"/>
        <w:rPr>
          <w:rFonts w:hint="eastAsia"/>
          <w:b/>
        </w:rPr>
      </w:pPr>
      <w:r>
        <w:rPr>
          <w:rFonts w:hint="eastAsia"/>
          <w:b/>
        </w:rPr>
        <w:t>（</w:t>
      </w:r>
      <w:r>
        <w:rPr>
          <w:rFonts w:hint="eastAsia"/>
          <w:b/>
          <w:lang w:val="en-US" w:eastAsia="zh-CN"/>
        </w:rPr>
        <w:t>8</w:t>
      </w:r>
      <w:r>
        <w:rPr>
          <w:rFonts w:hint="eastAsia"/>
          <w:b/>
        </w:rPr>
        <w:t>）身份证明文件</w:t>
      </w:r>
    </w:p>
    <w:p w14:paraId="19EB775E">
      <w:pPr>
        <w:spacing w:line="500" w:lineRule="exact"/>
        <w:ind w:firstLine="561" w:firstLineChars="200"/>
        <w:rPr>
          <w:rFonts w:hint="eastAsia"/>
          <w:b/>
        </w:rPr>
      </w:pPr>
      <w:r>
        <w:rPr>
          <w:rFonts w:hint="eastAsia"/>
          <w:b/>
        </w:rPr>
        <w:t>（</w:t>
      </w:r>
      <w:r>
        <w:rPr>
          <w:rFonts w:hint="eastAsia"/>
          <w:b/>
          <w:lang w:val="en-US" w:eastAsia="zh-CN"/>
        </w:rPr>
        <w:t>9</w:t>
      </w:r>
      <w:r>
        <w:rPr>
          <w:rFonts w:hint="eastAsia"/>
          <w:b/>
        </w:rPr>
        <w:t>）信用承诺书</w:t>
      </w:r>
    </w:p>
    <w:p w14:paraId="7D66D1EB">
      <w:pPr>
        <w:spacing w:line="500" w:lineRule="exact"/>
        <w:ind w:firstLine="561" w:firstLineChars="200"/>
        <w:rPr>
          <w:rFonts w:hint="eastAsia"/>
          <w:b/>
        </w:rPr>
      </w:pPr>
      <w:r>
        <w:rPr>
          <w:rFonts w:hint="eastAsia"/>
          <w:b/>
          <w:lang w:eastAsia="zh-CN"/>
        </w:rPr>
        <w:t>（</w:t>
      </w:r>
      <w:r>
        <w:rPr>
          <w:rFonts w:hint="eastAsia"/>
          <w:b/>
          <w:lang w:val="en-US" w:eastAsia="zh-CN"/>
        </w:rPr>
        <w:t>10</w:t>
      </w:r>
      <w:r>
        <w:rPr>
          <w:rFonts w:hint="eastAsia"/>
          <w:b/>
          <w:lang w:eastAsia="zh-CN"/>
        </w:rPr>
        <w:t>）非联合体不分包投标声明</w:t>
      </w:r>
    </w:p>
    <w:p w14:paraId="002BDDF5">
      <w:pPr>
        <w:spacing w:line="500" w:lineRule="exact"/>
        <w:ind w:firstLine="561" w:firstLineChars="200"/>
        <w:rPr>
          <w:b/>
        </w:rPr>
      </w:pPr>
      <w:r>
        <w:rPr>
          <w:rFonts w:hint="eastAsia"/>
          <w:b/>
        </w:rPr>
        <w:t>（</w:t>
      </w:r>
      <w:r>
        <w:rPr>
          <w:rFonts w:hint="eastAsia"/>
          <w:b/>
          <w:lang w:val="en-US" w:eastAsia="zh-CN"/>
        </w:rPr>
        <w:t>11</w:t>
      </w:r>
      <w:r>
        <w:rPr>
          <w:rFonts w:hint="eastAsia"/>
          <w:b/>
        </w:rPr>
        <w:t>）投标人企业关系关联承诺书</w:t>
      </w:r>
    </w:p>
    <w:p w14:paraId="13C6C1A8">
      <w:pPr>
        <w:spacing w:line="500" w:lineRule="exact"/>
        <w:ind w:firstLine="561" w:firstLineChars="200"/>
        <w:rPr>
          <w:b/>
        </w:rPr>
      </w:pPr>
      <w:r>
        <w:rPr>
          <w:rFonts w:hint="eastAsia"/>
          <w:b/>
        </w:rPr>
        <w:t>（</w:t>
      </w:r>
      <w:r>
        <w:rPr>
          <w:rFonts w:hint="eastAsia"/>
          <w:b/>
          <w:lang w:val="en-US" w:eastAsia="zh-CN"/>
        </w:rPr>
        <w:t>12</w:t>
      </w:r>
      <w:r>
        <w:rPr>
          <w:rFonts w:hint="eastAsia"/>
          <w:b/>
        </w:rPr>
        <w:t>）纸质版响应文件邮寄回执单</w:t>
      </w:r>
    </w:p>
    <w:p w14:paraId="3023954C">
      <w:pPr>
        <w:tabs>
          <w:tab w:val="right" w:leader="hyphen" w:pos="8504"/>
        </w:tabs>
        <w:spacing w:line="500" w:lineRule="exact"/>
        <w:ind w:right="840" w:rightChars="300" w:firstLine="551" w:firstLineChars="197"/>
      </w:pPr>
    </w:p>
    <w:p w14:paraId="12578B11">
      <w:pPr>
        <w:spacing w:line="240" w:lineRule="auto"/>
        <w:jc w:val="left"/>
        <w:rPr>
          <w:rFonts w:ascii="华文仿宋" w:hAnsi="华文仿宋" w:cs="华文仿宋"/>
          <w:b/>
          <w:bCs/>
          <w:sz w:val="32"/>
          <w:szCs w:val="32"/>
        </w:rPr>
      </w:pPr>
      <w:r>
        <w:rPr>
          <w:rFonts w:ascii="华文仿宋" w:hAnsi="华文仿宋" w:cs="华文仿宋"/>
          <w:b/>
          <w:bCs/>
          <w:sz w:val="32"/>
          <w:szCs w:val="32"/>
        </w:rPr>
        <w:br w:type="page"/>
      </w:r>
    </w:p>
    <w:p w14:paraId="6F0186A2">
      <w:pPr>
        <w:pStyle w:val="77"/>
        <w:rPr>
          <w:rFonts w:ascii="华文仿宋" w:hAnsi="华文仿宋" w:cs="华文仿宋"/>
        </w:rPr>
      </w:pPr>
      <w:r>
        <w:rPr>
          <w:rFonts w:hint="eastAsia" w:ascii="华文仿宋" w:hAnsi="华文仿宋" w:cs="华文仿宋"/>
        </w:rPr>
        <w:t>附件一：</w:t>
      </w:r>
    </w:p>
    <w:p w14:paraId="2D469A08">
      <w:pPr>
        <w:snapToGrid w:val="0"/>
        <w:spacing w:afterLines="50" w:line="500" w:lineRule="exact"/>
        <w:jc w:val="center"/>
        <w:rPr>
          <w:rFonts w:ascii="华文仿宋" w:hAnsi="华文仿宋" w:cs="华文仿宋"/>
        </w:rPr>
      </w:pPr>
      <w:r>
        <w:rPr>
          <w:rFonts w:hint="eastAsia"/>
          <w:b/>
          <w:bCs/>
          <w:sz w:val="30"/>
          <w:szCs w:val="30"/>
        </w:rPr>
        <w:t>法定代表人授权委托书</w:t>
      </w:r>
    </w:p>
    <w:p w14:paraId="118034E5">
      <w:pPr>
        <w:spacing w:line="500" w:lineRule="exact"/>
        <w:ind w:right="11"/>
      </w:pPr>
      <w:r>
        <w:rPr>
          <w:rFonts w:hint="eastAsia"/>
          <w:lang w:eastAsia="zh-CN"/>
        </w:rPr>
        <w:t>府谷县公安局</w:t>
      </w:r>
      <w:r>
        <w:rPr>
          <w:rFonts w:hint="eastAsia"/>
        </w:rPr>
        <w:t>：</w:t>
      </w:r>
    </w:p>
    <w:p w14:paraId="3754512C">
      <w:pPr>
        <w:spacing w:line="500" w:lineRule="exact"/>
        <w:ind w:right="11" w:firstLine="560" w:firstLineChars="200"/>
      </w:pPr>
      <w:r>
        <w:rPr>
          <w:rFonts w:hint="eastAsia"/>
        </w:rPr>
        <w:t>本人</w:t>
      </w:r>
      <w:r>
        <w:rPr>
          <w:rFonts w:hint="eastAsia"/>
          <w:u w:val="single"/>
        </w:rPr>
        <w:t xml:space="preserve"> （法定代表人姓名） </w:t>
      </w:r>
      <w:r>
        <w:rPr>
          <w:rFonts w:hint="eastAsia"/>
        </w:rPr>
        <w:t>系</w:t>
      </w:r>
      <w:r>
        <w:rPr>
          <w:rFonts w:hint="eastAsia"/>
          <w:u w:val="single"/>
        </w:rPr>
        <w:t xml:space="preserve"> （投标人全称）       </w:t>
      </w:r>
      <w:r>
        <w:rPr>
          <w:rFonts w:hint="eastAsia"/>
        </w:rPr>
        <w:t>的法定代表人，现委派</w:t>
      </w:r>
      <w:r>
        <w:rPr>
          <w:rFonts w:hint="eastAsia"/>
          <w:u w:val="single"/>
        </w:rPr>
        <w:t>（授权代表姓名）</w:t>
      </w:r>
      <w:r>
        <w:rPr>
          <w:rFonts w:hint="eastAsia"/>
        </w:rPr>
        <w:t>为本公司的授权代表，参加贵中心</w:t>
      </w:r>
      <w:r>
        <w:rPr>
          <w:rFonts w:hint="eastAsia"/>
          <w:u w:val="single"/>
        </w:rPr>
        <w:t xml:space="preserve">   </w:t>
      </w:r>
      <w:r>
        <w:rPr>
          <w:rFonts w:hint="eastAsia"/>
          <w:u w:val="single"/>
          <w:lang w:val="en-US" w:eastAsia="zh-CN"/>
        </w:rPr>
        <w:t xml:space="preserve">  </w:t>
      </w:r>
      <w:r>
        <w:rPr>
          <w:rFonts w:hint="eastAsia"/>
          <w:u w:val="single"/>
        </w:rPr>
        <w:t>《</w:t>
      </w:r>
      <w:r>
        <w:rPr>
          <w:rFonts w:hint="eastAsia" w:ascii="华文仿宋" w:hAnsi="华文仿宋" w:cs="华文仿宋"/>
          <w:b/>
          <w:u w:val="single"/>
        </w:rPr>
        <w:t>项目名称</w:t>
      </w:r>
      <w:r>
        <w:rPr>
          <w:rFonts w:hint="eastAsia"/>
          <w:u w:val="single"/>
        </w:rPr>
        <w:t>》</w:t>
      </w:r>
      <w:r>
        <w:rPr>
          <w:rFonts w:hint="eastAsia"/>
          <w:u w:val="single"/>
          <w:lang w:val="en-US" w:eastAsia="zh-CN"/>
        </w:rPr>
        <w:t xml:space="preserve">     </w:t>
      </w:r>
      <w:r>
        <w:rPr>
          <w:rFonts w:hint="eastAsia" w:ascii="华文仿宋" w:hAnsi="华文仿宋" w:cs="华文仿宋"/>
          <w:b/>
          <w:u w:val="single"/>
        </w:rPr>
        <w:t>（</w:t>
      </w:r>
      <w:r>
        <w:rPr>
          <w:rFonts w:hint="eastAsia" w:ascii="华文仿宋" w:hAnsi="华文仿宋" w:cs="华文仿宋"/>
          <w:b/>
        </w:rPr>
        <w:t>项目编号</w:t>
      </w:r>
      <w:r>
        <w:rPr>
          <w:rFonts w:hint="eastAsia" w:ascii="华文仿宋" w:hAnsi="华文仿宋" w:cs="华文仿宋"/>
          <w:b/>
          <w:u w:val="single"/>
        </w:rPr>
        <w:t xml:space="preserve">：    </w:t>
      </w:r>
      <w:r>
        <w:rPr>
          <w:rFonts w:hint="eastAsia" w:ascii="华文仿宋" w:hAnsi="华文仿宋" w:cs="华文仿宋"/>
          <w:b/>
        </w:rPr>
        <w:t>）</w:t>
      </w:r>
      <w:r>
        <w:rPr>
          <w:rFonts w:hint="eastAsia"/>
        </w:rPr>
        <w:t>政府采购活动。代理人在该项目的投标及合同的执行和完成过程中，以本公司的名义处理的一切与之有关的事宜，我方均予以承认，其法律后果由我方承担。</w:t>
      </w:r>
    </w:p>
    <w:p w14:paraId="3724575B">
      <w:pPr>
        <w:spacing w:line="500" w:lineRule="exact"/>
        <w:ind w:right="11" w:firstLine="560" w:firstLineChars="200"/>
        <w:rPr>
          <w:rFonts w:hint="default" w:eastAsia="华文仿宋"/>
          <w:lang w:val="en-US" w:eastAsia="zh-CN"/>
        </w:rPr>
      </w:pPr>
      <w:r>
        <w:rPr>
          <w:rFonts w:hint="eastAsia"/>
        </w:rPr>
        <w:t>本授权自开标之日起生效，有效期与响应文件有效期一致。</w:t>
      </w:r>
      <w:r>
        <w:rPr>
          <w:rFonts w:hint="eastAsia"/>
          <w:lang w:val="en-US" w:eastAsia="zh-CN"/>
        </w:rPr>
        <w:t xml:space="preserve">   </w:t>
      </w:r>
    </w:p>
    <w:p w14:paraId="243E850B">
      <w:pPr>
        <w:tabs>
          <w:tab w:val="left" w:pos="5245"/>
          <w:tab w:val="left" w:pos="6946"/>
        </w:tabs>
        <w:snapToGrid w:val="0"/>
        <w:spacing w:line="500" w:lineRule="exact"/>
        <w:ind w:firstLine="560" w:firstLineChars="200"/>
      </w:pPr>
      <w:r>
        <w:rPr>
          <w:rFonts w:hint="eastAsia"/>
        </w:rPr>
        <w:t>授权代表</w:t>
      </w:r>
      <w:r>
        <w:t>姓名：</w:t>
      </w:r>
      <w:r>
        <w:tab/>
      </w:r>
      <w:r>
        <w:t>性别：</w:t>
      </w:r>
    </w:p>
    <w:p w14:paraId="62504691">
      <w:pPr>
        <w:tabs>
          <w:tab w:val="left" w:pos="5245"/>
        </w:tabs>
        <w:snapToGrid w:val="0"/>
        <w:spacing w:line="500" w:lineRule="exact"/>
        <w:ind w:firstLine="560" w:firstLineChars="200"/>
        <w:rPr>
          <w:u w:val="single"/>
        </w:rPr>
      </w:pPr>
      <w:r>
        <w:t xml:space="preserve">职务：  </w:t>
      </w:r>
      <w:r>
        <w:rPr>
          <w:rFonts w:hint="eastAsia"/>
          <w:lang w:val="en-US" w:eastAsia="zh-CN"/>
        </w:rPr>
        <w:t xml:space="preserve">                         </w:t>
      </w:r>
      <w:r>
        <w:t>电话：</w:t>
      </w:r>
    </w:p>
    <w:p w14:paraId="51E15E6B">
      <w:pPr>
        <w:tabs>
          <w:tab w:val="left" w:pos="3828"/>
          <w:tab w:val="left" w:pos="6237"/>
        </w:tabs>
        <w:snapToGrid w:val="0"/>
        <w:spacing w:line="500" w:lineRule="exact"/>
        <w:ind w:firstLine="560" w:firstLineChars="200"/>
      </w:pPr>
      <w:r>
        <w:t>通讯地址：</w:t>
      </w:r>
      <w:r>
        <w:rPr>
          <w:rFonts w:hint="eastAsia"/>
          <w:lang w:val="en-US" w:eastAsia="zh-CN"/>
        </w:rPr>
        <w:t xml:space="preserve">                    </w:t>
      </w:r>
      <w:r>
        <w:t xml:space="preserve">   邮政编码：</w:t>
      </w:r>
    </w:p>
    <w:tbl>
      <w:tblPr>
        <w:tblStyle w:val="25"/>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0F8F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4072" w:type="dxa"/>
            <w:tcBorders>
              <w:top w:val="single" w:color="auto" w:sz="4" w:space="0"/>
              <w:left w:val="single" w:color="auto" w:sz="4" w:space="0"/>
              <w:bottom w:val="single" w:color="auto" w:sz="4" w:space="0"/>
              <w:right w:val="single" w:color="auto" w:sz="4" w:space="0"/>
            </w:tcBorders>
            <w:vAlign w:val="center"/>
          </w:tcPr>
          <w:p w14:paraId="27011F83">
            <w:pPr>
              <w:ind w:firstLine="8" w:firstLineChars="3"/>
              <w:jc w:val="center"/>
            </w:pPr>
            <w:r>
              <w:t>法定代表人</w:t>
            </w:r>
          </w:p>
          <w:p w14:paraId="169CDF4C">
            <w:pPr>
              <w:ind w:firstLine="8" w:firstLineChars="3"/>
              <w:jc w:val="center"/>
            </w:pPr>
            <w:r>
              <w:t>身份证复印件</w:t>
            </w:r>
          </w:p>
          <w:p w14:paraId="13B0ED73">
            <w:pPr>
              <w:ind w:firstLine="8" w:firstLineChars="3"/>
              <w:jc w:val="center"/>
            </w:pPr>
            <w:r>
              <w:t>（</w:t>
            </w:r>
            <w:r>
              <w:rPr>
                <w:rFonts w:hint="eastAsia"/>
              </w:rPr>
              <w:t>有人像</w:t>
            </w:r>
            <w:r>
              <w:t>面粘贴处）</w:t>
            </w:r>
          </w:p>
        </w:tc>
        <w:tc>
          <w:tcPr>
            <w:tcW w:w="4098" w:type="dxa"/>
            <w:tcBorders>
              <w:top w:val="single" w:color="auto" w:sz="4" w:space="0"/>
              <w:left w:val="single" w:color="auto" w:sz="4" w:space="0"/>
              <w:bottom w:val="single" w:color="auto" w:sz="4" w:space="0"/>
              <w:right w:val="single" w:color="auto" w:sz="4" w:space="0"/>
            </w:tcBorders>
            <w:vAlign w:val="center"/>
          </w:tcPr>
          <w:p w14:paraId="6F9F5D53">
            <w:pPr>
              <w:jc w:val="center"/>
            </w:pPr>
            <w:r>
              <w:t>授权</w:t>
            </w:r>
            <w:r>
              <w:rPr>
                <w:rFonts w:hint="eastAsia"/>
              </w:rPr>
              <w:t>代表</w:t>
            </w:r>
          </w:p>
          <w:p w14:paraId="52B45CFF">
            <w:pPr>
              <w:jc w:val="center"/>
            </w:pPr>
            <w:r>
              <w:t>身份证复印件</w:t>
            </w:r>
          </w:p>
          <w:p w14:paraId="28E1B633">
            <w:pPr>
              <w:jc w:val="center"/>
            </w:pPr>
            <w:r>
              <w:t>（</w:t>
            </w:r>
            <w:r>
              <w:rPr>
                <w:rFonts w:hint="eastAsia"/>
              </w:rPr>
              <w:t>有人像</w:t>
            </w:r>
            <w:r>
              <w:t>面粘贴处）</w:t>
            </w:r>
          </w:p>
        </w:tc>
      </w:tr>
      <w:tr w14:paraId="2D12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jc w:val="center"/>
        </w:trPr>
        <w:tc>
          <w:tcPr>
            <w:tcW w:w="4072" w:type="dxa"/>
            <w:vAlign w:val="center"/>
          </w:tcPr>
          <w:p w14:paraId="443579DE">
            <w:pPr>
              <w:jc w:val="center"/>
            </w:pPr>
            <w:r>
              <w:t>法定代表人</w:t>
            </w:r>
          </w:p>
          <w:p w14:paraId="552C6FFC">
            <w:pPr>
              <w:jc w:val="center"/>
            </w:pPr>
            <w:r>
              <w:t>身份证复印件</w:t>
            </w:r>
          </w:p>
          <w:p w14:paraId="72188FC8">
            <w:pPr>
              <w:jc w:val="center"/>
            </w:pPr>
            <w:r>
              <w:t>（</w:t>
            </w:r>
            <w:r>
              <w:rPr>
                <w:rFonts w:hint="eastAsia"/>
              </w:rPr>
              <w:t>有</w:t>
            </w:r>
            <w:r>
              <w:t>国徽面粘贴处）</w:t>
            </w:r>
          </w:p>
        </w:tc>
        <w:tc>
          <w:tcPr>
            <w:tcW w:w="4098" w:type="dxa"/>
            <w:vAlign w:val="center"/>
          </w:tcPr>
          <w:p w14:paraId="7D9BD4A9">
            <w:pPr>
              <w:jc w:val="center"/>
            </w:pPr>
            <w:r>
              <w:t>授权</w:t>
            </w:r>
            <w:r>
              <w:rPr>
                <w:rFonts w:hint="eastAsia"/>
              </w:rPr>
              <w:t>代表</w:t>
            </w:r>
          </w:p>
          <w:p w14:paraId="6DE87C3D">
            <w:pPr>
              <w:jc w:val="center"/>
            </w:pPr>
            <w:r>
              <w:t>身份证复印件</w:t>
            </w:r>
          </w:p>
          <w:p w14:paraId="614DB77B">
            <w:pPr>
              <w:jc w:val="center"/>
            </w:pPr>
            <w:r>
              <w:t>（</w:t>
            </w:r>
            <w:r>
              <w:rPr>
                <w:rFonts w:hint="eastAsia"/>
              </w:rPr>
              <w:t>有</w:t>
            </w:r>
            <w:r>
              <w:t>国徽面粘贴处）</w:t>
            </w:r>
          </w:p>
        </w:tc>
      </w:tr>
    </w:tbl>
    <w:p w14:paraId="29FDB159">
      <w:pPr>
        <w:tabs>
          <w:tab w:val="right" w:pos="8931"/>
        </w:tabs>
        <w:ind w:firstLine="560" w:firstLineChars="200"/>
      </w:pPr>
      <w:r>
        <w:rPr>
          <w:rFonts w:hint="eastAsia"/>
        </w:rPr>
        <w:t>投标人全称</w:t>
      </w:r>
      <w:r>
        <w:t>：</w:t>
      </w:r>
      <w:r>
        <w:rPr>
          <w:rFonts w:hint="eastAsia"/>
          <w:u w:val="single"/>
          <w:lang w:val="en-US" w:eastAsia="zh-CN"/>
        </w:rPr>
        <w:t xml:space="preserve">  名称   </w:t>
      </w:r>
      <w:r>
        <w:t>（</w:t>
      </w:r>
      <w:r>
        <w:rPr>
          <w:rFonts w:hint="eastAsia"/>
          <w:lang w:val="en-US" w:eastAsia="zh-CN"/>
        </w:rPr>
        <w:t>加盖</w:t>
      </w:r>
      <w:r>
        <w:t>公章）</w:t>
      </w:r>
    </w:p>
    <w:p w14:paraId="152E322A">
      <w:pPr>
        <w:tabs>
          <w:tab w:val="right" w:pos="8931"/>
        </w:tabs>
        <w:ind w:firstLine="560" w:firstLineChars="200"/>
      </w:pPr>
      <w:r>
        <w:t>法定代表人：</w:t>
      </w:r>
      <w:r>
        <w:rPr>
          <w:rFonts w:hint="eastAsia"/>
        </w:rPr>
        <w:t>（</w:t>
      </w:r>
      <w:r>
        <w:t>签字</w:t>
      </w:r>
      <w:r>
        <w:rPr>
          <w:rFonts w:hint="eastAsia"/>
        </w:rPr>
        <w:t>）</w:t>
      </w:r>
    </w:p>
    <w:p w14:paraId="50995E0B">
      <w:pPr>
        <w:spacing w:line="440" w:lineRule="exact"/>
        <w:ind w:firstLine="6134" w:firstLineChars="2191"/>
      </w:pPr>
      <w:r>
        <w:rPr>
          <w:rFonts w:hint="eastAsia"/>
        </w:rPr>
        <w:t xml:space="preserve">　年   　月 </w:t>
      </w:r>
      <w:r>
        <w:rPr>
          <w:rFonts w:hint="eastAsia"/>
          <w:color w:val="FF0000"/>
        </w:rPr>
        <w:t xml:space="preserve">  　</w:t>
      </w:r>
      <w:r>
        <w:rPr>
          <w:rFonts w:hint="eastAsia"/>
        </w:rPr>
        <w:t>日</w:t>
      </w:r>
    </w:p>
    <w:p w14:paraId="768A5774">
      <w:pPr>
        <w:rPr>
          <w:rFonts w:ascii="宋体" w:hAnsi="宋体" w:eastAsia="宋体" w:cs="宋体"/>
          <w:b/>
          <w:sz w:val="21"/>
          <w:szCs w:val="21"/>
        </w:rPr>
      </w:pPr>
      <w:r>
        <w:rPr>
          <w:rFonts w:hint="eastAsia" w:ascii="宋体" w:hAnsi="宋体" w:eastAsia="宋体"/>
          <w:b/>
          <w:sz w:val="21"/>
          <w:szCs w:val="21"/>
        </w:rPr>
        <w:t>备注：</w:t>
      </w:r>
      <w:r>
        <w:rPr>
          <w:rFonts w:hint="eastAsia" w:ascii="宋体" w:hAnsi="宋体" w:eastAsia="宋体" w:cs="宋体"/>
          <w:b/>
          <w:sz w:val="21"/>
          <w:szCs w:val="21"/>
        </w:rPr>
        <w:t>1、法定代表人亲自参加投标的，无需提供该委托授权书，但须提供法定代表人本人身份证（正反面）扫描件。</w:t>
      </w:r>
    </w:p>
    <w:p w14:paraId="39FE485F">
      <w:pPr>
        <w:spacing w:line="240" w:lineRule="auto"/>
        <w:jc w:val="left"/>
        <w:rPr>
          <w:rStyle w:val="59"/>
          <w:rFonts w:ascii="宋体" w:hAnsi="宋体" w:eastAsia="宋体" w:cs="宋体"/>
          <w:bCs w:val="0"/>
          <w:sz w:val="21"/>
          <w:szCs w:val="21"/>
        </w:rPr>
      </w:pPr>
      <w:r>
        <w:rPr>
          <w:rFonts w:hint="eastAsia" w:ascii="宋体" w:hAnsi="宋体" w:eastAsia="宋体" w:cs="宋体"/>
          <w:b/>
          <w:sz w:val="21"/>
          <w:szCs w:val="21"/>
        </w:rPr>
        <w:t>2、授权代表需在投标人的社保缴费名单中。</w:t>
      </w:r>
      <w:r>
        <w:rPr>
          <w:rFonts w:ascii="宋体" w:hAnsi="宋体" w:eastAsia="宋体" w:cs="宋体"/>
          <w:b/>
          <w:sz w:val="21"/>
          <w:szCs w:val="21"/>
        </w:rPr>
        <w:br w:type="page"/>
      </w:r>
      <w:bookmarkStart w:id="87" w:name="_Toc19722"/>
      <w:bookmarkStart w:id="88" w:name="_Toc56066573"/>
    </w:p>
    <w:p w14:paraId="67ACB41C">
      <w:pPr>
        <w:jc w:val="left"/>
        <w:rPr>
          <w:b/>
          <w:bCs/>
          <w:sz w:val="30"/>
          <w:szCs w:val="30"/>
        </w:rPr>
      </w:pPr>
      <w:r>
        <w:rPr>
          <w:rStyle w:val="59"/>
          <w:rFonts w:hint="eastAsia" w:ascii="仿宋" w:hAnsi="仿宋" w:eastAsia="仿宋" w:cs="仿宋"/>
          <w:sz w:val="30"/>
          <w:szCs w:val="30"/>
        </w:rPr>
        <w:t>附件二：</w:t>
      </w:r>
      <w:bookmarkEnd w:id="87"/>
      <w:bookmarkEnd w:id="88"/>
    </w:p>
    <w:p w14:paraId="5B3E8E6D">
      <w:pPr>
        <w:pStyle w:val="77"/>
        <w:jc w:val="center"/>
        <w:rPr>
          <w:rFonts w:ascii="华文仿宋" w:hAnsi="华文仿宋" w:cs="华文仿宋"/>
        </w:rPr>
      </w:pPr>
      <w:r>
        <w:rPr>
          <w:rFonts w:hint="eastAsia" w:ascii="华文仿宋" w:hAnsi="华文仿宋" w:cs="华文仿宋"/>
        </w:rPr>
        <w:t>投标人</w:t>
      </w:r>
      <w:r>
        <w:rPr>
          <w:rFonts w:hint="eastAsia" w:ascii="华文仿宋" w:hAnsi="华文仿宋" w:cs="华文仿宋"/>
          <w:lang w:val="en-US" w:eastAsia="zh-CN"/>
        </w:rPr>
        <w:t>信用记录</w:t>
      </w:r>
      <w:r>
        <w:rPr>
          <w:rFonts w:hint="eastAsia" w:ascii="华文仿宋" w:hAnsi="华文仿宋" w:cs="华文仿宋"/>
        </w:rPr>
        <w:t>书面声明函</w:t>
      </w:r>
    </w:p>
    <w:p w14:paraId="5CDBD008">
      <w:pPr>
        <w:spacing w:line="500" w:lineRule="exact"/>
        <w:ind w:right="11"/>
        <w:rPr>
          <w:rFonts w:hint="eastAsia"/>
        </w:rPr>
      </w:pPr>
      <w:r>
        <w:rPr>
          <w:rFonts w:hint="eastAsia"/>
          <w:lang w:eastAsia="zh-CN"/>
        </w:rPr>
        <w:t>府谷县公安局</w:t>
      </w:r>
      <w:r>
        <w:rPr>
          <w:rFonts w:hint="eastAsia"/>
        </w:rPr>
        <w:t>：</w:t>
      </w:r>
    </w:p>
    <w:p w14:paraId="53C0020E">
      <w:pPr>
        <w:spacing w:line="500" w:lineRule="exact"/>
        <w:ind w:right="11" w:firstLine="560" w:firstLineChars="200"/>
      </w:pPr>
      <w:r>
        <w:rPr>
          <w:rFonts w:hint="eastAsia" w:ascii="华文仿宋" w:hAnsi="华文仿宋" w:cs="华文仿宋"/>
        </w:rPr>
        <w:t>我方作为</w:t>
      </w:r>
      <w:r>
        <w:rPr>
          <w:rFonts w:hint="eastAsia" w:ascii="华文仿宋" w:hAnsi="华文仿宋" w:cs="华文仿宋"/>
          <w:u w:val="single"/>
        </w:rPr>
        <w:t>《</w:t>
      </w:r>
      <w:r>
        <w:rPr>
          <w:rFonts w:hint="eastAsia" w:ascii="华文仿宋" w:hAnsi="华文仿宋" w:cs="华文仿宋"/>
          <w:b/>
          <w:u w:val="single"/>
        </w:rPr>
        <w:t>项目名称</w:t>
      </w:r>
      <w:r>
        <w:rPr>
          <w:rFonts w:hint="eastAsia" w:ascii="华文仿宋" w:hAnsi="华文仿宋" w:cs="华文仿宋"/>
          <w:u w:val="single"/>
        </w:rPr>
        <w:t>》</w:t>
      </w:r>
      <w:r>
        <w:rPr>
          <w:rFonts w:hint="eastAsia" w:ascii="华文仿宋" w:hAnsi="华文仿宋" w:cs="华文仿宋"/>
          <w:u w:val="single"/>
          <w:lang w:val="en-US" w:eastAsia="zh-CN"/>
        </w:rPr>
        <w:t xml:space="preserve">     </w:t>
      </w:r>
      <w:r>
        <w:rPr>
          <w:rFonts w:hint="eastAsia" w:ascii="华文仿宋" w:hAnsi="华文仿宋" w:cs="华文仿宋"/>
        </w:rPr>
        <w:t>（</w:t>
      </w:r>
      <w:r>
        <w:rPr>
          <w:rFonts w:hint="eastAsia" w:ascii="华文仿宋" w:hAnsi="华文仿宋" w:cs="华文仿宋"/>
          <w:b/>
        </w:rPr>
        <w:t>项目编号：</w:t>
      </w:r>
      <w:r>
        <w:rPr>
          <w:rFonts w:hint="eastAsia" w:ascii="华文仿宋" w:hAnsi="华文仿宋" w:cs="华文仿宋"/>
          <w:b/>
          <w:u w:val="single"/>
        </w:rPr>
        <w:t xml:space="preserve">  </w:t>
      </w:r>
      <w:r>
        <w:rPr>
          <w:rFonts w:hint="eastAsia" w:ascii="华文仿宋" w:hAnsi="华文仿宋" w:cs="华文仿宋"/>
          <w:b/>
          <w:u w:val="single"/>
          <w:lang w:val="en-US" w:eastAsia="zh-CN"/>
        </w:rPr>
        <w:t xml:space="preserve">  </w:t>
      </w:r>
      <w:r>
        <w:rPr>
          <w:rFonts w:hint="eastAsia" w:ascii="华文仿宋" w:hAnsi="华文仿宋" w:cs="华文仿宋"/>
          <w:b/>
          <w:u w:val="single"/>
        </w:rPr>
        <w:t xml:space="preserve">  </w:t>
      </w:r>
      <w:r>
        <w:rPr>
          <w:rFonts w:hint="eastAsia" w:ascii="华文仿宋" w:hAnsi="华文仿宋" w:cs="华文仿宋"/>
        </w:rPr>
        <w:t>）</w:t>
      </w:r>
      <w:r>
        <w:rPr>
          <w:rFonts w:hint="eastAsia"/>
        </w:rPr>
        <w:t>的投标人，在此郑重声明：</w:t>
      </w:r>
    </w:p>
    <w:p w14:paraId="7A368B3D">
      <w:pPr>
        <w:spacing w:line="500" w:lineRule="exact"/>
        <w:ind w:firstLine="560" w:firstLineChars="200"/>
      </w:pPr>
      <w:r>
        <w:t>1、在参加本次政府采购活动前3年内的经营活动中</w:t>
      </w:r>
      <w:r>
        <w:rPr>
          <w:rFonts w:hint="eastAsia"/>
        </w:rPr>
        <w:t>____（填“没有”或“有”）</w:t>
      </w:r>
      <w:r>
        <w:t>重大违法记录。</w:t>
      </w:r>
    </w:p>
    <w:p w14:paraId="7D403415">
      <w:pPr>
        <w:spacing w:line="500" w:lineRule="exact"/>
        <w:ind w:firstLine="560" w:firstLineChars="200"/>
      </w:pPr>
      <w:r>
        <w:t>2、</w:t>
      </w:r>
      <w:r>
        <w:rPr>
          <w:rFonts w:hint="eastAsia"/>
        </w:rPr>
        <w:t>我方______（填“未被列入”或“被列入”）失信被执行人名单。</w:t>
      </w:r>
    </w:p>
    <w:p w14:paraId="1225434F">
      <w:pPr>
        <w:spacing w:line="500" w:lineRule="exact"/>
        <w:ind w:firstLine="560" w:firstLineChars="200"/>
      </w:pPr>
      <w:r>
        <w:rPr>
          <w:rFonts w:hint="eastAsia"/>
        </w:rPr>
        <w:t>3、我方______（填“未被列入”或“被列入”）重大税收违法案件当事人名单。</w:t>
      </w:r>
    </w:p>
    <w:p w14:paraId="50A650FE">
      <w:pPr>
        <w:spacing w:line="500" w:lineRule="exact"/>
        <w:ind w:firstLine="560" w:firstLineChars="200"/>
        <w:rPr>
          <w:rFonts w:hint="eastAsia"/>
        </w:rPr>
      </w:pPr>
      <w:r>
        <w:t>4</w:t>
      </w:r>
      <w:r>
        <w:rPr>
          <w:rFonts w:hint="eastAsia"/>
        </w:rPr>
        <w:t>、我方______（填“未被列入”或“被列入”）政府采购严重违法失信行为记录名单。</w:t>
      </w:r>
    </w:p>
    <w:p w14:paraId="2744933D">
      <w:pPr>
        <w:spacing w:line="500" w:lineRule="exact"/>
        <w:ind w:firstLine="560" w:firstLineChars="200"/>
        <w:rPr>
          <w:rFonts w:hint="eastAsia"/>
        </w:rPr>
      </w:pPr>
      <w:r>
        <w:rPr>
          <w:rFonts w:hint="eastAsia"/>
          <w:lang w:val="en-US" w:eastAsia="zh-CN"/>
        </w:rPr>
        <w:t xml:space="preserve"> </w:t>
      </w:r>
      <w:r>
        <w:rPr>
          <w:rFonts w:hint="eastAsia" w:ascii="Calibri Light" w:hAnsi="Calibri Light" w:eastAsia="华文仿宋" w:cs="Times New Roman"/>
          <w:color w:val="auto"/>
          <w:kern w:val="2"/>
          <w:sz w:val="28"/>
          <w:szCs w:val="28"/>
          <w:lang w:val="en-US" w:eastAsia="zh-CN" w:bidi="ar-SA"/>
        </w:rPr>
        <w:t>5、</w:t>
      </w:r>
      <w:r>
        <w:rPr>
          <w:rFonts w:hint="eastAsia" w:ascii="Calibri Light" w:hAnsi="Calibri Light" w:cs="Times New Roman"/>
          <w:color w:val="auto"/>
          <w:kern w:val="2"/>
          <w:sz w:val="28"/>
          <w:szCs w:val="28"/>
          <w:lang w:val="en-US" w:eastAsia="zh-CN" w:bidi="ar-SA"/>
        </w:rPr>
        <w:t>我方及我方法定代表人</w:t>
      </w:r>
      <w:r>
        <w:rPr>
          <w:rFonts w:hint="eastAsia" w:ascii="Calibri Light" w:hAnsi="Calibri Light" w:eastAsia="华文仿宋" w:cs="Times New Roman"/>
          <w:color w:val="auto"/>
          <w:kern w:val="2"/>
          <w:sz w:val="28"/>
          <w:szCs w:val="28"/>
          <w:lang w:val="en-US" w:eastAsia="zh-CN" w:bidi="ar-SA"/>
        </w:rPr>
        <w:t>在中国裁判文书网（</w:t>
      </w:r>
      <w:r>
        <w:rPr>
          <w:rFonts w:hint="eastAsia" w:ascii="Calibri Light" w:hAnsi="Calibri Light" w:eastAsia="华文仿宋" w:cs="Times New Roman"/>
          <w:color w:val="auto"/>
          <w:kern w:val="2"/>
          <w:sz w:val="28"/>
          <w:szCs w:val="28"/>
          <w:lang w:val="en-US" w:eastAsia="zh-CN" w:bidi="ar-SA"/>
        </w:rPr>
        <w:fldChar w:fldCharType="begin"/>
      </w:r>
      <w:r>
        <w:rPr>
          <w:rFonts w:hint="eastAsia" w:ascii="Calibri Light" w:hAnsi="Calibri Light" w:eastAsia="华文仿宋" w:cs="Times New Roman"/>
          <w:color w:val="auto"/>
          <w:kern w:val="2"/>
          <w:sz w:val="28"/>
          <w:szCs w:val="28"/>
          <w:lang w:val="en-US" w:eastAsia="zh-CN" w:bidi="ar-SA"/>
        </w:rPr>
        <w:instrText xml:space="preserve"> HYPERLINK "http://wenshu.court.gov.cn/" </w:instrText>
      </w:r>
      <w:r>
        <w:rPr>
          <w:rFonts w:hint="eastAsia" w:ascii="Calibri Light" w:hAnsi="Calibri Light" w:eastAsia="华文仿宋" w:cs="Times New Roman"/>
          <w:color w:val="auto"/>
          <w:kern w:val="2"/>
          <w:sz w:val="28"/>
          <w:szCs w:val="28"/>
          <w:lang w:val="en-US" w:eastAsia="zh-CN" w:bidi="ar-SA"/>
        </w:rPr>
        <w:fldChar w:fldCharType="separate"/>
      </w:r>
      <w:r>
        <w:rPr>
          <w:rFonts w:hint="eastAsia" w:ascii="Calibri Light" w:hAnsi="Calibri Light" w:eastAsia="华文仿宋" w:cs="Times New Roman"/>
          <w:color w:val="auto"/>
          <w:kern w:val="2"/>
          <w:sz w:val="28"/>
          <w:szCs w:val="28"/>
          <w:lang w:val="en-US" w:eastAsia="zh-CN" w:bidi="ar-SA"/>
        </w:rPr>
        <w:t>http://wenshu.court.gov.cn/</w:t>
      </w:r>
      <w:r>
        <w:rPr>
          <w:rFonts w:hint="eastAsia" w:ascii="Calibri Light" w:hAnsi="Calibri Light" w:eastAsia="华文仿宋" w:cs="Times New Roman"/>
          <w:color w:val="auto"/>
          <w:kern w:val="2"/>
          <w:sz w:val="28"/>
          <w:szCs w:val="28"/>
          <w:lang w:val="en-US" w:eastAsia="zh-CN" w:bidi="ar-SA"/>
        </w:rPr>
        <w:fldChar w:fldCharType="end"/>
      </w:r>
      <w:r>
        <w:rPr>
          <w:rFonts w:hint="eastAsia" w:ascii="Calibri Light" w:hAnsi="Calibri Light" w:eastAsia="华文仿宋" w:cs="Times New Roman"/>
          <w:color w:val="auto"/>
          <w:kern w:val="2"/>
          <w:sz w:val="28"/>
          <w:szCs w:val="28"/>
          <w:lang w:val="en-US" w:eastAsia="zh-CN" w:bidi="ar-SA"/>
        </w:rPr>
        <w:t>）近三年内</w:t>
      </w:r>
      <w:r>
        <w:rPr>
          <w:rFonts w:hint="eastAsia" w:ascii="Calibri Light" w:hAnsi="Calibri Light" w:cs="Times New Roman"/>
          <w:color w:val="auto"/>
          <w:kern w:val="2"/>
          <w:sz w:val="28"/>
          <w:szCs w:val="28"/>
          <w:u w:val="single"/>
          <w:lang w:val="en-US" w:eastAsia="zh-CN" w:bidi="ar-SA"/>
        </w:rPr>
        <w:t xml:space="preserve">      </w:t>
      </w:r>
      <w:r>
        <w:rPr>
          <w:rFonts w:hint="eastAsia" w:ascii="Calibri Light" w:hAnsi="Calibri Light" w:eastAsia="华文仿宋" w:cs="Times New Roman"/>
          <w:color w:val="auto"/>
          <w:kern w:val="2"/>
          <w:sz w:val="28"/>
          <w:szCs w:val="28"/>
          <w:lang w:val="en-US" w:eastAsia="zh-CN" w:bidi="ar-SA"/>
        </w:rPr>
        <w:t>（填“</w:t>
      </w:r>
      <w:r>
        <w:rPr>
          <w:rFonts w:hint="eastAsia" w:ascii="Calibri Light" w:hAnsi="Calibri Light" w:cs="Times New Roman"/>
          <w:color w:val="auto"/>
          <w:kern w:val="2"/>
          <w:sz w:val="28"/>
          <w:szCs w:val="28"/>
          <w:lang w:val="en-US" w:eastAsia="zh-CN" w:bidi="ar-SA"/>
        </w:rPr>
        <w:t>没有</w:t>
      </w:r>
      <w:r>
        <w:rPr>
          <w:rFonts w:hint="eastAsia" w:ascii="Calibri Light" w:hAnsi="Calibri Light" w:eastAsia="华文仿宋" w:cs="Times New Roman"/>
          <w:color w:val="auto"/>
          <w:kern w:val="2"/>
          <w:sz w:val="28"/>
          <w:szCs w:val="28"/>
          <w:lang w:val="en-US" w:eastAsia="zh-CN" w:bidi="ar-SA"/>
        </w:rPr>
        <w:t>”或“</w:t>
      </w:r>
      <w:r>
        <w:rPr>
          <w:rFonts w:hint="eastAsia" w:ascii="Calibri Light" w:hAnsi="Calibri Light" w:cs="Times New Roman"/>
          <w:color w:val="auto"/>
          <w:kern w:val="2"/>
          <w:sz w:val="28"/>
          <w:szCs w:val="28"/>
          <w:lang w:val="en-US" w:eastAsia="zh-CN" w:bidi="ar-SA"/>
        </w:rPr>
        <w:t>有</w:t>
      </w:r>
      <w:r>
        <w:rPr>
          <w:rFonts w:hint="eastAsia" w:ascii="Calibri Light" w:hAnsi="Calibri Light" w:eastAsia="华文仿宋" w:cs="Times New Roman"/>
          <w:color w:val="auto"/>
          <w:kern w:val="2"/>
          <w:sz w:val="28"/>
          <w:szCs w:val="28"/>
          <w:lang w:val="en-US" w:eastAsia="zh-CN" w:bidi="ar-SA"/>
        </w:rPr>
        <w:t>”）行贿犯罪行为</w:t>
      </w:r>
      <w:r>
        <w:rPr>
          <w:rFonts w:hint="eastAsia" w:ascii="Calibri Light" w:hAnsi="Calibri Light" w:cs="Times New Roman"/>
          <w:color w:val="auto"/>
          <w:kern w:val="2"/>
          <w:sz w:val="28"/>
          <w:szCs w:val="28"/>
          <w:lang w:val="en-US" w:eastAsia="zh-CN" w:bidi="ar-SA"/>
        </w:rPr>
        <w:t>。</w:t>
      </w:r>
    </w:p>
    <w:p w14:paraId="4D838F91">
      <w:pPr>
        <w:spacing w:line="500" w:lineRule="exact"/>
        <w:ind w:firstLine="560" w:firstLineChars="200"/>
      </w:pPr>
      <w:r>
        <w:t>如有不实，我方将无条件地退出本项目的采购活动，并遵照《政府采购法》有关</w:t>
      </w:r>
      <w:r>
        <w:rPr>
          <w:rFonts w:hint="eastAsia"/>
        </w:rPr>
        <w:t>“提供虚假材料的规定”</w:t>
      </w:r>
      <w:r>
        <w:t>接受处罚。</w:t>
      </w:r>
    </w:p>
    <w:p w14:paraId="438540AC">
      <w:pPr>
        <w:spacing w:line="500" w:lineRule="exact"/>
        <w:ind w:firstLine="560" w:firstLineChars="200"/>
        <w:rPr>
          <w:rFonts w:ascii="宋体" w:hAnsi="宋体" w:cs="宋体"/>
        </w:rPr>
      </w:pPr>
      <w:r>
        <w:t>特此声明。</w:t>
      </w:r>
    </w:p>
    <w:p w14:paraId="66F95E31">
      <w:pPr>
        <w:spacing w:line="336" w:lineRule="auto"/>
        <w:rPr>
          <w:rFonts w:ascii="宋体" w:hAnsi="宋体" w:cs="宋体"/>
        </w:rPr>
      </w:pPr>
      <w:r>
        <w:rPr>
          <w:rFonts w:hint="eastAsia" w:ascii="宋体" w:hAnsi="宋体" w:cs="宋体"/>
        </w:rPr>
        <w:t>投标人全称：</w:t>
      </w:r>
      <w:r>
        <w:rPr>
          <w:rFonts w:hint="eastAsia"/>
          <w:u w:val="single"/>
          <w:lang w:val="en-US" w:eastAsia="zh-CN"/>
        </w:rPr>
        <w:t xml:space="preserve">  名称   </w:t>
      </w:r>
      <w:r>
        <w:t>（</w:t>
      </w:r>
      <w:r>
        <w:rPr>
          <w:rFonts w:hint="eastAsia"/>
          <w:lang w:val="en-US" w:eastAsia="zh-CN"/>
        </w:rPr>
        <w:t>加盖</w:t>
      </w:r>
      <w:r>
        <w:t>公章）</w:t>
      </w:r>
    </w:p>
    <w:p w14:paraId="768FCA94">
      <w:pPr>
        <w:spacing w:line="336" w:lineRule="auto"/>
        <w:rPr>
          <w:rFonts w:ascii="宋体" w:hAnsi="宋体" w:cs="宋体"/>
        </w:rPr>
      </w:pPr>
      <w:r>
        <w:rPr>
          <w:rFonts w:hint="eastAsia" w:ascii="宋体" w:hAnsi="宋体" w:cs="宋体"/>
        </w:rPr>
        <w:t>法定代表人或授权代表（签字）：</w:t>
      </w:r>
    </w:p>
    <w:p w14:paraId="5C5443E1">
      <w:pPr>
        <w:spacing w:line="500" w:lineRule="exact"/>
        <w:ind w:right="705" w:firstLine="560" w:firstLineChars="200"/>
        <w:jc w:val="right"/>
      </w:pPr>
      <w:r>
        <w:rPr>
          <w:rFonts w:hint="eastAsia"/>
        </w:rPr>
        <w:t>年   月   日</w:t>
      </w:r>
    </w:p>
    <w:p w14:paraId="6F2F6159">
      <w:pPr>
        <w:spacing w:line="500" w:lineRule="exact"/>
        <w:rPr>
          <w:rFonts w:ascii="宋体" w:hAnsi="宋体" w:eastAsia="宋体" w:cs="华文仿宋"/>
          <w:b/>
          <w:sz w:val="21"/>
          <w:szCs w:val="21"/>
        </w:rPr>
      </w:pPr>
      <w:r>
        <w:rPr>
          <w:rFonts w:hint="eastAsia" w:ascii="宋体" w:hAnsi="宋体" w:eastAsia="宋体" w:cs="华文仿宋"/>
          <w:b/>
          <w:sz w:val="21"/>
          <w:szCs w:val="21"/>
        </w:rPr>
        <w:t>备注：</w:t>
      </w:r>
    </w:p>
    <w:p w14:paraId="475F0DE5">
      <w:pPr>
        <w:pStyle w:val="22"/>
        <w:shd w:val="clear" w:color="auto" w:fill="FFFFFF"/>
        <w:spacing w:beforeAutospacing="0" w:afterAutospacing="0"/>
        <w:ind w:firstLine="480"/>
        <w:rPr>
          <w:rFonts w:ascii="宋体" w:hAnsi="宋体" w:eastAsia="宋体" w:cs="华文仿宋"/>
          <w:b/>
          <w:sz w:val="18"/>
          <w:szCs w:val="18"/>
        </w:rPr>
      </w:pPr>
      <w:r>
        <w:rPr>
          <w:rFonts w:hint="eastAsia" w:ascii="宋体" w:hAnsi="宋体" w:eastAsia="宋体" w:cs="华文仿宋"/>
          <w:b/>
          <w:sz w:val="18"/>
          <w:szCs w:val="18"/>
        </w:rPr>
        <w:t>1、附【“信用中国”网站</w:t>
      </w:r>
      <w:r>
        <w:rPr>
          <w:rFonts w:ascii="宋体" w:hAnsi="宋体" w:eastAsia="宋体" w:cs="华文仿宋"/>
          <w:b/>
          <w:sz w:val="18"/>
          <w:szCs w:val="18"/>
        </w:rPr>
        <w:t>(</w:t>
      </w:r>
      <w:r>
        <w:fldChar w:fldCharType="begin"/>
      </w:r>
      <w:r>
        <w:instrText xml:space="preserve"> HYPERLINK "http://www.creditchina.gov.cn" </w:instrText>
      </w:r>
      <w:r>
        <w:fldChar w:fldCharType="separate"/>
      </w:r>
      <w:r>
        <w:rPr>
          <w:rStyle w:val="36"/>
          <w:rFonts w:ascii="宋体" w:hAnsi="宋体" w:eastAsia="宋体" w:cs="华文仿宋"/>
          <w:b/>
          <w:color w:val="auto"/>
        </w:rPr>
        <w:t>www.creditchina.gov.cn</w:t>
      </w:r>
      <w:r>
        <w:rPr>
          <w:rStyle w:val="36"/>
          <w:rFonts w:ascii="宋体" w:hAnsi="宋体" w:eastAsia="宋体" w:cs="华文仿宋"/>
          <w:b/>
          <w:color w:val="auto"/>
        </w:rPr>
        <w:fldChar w:fldCharType="end"/>
      </w:r>
      <w:r>
        <w:rPr>
          <w:rFonts w:ascii="宋体" w:hAnsi="宋体" w:eastAsia="宋体" w:cs="华文仿宋"/>
          <w:b/>
          <w:sz w:val="18"/>
          <w:szCs w:val="18"/>
        </w:rPr>
        <w:t>)】</w:t>
      </w:r>
      <w:r>
        <w:rPr>
          <w:rFonts w:hint="eastAsia" w:ascii="宋体" w:hAnsi="宋体" w:eastAsia="宋体" w:cs="华文仿宋"/>
          <w:b/>
          <w:sz w:val="18"/>
          <w:szCs w:val="18"/>
        </w:rPr>
        <w:t>、【“中国政府采购网”</w:t>
      </w:r>
      <w:r>
        <w:rPr>
          <w:rFonts w:ascii="宋体" w:hAnsi="宋体" w:eastAsia="宋体" w:cs="华文仿宋"/>
          <w:b/>
          <w:sz w:val="18"/>
          <w:szCs w:val="18"/>
        </w:rPr>
        <w:t>(</w:t>
      </w:r>
      <w:r>
        <w:fldChar w:fldCharType="begin"/>
      </w:r>
      <w:r>
        <w:instrText xml:space="preserve"> HYPERLINK "http://www.ccgp.gov.cn" </w:instrText>
      </w:r>
      <w:r>
        <w:fldChar w:fldCharType="separate"/>
      </w:r>
      <w:r>
        <w:rPr>
          <w:rStyle w:val="36"/>
          <w:rFonts w:ascii="宋体" w:hAnsi="宋体" w:eastAsia="宋体" w:cs="华文仿宋"/>
          <w:b/>
          <w:color w:val="auto"/>
        </w:rPr>
        <w:t>www.ccgp.gov.cn</w:t>
      </w:r>
      <w:r>
        <w:rPr>
          <w:rStyle w:val="36"/>
          <w:rFonts w:ascii="宋体" w:hAnsi="宋体" w:eastAsia="宋体" w:cs="华文仿宋"/>
          <w:b/>
          <w:color w:val="auto"/>
        </w:rPr>
        <w:fldChar w:fldCharType="end"/>
      </w:r>
      <w:r>
        <w:rPr>
          <w:rFonts w:ascii="宋体" w:hAnsi="宋体" w:eastAsia="宋体" w:cs="华文仿宋"/>
          <w:b/>
          <w:sz w:val="18"/>
          <w:szCs w:val="18"/>
        </w:rPr>
        <w:t>)】</w:t>
      </w:r>
      <w:r>
        <w:rPr>
          <w:rFonts w:hint="eastAsia" w:ascii="宋体" w:hAnsi="宋体" w:eastAsia="宋体" w:cs="华文仿宋"/>
          <w:b/>
          <w:sz w:val="18"/>
          <w:szCs w:val="18"/>
          <w:lang w:eastAsia="zh-CN"/>
        </w:rPr>
        <w:t>、</w:t>
      </w:r>
      <w:r>
        <w:rPr>
          <w:rFonts w:hint="eastAsia" w:ascii="宋体" w:hAnsi="宋体" w:eastAsia="宋体" w:cs="华文仿宋"/>
          <w:b/>
          <w:sz w:val="18"/>
          <w:szCs w:val="18"/>
        </w:rPr>
        <w:t>【中国裁判文书网（</w:t>
      </w:r>
      <w:r>
        <w:rPr>
          <w:rFonts w:hint="eastAsia" w:ascii="宋体" w:hAnsi="宋体" w:eastAsia="宋体" w:cs="华文仿宋"/>
          <w:b/>
          <w:sz w:val="18"/>
          <w:szCs w:val="18"/>
        </w:rPr>
        <w:fldChar w:fldCharType="begin"/>
      </w:r>
      <w:r>
        <w:rPr>
          <w:rFonts w:hint="eastAsia" w:ascii="宋体" w:hAnsi="宋体" w:eastAsia="宋体" w:cs="华文仿宋"/>
          <w:b/>
          <w:sz w:val="18"/>
          <w:szCs w:val="18"/>
        </w:rPr>
        <w:instrText xml:space="preserve"> HYPERLINK "http://wenshu.court.gov.cn/" </w:instrText>
      </w:r>
      <w:r>
        <w:rPr>
          <w:rFonts w:hint="eastAsia" w:ascii="宋体" w:hAnsi="宋体" w:eastAsia="宋体" w:cs="华文仿宋"/>
          <w:b/>
          <w:sz w:val="18"/>
          <w:szCs w:val="18"/>
        </w:rPr>
        <w:fldChar w:fldCharType="separate"/>
      </w:r>
      <w:r>
        <w:rPr>
          <w:rFonts w:hint="eastAsia" w:ascii="宋体" w:hAnsi="宋体" w:eastAsia="宋体" w:cs="华文仿宋"/>
          <w:b/>
          <w:sz w:val="18"/>
          <w:szCs w:val="18"/>
        </w:rPr>
        <w:t>http://wenshu.court.gov.cn/</w:t>
      </w:r>
      <w:r>
        <w:rPr>
          <w:rFonts w:hint="eastAsia" w:ascii="宋体" w:hAnsi="宋体" w:eastAsia="宋体" w:cs="华文仿宋"/>
          <w:b/>
          <w:sz w:val="18"/>
          <w:szCs w:val="18"/>
        </w:rPr>
        <w:fldChar w:fldCharType="end"/>
      </w:r>
      <w:r>
        <w:rPr>
          <w:rFonts w:hint="eastAsia" w:ascii="宋体" w:hAnsi="宋体" w:eastAsia="宋体" w:cs="华文仿宋"/>
          <w:b/>
          <w:sz w:val="18"/>
          <w:szCs w:val="18"/>
        </w:rPr>
        <w:t>）】查询的以上承诺相关信用记录的企业信用报告</w:t>
      </w:r>
      <w:r>
        <w:rPr>
          <w:rFonts w:hint="eastAsia" w:ascii="宋体" w:hAnsi="宋体" w:eastAsia="宋体" w:cs="华文仿宋"/>
          <w:b/>
          <w:sz w:val="18"/>
          <w:szCs w:val="18"/>
          <w:lang w:val="en-US" w:eastAsia="zh-CN"/>
        </w:rPr>
        <w:t>或</w:t>
      </w:r>
      <w:r>
        <w:rPr>
          <w:rFonts w:hint="eastAsia" w:ascii="宋体" w:hAnsi="宋体" w:eastAsia="宋体" w:cs="华文仿宋"/>
          <w:b/>
          <w:sz w:val="18"/>
          <w:szCs w:val="18"/>
        </w:rPr>
        <w:t>完整截图；查询时段为本项目招标公告发布之日</w:t>
      </w:r>
      <w:r>
        <w:rPr>
          <w:rFonts w:hint="eastAsia" w:ascii="宋体" w:hAnsi="宋体" w:eastAsia="宋体" w:cs="华文仿宋"/>
          <w:b/>
          <w:sz w:val="18"/>
          <w:szCs w:val="18"/>
          <w:lang w:eastAsia="zh-CN"/>
        </w:rPr>
        <w:t>（</w:t>
      </w:r>
      <w:r>
        <w:rPr>
          <w:rFonts w:hint="eastAsia" w:ascii="宋体" w:hAnsi="宋体" w:eastAsia="宋体" w:cs="华文仿宋"/>
          <w:b/>
          <w:sz w:val="18"/>
          <w:szCs w:val="18"/>
          <w:lang w:val="en-US" w:eastAsia="zh-CN"/>
        </w:rPr>
        <w:t>含当日</w:t>
      </w:r>
      <w:r>
        <w:rPr>
          <w:rFonts w:hint="eastAsia" w:ascii="宋体" w:hAnsi="宋体" w:eastAsia="宋体" w:cs="华文仿宋"/>
          <w:b/>
          <w:sz w:val="18"/>
          <w:szCs w:val="18"/>
          <w:lang w:eastAsia="zh-CN"/>
        </w:rPr>
        <w:t>）</w:t>
      </w:r>
      <w:r>
        <w:rPr>
          <w:rFonts w:hint="eastAsia" w:ascii="宋体" w:hAnsi="宋体" w:eastAsia="宋体" w:cs="华文仿宋"/>
          <w:b/>
          <w:sz w:val="18"/>
          <w:szCs w:val="18"/>
        </w:rPr>
        <w:t>起至提交投标文件截止之日</w:t>
      </w:r>
      <w:r>
        <w:rPr>
          <w:rFonts w:hint="eastAsia" w:ascii="宋体" w:hAnsi="宋体" w:eastAsia="宋体" w:cs="华文仿宋"/>
          <w:b/>
          <w:sz w:val="18"/>
          <w:szCs w:val="18"/>
          <w:lang w:eastAsia="zh-CN"/>
        </w:rPr>
        <w:t>（</w:t>
      </w:r>
      <w:r>
        <w:rPr>
          <w:rFonts w:hint="eastAsia" w:ascii="宋体" w:hAnsi="宋体" w:eastAsia="宋体" w:cs="华文仿宋"/>
          <w:b/>
          <w:sz w:val="18"/>
          <w:szCs w:val="18"/>
          <w:lang w:val="en-US" w:eastAsia="zh-CN"/>
        </w:rPr>
        <w:t>含当日</w:t>
      </w:r>
      <w:r>
        <w:rPr>
          <w:rFonts w:hint="eastAsia" w:ascii="宋体" w:hAnsi="宋体" w:eastAsia="宋体" w:cs="华文仿宋"/>
          <w:b/>
          <w:sz w:val="18"/>
          <w:szCs w:val="18"/>
          <w:lang w:eastAsia="zh-CN"/>
        </w:rPr>
        <w:t>）</w:t>
      </w:r>
      <w:r>
        <w:rPr>
          <w:rFonts w:hint="eastAsia" w:ascii="宋体" w:hAnsi="宋体" w:eastAsia="宋体" w:cs="华文仿宋"/>
          <w:b/>
          <w:sz w:val="18"/>
          <w:szCs w:val="18"/>
          <w:lang w:val="en-US" w:eastAsia="zh-CN"/>
        </w:rPr>
        <w:t>止。</w:t>
      </w:r>
    </w:p>
    <w:p w14:paraId="629D69C4">
      <w:pPr>
        <w:spacing w:line="240" w:lineRule="auto"/>
        <w:jc w:val="left"/>
        <w:rPr>
          <w:rFonts w:ascii="宋体" w:hAnsi="宋体" w:eastAsia="宋体" w:cs="华文仿宋"/>
          <w:b/>
          <w:kern w:val="0"/>
          <w:sz w:val="18"/>
          <w:szCs w:val="18"/>
        </w:rPr>
      </w:pPr>
      <w:r>
        <w:rPr>
          <w:rFonts w:hint="eastAsia" w:ascii="宋体" w:hAnsi="宋体" w:eastAsia="宋体" w:cs="华文仿宋"/>
          <w:b/>
          <w:sz w:val="18"/>
          <w:szCs w:val="18"/>
        </w:rPr>
        <w:t>2、投标人在参加政府采购活动前3年内因违法经营被禁止在一定期限内参加政府采购活动，期限届满的，可以参加政府采购活动，但应提供期限届满的证明材料。</w:t>
      </w:r>
      <w:r>
        <w:rPr>
          <w:rFonts w:ascii="宋体" w:hAnsi="宋体" w:eastAsia="宋体" w:cs="华文仿宋"/>
          <w:b/>
          <w:sz w:val="18"/>
          <w:szCs w:val="18"/>
        </w:rPr>
        <w:br w:type="page"/>
      </w:r>
    </w:p>
    <w:p w14:paraId="13B78E90">
      <w:pPr>
        <w:pStyle w:val="3"/>
        <w:numPr>
          <w:ilvl w:val="1"/>
          <w:numId w:val="0"/>
        </w:numPr>
        <w:ind w:left="560" w:leftChars="200"/>
        <w:rPr>
          <w:color w:val="000000"/>
        </w:rPr>
      </w:pPr>
      <w:r>
        <w:rPr>
          <w:rFonts w:hint="eastAsia"/>
          <w:color w:val="000000"/>
          <w:lang w:val="zh-CN"/>
        </w:rPr>
        <w:t>附件三</w:t>
      </w:r>
      <w:r>
        <w:rPr>
          <w:rFonts w:hint="eastAsia"/>
          <w:color w:val="000000"/>
        </w:rPr>
        <w:t>：</w:t>
      </w:r>
    </w:p>
    <w:p w14:paraId="624085FD">
      <w:pPr>
        <w:pStyle w:val="3"/>
        <w:numPr>
          <w:ilvl w:val="1"/>
          <w:numId w:val="0"/>
        </w:numPr>
        <w:ind w:left="560" w:leftChars="200"/>
        <w:jc w:val="center"/>
        <w:rPr>
          <w:color w:val="000000"/>
          <w:lang w:val="zh-CN"/>
        </w:rPr>
      </w:pPr>
      <w:r>
        <w:rPr>
          <w:rFonts w:hint="eastAsia"/>
          <w:color w:val="000000"/>
          <w:lang w:val="zh-CN"/>
        </w:rPr>
        <w:t>投标人企业关系关联承诺书</w:t>
      </w:r>
      <w:r>
        <w:rPr>
          <w:rFonts w:hint="eastAsia"/>
          <w:color w:val="FF0000"/>
          <w:lang w:val="zh-CN"/>
        </w:rPr>
        <w:t>（格式供参考）</w:t>
      </w:r>
    </w:p>
    <w:p w14:paraId="7DBF1097">
      <w:pPr>
        <w:ind w:firstLine="480"/>
        <w:rPr>
          <w:rFonts w:ascii="楷体" w:hAnsi="楷体" w:cs="楷体"/>
          <w:color w:val="000000"/>
          <w:kern w:val="0"/>
        </w:rPr>
      </w:pPr>
      <w:r>
        <w:rPr>
          <w:rFonts w:hint="eastAsia" w:ascii="楷体" w:hAnsi="楷体" w:cs="楷体"/>
          <w:color w:val="000000"/>
          <w:kern w:val="0"/>
        </w:rPr>
        <w:t>1、投标人股东及股权证明。</w:t>
      </w:r>
    </w:p>
    <w:p w14:paraId="18C2BC4F">
      <w:pPr>
        <w:ind w:firstLine="480"/>
        <w:rPr>
          <w:rFonts w:ascii="楷体" w:hAnsi="楷体" w:cs="楷体"/>
          <w:color w:val="000000"/>
          <w:kern w:val="0"/>
        </w:rPr>
      </w:pPr>
      <w:r>
        <w:rPr>
          <w:rFonts w:hint="eastAsia" w:ascii="楷体" w:hAnsi="楷体" w:cs="楷体"/>
          <w:color w:val="000000"/>
          <w:kern w:val="0"/>
        </w:rPr>
        <w:t>2、投标人在本项目响应中，不存在与其它投标人负责人为同一人，有控股、管理等关联关系承诺。</w:t>
      </w:r>
    </w:p>
    <w:p w14:paraId="67B9864C">
      <w:pPr>
        <w:ind w:firstLine="480"/>
        <w:rPr>
          <w:rFonts w:ascii="楷体" w:hAnsi="楷体" w:cs="楷体"/>
          <w:color w:val="000000"/>
          <w:kern w:val="0"/>
        </w:rPr>
      </w:pPr>
      <w:r>
        <w:rPr>
          <w:rFonts w:hint="eastAsia" w:ascii="楷体" w:hAnsi="楷体" w:cs="楷体"/>
          <w:color w:val="000000"/>
          <w:kern w:val="0"/>
        </w:rPr>
        <w:t>2-1、管理关系说明：</w:t>
      </w:r>
    </w:p>
    <w:p w14:paraId="12C27EC9">
      <w:pPr>
        <w:ind w:firstLine="480"/>
        <w:rPr>
          <w:rFonts w:ascii="楷体" w:hAnsi="楷体" w:cs="楷体"/>
          <w:color w:val="000000"/>
          <w:kern w:val="0"/>
        </w:rPr>
      </w:pPr>
      <w:r>
        <w:rPr>
          <w:rFonts w:hint="eastAsia" w:ascii="楷体" w:hAnsi="楷体" w:cs="楷体"/>
          <w:color w:val="000000"/>
          <w:kern w:val="0"/>
        </w:rPr>
        <w:t>我单位管理的具有独立法人的下属单位有：。</w:t>
      </w:r>
    </w:p>
    <w:p w14:paraId="4FAA6D61">
      <w:pPr>
        <w:ind w:firstLine="480"/>
        <w:rPr>
          <w:rFonts w:ascii="楷体" w:hAnsi="楷体" w:cs="楷体"/>
          <w:color w:val="000000"/>
          <w:kern w:val="0"/>
        </w:rPr>
      </w:pPr>
      <w:r>
        <w:rPr>
          <w:rFonts w:hint="eastAsia" w:ascii="楷体" w:hAnsi="楷体" w:cs="楷体"/>
          <w:color w:val="000000"/>
          <w:kern w:val="0"/>
        </w:rPr>
        <w:t>我单位的上级管理单位有 。</w:t>
      </w:r>
    </w:p>
    <w:p w14:paraId="295825BF">
      <w:pPr>
        <w:ind w:firstLine="480"/>
        <w:rPr>
          <w:rFonts w:ascii="楷体" w:hAnsi="楷体" w:cs="楷体"/>
          <w:color w:val="000000"/>
          <w:kern w:val="0"/>
        </w:rPr>
      </w:pPr>
      <w:r>
        <w:rPr>
          <w:rFonts w:hint="eastAsia" w:ascii="楷体" w:hAnsi="楷体" w:cs="楷体"/>
          <w:color w:val="000000"/>
          <w:kern w:val="0"/>
        </w:rPr>
        <w:t>2-2、股权关系说明：</w:t>
      </w:r>
    </w:p>
    <w:p w14:paraId="04127BB8">
      <w:pPr>
        <w:ind w:firstLine="480"/>
        <w:rPr>
          <w:rFonts w:ascii="楷体" w:hAnsi="楷体" w:cs="楷体"/>
          <w:color w:val="000000"/>
          <w:kern w:val="0"/>
        </w:rPr>
      </w:pPr>
      <w:r>
        <w:rPr>
          <w:rFonts w:hint="eastAsia" w:ascii="楷体" w:hAnsi="楷体" w:cs="楷体"/>
          <w:color w:val="000000"/>
          <w:kern w:val="0"/>
        </w:rPr>
        <w:t>我单位控股的单位有。</w:t>
      </w:r>
    </w:p>
    <w:p w14:paraId="7F54A9B3">
      <w:pPr>
        <w:ind w:firstLine="480"/>
        <w:rPr>
          <w:rFonts w:ascii="楷体" w:hAnsi="楷体" w:cs="楷体"/>
          <w:color w:val="000000"/>
          <w:kern w:val="0"/>
        </w:rPr>
      </w:pPr>
      <w:r>
        <w:rPr>
          <w:rFonts w:hint="eastAsia" w:ascii="楷体" w:hAnsi="楷体" w:cs="楷体"/>
          <w:color w:val="000000"/>
          <w:kern w:val="0"/>
        </w:rPr>
        <w:t>我单位被单位控股。</w:t>
      </w:r>
    </w:p>
    <w:p w14:paraId="7E50E0C6">
      <w:pPr>
        <w:ind w:firstLine="480"/>
        <w:rPr>
          <w:rFonts w:ascii="楷体" w:hAnsi="楷体" w:cs="楷体"/>
          <w:color w:val="000000"/>
          <w:kern w:val="0"/>
          <w:u w:val="single"/>
        </w:rPr>
      </w:pPr>
      <w:r>
        <w:rPr>
          <w:rFonts w:hint="eastAsia" w:ascii="楷体" w:hAnsi="楷体" w:cs="楷体"/>
          <w:color w:val="000000"/>
          <w:kern w:val="0"/>
        </w:rPr>
        <w:t>2-3、单位负责人：</w:t>
      </w:r>
    </w:p>
    <w:p w14:paraId="4ECBD945">
      <w:pPr>
        <w:ind w:firstLine="480"/>
        <w:rPr>
          <w:rFonts w:ascii="楷体" w:hAnsi="楷体" w:cs="楷体"/>
          <w:color w:val="000000"/>
          <w:kern w:val="0"/>
        </w:rPr>
      </w:pPr>
      <w:r>
        <w:rPr>
          <w:rFonts w:hint="eastAsia" w:ascii="楷体" w:hAnsi="楷体" w:cs="楷体"/>
          <w:color w:val="000000"/>
          <w:kern w:val="0"/>
        </w:rPr>
        <w:t>3、其他与本项目有关的利害关系说明：</w:t>
      </w:r>
    </w:p>
    <w:p w14:paraId="67969C62">
      <w:pPr>
        <w:ind w:firstLine="480"/>
        <w:rPr>
          <w:rFonts w:ascii="楷体" w:hAnsi="楷体" w:cs="楷体"/>
          <w:color w:val="000000"/>
          <w:kern w:val="0"/>
        </w:rPr>
      </w:pPr>
    </w:p>
    <w:p w14:paraId="39666248">
      <w:pPr>
        <w:ind w:firstLine="480"/>
        <w:rPr>
          <w:rFonts w:ascii="楷体" w:hAnsi="楷体" w:cs="楷体"/>
          <w:color w:val="000000"/>
          <w:kern w:val="0"/>
        </w:rPr>
      </w:pPr>
      <w:r>
        <w:rPr>
          <w:rFonts w:hint="eastAsia" w:ascii="楷体" w:hAnsi="楷体" w:cs="楷体"/>
          <w:color w:val="000000"/>
          <w:kern w:val="0"/>
        </w:rPr>
        <w:t>我单位承诺以上说明真实有效，无虚假内容或隐瞒。</w:t>
      </w:r>
    </w:p>
    <w:p w14:paraId="436CA422">
      <w:pPr>
        <w:ind w:firstLine="480"/>
        <w:rPr>
          <w:rFonts w:ascii="楷体" w:hAnsi="楷体" w:cs="楷体"/>
          <w:color w:val="000000"/>
          <w:kern w:val="0"/>
        </w:rPr>
      </w:pPr>
    </w:p>
    <w:p w14:paraId="281C07D0">
      <w:pPr>
        <w:ind w:firstLine="480"/>
        <w:rPr>
          <w:rFonts w:ascii="楷体" w:hAnsi="楷体" w:cs="楷体"/>
          <w:color w:val="000000"/>
          <w:kern w:val="0"/>
        </w:rPr>
      </w:pPr>
    </w:p>
    <w:p w14:paraId="77BCDDD6">
      <w:pPr>
        <w:pStyle w:val="4"/>
      </w:pPr>
    </w:p>
    <w:p w14:paraId="4AB59194">
      <w:pPr>
        <w:pStyle w:val="4"/>
      </w:pPr>
    </w:p>
    <w:p w14:paraId="220989E1">
      <w:pPr>
        <w:ind w:firstLine="480"/>
        <w:rPr>
          <w:rFonts w:ascii="楷体" w:hAnsi="楷体" w:cs="楷体"/>
          <w:color w:val="000000"/>
          <w:kern w:val="0"/>
        </w:rPr>
      </w:pPr>
      <w:r>
        <w:rPr>
          <w:rFonts w:hint="eastAsia" w:ascii="楷体" w:hAnsi="楷体" w:cs="楷体"/>
          <w:color w:val="000000"/>
          <w:kern w:val="0"/>
          <w:lang w:val="zh-CN"/>
        </w:rPr>
        <w:t>投标人</w:t>
      </w:r>
      <w:r>
        <w:rPr>
          <w:rFonts w:hint="eastAsia" w:ascii="楷体" w:hAnsi="楷体" w:cs="楷体"/>
          <w:color w:val="000000"/>
          <w:kern w:val="0"/>
        </w:rPr>
        <w:t>全称</w:t>
      </w:r>
      <w:r>
        <w:rPr>
          <w:rFonts w:hint="eastAsia" w:ascii="楷体" w:hAnsi="楷体" w:cs="楷体"/>
          <w:color w:val="000000"/>
          <w:kern w:val="0"/>
          <w:lang w:val="zh-CN"/>
        </w:rPr>
        <w:t>：</w:t>
      </w:r>
      <w:r>
        <w:rPr>
          <w:rFonts w:hint="eastAsia"/>
          <w:u w:val="single"/>
          <w:lang w:val="en-US" w:eastAsia="zh-CN"/>
        </w:rPr>
        <w:t xml:space="preserve">  名称   </w:t>
      </w:r>
      <w:r>
        <w:t>（</w:t>
      </w:r>
      <w:r>
        <w:rPr>
          <w:rFonts w:hint="eastAsia"/>
          <w:lang w:val="en-US" w:eastAsia="zh-CN"/>
        </w:rPr>
        <w:t>加盖</w:t>
      </w:r>
      <w:r>
        <w:t>公章）</w:t>
      </w:r>
    </w:p>
    <w:p w14:paraId="12F0EEF5">
      <w:pPr>
        <w:ind w:firstLine="480"/>
        <w:rPr>
          <w:rFonts w:ascii="楷体" w:hAnsi="楷体" w:cs="楷体"/>
          <w:color w:val="000000"/>
          <w:kern w:val="0"/>
        </w:rPr>
      </w:pPr>
    </w:p>
    <w:p w14:paraId="5905BD5F">
      <w:pPr>
        <w:ind w:firstLine="480"/>
        <w:rPr>
          <w:rFonts w:ascii="楷体" w:hAnsi="楷体" w:cs="楷体"/>
          <w:color w:val="000000"/>
          <w:kern w:val="0"/>
          <w:lang w:val="zh-CN"/>
        </w:rPr>
      </w:pPr>
      <w:r>
        <w:rPr>
          <w:rFonts w:hint="eastAsia" w:ascii="楷体" w:hAnsi="楷体" w:cs="楷体"/>
          <w:color w:val="000000"/>
          <w:kern w:val="0"/>
          <w:lang w:val="zh-CN"/>
        </w:rPr>
        <w:t>法定代表人</w:t>
      </w:r>
      <w:r>
        <w:rPr>
          <w:rFonts w:hint="eastAsia" w:ascii="楷体" w:hAnsi="楷体" w:cs="楷体"/>
          <w:color w:val="000000"/>
          <w:kern w:val="0"/>
        </w:rPr>
        <w:t>或</w:t>
      </w:r>
      <w:r>
        <w:rPr>
          <w:rFonts w:hint="eastAsia" w:ascii="楷体" w:hAnsi="楷体" w:cs="楷体"/>
          <w:color w:val="000000"/>
          <w:kern w:val="0"/>
          <w:lang w:val="zh-CN"/>
        </w:rPr>
        <w:t>授权代表：（签字）</w:t>
      </w:r>
    </w:p>
    <w:p w14:paraId="195DDC4D">
      <w:pPr>
        <w:rPr>
          <w:rFonts w:ascii="楷体" w:hAnsi="楷体" w:cs="楷体"/>
          <w:color w:val="000000"/>
          <w:kern w:val="0"/>
        </w:rPr>
      </w:pPr>
    </w:p>
    <w:p w14:paraId="4DA69CED">
      <w:pPr>
        <w:rPr>
          <w:rFonts w:ascii="楷体" w:hAnsi="楷体" w:cs="楷体"/>
          <w:color w:val="000000"/>
          <w:kern w:val="0"/>
        </w:rPr>
      </w:pPr>
    </w:p>
    <w:p w14:paraId="04657D24">
      <w:pPr>
        <w:rPr>
          <w:rFonts w:ascii="楷体" w:hAnsi="楷体" w:cs="楷体"/>
          <w:color w:val="000000"/>
          <w:kern w:val="0"/>
        </w:rPr>
      </w:pPr>
    </w:p>
    <w:p w14:paraId="7A552251">
      <w:pPr>
        <w:jc w:val="right"/>
        <w:rPr>
          <w:rFonts w:ascii="楷体" w:hAnsi="楷体" w:cs="楷体"/>
          <w:color w:val="000000"/>
          <w:kern w:val="0"/>
          <w:lang w:val="zh-CN"/>
        </w:rPr>
      </w:pPr>
      <w:r>
        <w:rPr>
          <w:rFonts w:hint="eastAsia" w:ascii="楷体" w:hAnsi="楷体" w:cs="楷体"/>
          <w:color w:val="000000"/>
          <w:kern w:val="0"/>
          <w:lang w:val="zh-CN"/>
        </w:rPr>
        <w:t>年   月   日</w:t>
      </w:r>
    </w:p>
    <w:p w14:paraId="25CF8CDE">
      <w:pPr>
        <w:pStyle w:val="4"/>
      </w:pPr>
    </w:p>
    <w:p w14:paraId="1475D094">
      <w:pPr>
        <w:spacing w:line="240" w:lineRule="auto"/>
        <w:jc w:val="left"/>
        <w:rPr>
          <w:sz w:val="30"/>
          <w:szCs w:val="30"/>
        </w:rPr>
      </w:pPr>
    </w:p>
    <w:p w14:paraId="741D0E82">
      <w:pPr>
        <w:spacing w:line="240" w:lineRule="auto"/>
        <w:jc w:val="left"/>
        <w:rPr>
          <w:sz w:val="30"/>
          <w:szCs w:val="30"/>
        </w:rPr>
      </w:pPr>
    </w:p>
    <w:p w14:paraId="377BA329">
      <w:pPr>
        <w:spacing w:line="240" w:lineRule="auto"/>
        <w:jc w:val="left"/>
        <w:rPr>
          <w:sz w:val="30"/>
          <w:szCs w:val="30"/>
        </w:rPr>
      </w:pPr>
    </w:p>
    <w:p w14:paraId="20DD15A3">
      <w:pPr>
        <w:spacing w:line="240" w:lineRule="auto"/>
        <w:jc w:val="left"/>
        <w:rPr>
          <w:sz w:val="30"/>
          <w:szCs w:val="30"/>
        </w:rPr>
      </w:pPr>
    </w:p>
    <w:p w14:paraId="7FBADFBE">
      <w:pPr>
        <w:spacing w:line="240" w:lineRule="auto"/>
        <w:jc w:val="left"/>
        <w:rPr>
          <w:sz w:val="30"/>
          <w:szCs w:val="30"/>
        </w:rPr>
      </w:pPr>
    </w:p>
    <w:p w14:paraId="1143E0D1">
      <w:pPr>
        <w:spacing w:line="240" w:lineRule="auto"/>
        <w:jc w:val="left"/>
        <w:rPr>
          <w:rFonts w:ascii="宋体" w:hAnsi="宋体" w:eastAsia="宋体" w:cs="华文仿宋"/>
          <w:b/>
          <w:sz w:val="21"/>
          <w:szCs w:val="21"/>
        </w:rPr>
      </w:pPr>
      <w:r>
        <w:rPr>
          <w:rFonts w:hint="eastAsia" w:ascii="宋体" w:hAnsi="宋体" w:eastAsia="宋体" w:cs="华文仿宋"/>
          <w:b/>
          <w:sz w:val="21"/>
          <w:szCs w:val="21"/>
        </w:rPr>
        <w:t>备注：承诺包括但不限于上述内容，逐条作出说明。</w:t>
      </w:r>
      <w:r>
        <w:rPr>
          <w:rFonts w:ascii="宋体" w:hAnsi="宋体" w:eastAsia="宋体" w:cs="华文仿宋"/>
          <w:b/>
          <w:sz w:val="21"/>
          <w:szCs w:val="21"/>
        </w:rPr>
        <w:br w:type="page"/>
      </w:r>
    </w:p>
    <w:p w14:paraId="6B88E335">
      <w:pPr>
        <w:pStyle w:val="4"/>
        <w:rPr>
          <w:rFonts w:ascii="仿宋" w:hAnsi="仿宋" w:eastAsia="仿宋" w:cs="仿宋"/>
        </w:rPr>
      </w:pPr>
      <w:r>
        <w:rPr>
          <w:rStyle w:val="59"/>
          <w:rFonts w:hint="eastAsia" w:ascii="仿宋" w:hAnsi="仿宋" w:eastAsia="仿宋" w:cs="仿宋"/>
          <w:sz w:val="30"/>
          <w:szCs w:val="30"/>
        </w:rPr>
        <w:t>附件四</w:t>
      </w:r>
      <w:r>
        <w:rPr>
          <w:rFonts w:hint="eastAsia" w:ascii="仿宋" w:hAnsi="仿宋" w:eastAsia="仿宋" w:cs="仿宋"/>
        </w:rPr>
        <w:t>:</w:t>
      </w:r>
    </w:p>
    <w:p w14:paraId="3C420622">
      <w:pPr>
        <w:ind w:firstLine="480"/>
        <w:jc w:val="center"/>
        <w:rPr>
          <w:rFonts w:ascii="华文仿宋" w:hAnsi="华文仿宋"/>
          <w:b/>
          <w:bCs/>
          <w:color w:val="000000"/>
          <w:kern w:val="0"/>
          <w:sz w:val="32"/>
          <w:szCs w:val="32"/>
          <w:lang w:val="zh-CN"/>
        </w:rPr>
      </w:pPr>
      <w:r>
        <w:rPr>
          <w:rFonts w:hint="eastAsia" w:ascii="华文仿宋" w:hAnsi="华文仿宋"/>
          <w:b/>
          <w:bCs/>
          <w:color w:val="000000"/>
          <w:kern w:val="0"/>
          <w:sz w:val="32"/>
          <w:szCs w:val="32"/>
          <w:lang w:val="zh-CN"/>
        </w:rPr>
        <w:t>榆林市</w:t>
      </w:r>
      <w:r>
        <w:rPr>
          <w:rFonts w:ascii="华文仿宋" w:hAnsi="华文仿宋"/>
          <w:b/>
          <w:bCs/>
          <w:color w:val="000000"/>
          <w:kern w:val="0"/>
          <w:sz w:val="32"/>
          <w:szCs w:val="32"/>
          <w:lang w:val="zh-CN"/>
        </w:rPr>
        <w:t>政府采购</w:t>
      </w:r>
      <w:r>
        <w:rPr>
          <w:rFonts w:ascii="华文仿宋" w:hAnsi="华文仿宋"/>
          <w:b/>
          <w:bCs/>
          <w:color w:val="000000"/>
          <w:kern w:val="0"/>
          <w:sz w:val="32"/>
          <w:szCs w:val="32"/>
          <w:lang w:val="zh-CN"/>
        </w:rPr>
        <w:sym w:font="Wingdings" w:char="00A8"/>
      </w:r>
      <w:r>
        <w:rPr>
          <w:rFonts w:hint="eastAsia" w:ascii="华文仿宋" w:hAnsi="华文仿宋"/>
          <w:b/>
          <w:bCs/>
          <w:color w:val="000000"/>
          <w:kern w:val="0"/>
          <w:sz w:val="32"/>
          <w:szCs w:val="32"/>
          <w:lang w:val="zh-CN"/>
        </w:rPr>
        <w:t>工程类</w:t>
      </w:r>
      <w:r>
        <w:rPr>
          <w:rFonts w:ascii="华文仿宋" w:hAnsi="华文仿宋"/>
          <w:b/>
          <w:bCs/>
          <w:color w:val="auto"/>
          <w:kern w:val="0"/>
          <w:sz w:val="32"/>
          <w:szCs w:val="32"/>
          <w:lang w:val="zh-CN"/>
        </w:rPr>
        <w:sym w:font="Wingdings" w:char="00FE"/>
      </w:r>
      <w:r>
        <w:rPr>
          <w:rFonts w:hint="eastAsia" w:ascii="华文仿宋" w:hAnsi="华文仿宋"/>
          <w:b/>
          <w:bCs/>
          <w:color w:val="000000"/>
          <w:kern w:val="0"/>
          <w:sz w:val="32"/>
          <w:szCs w:val="32"/>
          <w:lang w:val="zh-CN"/>
        </w:rPr>
        <w:t>货物类</w:t>
      </w:r>
      <w:r>
        <w:rPr>
          <w:rFonts w:ascii="华文仿宋" w:hAnsi="华文仿宋"/>
          <w:b/>
          <w:bCs/>
          <w:color w:val="000000"/>
          <w:kern w:val="0"/>
          <w:sz w:val="32"/>
          <w:szCs w:val="32"/>
          <w:lang w:val="zh-CN"/>
        </w:rPr>
        <w:sym w:font="Wingdings" w:char="00A8"/>
      </w:r>
      <w:r>
        <w:rPr>
          <w:rFonts w:hint="eastAsia" w:ascii="华文仿宋" w:hAnsi="华文仿宋"/>
          <w:b/>
          <w:bCs/>
          <w:color w:val="000000"/>
          <w:kern w:val="0"/>
          <w:sz w:val="32"/>
          <w:szCs w:val="32"/>
          <w:lang w:val="zh-CN"/>
        </w:rPr>
        <w:t>服务类项目</w:t>
      </w:r>
    </w:p>
    <w:p w14:paraId="06162BEC">
      <w:pPr>
        <w:ind w:firstLine="480"/>
        <w:jc w:val="center"/>
        <w:rPr>
          <w:rFonts w:ascii="华文仿宋" w:hAnsi="华文仿宋"/>
          <w:b/>
          <w:bCs/>
          <w:color w:val="000000"/>
          <w:kern w:val="0"/>
          <w:sz w:val="32"/>
          <w:szCs w:val="32"/>
          <w:lang w:val="zh-CN"/>
        </w:rPr>
      </w:pPr>
      <w:r>
        <w:rPr>
          <w:rFonts w:ascii="华文仿宋" w:hAnsi="华文仿宋"/>
          <w:b/>
          <w:bCs/>
          <w:color w:val="000000"/>
          <w:kern w:val="0"/>
          <w:sz w:val="32"/>
          <w:szCs w:val="32"/>
          <w:lang w:val="zh-CN"/>
        </w:rPr>
        <w:t>供应商信用承诺书</w:t>
      </w:r>
    </w:p>
    <w:p w14:paraId="01AC1327">
      <w:pPr>
        <w:pStyle w:val="22"/>
        <w:shd w:val="clear" w:color="auto" w:fill="FFFFFF"/>
        <w:spacing w:beforeAutospacing="0" w:afterAutospacing="0"/>
        <w:ind w:firstLine="480"/>
        <w:jc w:val="both"/>
        <w:rPr>
          <w:rFonts w:ascii="华文仿宋" w:hAnsi="华文仿宋" w:cs="-apple-system"/>
          <w:b/>
          <w:color w:val="333333"/>
          <w:sz w:val="28"/>
        </w:rPr>
      </w:pPr>
      <w:r>
        <w:rPr>
          <w:rFonts w:hint="eastAsia" w:ascii="华文仿宋" w:hAnsi="华文仿宋" w:cs="黑体"/>
          <w:b/>
          <w:color w:val="333333"/>
          <w:sz w:val="28"/>
          <w:shd w:val="clear" w:color="auto" w:fill="FFFFFF"/>
        </w:rPr>
        <w:t>市场主体名称：</w:t>
      </w:r>
    </w:p>
    <w:p w14:paraId="34F41DC2">
      <w:pPr>
        <w:pStyle w:val="22"/>
        <w:shd w:val="clear" w:color="auto" w:fill="FFFFFF"/>
        <w:spacing w:beforeAutospacing="0" w:afterAutospacing="0"/>
        <w:ind w:firstLine="480"/>
        <w:jc w:val="both"/>
        <w:rPr>
          <w:rFonts w:ascii="华文仿宋" w:hAnsi="华文仿宋" w:cs="-apple-system"/>
          <w:b/>
          <w:color w:val="333333"/>
          <w:sz w:val="28"/>
        </w:rPr>
      </w:pPr>
      <w:r>
        <w:rPr>
          <w:rFonts w:hint="eastAsia" w:ascii="华文仿宋" w:hAnsi="华文仿宋" w:cs="黑体"/>
          <w:b/>
          <w:color w:val="333333"/>
          <w:sz w:val="28"/>
          <w:shd w:val="clear" w:color="auto" w:fill="FFFFFF"/>
        </w:rPr>
        <w:t>证件类型：统一社会信用代码</w:t>
      </w:r>
    </w:p>
    <w:p w14:paraId="1F36D0E6">
      <w:pPr>
        <w:pStyle w:val="22"/>
        <w:shd w:val="clear" w:color="auto" w:fill="FFFFFF"/>
        <w:spacing w:beforeAutospacing="0" w:afterAutospacing="0"/>
        <w:ind w:firstLine="480"/>
        <w:jc w:val="both"/>
        <w:rPr>
          <w:rFonts w:ascii="华文仿宋" w:hAnsi="华文仿宋" w:cs="黑体"/>
          <w:b/>
          <w:color w:val="333333"/>
          <w:sz w:val="28"/>
          <w:shd w:val="clear" w:color="auto" w:fill="FFFFFF"/>
        </w:rPr>
      </w:pPr>
      <w:r>
        <w:rPr>
          <w:rFonts w:hint="eastAsia" w:ascii="华文仿宋" w:hAnsi="华文仿宋" w:cs="黑体"/>
          <w:b/>
          <w:color w:val="333333"/>
          <w:sz w:val="28"/>
          <w:shd w:val="clear" w:color="auto" w:fill="FFFFFF"/>
        </w:rPr>
        <w:t>证件号码：</w:t>
      </w:r>
    </w:p>
    <w:p w14:paraId="2BE6B909">
      <w:pPr>
        <w:pStyle w:val="22"/>
        <w:shd w:val="clear" w:color="auto" w:fill="FFFFFF"/>
        <w:spacing w:beforeAutospacing="0" w:afterAutospacing="0"/>
        <w:ind w:firstLine="480"/>
        <w:jc w:val="both"/>
        <w:rPr>
          <w:rFonts w:ascii="华文仿宋" w:hAnsi="华文仿宋" w:cs="黑体"/>
          <w:b/>
          <w:color w:val="333333"/>
          <w:sz w:val="28"/>
          <w:shd w:val="clear" w:color="auto" w:fill="FFFFFF"/>
        </w:rPr>
      </w:pPr>
      <w:r>
        <w:rPr>
          <w:rFonts w:hint="eastAsia" w:ascii="华文仿宋" w:hAnsi="华文仿宋" w:cs="黑体"/>
          <w:b/>
          <w:color w:val="333333"/>
          <w:sz w:val="28"/>
          <w:shd w:val="clear" w:color="auto" w:fill="FFFFFF"/>
        </w:rPr>
        <w:t>法人代表：</w:t>
      </w:r>
    </w:p>
    <w:p w14:paraId="69BE23A2">
      <w:pPr>
        <w:pStyle w:val="22"/>
        <w:shd w:val="clear" w:color="auto" w:fill="FFFFFF"/>
        <w:spacing w:beforeAutospacing="0" w:afterAutospacing="0"/>
        <w:ind w:firstLine="480"/>
        <w:jc w:val="both"/>
        <w:rPr>
          <w:rFonts w:ascii="华文仿宋" w:hAnsi="华文仿宋" w:cs="黑体"/>
          <w:b/>
          <w:color w:val="FF0000"/>
          <w:sz w:val="28"/>
          <w:shd w:val="clear" w:color="auto" w:fill="FFFFFF"/>
        </w:rPr>
      </w:pPr>
      <w:r>
        <w:rPr>
          <w:rFonts w:hint="eastAsia" w:ascii="华文仿宋" w:hAnsi="华文仿宋" w:cs="黑体"/>
          <w:b/>
          <w:color w:val="333333"/>
          <w:sz w:val="28"/>
          <w:shd w:val="clear" w:color="auto" w:fill="FFFFFF"/>
        </w:rPr>
        <w:t>承诺有效期限：  年  月  日—  年  月  日</w:t>
      </w:r>
    </w:p>
    <w:p w14:paraId="64256814">
      <w:pPr>
        <w:pStyle w:val="22"/>
        <w:shd w:val="clear" w:color="auto" w:fill="FFFFFF"/>
        <w:spacing w:beforeAutospacing="0" w:afterAutospacing="0"/>
        <w:ind w:firstLine="480"/>
        <w:jc w:val="both"/>
        <w:rPr>
          <w:rFonts w:ascii="-apple-system" w:hAnsi="-apple-system" w:eastAsia="-apple-system" w:cs="-apple-system"/>
          <w:color w:val="333333"/>
          <w:sz w:val="28"/>
        </w:rPr>
      </w:pPr>
      <w:r>
        <w:rPr>
          <w:rFonts w:hint="eastAsia" w:ascii="华文仿宋" w:hAnsi="华文仿宋" w:cs="黑体"/>
          <w:b/>
          <w:color w:val="333333"/>
          <w:sz w:val="28"/>
          <w:shd w:val="clear" w:color="auto" w:fill="FFFFFF"/>
        </w:rPr>
        <w:t>承诺内容：</w:t>
      </w:r>
    </w:p>
    <w:p w14:paraId="1CEB3E11">
      <w:pPr>
        <w:ind w:firstLine="480"/>
        <w:rPr>
          <w:rFonts w:ascii="华文仿宋" w:hAnsi="华文仿宋" w:cs="楷体"/>
          <w:kern w:val="0"/>
        </w:rPr>
      </w:pPr>
      <w:r>
        <w:rPr>
          <w:rFonts w:ascii="华文仿宋" w:hAnsi="华文仿宋" w:cs="楷体"/>
          <w:kern w:val="0"/>
        </w:rPr>
        <w:t>为维护公开、公平、公正的政府采购市场秩序，树立诚实守信的政府采购供应商形象，本单位自愿做出以下承诺：</w:t>
      </w:r>
    </w:p>
    <w:p w14:paraId="708A2106">
      <w:pPr>
        <w:ind w:firstLine="480"/>
        <w:rPr>
          <w:rFonts w:ascii="华文仿宋" w:hAnsi="华文仿宋" w:cs="楷体"/>
          <w:kern w:val="0"/>
        </w:rPr>
      </w:pPr>
      <w:r>
        <w:rPr>
          <w:rFonts w:ascii="华文仿宋" w:hAnsi="华文仿宋" w:cs="楷体"/>
          <w:kern w:val="0"/>
        </w:rPr>
        <w:t>一、承诺本单位严格遵守国家法律、法规和规章，全面履行应尽的责任和义务，全面做到履约守信，具备《政府采购法》第二十二条第一款规定的条件;</w:t>
      </w:r>
    </w:p>
    <w:p w14:paraId="5D60D7E9">
      <w:pPr>
        <w:ind w:firstLine="480"/>
        <w:rPr>
          <w:rFonts w:ascii="华文仿宋" w:hAnsi="华文仿宋" w:cs="楷体"/>
          <w:kern w:val="0"/>
        </w:rPr>
      </w:pPr>
      <w:r>
        <w:rPr>
          <w:rFonts w:ascii="华文仿宋" w:hAnsi="华文仿宋" w:cs="楷体"/>
          <w:kern w:val="0"/>
        </w:rPr>
        <w:t>二、承诺本单位提供给注册登记部门、行业管理部门、司法部门、行业组织以及在政府采购活动中提交的所有资料均合法、真实、有效，无任何伪造、修改、虚假成份，并对所提供资料的真实性负责；</w:t>
      </w:r>
    </w:p>
    <w:p w14:paraId="304BD947">
      <w:pPr>
        <w:ind w:firstLine="480"/>
        <w:rPr>
          <w:rFonts w:ascii="华文仿宋" w:hAnsi="华文仿宋" w:cs="楷体"/>
          <w:kern w:val="0"/>
        </w:rPr>
      </w:pPr>
      <w:r>
        <w:rPr>
          <w:rFonts w:ascii="华文仿宋" w:hAnsi="华文仿宋" w:cs="楷体"/>
          <w:kern w:val="0"/>
        </w:rPr>
        <w:t>三、承诺本单位严格依法开展生产经营活动，主动接受行业监管，自愿接受依法开展的日常检查；违法失信经营后将自愿接受约束和惩戒，并依法承担相应责任；</w:t>
      </w:r>
    </w:p>
    <w:p w14:paraId="5E410350">
      <w:pPr>
        <w:ind w:firstLine="480"/>
        <w:rPr>
          <w:rFonts w:ascii="华文仿宋" w:hAnsi="华文仿宋" w:cs="楷体"/>
          <w:kern w:val="0"/>
        </w:rPr>
      </w:pPr>
      <w:r>
        <w:rPr>
          <w:rFonts w:ascii="华文仿宋" w:hAnsi="华文仿宋" w:cs="楷体"/>
          <w:kern w:val="0"/>
        </w:rPr>
        <w:t>四、承诺本单位自觉接受行政管理部门、行业组织、社会公众、新闻舆论的监督；</w:t>
      </w:r>
    </w:p>
    <w:p w14:paraId="35AEAAE2">
      <w:pPr>
        <w:ind w:firstLine="480"/>
        <w:rPr>
          <w:rFonts w:ascii="华文仿宋" w:hAnsi="华文仿宋" w:cs="楷体"/>
          <w:kern w:val="0"/>
        </w:rPr>
      </w:pPr>
      <w:r>
        <w:rPr>
          <w:rFonts w:hint="eastAsia" w:ascii="华文仿宋" w:hAnsi="华文仿宋" w:cs="楷体"/>
          <w:kern w:val="0"/>
        </w:rPr>
        <w:t>五</w:t>
      </w:r>
      <w:r>
        <w:rPr>
          <w:rFonts w:ascii="华文仿宋" w:hAnsi="华文仿宋" w:cs="楷体"/>
          <w:kern w:val="0"/>
        </w:rPr>
        <w:t>、承诺本单位自我约束、自我管理，重合同、守信用，不制假售假、商标侵权、虚假宣传、违约毁约、恶意逃债、偷税漏税、价格欺诈、垄断和不正当竞争，维护经营者、消费者的合法权益；</w:t>
      </w:r>
    </w:p>
    <w:p w14:paraId="020CFAFD">
      <w:pPr>
        <w:ind w:firstLine="480"/>
        <w:rPr>
          <w:rFonts w:ascii="华文仿宋" w:hAnsi="华文仿宋" w:cs="楷体"/>
          <w:kern w:val="0"/>
        </w:rPr>
      </w:pPr>
      <w:r>
        <w:rPr>
          <w:rFonts w:hint="eastAsia" w:ascii="华文仿宋" w:hAnsi="华文仿宋" w:cs="楷体"/>
          <w:kern w:val="0"/>
        </w:rPr>
        <w:t>六</w:t>
      </w:r>
      <w:r>
        <w:rPr>
          <w:rFonts w:ascii="华文仿宋" w:hAnsi="华文仿宋" w:cs="楷体"/>
          <w:kern w:val="0"/>
        </w:rPr>
        <w:t>、承诺本单位提出政府采购质疑和投诉坚持依法依规、诚实信用原则，在全国范围12个月内没有三次以上查无实据的政府采购投诉；</w:t>
      </w:r>
    </w:p>
    <w:p w14:paraId="16AA8893">
      <w:pPr>
        <w:ind w:firstLine="480"/>
        <w:rPr>
          <w:rFonts w:ascii="华文仿宋" w:hAnsi="华文仿宋" w:cs="楷体"/>
          <w:kern w:val="0"/>
        </w:rPr>
      </w:pPr>
      <w:r>
        <w:rPr>
          <w:rFonts w:hint="eastAsia" w:ascii="华文仿宋" w:hAnsi="华文仿宋" w:cs="楷体"/>
          <w:kern w:val="0"/>
        </w:rPr>
        <w:t>七</w:t>
      </w:r>
      <w:r>
        <w:rPr>
          <w:rFonts w:ascii="华文仿宋" w:hAnsi="华文仿宋" w:cs="楷体"/>
          <w:kern w:val="0"/>
        </w:rPr>
        <w:t>、根据政府采购相关法律法规的规定需要作出的其他承诺：</w:t>
      </w:r>
      <w:r>
        <w:rPr>
          <w:rFonts w:hint="eastAsia" w:ascii="华文仿宋" w:hAnsi="华文仿宋" w:cs="楷体"/>
          <w:kern w:val="0"/>
          <w:u w:val="single"/>
        </w:rPr>
        <w:t xml:space="preserve">                                   </w:t>
      </w:r>
      <w:r>
        <w:rPr>
          <w:rFonts w:hint="eastAsia" w:ascii="华文仿宋" w:hAnsi="华文仿宋" w:cs="楷体"/>
          <w:kern w:val="0"/>
        </w:rPr>
        <w:t xml:space="preserve">； </w:t>
      </w:r>
    </w:p>
    <w:p w14:paraId="7F116C5D">
      <w:pPr>
        <w:ind w:firstLine="480"/>
        <w:rPr>
          <w:rFonts w:ascii="华文仿宋" w:hAnsi="华文仿宋" w:cs="楷体"/>
          <w:kern w:val="0"/>
        </w:rPr>
      </w:pPr>
      <w:r>
        <w:rPr>
          <w:rFonts w:hint="eastAsia" w:ascii="华文仿宋" w:hAnsi="华文仿宋" w:cs="楷体"/>
          <w:kern w:val="0"/>
        </w:rPr>
        <w:t>八</w:t>
      </w:r>
      <w:r>
        <w:rPr>
          <w:rFonts w:ascii="华文仿宋" w:hAnsi="华文仿宋" w:cs="楷体"/>
          <w:kern w:val="0"/>
        </w:rPr>
        <w:t>、</w:t>
      </w:r>
      <w:r>
        <w:rPr>
          <w:rFonts w:hint="eastAsia" w:ascii="华文仿宋" w:hAnsi="华文仿宋" w:cs="楷体"/>
          <w:kern w:val="0"/>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FB83092">
      <w:pPr>
        <w:ind w:firstLine="480"/>
        <w:rPr>
          <w:rFonts w:ascii="华文仿宋" w:hAnsi="华文仿宋" w:cs="楷体"/>
          <w:kern w:val="0"/>
        </w:rPr>
      </w:pPr>
      <w:r>
        <w:rPr>
          <w:rFonts w:ascii="华文仿宋" w:hAnsi="华文仿宋" w:cs="楷体"/>
          <w:kern w:val="0"/>
        </w:rPr>
        <w:t>承诺单位：</w:t>
      </w:r>
      <w:r>
        <w:rPr>
          <w:rFonts w:hint="eastAsia"/>
          <w:u w:val="single"/>
          <w:lang w:val="en-US" w:eastAsia="zh-CN"/>
        </w:rPr>
        <w:t xml:space="preserve">  名称   </w:t>
      </w:r>
      <w:r>
        <w:t>（</w:t>
      </w:r>
      <w:r>
        <w:rPr>
          <w:rFonts w:hint="eastAsia"/>
          <w:lang w:val="en-US" w:eastAsia="zh-CN"/>
        </w:rPr>
        <w:t>加盖</w:t>
      </w:r>
      <w:r>
        <w:t>公章）</w:t>
      </w:r>
    </w:p>
    <w:p w14:paraId="62706B70">
      <w:pPr>
        <w:ind w:firstLine="480"/>
        <w:rPr>
          <w:rFonts w:ascii="华文仿宋" w:hAnsi="华文仿宋" w:cs="楷体"/>
          <w:kern w:val="0"/>
        </w:rPr>
      </w:pPr>
      <w:r>
        <w:rPr>
          <w:rFonts w:ascii="华文仿宋" w:hAnsi="华文仿宋" w:cs="楷体"/>
          <w:kern w:val="0"/>
        </w:rPr>
        <w:t>法定代表人</w:t>
      </w:r>
      <w:r>
        <w:rPr>
          <w:rFonts w:hint="eastAsia" w:ascii="华文仿宋" w:hAnsi="华文仿宋" w:cs="楷体"/>
          <w:kern w:val="0"/>
        </w:rPr>
        <w:t>（签字）</w:t>
      </w:r>
      <w:r>
        <w:rPr>
          <w:rFonts w:ascii="华文仿宋" w:hAnsi="华文仿宋" w:cs="楷体"/>
          <w:kern w:val="0"/>
        </w:rPr>
        <w:t>：</w:t>
      </w:r>
    </w:p>
    <w:p w14:paraId="3D016BE4">
      <w:pPr>
        <w:ind w:firstLine="480"/>
        <w:rPr>
          <w:rFonts w:ascii="华文仿宋" w:hAnsi="华文仿宋" w:cs="楷体"/>
          <w:kern w:val="0"/>
        </w:rPr>
      </w:pPr>
      <w:r>
        <w:rPr>
          <w:rFonts w:ascii="华文仿宋" w:hAnsi="华文仿宋" w:cs="楷体"/>
          <w:kern w:val="0"/>
        </w:rPr>
        <w:t>法定代表人</w:t>
      </w:r>
      <w:r>
        <w:rPr>
          <w:rFonts w:hint="eastAsia" w:ascii="华文仿宋" w:hAnsi="华文仿宋" w:cs="楷体"/>
          <w:kern w:val="0"/>
        </w:rPr>
        <w:t>身份证号：</w:t>
      </w:r>
    </w:p>
    <w:p w14:paraId="690F5A1B">
      <w:pPr>
        <w:ind w:firstLine="480"/>
        <w:rPr>
          <w:rFonts w:ascii="华文仿宋" w:hAnsi="华文仿宋" w:cs="楷体"/>
          <w:kern w:val="0"/>
        </w:rPr>
      </w:pPr>
      <w:r>
        <w:rPr>
          <w:rFonts w:ascii="华文仿宋" w:hAnsi="华文仿宋" w:cs="楷体"/>
          <w:kern w:val="0"/>
        </w:rPr>
        <w:t>承诺日期：</w:t>
      </w:r>
    </w:p>
    <w:p w14:paraId="2506D0EB">
      <w:pPr>
        <w:pStyle w:val="24"/>
        <w:ind w:firstLine="186"/>
      </w:pPr>
    </w:p>
    <w:p w14:paraId="60D1C918">
      <w:pPr>
        <w:ind w:firstLine="480"/>
        <w:rPr>
          <w:rFonts w:ascii="华文仿宋" w:hAnsi="华文仿宋" w:cs="楷体"/>
          <w:b/>
          <w:kern w:val="0"/>
        </w:rPr>
      </w:pPr>
    </w:p>
    <w:p w14:paraId="45680DAF">
      <w:pPr>
        <w:ind w:firstLine="480"/>
        <w:rPr>
          <w:rFonts w:ascii="华文仿宋" w:hAnsi="华文仿宋" w:cs="楷体"/>
          <w:kern w:val="0"/>
        </w:rPr>
      </w:pPr>
      <w:r>
        <w:rPr>
          <w:rFonts w:hint="eastAsia" w:ascii="华文仿宋" w:hAnsi="华文仿宋" w:cs="楷体"/>
          <w:b/>
          <w:kern w:val="0"/>
        </w:rPr>
        <w:t>备注</w:t>
      </w:r>
      <w:r>
        <w:rPr>
          <w:rFonts w:hint="eastAsia" w:ascii="华文仿宋" w:hAnsi="华文仿宋" w:cs="楷体"/>
          <w:kern w:val="0"/>
        </w:rPr>
        <w:t>：</w:t>
      </w:r>
    </w:p>
    <w:p w14:paraId="78E7FBD8">
      <w:pPr>
        <w:ind w:firstLine="607" w:firstLineChars="217"/>
        <w:rPr>
          <w:rFonts w:ascii="华文仿宋" w:hAnsi="华文仿宋" w:cs="楷体"/>
          <w:kern w:val="0"/>
        </w:rPr>
      </w:pPr>
      <w:r>
        <w:rPr>
          <w:rFonts w:hint="eastAsia" w:ascii="华文仿宋" w:hAnsi="华文仿宋" w:cs="楷体"/>
          <w:kern w:val="0"/>
        </w:rPr>
        <w:t>1、承诺有效期限自承诺之日起1年</w:t>
      </w:r>
      <w:r>
        <w:rPr>
          <w:rFonts w:hint="eastAsia" w:ascii="华文仿宋" w:hAnsi="华文仿宋" w:cs="楷体"/>
          <w:kern w:val="0"/>
          <w:lang w:eastAsia="zh-CN"/>
        </w:rPr>
        <w:t>（</w:t>
      </w:r>
      <w:r>
        <w:rPr>
          <w:rFonts w:hint="eastAsia" w:ascii="华文仿宋" w:hAnsi="华文仿宋" w:cs="楷体"/>
          <w:kern w:val="0"/>
          <w:lang w:val="en-US" w:eastAsia="zh-CN"/>
        </w:rPr>
        <w:t>承诺之日需在本项目招标文件发布之日起至投标文件递交截止之日止时间段内</w:t>
      </w:r>
      <w:r>
        <w:rPr>
          <w:rFonts w:hint="eastAsia" w:ascii="华文仿宋" w:hAnsi="华文仿宋" w:cs="楷体"/>
          <w:kern w:val="0"/>
          <w:lang w:eastAsia="zh-CN"/>
        </w:rPr>
        <w:t>）</w:t>
      </w:r>
      <w:r>
        <w:rPr>
          <w:rFonts w:hint="eastAsia" w:ascii="华文仿宋" w:hAnsi="华文仿宋" w:cs="楷体"/>
          <w:kern w:val="0"/>
        </w:rPr>
        <w:t>；</w:t>
      </w:r>
      <w:r>
        <w:rPr>
          <w:rFonts w:hint="eastAsia" w:ascii="华文仿宋" w:hAnsi="华文仿宋" w:cs="楷体"/>
          <w:kern w:val="0"/>
          <w:lang w:val="en-US" w:eastAsia="zh-CN"/>
        </w:rPr>
        <w:t>承诺事由填写项目名称及编号。</w:t>
      </w:r>
    </w:p>
    <w:p w14:paraId="59C4871E">
      <w:pPr>
        <w:ind w:firstLine="607" w:firstLineChars="217"/>
        <w:rPr>
          <w:rFonts w:ascii="华文仿宋" w:hAnsi="华文仿宋" w:cs="楷体"/>
          <w:kern w:val="0"/>
        </w:rPr>
      </w:pPr>
      <w:r>
        <w:rPr>
          <w:rFonts w:hint="eastAsia" w:ascii="华文仿宋" w:hAnsi="华文仿宋" w:cs="楷体"/>
          <w:kern w:val="0"/>
        </w:rPr>
        <w:t>2、附网上承诺截图</w:t>
      </w:r>
      <w:r>
        <w:rPr>
          <w:rFonts w:hint="eastAsia" w:ascii="华文仿宋" w:hAnsi="华文仿宋" w:cs="楷体"/>
          <w:kern w:val="0"/>
          <w:lang w:eastAsia="zh-CN"/>
        </w:rPr>
        <w:t>，</w:t>
      </w:r>
      <w:r>
        <w:rPr>
          <w:rFonts w:hint="eastAsia" w:ascii="华文仿宋" w:hAnsi="华文仿宋" w:cs="楷体"/>
          <w:kern w:val="0"/>
          <w:lang w:val="en-US" w:eastAsia="zh-CN"/>
        </w:rPr>
        <w:t>截图需包含附件内容</w:t>
      </w:r>
      <w:r>
        <w:rPr>
          <w:rFonts w:hint="eastAsia" w:ascii="华文仿宋" w:hAnsi="华文仿宋" w:cs="楷体"/>
          <w:color w:val="auto"/>
          <w:kern w:val="0"/>
        </w:rPr>
        <w:t>；</w:t>
      </w:r>
      <w:r>
        <w:rPr>
          <w:rFonts w:hint="eastAsia" w:ascii="仿宋" w:hAnsi="仿宋" w:eastAsia="仿宋" w:cs="华文仿宋"/>
          <w:color w:val="auto"/>
          <w:sz w:val="28"/>
          <w:szCs w:val="28"/>
          <w:lang w:val="en-US" w:eastAsia="zh-CN"/>
        </w:rPr>
        <w:t>截图需</w:t>
      </w:r>
      <w:r>
        <w:rPr>
          <w:rFonts w:ascii="仿宋" w:hAnsi="仿宋" w:eastAsia="仿宋" w:cs="华文仿宋"/>
          <w:color w:val="auto"/>
          <w:sz w:val="28"/>
          <w:szCs w:val="28"/>
        </w:rPr>
        <w:t>清晰</w:t>
      </w:r>
      <w:r>
        <w:rPr>
          <w:rFonts w:hint="eastAsia" w:ascii="仿宋" w:hAnsi="仿宋" w:eastAsia="仿宋" w:cs="华文仿宋"/>
          <w:color w:val="auto"/>
          <w:sz w:val="28"/>
          <w:szCs w:val="28"/>
          <w:lang w:val="en-US" w:eastAsia="zh-CN"/>
        </w:rPr>
        <w:t>可辨</w:t>
      </w:r>
      <w:r>
        <w:rPr>
          <w:rFonts w:hint="eastAsia" w:ascii="仿宋" w:hAnsi="仿宋" w:eastAsia="仿宋" w:cs="华文仿宋"/>
          <w:color w:val="auto"/>
          <w:sz w:val="28"/>
          <w:szCs w:val="28"/>
          <w:lang w:eastAsia="zh-CN"/>
        </w:rPr>
        <w:t>。</w:t>
      </w:r>
    </w:p>
    <w:p w14:paraId="36004A06">
      <w:pPr>
        <w:ind w:firstLine="607" w:firstLineChars="217"/>
        <w:rPr>
          <w:rFonts w:hint="eastAsia" w:ascii="华文仿宋" w:hAnsi="华文仿宋" w:cs="楷体"/>
          <w:kern w:val="0"/>
        </w:rPr>
      </w:pPr>
      <w:r>
        <w:rPr>
          <w:rFonts w:hint="eastAsia" w:ascii="华文仿宋" w:hAnsi="华文仿宋" w:cs="楷体"/>
          <w:kern w:val="0"/>
        </w:rPr>
        <w:t>3、法定代表人</w:t>
      </w:r>
      <w:r>
        <w:rPr>
          <w:rFonts w:ascii="华文仿宋" w:hAnsi="华文仿宋" w:cs="楷体"/>
          <w:kern w:val="0"/>
        </w:rPr>
        <w:t>或负责人、主体名称发生变更的应当重新做出承诺</w:t>
      </w:r>
      <w:r>
        <w:rPr>
          <w:rFonts w:hint="eastAsia" w:ascii="华文仿宋" w:hAnsi="华文仿宋" w:cs="楷体"/>
          <w:kern w:val="0"/>
        </w:rPr>
        <w:t>。</w:t>
      </w:r>
    </w:p>
    <w:p w14:paraId="5A8CA245">
      <w:pPr>
        <w:rPr>
          <w:rFonts w:hint="eastAsia" w:ascii="华文仿宋" w:hAnsi="华文仿宋" w:cs="楷体"/>
          <w:kern w:val="0"/>
        </w:rPr>
      </w:pPr>
      <w:r>
        <w:rPr>
          <w:rFonts w:hint="eastAsia" w:ascii="华文仿宋" w:hAnsi="华文仿宋" w:cs="楷体"/>
          <w:kern w:val="0"/>
        </w:rPr>
        <w:br w:type="page"/>
      </w:r>
    </w:p>
    <w:p w14:paraId="7D734D97">
      <w:pPr>
        <w:adjustRightInd w:val="0"/>
        <w:snapToGrid w:val="0"/>
        <w:spacing w:line="360" w:lineRule="auto"/>
        <w:rPr>
          <w:rFonts w:hint="default" w:eastAsia="华文仿宋"/>
          <w:b/>
          <w:bCs/>
          <w:sz w:val="32"/>
          <w:szCs w:val="32"/>
          <w:lang w:val="en-US" w:eastAsia="zh-CN"/>
        </w:rPr>
      </w:pPr>
      <w:r>
        <w:rPr>
          <w:rFonts w:hint="eastAsia"/>
          <w:b/>
          <w:bCs/>
          <w:sz w:val="30"/>
          <w:szCs w:val="30"/>
          <w:lang w:val="en-US" w:eastAsia="zh-CN"/>
        </w:rPr>
        <w:t>附件五：供应商性质证明文件</w:t>
      </w:r>
    </w:p>
    <w:p w14:paraId="5A3604DC">
      <w:pPr>
        <w:spacing w:before="190" w:beforeLines="50" w:line="500" w:lineRule="exact"/>
        <w:ind w:firstLine="3083" w:firstLineChars="1100"/>
        <w:rPr>
          <w:b/>
        </w:rPr>
      </w:pPr>
      <w:r>
        <w:rPr>
          <w:rFonts w:hint="eastAsia"/>
          <w:b/>
        </w:rPr>
        <w:t>（</w:t>
      </w:r>
      <w:r>
        <w:rPr>
          <w:b/>
        </w:rPr>
        <w:t>一</w:t>
      </w:r>
      <w:r>
        <w:rPr>
          <w:rFonts w:hint="eastAsia"/>
          <w:b/>
        </w:rPr>
        <w:t>）供应</w:t>
      </w:r>
      <w:r>
        <w:rPr>
          <w:b/>
        </w:rPr>
        <w:t>商基本信息</w:t>
      </w:r>
    </w:p>
    <w:tbl>
      <w:tblPr>
        <w:tblStyle w:val="25"/>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49"/>
        <w:gridCol w:w="1523"/>
        <w:gridCol w:w="1533"/>
        <w:gridCol w:w="1417"/>
        <w:gridCol w:w="1560"/>
        <w:gridCol w:w="1398"/>
      </w:tblGrid>
      <w:tr w14:paraId="29CB9A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2E1C8985">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单位基本情况</w:t>
            </w:r>
          </w:p>
        </w:tc>
      </w:tr>
      <w:tr w14:paraId="0644F6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top w:val="single" w:color="auto" w:sz="6" w:space="0"/>
              <w:left w:val="single" w:color="auto" w:sz="12" w:space="0"/>
              <w:bottom w:val="single" w:color="auto" w:sz="6" w:space="0"/>
            </w:tcBorders>
            <w:noWrap w:val="0"/>
            <w:vAlign w:val="center"/>
          </w:tcPr>
          <w:p w14:paraId="47C2B109">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供应商全称</w:t>
            </w:r>
          </w:p>
        </w:tc>
        <w:tc>
          <w:tcPr>
            <w:tcW w:w="7431" w:type="dxa"/>
            <w:gridSpan w:val="5"/>
            <w:tcBorders>
              <w:top w:val="single" w:color="auto" w:sz="6" w:space="0"/>
              <w:bottom w:val="single" w:color="auto" w:sz="6" w:space="0"/>
              <w:right w:val="single" w:color="auto" w:sz="12" w:space="0"/>
            </w:tcBorders>
            <w:noWrap w:val="0"/>
            <w:vAlign w:val="center"/>
          </w:tcPr>
          <w:p w14:paraId="71C616FD">
            <w:pPr>
              <w:autoSpaceDE w:val="0"/>
              <w:autoSpaceDN w:val="0"/>
              <w:adjustRightInd w:val="0"/>
              <w:spacing w:line="320" w:lineRule="exact"/>
              <w:jc w:val="center"/>
              <w:rPr>
                <w:rFonts w:ascii="仿宋" w:hAnsi="仿宋" w:eastAsia="仿宋" w:cs="仿宋"/>
                <w:kern w:val="0"/>
                <w:sz w:val="24"/>
                <w:szCs w:val="24"/>
              </w:rPr>
            </w:pPr>
          </w:p>
        </w:tc>
      </w:tr>
      <w:tr w14:paraId="2FA478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top w:val="single" w:color="auto" w:sz="6" w:space="0"/>
              <w:left w:val="single" w:color="auto" w:sz="12" w:space="0"/>
            </w:tcBorders>
            <w:noWrap w:val="0"/>
            <w:vAlign w:val="center"/>
          </w:tcPr>
          <w:p w14:paraId="4544F0A2">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注册地址</w:t>
            </w:r>
          </w:p>
        </w:tc>
        <w:tc>
          <w:tcPr>
            <w:tcW w:w="3056" w:type="dxa"/>
            <w:gridSpan w:val="2"/>
            <w:tcBorders>
              <w:top w:val="single" w:color="auto" w:sz="6" w:space="0"/>
            </w:tcBorders>
            <w:noWrap w:val="0"/>
            <w:vAlign w:val="center"/>
          </w:tcPr>
          <w:p w14:paraId="077D2853">
            <w:pPr>
              <w:autoSpaceDE w:val="0"/>
              <w:autoSpaceDN w:val="0"/>
              <w:adjustRightInd w:val="0"/>
              <w:spacing w:line="320" w:lineRule="exact"/>
              <w:jc w:val="center"/>
              <w:rPr>
                <w:rFonts w:ascii="仿宋" w:hAnsi="仿宋" w:eastAsia="仿宋" w:cs="仿宋"/>
                <w:kern w:val="0"/>
                <w:sz w:val="24"/>
                <w:szCs w:val="24"/>
              </w:rPr>
            </w:pPr>
          </w:p>
        </w:tc>
        <w:tc>
          <w:tcPr>
            <w:tcW w:w="1417" w:type="dxa"/>
            <w:tcBorders>
              <w:top w:val="single" w:color="auto" w:sz="6" w:space="0"/>
            </w:tcBorders>
            <w:noWrap w:val="0"/>
            <w:vAlign w:val="center"/>
          </w:tcPr>
          <w:p w14:paraId="42B605BD">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成立时间</w:t>
            </w:r>
          </w:p>
        </w:tc>
        <w:tc>
          <w:tcPr>
            <w:tcW w:w="2958" w:type="dxa"/>
            <w:gridSpan w:val="2"/>
            <w:tcBorders>
              <w:top w:val="single" w:color="auto" w:sz="6" w:space="0"/>
              <w:right w:val="single" w:color="auto" w:sz="12" w:space="0"/>
            </w:tcBorders>
            <w:noWrap w:val="0"/>
            <w:vAlign w:val="center"/>
          </w:tcPr>
          <w:p w14:paraId="236D1DD4">
            <w:pPr>
              <w:autoSpaceDE w:val="0"/>
              <w:autoSpaceDN w:val="0"/>
              <w:adjustRightInd w:val="0"/>
              <w:spacing w:line="320" w:lineRule="exact"/>
              <w:jc w:val="center"/>
              <w:rPr>
                <w:rFonts w:ascii="仿宋" w:hAnsi="仿宋" w:eastAsia="仿宋" w:cs="仿宋"/>
                <w:kern w:val="0"/>
                <w:sz w:val="24"/>
                <w:szCs w:val="24"/>
              </w:rPr>
            </w:pPr>
          </w:p>
        </w:tc>
      </w:tr>
      <w:tr w14:paraId="502568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left w:val="single" w:color="auto" w:sz="12" w:space="0"/>
            </w:tcBorders>
            <w:noWrap w:val="0"/>
            <w:vAlign w:val="center"/>
          </w:tcPr>
          <w:p w14:paraId="20C486DD">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登记证号</w:t>
            </w:r>
          </w:p>
        </w:tc>
        <w:tc>
          <w:tcPr>
            <w:tcW w:w="3056" w:type="dxa"/>
            <w:gridSpan w:val="2"/>
            <w:noWrap w:val="0"/>
            <w:vAlign w:val="center"/>
          </w:tcPr>
          <w:p w14:paraId="31C583D2">
            <w:pPr>
              <w:autoSpaceDE w:val="0"/>
              <w:autoSpaceDN w:val="0"/>
              <w:adjustRightInd w:val="0"/>
              <w:spacing w:line="320" w:lineRule="exact"/>
              <w:jc w:val="center"/>
              <w:rPr>
                <w:rFonts w:ascii="仿宋" w:hAnsi="仿宋" w:eastAsia="仿宋" w:cs="仿宋"/>
                <w:kern w:val="0"/>
                <w:sz w:val="24"/>
                <w:szCs w:val="24"/>
              </w:rPr>
            </w:pPr>
          </w:p>
        </w:tc>
        <w:tc>
          <w:tcPr>
            <w:tcW w:w="1417" w:type="dxa"/>
            <w:noWrap w:val="0"/>
            <w:vAlign w:val="center"/>
          </w:tcPr>
          <w:p w14:paraId="4738099E">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单位性质</w:t>
            </w:r>
          </w:p>
        </w:tc>
        <w:tc>
          <w:tcPr>
            <w:tcW w:w="2958" w:type="dxa"/>
            <w:gridSpan w:val="2"/>
            <w:tcBorders>
              <w:right w:val="single" w:color="auto" w:sz="12" w:space="0"/>
            </w:tcBorders>
            <w:noWrap w:val="0"/>
            <w:vAlign w:val="center"/>
          </w:tcPr>
          <w:p w14:paraId="6064EF48">
            <w:pPr>
              <w:autoSpaceDE w:val="0"/>
              <w:autoSpaceDN w:val="0"/>
              <w:adjustRightInd w:val="0"/>
              <w:spacing w:line="320" w:lineRule="exact"/>
              <w:jc w:val="center"/>
              <w:rPr>
                <w:rFonts w:ascii="仿宋" w:hAnsi="仿宋" w:eastAsia="仿宋" w:cs="仿宋"/>
                <w:kern w:val="0"/>
                <w:sz w:val="24"/>
                <w:szCs w:val="24"/>
              </w:rPr>
            </w:pPr>
          </w:p>
        </w:tc>
      </w:tr>
      <w:tr w14:paraId="5B75BD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left w:val="single" w:color="auto" w:sz="12" w:space="0"/>
            </w:tcBorders>
            <w:noWrap w:val="0"/>
            <w:vAlign w:val="center"/>
          </w:tcPr>
          <w:p w14:paraId="6B4C264B">
            <w:pPr>
              <w:autoSpaceDE w:val="0"/>
              <w:autoSpaceDN w:val="0"/>
              <w:adjustRightInd w:val="0"/>
              <w:spacing w:line="32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法定代表人/负责人</w:t>
            </w:r>
          </w:p>
        </w:tc>
        <w:tc>
          <w:tcPr>
            <w:tcW w:w="3056" w:type="dxa"/>
            <w:gridSpan w:val="2"/>
            <w:noWrap w:val="0"/>
            <w:vAlign w:val="center"/>
          </w:tcPr>
          <w:p w14:paraId="4740D6BD">
            <w:pPr>
              <w:autoSpaceDE w:val="0"/>
              <w:autoSpaceDN w:val="0"/>
              <w:adjustRightInd w:val="0"/>
              <w:spacing w:line="320" w:lineRule="exact"/>
              <w:jc w:val="center"/>
              <w:rPr>
                <w:rFonts w:ascii="仿宋" w:hAnsi="仿宋" w:eastAsia="仿宋" w:cs="仿宋"/>
                <w:kern w:val="0"/>
                <w:sz w:val="24"/>
                <w:szCs w:val="24"/>
              </w:rPr>
            </w:pPr>
          </w:p>
        </w:tc>
        <w:tc>
          <w:tcPr>
            <w:tcW w:w="1417" w:type="dxa"/>
            <w:noWrap w:val="0"/>
            <w:vAlign w:val="center"/>
          </w:tcPr>
          <w:p w14:paraId="15419D71">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所属行业</w:t>
            </w:r>
          </w:p>
        </w:tc>
        <w:tc>
          <w:tcPr>
            <w:tcW w:w="2958" w:type="dxa"/>
            <w:gridSpan w:val="2"/>
            <w:tcBorders>
              <w:right w:val="single" w:color="auto" w:sz="12" w:space="0"/>
            </w:tcBorders>
            <w:noWrap w:val="0"/>
            <w:vAlign w:val="center"/>
          </w:tcPr>
          <w:p w14:paraId="064E8AE4">
            <w:pPr>
              <w:autoSpaceDE w:val="0"/>
              <w:autoSpaceDN w:val="0"/>
              <w:adjustRightInd w:val="0"/>
              <w:spacing w:line="320" w:lineRule="exact"/>
              <w:jc w:val="center"/>
              <w:rPr>
                <w:rFonts w:ascii="仿宋" w:hAnsi="仿宋" w:eastAsia="仿宋" w:cs="仿宋"/>
                <w:kern w:val="0"/>
                <w:sz w:val="24"/>
                <w:szCs w:val="24"/>
              </w:rPr>
            </w:pPr>
          </w:p>
        </w:tc>
      </w:tr>
      <w:tr w14:paraId="51402E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749" w:type="dxa"/>
            <w:tcBorders>
              <w:left w:val="single" w:color="auto" w:sz="12" w:space="0"/>
            </w:tcBorders>
            <w:noWrap w:val="0"/>
            <w:vAlign w:val="center"/>
          </w:tcPr>
          <w:p w14:paraId="23DE3CF6">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经营范围</w:t>
            </w:r>
          </w:p>
        </w:tc>
        <w:tc>
          <w:tcPr>
            <w:tcW w:w="7431" w:type="dxa"/>
            <w:gridSpan w:val="5"/>
            <w:tcBorders>
              <w:right w:val="single" w:color="auto" w:sz="12" w:space="0"/>
            </w:tcBorders>
            <w:noWrap w:val="0"/>
            <w:vAlign w:val="center"/>
          </w:tcPr>
          <w:p w14:paraId="5F8896CF">
            <w:pPr>
              <w:autoSpaceDE w:val="0"/>
              <w:autoSpaceDN w:val="0"/>
              <w:adjustRightInd w:val="0"/>
              <w:spacing w:line="320" w:lineRule="exact"/>
              <w:rPr>
                <w:rFonts w:ascii="仿宋" w:hAnsi="仿宋" w:eastAsia="仿宋" w:cs="仿宋"/>
                <w:kern w:val="0"/>
                <w:sz w:val="24"/>
                <w:szCs w:val="24"/>
              </w:rPr>
            </w:pPr>
          </w:p>
        </w:tc>
      </w:tr>
      <w:tr w14:paraId="62D309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65CE6E03">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人员情况</w:t>
            </w:r>
          </w:p>
        </w:tc>
      </w:tr>
      <w:tr w14:paraId="614E4A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vMerge w:val="restart"/>
            <w:tcBorders>
              <w:left w:val="single" w:color="auto" w:sz="12" w:space="0"/>
            </w:tcBorders>
            <w:noWrap w:val="0"/>
            <w:vAlign w:val="center"/>
          </w:tcPr>
          <w:p w14:paraId="4D20AD07">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从业人员总数</w:t>
            </w:r>
          </w:p>
        </w:tc>
        <w:tc>
          <w:tcPr>
            <w:tcW w:w="1523" w:type="dxa"/>
            <w:vMerge w:val="restart"/>
            <w:noWrap w:val="0"/>
            <w:vAlign w:val="center"/>
          </w:tcPr>
          <w:p w14:paraId="7873AEE7">
            <w:pPr>
              <w:autoSpaceDE w:val="0"/>
              <w:autoSpaceDN w:val="0"/>
              <w:adjustRightInd w:val="0"/>
              <w:spacing w:line="320" w:lineRule="exact"/>
              <w:jc w:val="center"/>
              <w:rPr>
                <w:rFonts w:ascii="仿宋" w:hAnsi="仿宋" w:eastAsia="仿宋" w:cs="仿宋"/>
                <w:kern w:val="0"/>
                <w:sz w:val="24"/>
                <w:szCs w:val="24"/>
              </w:rPr>
            </w:pPr>
          </w:p>
        </w:tc>
        <w:tc>
          <w:tcPr>
            <w:tcW w:w="1533" w:type="dxa"/>
            <w:noWrap w:val="0"/>
            <w:vAlign w:val="center"/>
          </w:tcPr>
          <w:p w14:paraId="0CE67190">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管理人员</w:t>
            </w:r>
          </w:p>
          <w:p w14:paraId="3541070F">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数量</w:t>
            </w:r>
          </w:p>
        </w:tc>
        <w:tc>
          <w:tcPr>
            <w:tcW w:w="1417" w:type="dxa"/>
            <w:noWrap w:val="0"/>
            <w:vAlign w:val="center"/>
          </w:tcPr>
          <w:p w14:paraId="34EC1568">
            <w:pPr>
              <w:autoSpaceDE w:val="0"/>
              <w:autoSpaceDN w:val="0"/>
              <w:adjustRightInd w:val="0"/>
              <w:spacing w:line="320" w:lineRule="exact"/>
              <w:jc w:val="center"/>
              <w:rPr>
                <w:rFonts w:ascii="仿宋" w:hAnsi="仿宋" w:eastAsia="仿宋" w:cs="仿宋"/>
                <w:kern w:val="0"/>
                <w:sz w:val="24"/>
                <w:szCs w:val="24"/>
              </w:rPr>
            </w:pPr>
          </w:p>
        </w:tc>
        <w:tc>
          <w:tcPr>
            <w:tcW w:w="1560" w:type="dxa"/>
            <w:noWrap w:val="0"/>
            <w:vAlign w:val="center"/>
          </w:tcPr>
          <w:p w14:paraId="3842EBEC">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专业技术</w:t>
            </w:r>
          </w:p>
          <w:p w14:paraId="6E77B001">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人员数量</w:t>
            </w:r>
          </w:p>
        </w:tc>
        <w:tc>
          <w:tcPr>
            <w:tcW w:w="1398" w:type="dxa"/>
            <w:tcBorders>
              <w:right w:val="single" w:color="auto" w:sz="12" w:space="0"/>
            </w:tcBorders>
            <w:noWrap w:val="0"/>
            <w:vAlign w:val="center"/>
          </w:tcPr>
          <w:p w14:paraId="1F1AC55A">
            <w:pPr>
              <w:autoSpaceDE w:val="0"/>
              <w:autoSpaceDN w:val="0"/>
              <w:adjustRightInd w:val="0"/>
              <w:spacing w:line="320" w:lineRule="exact"/>
              <w:jc w:val="center"/>
              <w:rPr>
                <w:rFonts w:ascii="仿宋" w:hAnsi="仿宋" w:eastAsia="仿宋" w:cs="仿宋"/>
                <w:bCs/>
                <w:kern w:val="0"/>
                <w:sz w:val="24"/>
                <w:szCs w:val="24"/>
              </w:rPr>
            </w:pPr>
          </w:p>
        </w:tc>
      </w:tr>
      <w:tr w14:paraId="16A86A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vMerge w:val="continue"/>
            <w:tcBorders>
              <w:left w:val="single" w:color="auto" w:sz="12" w:space="0"/>
              <w:bottom w:val="single" w:color="auto" w:sz="4" w:space="0"/>
            </w:tcBorders>
            <w:noWrap w:val="0"/>
            <w:vAlign w:val="center"/>
          </w:tcPr>
          <w:p w14:paraId="664A19B0">
            <w:pPr>
              <w:autoSpaceDE w:val="0"/>
              <w:autoSpaceDN w:val="0"/>
              <w:adjustRightInd w:val="0"/>
              <w:spacing w:line="320" w:lineRule="exact"/>
              <w:jc w:val="center"/>
              <w:rPr>
                <w:rFonts w:ascii="仿宋" w:hAnsi="仿宋" w:eastAsia="仿宋" w:cs="仿宋"/>
                <w:kern w:val="0"/>
                <w:sz w:val="24"/>
                <w:szCs w:val="24"/>
              </w:rPr>
            </w:pPr>
          </w:p>
        </w:tc>
        <w:tc>
          <w:tcPr>
            <w:tcW w:w="1523" w:type="dxa"/>
            <w:vMerge w:val="continue"/>
            <w:tcBorders>
              <w:bottom w:val="single" w:color="auto" w:sz="4" w:space="0"/>
            </w:tcBorders>
            <w:noWrap w:val="0"/>
            <w:vAlign w:val="center"/>
          </w:tcPr>
          <w:p w14:paraId="73EA1969">
            <w:pPr>
              <w:autoSpaceDE w:val="0"/>
              <w:autoSpaceDN w:val="0"/>
              <w:adjustRightInd w:val="0"/>
              <w:spacing w:line="320" w:lineRule="exact"/>
              <w:jc w:val="center"/>
              <w:rPr>
                <w:rFonts w:ascii="仿宋" w:hAnsi="仿宋" w:eastAsia="仿宋" w:cs="仿宋"/>
                <w:kern w:val="0"/>
                <w:sz w:val="24"/>
                <w:szCs w:val="24"/>
              </w:rPr>
            </w:pPr>
          </w:p>
        </w:tc>
        <w:tc>
          <w:tcPr>
            <w:tcW w:w="1533" w:type="dxa"/>
            <w:tcBorders>
              <w:bottom w:val="single" w:color="auto" w:sz="4" w:space="0"/>
            </w:tcBorders>
            <w:noWrap w:val="0"/>
            <w:vAlign w:val="center"/>
          </w:tcPr>
          <w:p w14:paraId="0421A14E">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残疾人人数</w:t>
            </w:r>
          </w:p>
        </w:tc>
        <w:tc>
          <w:tcPr>
            <w:tcW w:w="1417" w:type="dxa"/>
            <w:tcBorders>
              <w:bottom w:val="single" w:color="auto" w:sz="4" w:space="0"/>
            </w:tcBorders>
            <w:noWrap w:val="0"/>
            <w:vAlign w:val="center"/>
          </w:tcPr>
          <w:p w14:paraId="0EFD2634">
            <w:pPr>
              <w:autoSpaceDE w:val="0"/>
              <w:autoSpaceDN w:val="0"/>
              <w:adjustRightInd w:val="0"/>
              <w:spacing w:line="320" w:lineRule="exact"/>
              <w:jc w:val="center"/>
              <w:rPr>
                <w:rFonts w:ascii="仿宋" w:hAnsi="仿宋" w:eastAsia="仿宋" w:cs="仿宋"/>
                <w:kern w:val="0"/>
                <w:sz w:val="24"/>
                <w:szCs w:val="24"/>
              </w:rPr>
            </w:pPr>
          </w:p>
        </w:tc>
        <w:tc>
          <w:tcPr>
            <w:tcW w:w="1560" w:type="dxa"/>
            <w:tcBorders>
              <w:bottom w:val="single" w:color="auto" w:sz="4" w:space="0"/>
            </w:tcBorders>
            <w:noWrap w:val="0"/>
            <w:vAlign w:val="center"/>
          </w:tcPr>
          <w:p w14:paraId="034873AB">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少数民族</w:t>
            </w:r>
          </w:p>
          <w:p w14:paraId="16E06712">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人数</w:t>
            </w:r>
          </w:p>
        </w:tc>
        <w:tc>
          <w:tcPr>
            <w:tcW w:w="1398" w:type="dxa"/>
            <w:tcBorders>
              <w:bottom w:val="single" w:color="auto" w:sz="4" w:space="0"/>
              <w:right w:val="single" w:color="auto" w:sz="12" w:space="0"/>
            </w:tcBorders>
            <w:noWrap w:val="0"/>
            <w:vAlign w:val="center"/>
          </w:tcPr>
          <w:p w14:paraId="66D4A840">
            <w:pPr>
              <w:autoSpaceDE w:val="0"/>
              <w:autoSpaceDN w:val="0"/>
              <w:adjustRightInd w:val="0"/>
              <w:spacing w:line="320" w:lineRule="exact"/>
              <w:jc w:val="center"/>
              <w:rPr>
                <w:rFonts w:ascii="仿宋" w:hAnsi="仿宋" w:eastAsia="仿宋" w:cs="仿宋"/>
                <w:bCs/>
                <w:kern w:val="0"/>
                <w:sz w:val="24"/>
                <w:szCs w:val="24"/>
              </w:rPr>
            </w:pPr>
          </w:p>
        </w:tc>
      </w:tr>
      <w:tr w14:paraId="5B63E2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591C39E9">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存在直接控股、管理关系的相关供应商</w:t>
            </w:r>
          </w:p>
        </w:tc>
      </w:tr>
      <w:tr w14:paraId="7AE76C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7FFD13C7">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bCs/>
                <w:kern w:val="0"/>
                <w:sz w:val="24"/>
                <w:szCs w:val="24"/>
              </w:rPr>
              <w:t>关系</w:t>
            </w:r>
          </w:p>
        </w:tc>
        <w:tc>
          <w:tcPr>
            <w:tcW w:w="7431" w:type="dxa"/>
            <w:gridSpan w:val="5"/>
            <w:tcBorders>
              <w:right w:val="single" w:color="auto" w:sz="12" w:space="0"/>
            </w:tcBorders>
            <w:noWrap w:val="0"/>
            <w:vAlign w:val="center"/>
          </w:tcPr>
          <w:p w14:paraId="7BD70DD8">
            <w:pPr>
              <w:autoSpaceDE w:val="0"/>
              <w:autoSpaceDN w:val="0"/>
              <w:adjustRightInd w:val="0"/>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rPr>
              <w:t>供应商名称</w:t>
            </w:r>
          </w:p>
        </w:tc>
      </w:tr>
      <w:tr w14:paraId="279FE2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1514DB59">
            <w:pPr>
              <w:autoSpaceDE w:val="0"/>
              <w:autoSpaceDN w:val="0"/>
              <w:adjustRightInd w:val="0"/>
              <w:spacing w:line="320" w:lineRule="exact"/>
              <w:jc w:val="center"/>
              <w:rPr>
                <w:rFonts w:ascii="仿宋" w:hAnsi="仿宋" w:eastAsia="仿宋" w:cs="仿宋"/>
                <w:kern w:val="0"/>
                <w:sz w:val="24"/>
                <w:szCs w:val="24"/>
              </w:rPr>
            </w:pPr>
          </w:p>
        </w:tc>
        <w:tc>
          <w:tcPr>
            <w:tcW w:w="7431" w:type="dxa"/>
            <w:gridSpan w:val="5"/>
            <w:tcBorders>
              <w:right w:val="single" w:color="auto" w:sz="12" w:space="0"/>
            </w:tcBorders>
            <w:noWrap w:val="0"/>
            <w:vAlign w:val="center"/>
          </w:tcPr>
          <w:p w14:paraId="349F0F8A">
            <w:pPr>
              <w:autoSpaceDE w:val="0"/>
              <w:autoSpaceDN w:val="0"/>
              <w:adjustRightInd w:val="0"/>
              <w:spacing w:line="320" w:lineRule="exact"/>
              <w:rPr>
                <w:rFonts w:ascii="仿宋" w:hAnsi="仿宋" w:eastAsia="仿宋" w:cs="仿宋"/>
                <w:bCs/>
                <w:kern w:val="0"/>
                <w:sz w:val="24"/>
                <w:szCs w:val="24"/>
              </w:rPr>
            </w:pPr>
          </w:p>
        </w:tc>
      </w:tr>
      <w:tr w14:paraId="05653B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5A47A269">
            <w:pPr>
              <w:autoSpaceDE w:val="0"/>
              <w:autoSpaceDN w:val="0"/>
              <w:adjustRightInd w:val="0"/>
              <w:spacing w:line="320" w:lineRule="exact"/>
              <w:jc w:val="center"/>
              <w:rPr>
                <w:rFonts w:ascii="仿宋" w:hAnsi="仿宋" w:eastAsia="仿宋" w:cs="仿宋"/>
                <w:kern w:val="0"/>
                <w:sz w:val="24"/>
                <w:szCs w:val="24"/>
              </w:rPr>
            </w:pPr>
          </w:p>
        </w:tc>
        <w:tc>
          <w:tcPr>
            <w:tcW w:w="7431" w:type="dxa"/>
            <w:gridSpan w:val="5"/>
            <w:tcBorders>
              <w:right w:val="single" w:color="auto" w:sz="12" w:space="0"/>
            </w:tcBorders>
            <w:noWrap w:val="0"/>
            <w:vAlign w:val="center"/>
          </w:tcPr>
          <w:p w14:paraId="41578732">
            <w:pPr>
              <w:autoSpaceDE w:val="0"/>
              <w:autoSpaceDN w:val="0"/>
              <w:adjustRightInd w:val="0"/>
              <w:spacing w:line="320" w:lineRule="exact"/>
              <w:rPr>
                <w:rFonts w:ascii="仿宋" w:hAnsi="仿宋" w:eastAsia="仿宋" w:cs="仿宋"/>
                <w:bCs/>
                <w:kern w:val="0"/>
                <w:sz w:val="24"/>
                <w:szCs w:val="24"/>
              </w:rPr>
            </w:pPr>
          </w:p>
        </w:tc>
      </w:tr>
      <w:tr w14:paraId="626E74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08403739">
            <w:pPr>
              <w:autoSpaceDE w:val="0"/>
              <w:autoSpaceDN w:val="0"/>
              <w:adjustRightInd w:val="0"/>
              <w:spacing w:line="320" w:lineRule="exact"/>
              <w:jc w:val="center"/>
              <w:rPr>
                <w:rFonts w:ascii="仿宋" w:hAnsi="仿宋" w:eastAsia="仿宋" w:cs="仿宋"/>
                <w:kern w:val="0"/>
                <w:sz w:val="24"/>
                <w:szCs w:val="24"/>
              </w:rPr>
            </w:pPr>
          </w:p>
        </w:tc>
        <w:tc>
          <w:tcPr>
            <w:tcW w:w="7431" w:type="dxa"/>
            <w:gridSpan w:val="5"/>
            <w:tcBorders>
              <w:right w:val="single" w:color="auto" w:sz="12" w:space="0"/>
            </w:tcBorders>
            <w:noWrap w:val="0"/>
            <w:vAlign w:val="center"/>
          </w:tcPr>
          <w:p w14:paraId="74C93037">
            <w:pPr>
              <w:autoSpaceDE w:val="0"/>
              <w:autoSpaceDN w:val="0"/>
              <w:adjustRightInd w:val="0"/>
              <w:spacing w:line="320" w:lineRule="exact"/>
              <w:rPr>
                <w:rFonts w:ascii="仿宋" w:hAnsi="仿宋" w:eastAsia="仿宋" w:cs="仿宋"/>
                <w:bCs/>
                <w:kern w:val="0"/>
                <w:sz w:val="24"/>
                <w:szCs w:val="24"/>
              </w:rPr>
            </w:pPr>
          </w:p>
        </w:tc>
      </w:tr>
      <w:tr w14:paraId="0E3D18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27" w:hRule="atLeast"/>
          <w:jc w:val="center"/>
        </w:trPr>
        <w:tc>
          <w:tcPr>
            <w:tcW w:w="1749" w:type="dxa"/>
            <w:tcBorders>
              <w:left w:val="single" w:color="auto" w:sz="12" w:space="0"/>
              <w:bottom w:val="single" w:color="auto" w:sz="12" w:space="0"/>
            </w:tcBorders>
            <w:noWrap w:val="0"/>
            <w:vAlign w:val="center"/>
          </w:tcPr>
          <w:p w14:paraId="1C047C4C">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说明</w:t>
            </w:r>
          </w:p>
        </w:tc>
        <w:tc>
          <w:tcPr>
            <w:tcW w:w="7431" w:type="dxa"/>
            <w:gridSpan w:val="5"/>
            <w:tcBorders>
              <w:bottom w:val="single" w:color="auto" w:sz="12" w:space="0"/>
              <w:right w:val="single" w:color="auto" w:sz="12" w:space="0"/>
            </w:tcBorders>
            <w:noWrap w:val="0"/>
            <w:vAlign w:val="center"/>
          </w:tcPr>
          <w:p w14:paraId="65D73BAE">
            <w:pPr>
              <w:numPr>
                <w:ilvl w:val="0"/>
                <w:numId w:val="7"/>
              </w:numPr>
              <w:spacing w:line="320" w:lineRule="exact"/>
              <w:rPr>
                <w:rFonts w:ascii="仿宋" w:hAnsi="仿宋" w:eastAsia="仿宋" w:cs="仿宋"/>
                <w:sz w:val="24"/>
                <w:szCs w:val="24"/>
              </w:rPr>
            </w:pPr>
            <w:r>
              <w:rPr>
                <w:rFonts w:hint="eastAsia" w:ascii="仿宋" w:hAnsi="仿宋" w:eastAsia="仿宋" w:cs="仿宋"/>
                <w:sz w:val="24"/>
                <w:szCs w:val="24"/>
              </w:rPr>
              <w:t>登记证号指营业执照中的登记号。</w:t>
            </w:r>
          </w:p>
          <w:p w14:paraId="67777104">
            <w:pPr>
              <w:numPr>
                <w:ilvl w:val="0"/>
                <w:numId w:val="7"/>
              </w:numPr>
              <w:spacing w:line="320" w:lineRule="exact"/>
              <w:rPr>
                <w:rFonts w:ascii="仿宋" w:hAnsi="仿宋" w:eastAsia="仿宋" w:cs="仿宋"/>
                <w:sz w:val="24"/>
                <w:szCs w:val="24"/>
              </w:rPr>
            </w:pPr>
            <w:r>
              <w:rPr>
                <w:rFonts w:hint="eastAsia" w:ascii="仿宋" w:hAnsi="仿宋" w:eastAsia="仿宋" w:cs="仿宋"/>
                <w:sz w:val="24"/>
                <w:szCs w:val="24"/>
              </w:rPr>
              <w:t>供应商应如实填写上述信息。</w:t>
            </w:r>
          </w:p>
          <w:p w14:paraId="58D93B67">
            <w:pPr>
              <w:spacing w:line="320" w:lineRule="exact"/>
            </w:pPr>
            <w:r>
              <w:rPr>
                <w:rFonts w:hint="eastAsia" w:ascii="仿宋" w:hAnsi="仿宋" w:eastAsia="仿宋" w:cs="仿宋"/>
                <w:sz w:val="24"/>
                <w:szCs w:val="24"/>
              </w:rPr>
              <w:t>3、供应商为</w:t>
            </w:r>
            <w:r>
              <w:rPr>
                <w:rFonts w:hint="eastAsia" w:ascii="仿宋" w:hAnsi="仿宋" w:eastAsia="仿宋" w:cs="仿宋"/>
                <w:sz w:val="24"/>
                <w:szCs w:val="24"/>
                <w:lang w:val="en-US" w:eastAsia="zh-CN"/>
              </w:rPr>
              <w:t>中小微</w:t>
            </w:r>
            <w:r>
              <w:rPr>
                <w:rFonts w:hint="eastAsia" w:ascii="仿宋" w:hAnsi="仿宋" w:eastAsia="仿宋" w:cs="仿宋"/>
                <w:sz w:val="24"/>
                <w:szCs w:val="24"/>
              </w:rPr>
              <w:t>企业、监狱企业、残疾人福利企业的按以下证明材料格式提供相应证明。</w:t>
            </w:r>
          </w:p>
        </w:tc>
      </w:tr>
    </w:tbl>
    <w:p w14:paraId="4D44BC6C">
      <w:pPr>
        <w:spacing w:line="500" w:lineRule="exact"/>
        <w:ind w:firstLine="561" w:firstLineChars="200"/>
        <w:rPr>
          <w:b/>
        </w:rPr>
      </w:pPr>
    </w:p>
    <w:p w14:paraId="4C7EAF7B">
      <w:pPr>
        <w:spacing w:line="500" w:lineRule="exact"/>
        <w:ind w:firstLine="561" w:firstLineChars="200"/>
        <w:rPr>
          <w:b/>
          <w:color w:val="FF0000"/>
        </w:rPr>
      </w:pPr>
    </w:p>
    <w:p w14:paraId="600515CC">
      <w:pPr>
        <w:pStyle w:val="4"/>
        <w:rPr>
          <w:b/>
          <w:color w:val="FF0000"/>
        </w:rPr>
      </w:pPr>
    </w:p>
    <w:p w14:paraId="1D0C65CA">
      <w:pPr>
        <w:pStyle w:val="4"/>
        <w:rPr>
          <w:b/>
          <w:color w:val="FF0000"/>
        </w:rPr>
      </w:pPr>
    </w:p>
    <w:p w14:paraId="0C4C2E49">
      <w:pPr>
        <w:pStyle w:val="4"/>
        <w:rPr>
          <w:b/>
          <w:color w:val="FF0000"/>
        </w:rPr>
      </w:pPr>
    </w:p>
    <w:p w14:paraId="5216329A">
      <w:pPr>
        <w:pStyle w:val="4"/>
        <w:rPr>
          <w:b/>
          <w:color w:val="FF0000"/>
        </w:rPr>
      </w:pPr>
    </w:p>
    <w:p w14:paraId="4D658FA1">
      <w:pPr>
        <w:pStyle w:val="4"/>
        <w:rPr>
          <w:b/>
          <w:color w:val="FF0000"/>
        </w:rPr>
      </w:pPr>
    </w:p>
    <w:p w14:paraId="6571F6BE">
      <w:pPr>
        <w:spacing w:line="500" w:lineRule="exact"/>
        <w:ind w:firstLine="561" w:firstLineChars="200"/>
        <w:rPr>
          <w:b/>
        </w:rPr>
      </w:pPr>
      <w:r>
        <w:rPr>
          <w:rFonts w:hint="eastAsia"/>
          <w:b/>
        </w:rPr>
        <w:t>（二）供应商性质</w:t>
      </w:r>
    </w:p>
    <w:p w14:paraId="771E94D1">
      <w:pPr>
        <w:spacing w:line="500" w:lineRule="exact"/>
        <w:ind w:firstLine="560" w:firstLineChars="200"/>
      </w:pPr>
      <w:r>
        <w:rPr>
          <w:rFonts w:hint="eastAsia"/>
        </w:rPr>
        <w:t>中小企业、残疾人福利性单位参与</w:t>
      </w:r>
      <w:r>
        <w:rPr>
          <w:rFonts w:hint="eastAsia"/>
          <w:lang w:val="en-US" w:eastAsia="zh-CN"/>
        </w:rPr>
        <w:t>投标</w:t>
      </w:r>
      <w:r>
        <w:rPr>
          <w:rFonts w:hint="eastAsia"/>
        </w:rPr>
        <w:t>时，应提供声明函（按下文给定格式）。未提供或未按给定格式提供</w:t>
      </w:r>
      <w:r>
        <w:rPr>
          <w:rFonts w:hint="eastAsia"/>
          <w:b/>
          <w:bCs/>
        </w:rPr>
        <w:t>声明函</w:t>
      </w:r>
      <w:r>
        <w:rPr>
          <w:rFonts w:hint="eastAsia"/>
        </w:rPr>
        <w:t>的，其</w:t>
      </w:r>
      <w:r>
        <w:rPr>
          <w:rFonts w:hint="eastAsia"/>
          <w:lang w:val="en-US" w:eastAsia="zh-CN"/>
        </w:rPr>
        <w:t>投标</w:t>
      </w:r>
      <w:r>
        <w:rPr>
          <w:rFonts w:hint="eastAsia"/>
        </w:rPr>
        <w:t>产品中的小型、微型企业产品、残疾人福利性单位生产的产品将不能享受</w:t>
      </w:r>
      <w:r>
        <w:rPr>
          <w:rFonts w:hint="eastAsia"/>
          <w:lang w:eastAsia="zh-CN"/>
        </w:rPr>
        <w:t>招标文件</w:t>
      </w:r>
      <w:r>
        <w:rPr>
          <w:rFonts w:hint="eastAsia"/>
        </w:rPr>
        <w:t>规定的价格扣除，但不影响</w:t>
      </w:r>
      <w:r>
        <w:rPr>
          <w:rFonts w:hint="eastAsia"/>
          <w:lang w:eastAsia="zh-CN"/>
        </w:rPr>
        <w:t>招标文件</w:t>
      </w:r>
      <w:r>
        <w:rPr>
          <w:rFonts w:hint="eastAsia"/>
        </w:rPr>
        <w:t>的有效性。</w:t>
      </w:r>
    </w:p>
    <w:p w14:paraId="322C8576">
      <w:pPr>
        <w:spacing w:line="500" w:lineRule="exact"/>
        <w:ind w:firstLine="560" w:firstLineChars="200"/>
      </w:pPr>
      <w:r>
        <w:rPr>
          <w:rFonts w:hint="eastAsia"/>
        </w:rPr>
        <w:t>监狱企业</w:t>
      </w:r>
      <w:r>
        <w:rPr>
          <w:rFonts w:hint="eastAsia"/>
          <w:lang w:val="en-US" w:eastAsia="zh-CN"/>
        </w:rPr>
        <w:t>投标</w:t>
      </w:r>
      <w:r>
        <w:rPr>
          <w:rFonts w:hint="eastAsia"/>
        </w:rPr>
        <w:t>时，应当提供由省级以上监狱管理局、戒毒管理局（含新疆生产建设兵团）出具的属于监狱企业的</w:t>
      </w:r>
      <w:r>
        <w:rPr>
          <w:rFonts w:hint="eastAsia"/>
          <w:b/>
          <w:bCs/>
        </w:rPr>
        <w:t>证明文件</w:t>
      </w:r>
      <w:r>
        <w:rPr>
          <w:rFonts w:hint="eastAsia"/>
        </w:rPr>
        <w:t>（格式不做要求）复印件加盖公章。未提供证明文件的不能享受</w:t>
      </w:r>
      <w:r>
        <w:rPr>
          <w:rFonts w:hint="eastAsia"/>
          <w:lang w:eastAsia="zh-CN"/>
        </w:rPr>
        <w:t>招标文件</w:t>
      </w:r>
      <w:r>
        <w:rPr>
          <w:rFonts w:hint="eastAsia"/>
        </w:rPr>
        <w:t>规定的价格扣除，但不影响</w:t>
      </w:r>
      <w:r>
        <w:rPr>
          <w:rFonts w:hint="eastAsia"/>
          <w:lang w:eastAsia="zh-CN"/>
        </w:rPr>
        <w:t>招标文件</w:t>
      </w:r>
      <w:r>
        <w:rPr>
          <w:rFonts w:hint="eastAsia"/>
        </w:rPr>
        <w:t>的有效性。</w:t>
      </w:r>
    </w:p>
    <w:p w14:paraId="04D5DA38">
      <w:pPr>
        <w:spacing w:line="500" w:lineRule="exact"/>
        <w:ind w:firstLine="561" w:firstLineChars="200"/>
        <w:rPr>
          <w:b/>
          <w:bCs/>
        </w:rPr>
      </w:pPr>
      <w:r>
        <w:rPr>
          <w:rFonts w:hint="eastAsia"/>
          <w:b/>
          <w:bCs/>
        </w:rPr>
        <w:t>特别提醒：供应商性质（声明函或证明文件）将随成交公告一同公布，接受社会监督。</w:t>
      </w:r>
    </w:p>
    <w:p w14:paraId="54968049">
      <w:pPr>
        <w:tabs>
          <w:tab w:val="left" w:pos="5670"/>
        </w:tabs>
        <w:spacing w:line="240" w:lineRule="auto"/>
        <w:ind w:firstLine="1051" w:firstLineChars="350"/>
        <w:jc w:val="center"/>
        <w:rPr>
          <w:b/>
          <w:color w:val="000000"/>
          <w:sz w:val="30"/>
          <w:szCs w:val="30"/>
        </w:rPr>
      </w:pPr>
      <w:r>
        <w:rPr>
          <w:b/>
          <w:color w:val="FF0000"/>
          <w:sz w:val="30"/>
          <w:szCs w:val="30"/>
        </w:rPr>
        <w:br w:type="page"/>
      </w:r>
    </w:p>
    <w:p w14:paraId="57AEA7E4">
      <w:pPr>
        <w:tabs>
          <w:tab w:val="left" w:pos="5670"/>
        </w:tabs>
        <w:spacing w:line="240" w:lineRule="auto"/>
        <w:ind w:firstLine="1051" w:firstLineChars="350"/>
        <w:jc w:val="center"/>
        <w:rPr>
          <w:b/>
          <w:color w:val="000000"/>
          <w:sz w:val="30"/>
          <w:szCs w:val="30"/>
        </w:rPr>
      </w:pPr>
      <w:r>
        <w:rPr>
          <w:rFonts w:hint="eastAsia"/>
          <w:b/>
          <w:sz w:val="30"/>
          <w:szCs w:val="30"/>
        </w:rPr>
        <w:t>中小企业声明函</w:t>
      </w:r>
      <w:r>
        <w:rPr>
          <w:rFonts w:hint="eastAsia"/>
          <w:b/>
          <w:color w:val="000000"/>
          <w:sz w:val="30"/>
          <w:szCs w:val="30"/>
        </w:rPr>
        <w:t>（格式）</w:t>
      </w:r>
    </w:p>
    <w:p w14:paraId="72378056">
      <w:pPr>
        <w:spacing w:line="500" w:lineRule="exact"/>
        <w:ind w:firstLine="560" w:firstLineChars="200"/>
        <w:rPr>
          <w:color w:val="FF0000"/>
        </w:rPr>
      </w:pPr>
      <w:r>
        <w:rPr>
          <w:rFonts w:hint="eastAsia"/>
          <w:color w:val="000000"/>
        </w:rPr>
        <w:t>本公司郑重声明，根据《政府采购促进中小企业</w:t>
      </w:r>
      <w:r>
        <w:rPr>
          <w:rFonts w:hint="eastAsia"/>
        </w:rPr>
        <w:t>发展管理办法》（财库[2020]46号）的规定，本公司参加</w:t>
      </w:r>
      <w:r>
        <w:rPr>
          <w:rFonts w:hint="eastAsia"/>
          <w:u w:val="single"/>
        </w:rPr>
        <w:t xml:space="preserve">   （单位名称）   </w:t>
      </w:r>
      <w:r>
        <w:rPr>
          <w:rFonts w:hint="eastAsia"/>
        </w:rPr>
        <w:t>的</w:t>
      </w:r>
      <w:r>
        <w:rPr>
          <w:rFonts w:hint="eastAsia"/>
          <w:u w:val="single"/>
        </w:rPr>
        <w:t xml:space="preserve">   （项目名称）    </w:t>
      </w:r>
      <w:r>
        <w:rPr>
          <w:rFonts w:hint="eastAsia"/>
        </w:rPr>
        <w:t>采购活动，提供的货物全部由符合政策要求的中小企业承接。相关企业的具体情况如下：</w:t>
      </w:r>
    </w:p>
    <w:p w14:paraId="1BE4476A">
      <w:pPr>
        <w:spacing w:line="500" w:lineRule="exact"/>
        <w:ind w:firstLine="560" w:firstLineChars="200"/>
      </w:pPr>
      <w:r>
        <w:rPr>
          <w:rFonts w:hint="eastAsia"/>
        </w:rPr>
        <w:t>1.</w:t>
      </w:r>
      <w:r>
        <w:rPr>
          <w:rFonts w:hint="eastAsia"/>
          <w:u w:val="single"/>
        </w:rPr>
        <w:t xml:space="preserve">  （标的名称）   </w:t>
      </w:r>
      <w:r>
        <w:rPr>
          <w:rFonts w:hint="eastAsia"/>
        </w:rPr>
        <w:t>，属于</w:t>
      </w:r>
      <w:r>
        <w:rPr>
          <w:rFonts w:hint="eastAsia"/>
          <w:u w:val="single"/>
        </w:rPr>
        <w:t xml:space="preserve">   （采购文件中明确的所属行业） </w:t>
      </w:r>
      <w:r>
        <w:rPr>
          <w:rFonts w:hint="eastAsia"/>
        </w:rPr>
        <w:t>行业；制造商为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rPr>
          <w:rFonts w:hint="eastAsia"/>
          <w:vertAlign w:val="superscript"/>
        </w:rPr>
        <w:t>1</w:t>
      </w:r>
      <w:r>
        <w:rPr>
          <w:rFonts w:hint="eastAsia"/>
        </w:rPr>
        <w:t>，属于</w:t>
      </w:r>
      <w:r>
        <w:rPr>
          <w:rFonts w:hint="eastAsia"/>
          <w:u w:val="single"/>
        </w:rPr>
        <w:t xml:space="preserve">  （中型企业、小型企业、微型企业）</w:t>
      </w:r>
      <w:r>
        <w:rPr>
          <w:rFonts w:hint="eastAsia"/>
        </w:rPr>
        <w:t>；</w:t>
      </w:r>
    </w:p>
    <w:p w14:paraId="6C73F469">
      <w:pPr>
        <w:pStyle w:val="4"/>
        <w:ind w:firstLine="548" w:firstLineChars="196"/>
      </w:pPr>
      <w:r>
        <w:rPr>
          <w:rFonts w:hint="eastAsia"/>
        </w:rPr>
        <w:t>以上企业，不属于大企业的分支机构，不存在控股股东为大企业情形，也不存在与大企业的负责人为同一人的情形。</w:t>
      </w:r>
    </w:p>
    <w:p w14:paraId="1848BEE9">
      <w:pPr>
        <w:spacing w:line="500" w:lineRule="exact"/>
        <w:ind w:firstLine="560" w:firstLineChars="200"/>
      </w:pPr>
      <w:r>
        <w:rPr>
          <w:rFonts w:hint="eastAsia"/>
        </w:rPr>
        <w:t>本公司对上述声明内容的真实性负责。如有虚假，将依法承担相应责任。</w:t>
      </w:r>
    </w:p>
    <w:p w14:paraId="36562FCC">
      <w:pPr>
        <w:spacing w:line="500" w:lineRule="exact"/>
        <w:ind w:right="572"/>
      </w:pPr>
    </w:p>
    <w:p w14:paraId="3B6C3283">
      <w:pPr>
        <w:spacing w:line="500" w:lineRule="exact"/>
        <w:ind w:right="572"/>
      </w:pPr>
      <w:r>
        <w:rPr>
          <w:rFonts w:hint="eastAsia"/>
        </w:rPr>
        <w:t>供应商全称</w:t>
      </w:r>
      <w:r>
        <w:t>：</w:t>
      </w:r>
      <w:r>
        <w:rPr>
          <w:rFonts w:hint="eastAsia"/>
        </w:rPr>
        <w:t>（公章）</w:t>
      </w:r>
    </w:p>
    <w:p w14:paraId="1F983810">
      <w:pPr>
        <w:pStyle w:val="4"/>
      </w:pPr>
    </w:p>
    <w:p w14:paraId="4E3A39AC">
      <w:pPr>
        <w:spacing w:line="500" w:lineRule="exact"/>
        <w:rPr>
          <w:rFonts w:ascii="仿宋" w:hAnsi="仿宋" w:eastAsia="仿宋" w:cs="仿宋"/>
        </w:rPr>
      </w:pPr>
      <w:r>
        <w:rPr>
          <w:rFonts w:hint="eastAsia" w:ascii="仿宋" w:hAnsi="仿宋" w:eastAsia="仿宋" w:cs="仿宋"/>
        </w:rPr>
        <w:t>法定代表人或授权代表（签字）：</w:t>
      </w:r>
    </w:p>
    <w:p w14:paraId="0E3C7581">
      <w:pPr>
        <w:spacing w:line="500" w:lineRule="exact"/>
        <w:ind w:firstLine="6440" w:firstLineChars="2300"/>
        <w:rPr>
          <w:rFonts w:ascii="仿宋" w:hAnsi="仿宋" w:eastAsia="仿宋" w:cs="仿宋"/>
        </w:rPr>
      </w:pPr>
      <w:r>
        <w:rPr>
          <w:rFonts w:hint="eastAsia"/>
        </w:rPr>
        <w:t>年　  月　  日</w:t>
      </w:r>
    </w:p>
    <w:p w14:paraId="7EE6685D">
      <w:pPr>
        <w:tabs>
          <w:tab w:val="left" w:pos="5670"/>
        </w:tabs>
        <w:spacing w:line="240" w:lineRule="auto"/>
        <w:jc w:val="left"/>
        <w:rPr>
          <w:rFonts w:ascii="宋体" w:hAnsi="宋体" w:eastAsia="宋体" w:cs="宋体"/>
          <w:b/>
          <w:bCs/>
          <w:sz w:val="21"/>
          <w:szCs w:val="21"/>
        </w:rPr>
      </w:pPr>
      <w:r>
        <w:rPr>
          <w:rFonts w:hint="eastAsia" w:ascii="宋体" w:hAnsi="宋体" w:eastAsia="宋体" w:cs="宋体"/>
          <w:b/>
          <w:bCs/>
          <w:sz w:val="21"/>
          <w:szCs w:val="21"/>
        </w:rPr>
        <w:t>备注：</w:t>
      </w:r>
      <w:r>
        <w:rPr>
          <w:rFonts w:hint="eastAsia" w:ascii="宋体" w:hAnsi="宋体" w:eastAsia="宋体" w:cs="宋体"/>
          <w:bCs/>
          <w:sz w:val="18"/>
          <w:szCs w:val="18"/>
        </w:rPr>
        <w:t>1、</w:t>
      </w:r>
      <w:r>
        <w:rPr>
          <w:rFonts w:hint="eastAsia" w:ascii="宋体" w:hAnsi="宋体" w:eastAsia="宋体" w:cs="宋体"/>
          <w:bCs/>
          <w:sz w:val="18"/>
          <w:szCs w:val="18"/>
          <w:vertAlign w:val="superscript"/>
        </w:rPr>
        <w:t>1</w:t>
      </w:r>
      <w:r>
        <w:rPr>
          <w:rFonts w:hint="eastAsia" w:ascii="宋体" w:hAnsi="宋体" w:eastAsia="宋体" w:cs="宋体"/>
          <w:bCs/>
          <w:sz w:val="18"/>
          <w:szCs w:val="18"/>
        </w:rPr>
        <w:t>从业人员、营业收入、资产总额填报上一年度数据，无上一年度数据的新成立企业可不填报；</w:t>
      </w:r>
    </w:p>
    <w:p w14:paraId="6F3636E1">
      <w:pPr>
        <w:tabs>
          <w:tab w:val="left" w:pos="5670"/>
        </w:tabs>
        <w:spacing w:line="240" w:lineRule="auto"/>
        <w:ind w:firstLine="630" w:firstLineChars="350"/>
        <w:jc w:val="left"/>
        <w:rPr>
          <w:rFonts w:ascii="宋体" w:hAnsi="宋体" w:eastAsia="宋体" w:cs="宋体"/>
          <w:bCs/>
          <w:sz w:val="18"/>
          <w:szCs w:val="18"/>
        </w:rPr>
      </w:pPr>
      <w:r>
        <w:rPr>
          <w:rFonts w:ascii="宋体" w:hAnsi="宋体" w:eastAsia="宋体" w:cs="宋体"/>
          <w:bCs/>
          <w:sz w:val="18"/>
          <w:szCs w:val="18"/>
        </w:rPr>
        <w:t>2、</w:t>
      </w:r>
      <w:r>
        <w:rPr>
          <w:rFonts w:hint="eastAsia" w:ascii="宋体" w:hAnsi="宋体" w:eastAsia="宋体" w:cs="宋体"/>
          <w:bCs/>
          <w:sz w:val="18"/>
          <w:szCs w:val="18"/>
        </w:rPr>
        <w:t>填写前请认真阅读《工业和信息化部、国家统计局、国家发展和改革委员会、财政部关于印发中小企业划型标准规定的通知》（工信部联企业</w:t>
      </w:r>
      <w:r>
        <w:rPr>
          <w:rFonts w:ascii="宋体" w:hAnsi="宋体" w:eastAsia="宋体" w:cs="宋体"/>
          <w:bCs/>
          <w:sz w:val="18"/>
          <w:szCs w:val="18"/>
        </w:rPr>
        <w:t xml:space="preserve">[2011]300号）和《财政部 </w:t>
      </w:r>
      <w:r>
        <w:rPr>
          <w:rFonts w:hint="eastAsia" w:ascii="宋体" w:hAnsi="宋体" w:eastAsia="宋体" w:cs="宋体"/>
          <w:bCs/>
          <w:sz w:val="18"/>
          <w:szCs w:val="18"/>
        </w:rPr>
        <w:t>工业和信息化部关于印发政府采购促进中小企业发展管理办法的通知》</w:t>
      </w:r>
      <w:r>
        <w:rPr>
          <w:rFonts w:ascii="宋体" w:hAnsi="宋体" w:eastAsia="宋体" w:cs="宋体"/>
          <w:bCs/>
          <w:sz w:val="18"/>
          <w:szCs w:val="18"/>
        </w:rPr>
        <w:t>(财库[2020]46号)相关规定；</w:t>
      </w:r>
    </w:p>
    <w:p w14:paraId="19B056EF">
      <w:pPr>
        <w:tabs>
          <w:tab w:val="left" w:pos="5670"/>
        </w:tabs>
        <w:spacing w:line="240" w:lineRule="auto"/>
        <w:ind w:firstLine="630" w:firstLineChars="350"/>
        <w:jc w:val="left"/>
        <w:rPr>
          <w:rFonts w:ascii="宋体" w:hAnsi="宋体" w:eastAsia="宋体" w:cs="宋体"/>
          <w:bCs/>
          <w:sz w:val="18"/>
          <w:szCs w:val="18"/>
        </w:rPr>
      </w:pPr>
      <w:r>
        <w:rPr>
          <w:rFonts w:hint="eastAsia" w:ascii="宋体" w:hAnsi="宋体" w:eastAsia="宋体" w:cs="宋体"/>
          <w:bCs/>
          <w:sz w:val="18"/>
          <w:szCs w:val="18"/>
        </w:rPr>
        <w:t>3、成交供应商享受中小企业扶持政策的，采购人、采购代理机构将随成交结果公开成交供应商的《中小企业声明函》，接受社会监督；</w:t>
      </w:r>
    </w:p>
    <w:p w14:paraId="54D5C5DE">
      <w:pPr>
        <w:tabs>
          <w:tab w:val="left" w:pos="5670"/>
        </w:tabs>
        <w:spacing w:line="240" w:lineRule="auto"/>
        <w:ind w:firstLine="630" w:firstLineChars="350"/>
        <w:jc w:val="left"/>
        <w:rPr>
          <w:rFonts w:hint="eastAsia" w:ascii="宋体" w:hAnsi="宋体" w:eastAsia="宋体" w:cs="宋体"/>
          <w:bCs/>
          <w:sz w:val="18"/>
          <w:szCs w:val="18"/>
          <w:lang w:val="en-US" w:eastAsia="zh-CN"/>
        </w:rPr>
      </w:pPr>
      <w:r>
        <w:rPr>
          <w:rFonts w:hint="eastAsia" w:ascii="宋体" w:hAnsi="宋体" w:eastAsia="宋体" w:cs="宋体"/>
          <w:bCs/>
          <w:sz w:val="18"/>
          <w:szCs w:val="18"/>
        </w:rPr>
        <w:t>4、</w:t>
      </w:r>
      <w:r>
        <w:rPr>
          <w:rFonts w:hint="eastAsia" w:ascii="宋体" w:hAnsi="宋体" w:eastAsia="宋体" w:cs="宋体"/>
          <w:bCs/>
          <w:sz w:val="18"/>
          <w:szCs w:val="18"/>
          <w:lang w:val="en-US" w:eastAsia="zh-CN"/>
        </w:rPr>
        <w:t>本项目专门面向中小企业采购，所投所有货物均由中、小、微企业生产，应提供《中小企业声明函》</w:t>
      </w:r>
      <w:r>
        <w:rPr>
          <w:rFonts w:hint="eastAsia" w:ascii="宋体" w:hAnsi="宋体" w:eastAsia="宋体" w:cs="宋体"/>
          <w:bCs/>
          <w:sz w:val="18"/>
          <w:szCs w:val="18"/>
        </w:rPr>
        <w:t>。</w:t>
      </w:r>
      <w:r>
        <w:rPr>
          <w:rFonts w:hint="eastAsia" w:ascii="宋体" w:hAnsi="宋体" w:eastAsia="宋体" w:cs="宋体"/>
          <w:bCs/>
          <w:sz w:val="18"/>
          <w:szCs w:val="18"/>
          <w:lang w:val="en-US" w:eastAsia="zh-CN"/>
        </w:rPr>
        <w:t>所投产品非中小微企业生产的不提供此函。</w:t>
      </w:r>
    </w:p>
    <w:p w14:paraId="4B95303D">
      <w:pPr>
        <w:pStyle w:val="24"/>
        <w:ind w:firstLine="630" w:firstLineChars="350"/>
      </w:pPr>
      <w:r>
        <w:rPr>
          <w:rFonts w:hint="eastAsia" w:ascii="宋体" w:hAnsi="宋体" w:eastAsia="宋体" w:cs="宋体"/>
          <w:bCs/>
          <w:lang w:val="en-US" w:eastAsia="zh-CN"/>
        </w:rPr>
        <w:t>5</w:t>
      </w:r>
      <w:r>
        <w:rPr>
          <w:rFonts w:hint="eastAsia" w:ascii="宋体" w:hAnsi="宋体" w:eastAsia="宋体" w:cs="宋体"/>
          <w:bCs/>
        </w:rPr>
        <w:t>、供应商应充分了解产品生产厂家企业形式，如因了解不充分或故意错报导致填报不准确</w:t>
      </w:r>
      <w:r>
        <w:rPr>
          <w:rFonts w:hint="eastAsia" w:ascii="宋体" w:hAnsi="宋体" w:eastAsia="宋体" w:cs="宋体"/>
          <w:bCs/>
          <w:lang w:val="en-US" w:eastAsia="zh-CN"/>
        </w:rPr>
        <w:t>引起质疑或投诉的由</w:t>
      </w:r>
      <w:r>
        <w:rPr>
          <w:rFonts w:hint="eastAsia" w:ascii="宋体" w:hAnsi="宋体" w:eastAsia="宋体" w:cs="宋体"/>
          <w:bCs/>
        </w:rPr>
        <w:t>采购行政监督部门处理。</w:t>
      </w:r>
    </w:p>
    <w:p w14:paraId="4E773C19">
      <w:pPr>
        <w:rPr>
          <w:rFonts w:hint="eastAsia"/>
          <w:b/>
          <w:sz w:val="30"/>
          <w:szCs w:val="30"/>
        </w:rPr>
      </w:pPr>
      <w:r>
        <w:rPr>
          <w:rFonts w:hint="eastAsia"/>
          <w:b/>
          <w:sz w:val="30"/>
          <w:szCs w:val="30"/>
        </w:rPr>
        <w:br w:type="page"/>
      </w:r>
    </w:p>
    <w:p w14:paraId="57F840F2">
      <w:pPr>
        <w:tabs>
          <w:tab w:val="left" w:pos="5670"/>
        </w:tabs>
        <w:spacing w:line="240" w:lineRule="auto"/>
        <w:jc w:val="center"/>
        <w:rPr>
          <w:b/>
          <w:color w:val="000000"/>
          <w:sz w:val="30"/>
          <w:szCs w:val="30"/>
        </w:rPr>
      </w:pPr>
      <w:r>
        <w:rPr>
          <w:rFonts w:hint="eastAsia"/>
          <w:b/>
          <w:sz w:val="30"/>
          <w:szCs w:val="30"/>
        </w:rPr>
        <w:t>残疾人福利性单位声明函</w:t>
      </w:r>
      <w:r>
        <w:rPr>
          <w:rFonts w:hint="eastAsia"/>
          <w:b/>
          <w:color w:val="000000"/>
          <w:sz w:val="30"/>
          <w:szCs w:val="30"/>
        </w:rPr>
        <w:t>（格式）</w:t>
      </w:r>
    </w:p>
    <w:p w14:paraId="454D32FE">
      <w:pPr>
        <w:spacing w:line="500" w:lineRule="exact"/>
        <w:ind w:firstLine="560" w:firstLineChars="200"/>
        <w:jc w:val="left"/>
        <w:rPr>
          <w:color w:val="000000"/>
        </w:rPr>
      </w:pPr>
      <w:r>
        <w:rPr>
          <w:rFonts w:hint="eastAsia"/>
        </w:rPr>
        <w:t>本单位郑重声明，根据《财政部民政部中国残疾人联合会关于促进残疾人就业政府采购政策的通知》（财库〔2017〕141号）的规定，本</w:t>
      </w:r>
      <w:r>
        <w:rPr>
          <w:rFonts w:hint="eastAsia"/>
          <w:color w:val="000000"/>
        </w:rPr>
        <w:t>单位为符合条件的残疾人福利性单位，且本单位参加</w:t>
      </w:r>
      <w:r>
        <w:rPr>
          <w:rFonts w:hint="eastAsia"/>
          <w:color w:val="000000"/>
          <w:u w:val="single"/>
        </w:rPr>
        <w:t>（项目名称）       （</w:t>
      </w:r>
      <w:r>
        <w:rPr>
          <w:rFonts w:hint="eastAsia"/>
          <w:color w:val="000000"/>
        </w:rPr>
        <w:t>项目编号：</w:t>
      </w:r>
      <w:r>
        <w:rPr>
          <w:rFonts w:hint="eastAsia"/>
          <w:color w:val="000000"/>
          <w:u w:val="single"/>
        </w:rPr>
        <w:t xml:space="preserve">     </w:t>
      </w:r>
      <w:r>
        <w:rPr>
          <w:rFonts w:hint="eastAsia"/>
          <w:color w:val="000000"/>
        </w:rPr>
        <w:t>）</w:t>
      </w:r>
      <w:r>
        <w:rPr>
          <w:rFonts w:hint="eastAsia" w:ascii="华文仿宋" w:hAnsi="华文仿宋" w:cs="华文仿宋"/>
          <w:color w:val="000000"/>
        </w:rPr>
        <w:t>第</w:t>
      </w:r>
      <w:r>
        <w:rPr>
          <w:rFonts w:ascii="华文仿宋" w:hAnsi="华文仿宋" w:cs="华文仿宋"/>
          <w:color w:val="000000"/>
          <w:u w:val="single"/>
        </w:rPr>
        <w:t xml:space="preserve"> </w:t>
      </w:r>
      <w:r>
        <w:rPr>
          <w:rFonts w:hint="eastAsia" w:ascii="华文仿宋" w:hAnsi="华文仿宋" w:cs="华文仿宋"/>
          <w:color w:val="000000"/>
          <w:u w:val="single"/>
        </w:rPr>
        <w:t xml:space="preserve"> </w:t>
      </w:r>
      <w:r>
        <w:rPr>
          <w:rFonts w:ascii="华文仿宋" w:hAnsi="华文仿宋" w:cs="华文仿宋"/>
          <w:color w:val="000000"/>
          <w:u w:val="single"/>
        </w:rPr>
        <w:t xml:space="preserve"> </w:t>
      </w:r>
      <w:r>
        <w:rPr>
          <w:rFonts w:hint="eastAsia" w:ascii="华文仿宋" w:hAnsi="华文仿宋" w:cs="华文仿宋"/>
          <w:color w:val="000000"/>
        </w:rPr>
        <w:t>标段</w:t>
      </w:r>
      <w:r>
        <w:rPr>
          <w:rFonts w:hint="eastAsia"/>
          <w:color w:val="000000"/>
        </w:rPr>
        <w:t>采购活动提供本单位制造的货物（由本单位承担工程/提供服务），或者提供其他残疾人福利性单位制造的货物（不包括使用非残疾人福利性单位注册商标的货物）。</w:t>
      </w:r>
    </w:p>
    <w:p w14:paraId="1F75E0CB">
      <w:pPr>
        <w:spacing w:line="500" w:lineRule="exact"/>
        <w:ind w:firstLine="560" w:firstLineChars="200"/>
        <w:jc w:val="left"/>
      </w:pPr>
      <w:r>
        <w:rPr>
          <w:rFonts w:hint="eastAsia"/>
          <w:color w:val="000000"/>
        </w:rPr>
        <w:t>本单位对上述声明的真实性负责。如有虚假，将依法</w:t>
      </w:r>
      <w:r>
        <w:rPr>
          <w:rFonts w:hint="eastAsia"/>
        </w:rPr>
        <w:t>承担相应责任。</w:t>
      </w:r>
    </w:p>
    <w:p w14:paraId="10E21A41">
      <w:pPr>
        <w:spacing w:line="500" w:lineRule="exact"/>
        <w:ind w:firstLine="560" w:firstLineChars="200"/>
        <w:jc w:val="left"/>
      </w:pPr>
    </w:p>
    <w:p w14:paraId="1B1D6AC7">
      <w:pPr>
        <w:pStyle w:val="4"/>
        <w:ind w:left="0" w:leftChars="0" w:firstLine="560" w:firstLineChars="200"/>
        <w:rPr>
          <w:rFonts w:hint="eastAsia"/>
        </w:rPr>
      </w:pPr>
      <w:r>
        <w:rPr>
          <w:rFonts w:hint="eastAsia"/>
          <w:lang w:val="zh-CN"/>
        </w:rPr>
        <w:t>投标人</w:t>
      </w:r>
      <w:r>
        <w:rPr>
          <w:rFonts w:hint="eastAsia"/>
        </w:rPr>
        <w:t>全称</w:t>
      </w:r>
      <w:r>
        <w:rPr>
          <w:rFonts w:hint="eastAsia"/>
          <w:lang w:val="zh-CN"/>
        </w:rPr>
        <w:t>：</w:t>
      </w:r>
      <w:r>
        <w:rPr>
          <w:rFonts w:hint="eastAsia"/>
          <w:u w:val="single"/>
          <w:lang w:val="en-US" w:eastAsia="zh-CN"/>
        </w:rPr>
        <w:t xml:space="preserve">  名称   </w:t>
      </w:r>
      <w:r>
        <w:t>（</w:t>
      </w:r>
      <w:r>
        <w:rPr>
          <w:rFonts w:hint="eastAsia"/>
          <w:lang w:val="en-US" w:eastAsia="zh-CN"/>
        </w:rPr>
        <w:t>加盖</w:t>
      </w:r>
      <w:r>
        <w:t>公章）</w:t>
      </w:r>
    </w:p>
    <w:p w14:paraId="2CDD6964">
      <w:pPr>
        <w:tabs>
          <w:tab w:val="left" w:pos="5670"/>
        </w:tabs>
        <w:spacing w:line="500" w:lineRule="exact"/>
        <w:ind w:firstLine="560" w:firstLineChars="200"/>
        <w:jc w:val="left"/>
        <w:rPr>
          <w:rFonts w:hint="eastAsia"/>
        </w:rPr>
      </w:pPr>
      <w:r>
        <w:rPr>
          <w:rFonts w:hint="eastAsia"/>
          <w:lang w:val="zh-CN"/>
        </w:rPr>
        <w:t>法定代表人</w:t>
      </w:r>
      <w:r>
        <w:rPr>
          <w:rFonts w:hint="eastAsia"/>
        </w:rPr>
        <w:t>或</w:t>
      </w:r>
      <w:r>
        <w:rPr>
          <w:rFonts w:hint="eastAsia"/>
          <w:lang w:val="zh-CN"/>
        </w:rPr>
        <w:t>授权代表：（签字）</w:t>
      </w:r>
      <w:r>
        <w:rPr>
          <w:rFonts w:hint="eastAsia"/>
          <w:color w:val="FF0000"/>
        </w:rPr>
        <w:t xml:space="preserve">　　      </w:t>
      </w:r>
      <w:r>
        <w:rPr>
          <w:rFonts w:hint="eastAsia"/>
        </w:rPr>
        <w:t xml:space="preserve"> </w:t>
      </w:r>
    </w:p>
    <w:p w14:paraId="1AD65FEB">
      <w:pPr>
        <w:tabs>
          <w:tab w:val="left" w:pos="5670"/>
        </w:tabs>
        <w:spacing w:line="500" w:lineRule="exact"/>
        <w:ind w:firstLine="560" w:firstLineChars="200"/>
        <w:jc w:val="right"/>
      </w:pPr>
      <w:r>
        <w:rPr>
          <w:rFonts w:hint="eastAsia"/>
        </w:rPr>
        <w:t xml:space="preserve"> 年   　月　   日</w:t>
      </w:r>
    </w:p>
    <w:p w14:paraId="5A52AE9E">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
          <w:bCs w:val="0"/>
          <w:sz w:val="21"/>
          <w:szCs w:val="21"/>
        </w:rPr>
        <w:t>备注：</w:t>
      </w:r>
      <w:r>
        <w:rPr>
          <w:rFonts w:hint="eastAsia" w:ascii="华文仿宋" w:hAnsi="华文仿宋" w:eastAsia="华文仿宋" w:cs="华文仿宋"/>
          <w:bCs/>
          <w:sz w:val="21"/>
          <w:szCs w:val="21"/>
        </w:rPr>
        <w:t>项目不分标段的，第___标段空白处填写“/”。（供应商非残疾人福利性单位不提供此函）</w:t>
      </w:r>
    </w:p>
    <w:p w14:paraId="71C33FED">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根据《财政部 民政部 中国残疾人联合会关于促进残疾人就业政府采购政策的通知》（财库〔2017〕141号）的规定：</w:t>
      </w:r>
    </w:p>
    <w:p w14:paraId="71C8CD13">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一、享受政府采购支持政策的残疾人福利性单位应当同时满足以下条件：</w:t>
      </w:r>
    </w:p>
    <w:p w14:paraId="0589F4B5">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（一）安置的残疾人占本单位在职职工人数的比例不低于25%（含25%），并且安置的残疾人人数不少于10人（含10人）；</w:t>
      </w:r>
    </w:p>
    <w:p w14:paraId="61BE25CC">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（二）依法与安置的每位残疾人签订了一年以上（含一年）的劳动合同或服务协议；</w:t>
      </w:r>
    </w:p>
    <w:p w14:paraId="5F55CA36">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（三）为安置的每位残疾人按月足额缴纳了基本养老保险、基本医疗保险、失业保险、工伤保险和生育保险等社会保险费；</w:t>
      </w:r>
    </w:p>
    <w:p w14:paraId="18A483E7">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（四）通过银行等金融机构向安置的每位残疾人，按月支付了不低于单位所在区县适用的经省级人民政府批准的月最低工资标准的工资；</w:t>
      </w:r>
    </w:p>
    <w:p w14:paraId="693F5887">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（五）提供本单位制造的货物、承担的工程或者服务（以下简称产品），或者提供其他残疾人福利性单位制造的货物（不包括使用非残疾人福利性单位注册商标的货物）。</w:t>
      </w:r>
    </w:p>
    <w:p w14:paraId="19162D33">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6EB4F49">
      <w:pPr>
        <w:tabs>
          <w:tab w:val="left" w:pos="5670"/>
        </w:tabs>
        <w:spacing w:line="240" w:lineRule="auto"/>
        <w:ind w:firstLine="420" w:firstLineChars="200"/>
        <w:jc w:val="left"/>
        <w:rPr>
          <w:rFonts w:hint="eastAsia" w:ascii="华文仿宋" w:hAnsi="华文仿宋" w:eastAsia="华文仿宋" w:cs="华文仿宋"/>
          <w:bCs/>
          <w:sz w:val="21"/>
          <w:szCs w:val="21"/>
        </w:rPr>
      </w:pPr>
      <w:r>
        <w:rPr>
          <w:rFonts w:hint="eastAsia" w:ascii="华文仿宋" w:hAnsi="华文仿宋" w:eastAsia="华文仿宋" w:cs="华文仿宋"/>
          <w:bCs/>
          <w:sz w:val="21"/>
          <w:szCs w:val="21"/>
        </w:rPr>
        <w:t>二、成交供应商为残疾人福利性单位的，采购人、采购代理机构将随成交结果同时公告其《残疾人福利性单位声明函》，接受社会监督。</w:t>
      </w:r>
    </w:p>
    <w:p w14:paraId="21EAAE87">
      <w:pPr>
        <w:tabs>
          <w:tab w:val="left" w:pos="5670"/>
        </w:tabs>
        <w:spacing w:line="240" w:lineRule="auto"/>
        <w:jc w:val="center"/>
        <w:rPr>
          <w:b/>
          <w:sz w:val="30"/>
          <w:szCs w:val="30"/>
        </w:rPr>
      </w:pPr>
      <w:r>
        <w:rPr>
          <w:rFonts w:hint="eastAsia" w:ascii="宋体" w:hAnsi="宋体" w:eastAsia="宋体" w:cs="宋体"/>
          <w:color w:val="FF0000"/>
          <w:sz w:val="21"/>
          <w:szCs w:val="21"/>
        </w:rPr>
        <w:br w:type="page"/>
      </w:r>
      <w:r>
        <w:rPr>
          <w:rFonts w:hint="eastAsia"/>
          <w:b/>
          <w:sz w:val="30"/>
          <w:szCs w:val="30"/>
        </w:rPr>
        <w:t>监狱企业证明函</w:t>
      </w:r>
    </w:p>
    <w:p w14:paraId="426BFE14">
      <w:pPr>
        <w:spacing w:line="500" w:lineRule="exact"/>
        <w:ind w:firstLine="560" w:firstLineChars="200"/>
        <w:jc w:val="left"/>
      </w:pPr>
      <w:r>
        <w:rPr>
          <w:rFonts w:hint="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C4E24A">
      <w:pPr>
        <w:spacing w:line="500" w:lineRule="exact"/>
        <w:ind w:firstLine="560" w:firstLineChars="200"/>
        <w:jc w:val="left"/>
      </w:pPr>
      <w:r>
        <w:rPr>
          <w:rFonts w:hint="eastAsia"/>
        </w:rPr>
        <w:t>监狱企业参加政府采购活动时，应当提供由省级以上监狱管理局、戒毒管理局（含新疆生产建设兵团）出具的属于监狱企业的证明文件。</w:t>
      </w:r>
    </w:p>
    <w:p w14:paraId="065070B1">
      <w:pPr>
        <w:spacing w:line="500" w:lineRule="exact"/>
        <w:ind w:firstLine="560" w:firstLineChars="200"/>
        <w:jc w:val="left"/>
      </w:pPr>
    </w:p>
    <w:p w14:paraId="53CF8885">
      <w:pPr>
        <w:pStyle w:val="21"/>
      </w:pPr>
    </w:p>
    <w:p w14:paraId="3B622101">
      <w:pPr>
        <w:pStyle w:val="21"/>
      </w:pPr>
    </w:p>
    <w:p w14:paraId="2085E5E8">
      <w:pPr>
        <w:pStyle w:val="21"/>
      </w:pPr>
    </w:p>
    <w:p w14:paraId="227034A4">
      <w:pPr>
        <w:pStyle w:val="21"/>
      </w:pPr>
    </w:p>
    <w:p w14:paraId="66C427C0">
      <w:pPr>
        <w:pStyle w:val="21"/>
      </w:pPr>
    </w:p>
    <w:p w14:paraId="3C63B201">
      <w:pPr>
        <w:pStyle w:val="21"/>
      </w:pPr>
    </w:p>
    <w:p w14:paraId="13EA0190">
      <w:pPr>
        <w:pStyle w:val="21"/>
      </w:pPr>
    </w:p>
    <w:p w14:paraId="5823BDD2">
      <w:pPr>
        <w:pStyle w:val="21"/>
      </w:pPr>
    </w:p>
    <w:p w14:paraId="27DAE10D">
      <w:pPr>
        <w:pStyle w:val="21"/>
      </w:pPr>
    </w:p>
    <w:p w14:paraId="7BEEB27E">
      <w:pPr>
        <w:pStyle w:val="21"/>
      </w:pPr>
    </w:p>
    <w:p w14:paraId="283F241E">
      <w:pPr>
        <w:pStyle w:val="21"/>
      </w:pPr>
    </w:p>
    <w:p w14:paraId="13358C7A">
      <w:pPr>
        <w:pStyle w:val="21"/>
      </w:pPr>
    </w:p>
    <w:p w14:paraId="67867967">
      <w:pPr>
        <w:pStyle w:val="21"/>
      </w:pPr>
    </w:p>
    <w:p w14:paraId="03A20708">
      <w:pPr>
        <w:pStyle w:val="21"/>
      </w:pPr>
    </w:p>
    <w:p w14:paraId="0C73DE80">
      <w:pPr>
        <w:pStyle w:val="21"/>
      </w:pPr>
    </w:p>
    <w:p w14:paraId="114834E1">
      <w:pPr>
        <w:pStyle w:val="21"/>
      </w:pPr>
    </w:p>
    <w:p w14:paraId="31332F6D">
      <w:pPr>
        <w:pStyle w:val="21"/>
      </w:pPr>
    </w:p>
    <w:p w14:paraId="15EE5957">
      <w:pPr>
        <w:pStyle w:val="21"/>
      </w:pPr>
    </w:p>
    <w:p w14:paraId="243AC9F2">
      <w:pPr>
        <w:pStyle w:val="21"/>
      </w:pPr>
    </w:p>
    <w:p w14:paraId="4E3D8987">
      <w:pPr>
        <w:tabs>
          <w:tab w:val="left" w:pos="5670"/>
        </w:tabs>
        <w:spacing w:line="240" w:lineRule="auto"/>
        <w:ind w:firstLine="360" w:firstLineChars="200"/>
        <w:jc w:val="left"/>
        <w:rPr>
          <w:rFonts w:hint="eastAsia" w:ascii="宋体" w:hAnsi="宋体" w:eastAsia="宋体" w:cs="宋体"/>
          <w:bCs/>
          <w:sz w:val="18"/>
          <w:szCs w:val="18"/>
        </w:rPr>
      </w:pPr>
      <w:r>
        <w:rPr>
          <w:rFonts w:hint="eastAsia" w:ascii="宋体" w:hAnsi="宋体" w:eastAsia="宋体" w:cs="宋体"/>
          <w:bCs/>
          <w:sz w:val="18"/>
          <w:szCs w:val="18"/>
        </w:rPr>
        <w:t>备注：非监狱企业不提供此证明。</w:t>
      </w:r>
    </w:p>
    <w:p w14:paraId="43E072E4">
      <w:pPr>
        <w:rPr>
          <w:rFonts w:hint="eastAsia" w:ascii="华文仿宋" w:hAnsi="华文仿宋" w:cs="楷体"/>
          <w:kern w:val="0"/>
        </w:rPr>
      </w:pPr>
      <w:r>
        <w:rPr>
          <w:rFonts w:hint="eastAsia" w:ascii="华文仿宋" w:hAnsi="华文仿宋" w:cs="楷体"/>
          <w:kern w:val="0"/>
        </w:rPr>
        <w:br w:type="page"/>
      </w:r>
    </w:p>
    <w:p w14:paraId="6EB23AAC">
      <w:pPr>
        <w:jc w:val="left"/>
        <w:rPr>
          <w:b/>
          <w:bCs/>
          <w:sz w:val="30"/>
          <w:szCs w:val="30"/>
        </w:rPr>
      </w:pPr>
      <w:r>
        <w:rPr>
          <w:rStyle w:val="59"/>
          <w:rFonts w:hint="eastAsia" w:ascii="仿宋" w:hAnsi="仿宋" w:eastAsia="仿宋" w:cs="仿宋"/>
          <w:sz w:val="30"/>
          <w:szCs w:val="30"/>
        </w:rPr>
        <w:t>附件</w:t>
      </w:r>
      <w:r>
        <w:rPr>
          <w:rStyle w:val="59"/>
          <w:rFonts w:hint="eastAsia" w:ascii="仿宋" w:hAnsi="仿宋" w:eastAsia="仿宋" w:cs="仿宋"/>
          <w:sz w:val="30"/>
          <w:szCs w:val="30"/>
          <w:lang w:val="en-US" w:eastAsia="zh-CN"/>
        </w:rPr>
        <w:t>六</w:t>
      </w:r>
      <w:r>
        <w:rPr>
          <w:rStyle w:val="59"/>
          <w:rFonts w:hint="eastAsia" w:ascii="仿宋" w:hAnsi="仿宋" w:eastAsia="仿宋" w:cs="仿宋"/>
          <w:sz w:val="30"/>
          <w:szCs w:val="30"/>
        </w:rPr>
        <w:t>：</w:t>
      </w:r>
    </w:p>
    <w:p w14:paraId="4E880AF2">
      <w:pPr>
        <w:pStyle w:val="9"/>
        <w:spacing w:before="92" w:line="416" w:lineRule="exact"/>
        <w:ind w:left="2650"/>
        <w:rPr>
          <w:b/>
          <w:bCs/>
          <w:spacing w:val="-2"/>
          <w:position w:val="2"/>
          <w:sz w:val="28"/>
          <w:szCs w:val="28"/>
        </w:rPr>
      </w:pPr>
    </w:p>
    <w:p w14:paraId="0D15005C">
      <w:pPr>
        <w:pStyle w:val="9"/>
        <w:spacing w:before="92" w:line="416" w:lineRule="exact"/>
        <w:ind w:left="2650"/>
        <w:rPr>
          <w:sz w:val="28"/>
          <w:szCs w:val="28"/>
        </w:rPr>
      </w:pPr>
      <w:r>
        <w:rPr>
          <w:b/>
          <w:bCs/>
          <w:spacing w:val="-2"/>
          <w:position w:val="2"/>
          <w:sz w:val="28"/>
          <w:szCs w:val="28"/>
        </w:rPr>
        <w:t>非联合体不分包投标声明（格式）</w:t>
      </w:r>
    </w:p>
    <w:p w14:paraId="2567F954">
      <w:pPr>
        <w:spacing w:line="468" w:lineRule="auto"/>
        <w:rPr>
          <w:rFonts w:ascii="Arial"/>
          <w:sz w:val="21"/>
        </w:rPr>
      </w:pPr>
    </w:p>
    <w:p w14:paraId="325E3EEF">
      <w:pPr>
        <w:spacing w:line="500" w:lineRule="exact"/>
        <w:ind w:firstLine="560" w:firstLineChars="200"/>
        <w:jc w:val="left"/>
        <w:rPr>
          <w:rFonts w:hint="eastAsia"/>
        </w:rPr>
      </w:pPr>
      <w:r>
        <w:rPr>
          <w:rFonts w:hint="eastAsia"/>
          <w:lang w:val="en-US" w:eastAsia="zh-CN"/>
        </w:rPr>
        <w:t>我方</w:t>
      </w:r>
      <w:r>
        <w:rPr>
          <w:rFonts w:hint="eastAsia"/>
        </w:rPr>
        <w:t>郑重声明，参加</w:t>
      </w:r>
      <w:r>
        <w:rPr>
          <w:rFonts w:hint="eastAsia"/>
          <w:u w:val="single"/>
        </w:rPr>
        <w:t xml:space="preserve">   《项目名称》  （</w:t>
      </w:r>
      <w:r>
        <w:rPr>
          <w:rFonts w:hint="eastAsia"/>
        </w:rPr>
        <w:t>项目编号：</w:t>
      </w:r>
      <w:r>
        <w:rPr>
          <w:rFonts w:hint="eastAsia"/>
          <w:u w:val="single"/>
        </w:rPr>
        <w:t xml:space="preserve">    </w:t>
      </w:r>
      <w:r>
        <w:rPr>
          <w:rFonts w:hint="eastAsia"/>
        </w:rPr>
        <w:t>）采购活动，为非联合体投标，本项目实施过程由本单位独立承担。</w:t>
      </w:r>
    </w:p>
    <w:p w14:paraId="55938CD6">
      <w:pPr>
        <w:spacing w:line="500" w:lineRule="exact"/>
        <w:ind w:firstLine="560" w:firstLineChars="200"/>
        <w:jc w:val="left"/>
        <w:rPr>
          <w:rFonts w:hint="eastAsia"/>
        </w:rPr>
      </w:pPr>
      <w:r>
        <w:rPr>
          <w:rFonts w:hint="eastAsia"/>
        </w:rPr>
        <w:t>本单位对上述声明的真实性负责。如有虚假，将依法承担相应责任。</w:t>
      </w:r>
    </w:p>
    <w:p w14:paraId="7E6101BD">
      <w:pPr>
        <w:spacing w:line="500" w:lineRule="exact"/>
        <w:ind w:firstLine="560" w:firstLineChars="200"/>
        <w:jc w:val="left"/>
        <w:rPr>
          <w:rFonts w:hint="eastAsia"/>
        </w:rPr>
      </w:pPr>
    </w:p>
    <w:p w14:paraId="5B06C5E0">
      <w:pPr>
        <w:spacing w:line="500" w:lineRule="exact"/>
        <w:ind w:firstLine="560" w:firstLineChars="200"/>
        <w:jc w:val="left"/>
        <w:rPr>
          <w:rFonts w:hint="eastAsia"/>
        </w:rPr>
      </w:pPr>
    </w:p>
    <w:p w14:paraId="43A9A1C4">
      <w:pPr>
        <w:spacing w:line="500" w:lineRule="exact"/>
        <w:ind w:firstLine="560" w:firstLineChars="200"/>
        <w:jc w:val="left"/>
        <w:rPr>
          <w:rFonts w:hint="eastAsia"/>
        </w:rPr>
      </w:pPr>
    </w:p>
    <w:p w14:paraId="54939653">
      <w:pPr>
        <w:pStyle w:val="4"/>
        <w:ind w:left="0" w:leftChars="0" w:firstLine="560" w:firstLineChars="200"/>
        <w:rPr>
          <w:rFonts w:hint="eastAsia"/>
        </w:rPr>
      </w:pPr>
      <w:r>
        <w:rPr>
          <w:rFonts w:hint="eastAsia"/>
          <w:lang w:val="zh-CN"/>
        </w:rPr>
        <w:t>投标人</w:t>
      </w:r>
      <w:r>
        <w:rPr>
          <w:rFonts w:hint="eastAsia"/>
        </w:rPr>
        <w:t>全称</w:t>
      </w:r>
      <w:r>
        <w:rPr>
          <w:rFonts w:hint="eastAsia"/>
          <w:lang w:val="zh-CN"/>
        </w:rPr>
        <w:t>：</w:t>
      </w:r>
      <w:r>
        <w:rPr>
          <w:rFonts w:hint="eastAsia"/>
          <w:u w:val="single"/>
          <w:lang w:val="en-US" w:eastAsia="zh-CN"/>
        </w:rPr>
        <w:t xml:space="preserve">  名称   </w:t>
      </w:r>
      <w:r>
        <w:t>（</w:t>
      </w:r>
      <w:r>
        <w:rPr>
          <w:rFonts w:hint="eastAsia"/>
          <w:lang w:val="en-US" w:eastAsia="zh-CN"/>
        </w:rPr>
        <w:t>加盖</w:t>
      </w:r>
      <w:r>
        <w:t>公章）</w:t>
      </w:r>
    </w:p>
    <w:p w14:paraId="59B0B5CF">
      <w:pPr>
        <w:spacing w:line="500" w:lineRule="exact"/>
        <w:ind w:firstLine="560" w:firstLineChars="200"/>
        <w:jc w:val="left"/>
        <w:rPr>
          <w:rFonts w:hint="eastAsia"/>
          <w:lang w:val="zh-CN"/>
        </w:rPr>
      </w:pPr>
      <w:r>
        <w:rPr>
          <w:rFonts w:hint="eastAsia"/>
          <w:lang w:val="zh-CN"/>
        </w:rPr>
        <w:t>法定代表人</w:t>
      </w:r>
      <w:r>
        <w:rPr>
          <w:rFonts w:hint="eastAsia"/>
        </w:rPr>
        <w:t>或</w:t>
      </w:r>
      <w:r>
        <w:rPr>
          <w:rFonts w:hint="eastAsia"/>
          <w:lang w:val="zh-CN"/>
        </w:rPr>
        <w:t>授权代表：（签字）</w:t>
      </w:r>
    </w:p>
    <w:p w14:paraId="61461DFC">
      <w:pPr>
        <w:spacing w:line="500" w:lineRule="exact"/>
        <w:ind w:firstLine="840" w:firstLineChars="300"/>
        <w:jc w:val="right"/>
        <w:rPr>
          <w:rFonts w:hint="eastAsia"/>
        </w:rPr>
      </w:pPr>
      <w:r>
        <w:rPr>
          <w:rFonts w:hint="eastAsia"/>
        </w:rPr>
        <w:t xml:space="preserve">    年  月  日</w:t>
      </w:r>
    </w:p>
    <w:p w14:paraId="5A050478">
      <w:pPr>
        <w:spacing w:line="450" w:lineRule="auto"/>
        <w:rPr>
          <w:rFonts w:ascii="Arial"/>
          <w:sz w:val="21"/>
        </w:rPr>
      </w:pPr>
    </w:p>
    <w:p w14:paraId="25707A44">
      <w:pPr>
        <w:ind w:firstLine="481" w:firstLineChars="217"/>
        <w:rPr>
          <w:rFonts w:ascii="宋体" w:hAnsi="宋体" w:eastAsia="宋体" w:cs="宋体"/>
          <w:spacing w:val="11"/>
          <w:sz w:val="20"/>
          <w:szCs w:val="20"/>
        </w:rPr>
      </w:pPr>
    </w:p>
    <w:p w14:paraId="48B8795B">
      <w:pPr>
        <w:rPr>
          <w:rFonts w:ascii="宋体" w:hAnsi="宋体" w:eastAsia="宋体" w:cs="宋体"/>
          <w:spacing w:val="11"/>
          <w:sz w:val="20"/>
          <w:szCs w:val="20"/>
        </w:rPr>
      </w:pPr>
      <w:r>
        <w:rPr>
          <w:rFonts w:ascii="宋体" w:hAnsi="宋体" w:eastAsia="宋体" w:cs="宋体"/>
          <w:spacing w:val="11"/>
          <w:sz w:val="20"/>
          <w:szCs w:val="20"/>
        </w:rPr>
        <w:br w:type="page"/>
      </w:r>
    </w:p>
    <w:p w14:paraId="00929A1F">
      <w:pPr>
        <w:adjustRightInd w:val="0"/>
        <w:snapToGrid w:val="0"/>
        <w:spacing w:line="360" w:lineRule="auto"/>
        <w:rPr>
          <w:rFonts w:hint="eastAsia" w:cs="Times New Roman"/>
          <w:b/>
          <w:bCs/>
          <w:sz w:val="30"/>
          <w:szCs w:val="30"/>
          <w:lang w:val="en-US" w:eastAsia="zh-CN"/>
        </w:rPr>
      </w:pPr>
      <w:r>
        <w:rPr>
          <w:rFonts w:hint="eastAsia" w:cs="Times New Roman"/>
          <w:b/>
          <w:bCs/>
          <w:sz w:val="30"/>
          <w:szCs w:val="30"/>
          <w:lang w:val="en-US" w:eastAsia="zh-CN"/>
        </w:rPr>
        <w:t>附件七：</w:t>
      </w:r>
    </w:p>
    <w:p w14:paraId="7A980883">
      <w:pPr>
        <w:spacing w:before="190" w:beforeLines="50" w:line="500" w:lineRule="exact"/>
        <w:jc w:val="center"/>
        <w:rPr>
          <w:rFonts w:hint="eastAsia" w:cs="Times New Roman"/>
          <w:b/>
        </w:rPr>
      </w:pPr>
      <w:r>
        <w:rPr>
          <w:rFonts w:hint="eastAsia" w:cs="Times New Roman"/>
          <w:b/>
        </w:rPr>
        <w:t>电子</w:t>
      </w:r>
      <w:r>
        <w:rPr>
          <w:rFonts w:hint="eastAsia" w:cs="Times New Roman"/>
          <w:b/>
          <w:lang w:eastAsia="zh-CN"/>
        </w:rPr>
        <w:t>投标响应文件</w:t>
      </w:r>
      <w:r>
        <w:rPr>
          <w:rFonts w:hint="eastAsia" w:cs="Times New Roman"/>
          <w:b/>
        </w:rPr>
        <w:t>与纸质</w:t>
      </w:r>
      <w:r>
        <w:rPr>
          <w:rFonts w:hint="eastAsia" w:cs="Times New Roman"/>
          <w:b/>
          <w:lang w:eastAsia="zh-CN"/>
        </w:rPr>
        <w:t>投标响应文件</w:t>
      </w:r>
      <w:r>
        <w:rPr>
          <w:rFonts w:hint="eastAsia" w:cs="Times New Roman"/>
          <w:b/>
        </w:rPr>
        <w:t>一致的承诺书</w:t>
      </w:r>
    </w:p>
    <w:p w14:paraId="293486FF">
      <w:pPr>
        <w:pStyle w:val="24"/>
        <w:ind w:firstLine="246"/>
        <w:rPr>
          <w:rFonts w:ascii="宋体" w:hAnsi="宋体" w:eastAsia="宋体"/>
          <w:color w:val="auto"/>
          <w:sz w:val="24"/>
          <w:szCs w:val="24"/>
        </w:rPr>
      </w:pPr>
    </w:p>
    <w:p w14:paraId="1C7EA67C">
      <w:pPr>
        <w:spacing w:line="500" w:lineRule="exact"/>
        <w:ind w:firstLine="560" w:firstLineChars="200"/>
        <w:rPr>
          <w:rFonts w:hint="eastAsia" w:cs="Times New Roman"/>
        </w:rPr>
      </w:pPr>
      <w:r>
        <w:rPr>
          <w:rFonts w:hint="eastAsia" w:cs="Times New Roman"/>
        </w:rPr>
        <w:t>我方在此声明：我方在</w:t>
      </w:r>
      <w:r>
        <w:rPr>
          <w:rFonts w:hint="eastAsia"/>
          <w:u w:val="single"/>
        </w:rPr>
        <w:t xml:space="preserve">   《项目名称》  （</w:t>
      </w:r>
      <w:r>
        <w:rPr>
          <w:rFonts w:hint="eastAsia"/>
        </w:rPr>
        <w:t>项目编号：</w:t>
      </w:r>
      <w:r>
        <w:rPr>
          <w:rFonts w:hint="eastAsia"/>
          <w:u w:val="single"/>
        </w:rPr>
        <w:t xml:space="preserve">    </w:t>
      </w:r>
      <w:r>
        <w:rPr>
          <w:rFonts w:hint="eastAsia"/>
        </w:rPr>
        <w:t>）</w:t>
      </w:r>
      <w:r>
        <w:rPr>
          <w:rFonts w:hint="eastAsia" w:cs="Times New Roman"/>
        </w:rPr>
        <w:t>的采购活动中在榆林市公共资源交易平台所递交的电子</w:t>
      </w:r>
      <w:r>
        <w:rPr>
          <w:rFonts w:hint="eastAsia" w:cs="Times New Roman"/>
          <w:lang w:eastAsia="zh-CN"/>
        </w:rPr>
        <w:t>投标响应文件</w:t>
      </w:r>
      <w:r>
        <w:rPr>
          <w:rFonts w:hint="eastAsia" w:cs="Times New Roman"/>
        </w:rPr>
        <w:t>与邮寄的纸质</w:t>
      </w:r>
      <w:r>
        <w:rPr>
          <w:rFonts w:hint="eastAsia" w:cs="Times New Roman"/>
          <w:lang w:eastAsia="zh-CN"/>
        </w:rPr>
        <w:t>投标响应文件</w:t>
      </w:r>
      <w:r>
        <w:rPr>
          <w:rFonts w:hint="eastAsia" w:cs="Times New Roman"/>
        </w:rPr>
        <w:t>完全一致（纸质文件邮寄回执单除外）。</w:t>
      </w:r>
    </w:p>
    <w:p w14:paraId="729FF76B">
      <w:pPr>
        <w:spacing w:line="500" w:lineRule="exact"/>
        <w:ind w:firstLine="560" w:firstLineChars="200"/>
        <w:rPr>
          <w:rFonts w:hint="eastAsia" w:cs="Times New Roman"/>
        </w:rPr>
      </w:pPr>
      <w:r>
        <w:rPr>
          <w:rFonts w:hint="eastAsia" w:cs="Times New Roman"/>
        </w:rPr>
        <w:t>如因以上资料不一致，导致的一切后果由我方承担。</w:t>
      </w:r>
    </w:p>
    <w:p w14:paraId="5D661D01">
      <w:pPr>
        <w:spacing w:line="500" w:lineRule="exact"/>
        <w:ind w:firstLine="560" w:firstLineChars="200"/>
        <w:rPr>
          <w:rFonts w:hint="eastAsia" w:cs="Times New Roman"/>
        </w:rPr>
      </w:pPr>
      <w:r>
        <w:rPr>
          <w:rFonts w:hint="eastAsia" w:cs="Times New Roman"/>
        </w:rPr>
        <w:t>特此承诺</w:t>
      </w:r>
    </w:p>
    <w:p w14:paraId="4F84F133">
      <w:pPr>
        <w:spacing w:line="500" w:lineRule="exact"/>
        <w:ind w:firstLine="1281" w:firstLineChars="400"/>
        <w:rPr>
          <w:rFonts w:hint="eastAsia" w:ascii="宋体" w:hAnsi="宋体"/>
          <w:b/>
          <w:bCs/>
          <w:color w:val="auto"/>
          <w:sz w:val="32"/>
          <w:szCs w:val="32"/>
        </w:rPr>
      </w:pPr>
    </w:p>
    <w:p w14:paraId="29598BE6">
      <w:pPr>
        <w:rPr>
          <w:rFonts w:hint="eastAsia"/>
          <w:color w:val="auto"/>
        </w:rPr>
      </w:pPr>
    </w:p>
    <w:p w14:paraId="473A6627">
      <w:pPr>
        <w:pStyle w:val="75"/>
        <w:spacing w:line="500" w:lineRule="exact"/>
        <w:ind w:firstLine="572"/>
        <w:rPr>
          <w:rFonts w:hint="eastAsia"/>
        </w:rPr>
      </w:pPr>
      <w:r>
        <w:rPr>
          <w:rFonts w:hint="eastAsia" w:ascii="宋体" w:hAnsi="宋体" w:eastAsia="宋体" w:cs="Times New Roman"/>
          <w:color w:val="auto"/>
          <w:sz w:val="24"/>
          <w:szCs w:val="24"/>
          <w:lang w:val="en-US" w:eastAsia="zh-CN"/>
        </w:rPr>
        <w:t xml:space="preserve"> </w:t>
      </w:r>
      <w:r>
        <w:rPr>
          <w:rFonts w:hint="eastAsia"/>
          <w:lang w:val="zh-CN"/>
        </w:rPr>
        <w:t>投标人</w:t>
      </w:r>
      <w:r>
        <w:rPr>
          <w:rFonts w:hint="eastAsia"/>
        </w:rPr>
        <w:t>全称</w:t>
      </w:r>
      <w:r>
        <w:rPr>
          <w:rFonts w:hint="eastAsia"/>
          <w:lang w:val="zh-CN"/>
        </w:rPr>
        <w:t>：</w:t>
      </w:r>
      <w:r>
        <w:rPr>
          <w:rFonts w:hint="eastAsia"/>
          <w:u w:val="single"/>
          <w:lang w:val="en-US" w:eastAsia="zh-CN"/>
        </w:rPr>
        <w:t xml:space="preserve">  名称   </w:t>
      </w:r>
      <w:r>
        <w:t>（</w:t>
      </w:r>
      <w:r>
        <w:rPr>
          <w:rFonts w:hint="eastAsia"/>
          <w:lang w:val="en-US" w:eastAsia="zh-CN"/>
        </w:rPr>
        <w:t>加盖</w:t>
      </w:r>
      <w:r>
        <w:t>公章）</w:t>
      </w:r>
    </w:p>
    <w:p w14:paraId="22085705">
      <w:pPr>
        <w:spacing w:line="500" w:lineRule="exact"/>
        <w:ind w:firstLine="560" w:firstLineChars="200"/>
        <w:jc w:val="left"/>
        <w:rPr>
          <w:rFonts w:hint="eastAsia"/>
          <w:lang w:val="zh-CN"/>
        </w:rPr>
      </w:pPr>
      <w:r>
        <w:rPr>
          <w:rFonts w:hint="eastAsia"/>
          <w:lang w:val="zh-CN"/>
        </w:rPr>
        <w:t>法定代表人</w:t>
      </w:r>
      <w:r>
        <w:rPr>
          <w:rFonts w:hint="eastAsia"/>
        </w:rPr>
        <w:t>或</w:t>
      </w:r>
      <w:r>
        <w:rPr>
          <w:rFonts w:hint="eastAsia"/>
          <w:lang w:val="zh-CN"/>
        </w:rPr>
        <w:t>授权代表：（签字）</w:t>
      </w:r>
    </w:p>
    <w:p w14:paraId="67FDB373">
      <w:pPr>
        <w:spacing w:line="500" w:lineRule="exact"/>
        <w:ind w:firstLine="280" w:firstLineChars="100"/>
        <w:rPr>
          <w:rFonts w:ascii="仿宋" w:hAnsi="仿宋" w:eastAsia="仿宋" w:cs="仿宋"/>
        </w:rPr>
      </w:pPr>
    </w:p>
    <w:p w14:paraId="78AF25AB">
      <w:pPr>
        <w:spacing w:line="500" w:lineRule="exact"/>
        <w:ind w:firstLine="560" w:firstLineChars="200"/>
        <w:jc w:val="center"/>
      </w:pPr>
      <w:r>
        <w:rPr>
          <w:rFonts w:hint="eastAsia"/>
        </w:rPr>
        <w:t xml:space="preserve">                          </w:t>
      </w:r>
    </w:p>
    <w:p w14:paraId="1B3543C6">
      <w:pPr>
        <w:spacing w:line="500" w:lineRule="exact"/>
        <w:ind w:firstLine="560" w:firstLineChars="200"/>
        <w:jc w:val="center"/>
        <w:rPr>
          <w:rFonts w:ascii="宋体" w:hAnsi="宋体" w:eastAsia="宋体" w:cs="宋体"/>
          <w:sz w:val="21"/>
          <w:szCs w:val="21"/>
        </w:rPr>
      </w:pPr>
      <w:r>
        <w:rPr>
          <w:rFonts w:hint="eastAsia"/>
        </w:rPr>
        <w:t xml:space="preserve">                                 　　年　 月　 日</w:t>
      </w:r>
      <w:r>
        <w:rPr>
          <w:rFonts w:ascii="宋体" w:hAnsi="宋体" w:eastAsia="宋体" w:cs="宋体"/>
          <w:sz w:val="21"/>
          <w:szCs w:val="21"/>
        </w:rPr>
        <w:t xml:space="preserve"> </w:t>
      </w:r>
    </w:p>
    <w:p w14:paraId="05A35753">
      <w:pPr>
        <w:ind w:firstLine="481" w:firstLineChars="217"/>
        <w:rPr>
          <w:rFonts w:hint="eastAsia" w:ascii="宋体" w:hAnsi="宋体" w:eastAsia="宋体" w:cs="宋体"/>
          <w:spacing w:val="11"/>
          <w:sz w:val="20"/>
          <w:szCs w:val="20"/>
        </w:rPr>
      </w:pPr>
    </w:p>
    <w:p w14:paraId="104F0547">
      <w:pPr>
        <w:rPr>
          <w:rFonts w:ascii="华文仿宋" w:hAnsi="华文仿宋" w:cs="楷体"/>
          <w:kern w:val="0"/>
        </w:rPr>
      </w:pPr>
      <w:r>
        <w:rPr>
          <w:rFonts w:ascii="华文仿宋" w:hAnsi="华文仿宋" w:cs="楷体"/>
          <w:kern w:val="0"/>
        </w:rPr>
        <w:br w:type="page"/>
      </w:r>
    </w:p>
    <w:p w14:paraId="59FDCD26">
      <w:pPr>
        <w:spacing w:line="500" w:lineRule="exact"/>
        <w:rPr>
          <w:sz w:val="30"/>
          <w:szCs w:val="30"/>
        </w:rPr>
      </w:pPr>
      <w:r>
        <w:rPr>
          <w:rFonts w:hint="eastAsia"/>
          <w:sz w:val="30"/>
          <w:szCs w:val="30"/>
        </w:rPr>
        <w:t xml:space="preserve">封面格式 </w:t>
      </w:r>
    </w:p>
    <w:p w14:paraId="60101E7C">
      <w:pPr>
        <w:pStyle w:val="75"/>
        <w:spacing w:line="240" w:lineRule="auto"/>
        <w:ind w:firstLine="0" w:firstLineChars="0"/>
        <w:rPr>
          <w:sz w:val="36"/>
          <w:u w:val="single"/>
        </w:rPr>
      </w:pPr>
      <w:r>
        <w:rPr>
          <w:rFonts w:hint="eastAsia"/>
          <w:sz w:val="36"/>
        </w:rPr>
        <w:t>项目编号：</w:t>
      </w:r>
      <w:r>
        <w:rPr>
          <w:rFonts w:hint="eastAsia"/>
          <w:sz w:val="36"/>
          <w:u w:val="single"/>
        </w:rPr>
        <w:t xml:space="preserve">            </w:t>
      </w:r>
    </w:p>
    <w:p w14:paraId="39ADBF92">
      <w:pPr>
        <w:spacing w:line="240" w:lineRule="auto"/>
        <w:ind w:right="11"/>
        <w:rPr>
          <w:rFonts w:ascii="宋体" w:hAnsi="宋体" w:eastAsia="宋体" w:cs="宋体"/>
          <w:b/>
          <w:bCs/>
          <w:sz w:val="52"/>
          <w:szCs w:val="52"/>
        </w:rPr>
      </w:pPr>
    </w:p>
    <w:p w14:paraId="7DD6585C">
      <w:pPr>
        <w:spacing w:line="240" w:lineRule="auto"/>
        <w:ind w:right="11"/>
        <w:rPr>
          <w:rFonts w:ascii="宋体" w:hAnsi="宋体" w:eastAsia="宋体" w:cs="宋体"/>
          <w:b/>
          <w:bCs/>
          <w:sz w:val="52"/>
          <w:szCs w:val="52"/>
        </w:rPr>
      </w:pPr>
    </w:p>
    <w:p w14:paraId="05815B12">
      <w:pPr>
        <w:spacing w:line="240" w:lineRule="auto"/>
        <w:ind w:right="11"/>
        <w:jc w:val="center"/>
        <w:rPr>
          <w:rFonts w:hint="eastAsia" w:ascii="仿宋" w:hAnsi="仿宋" w:eastAsia="仿宋" w:cs="Times New Roman"/>
          <w:b/>
          <w:kern w:val="0"/>
          <w:sz w:val="72"/>
          <w:szCs w:val="72"/>
          <w:lang w:val="en-US" w:eastAsia="zh-CN" w:bidi="ar-SA"/>
        </w:rPr>
      </w:pPr>
      <w:r>
        <w:rPr>
          <w:rFonts w:hint="eastAsia" w:ascii="华文仿宋" w:hAnsi="华文仿宋" w:cs="华文仿宋"/>
          <w:b/>
          <w:sz w:val="56"/>
          <w:szCs w:val="56"/>
          <w:lang w:eastAsia="zh-CN"/>
        </w:rPr>
        <w:t>府谷县公安局业务技术用房及大数据应用中心办公、数据操作等家具设备采购项目</w:t>
      </w:r>
    </w:p>
    <w:p w14:paraId="0AFC59D9">
      <w:pPr>
        <w:spacing w:line="500" w:lineRule="exact"/>
        <w:ind w:right="11"/>
        <w:rPr>
          <w:u w:val="single"/>
        </w:rPr>
      </w:pPr>
    </w:p>
    <w:p w14:paraId="51F5C534">
      <w:pPr>
        <w:spacing w:line="500" w:lineRule="exact"/>
        <w:ind w:right="11"/>
        <w:rPr>
          <w:u w:val="single"/>
        </w:rPr>
      </w:pPr>
    </w:p>
    <w:p w14:paraId="7DDAA361">
      <w:pPr>
        <w:spacing w:line="500" w:lineRule="exact"/>
        <w:ind w:right="11"/>
        <w:rPr>
          <w:u w:val="single"/>
        </w:rPr>
      </w:pPr>
    </w:p>
    <w:p w14:paraId="015D1ED8">
      <w:pPr>
        <w:pStyle w:val="16"/>
      </w:pPr>
    </w:p>
    <w:p w14:paraId="72264906">
      <w:pPr>
        <w:pStyle w:val="16"/>
        <w:jc w:val="center"/>
        <w:rPr>
          <w:rFonts w:hint="eastAsia" w:ascii="华文仿宋" w:hAnsi="华文仿宋" w:eastAsia="华文仿宋" w:cs="华文仿宋"/>
          <w:b/>
          <w:bCs/>
          <w:sz w:val="72"/>
          <w:szCs w:val="72"/>
        </w:rPr>
      </w:pPr>
      <w:r>
        <w:rPr>
          <w:rFonts w:hint="eastAsia" w:ascii="华文仿宋" w:hAnsi="华文仿宋" w:eastAsia="华文仿宋" w:cs="华文仿宋"/>
          <w:b/>
          <w:bCs/>
          <w:sz w:val="72"/>
          <w:szCs w:val="72"/>
        </w:rPr>
        <w:t>商务及技术响应文件</w:t>
      </w:r>
    </w:p>
    <w:p w14:paraId="31B172DA">
      <w:pPr>
        <w:spacing w:line="240" w:lineRule="auto"/>
        <w:jc w:val="center"/>
        <w:rPr>
          <w:sz w:val="36"/>
        </w:rPr>
      </w:pPr>
    </w:p>
    <w:p w14:paraId="766C9BB7">
      <w:pPr>
        <w:pStyle w:val="16"/>
      </w:pPr>
    </w:p>
    <w:p w14:paraId="34522095">
      <w:pPr>
        <w:pStyle w:val="16"/>
      </w:pPr>
    </w:p>
    <w:p w14:paraId="04C2C2D9">
      <w:pPr>
        <w:pStyle w:val="75"/>
        <w:spacing w:line="240" w:lineRule="auto"/>
        <w:ind w:firstLine="1684" w:firstLineChars="468"/>
        <w:rPr>
          <w:sz w:val="36"/>
        </w:rPr>
      </w:pPr>
    </w:p>
    <w:p w14:paraId="3FEE6246">
      <w:pPr>
        <w:pStyle w:val="75"/>
        <w:spacing w:line="240" w:lineRule="auto"/>
        <w:ind w:firstLine="1684" w:firstLineChars="468"/>
        <w:rPr>
          <w:sz w:val="36"/>
        </w:rPr>
      </w:pPr>
    </w:p>
    <w:p w14:paraId="5B1E0CDE">
      <w:pPr>
        <w:pStyle w:val="75"/>
        <w:spacing w:line="240" w:lineRule="auto"/>
        <w:ind w:firstLine="1684" w:firstLineChars="468"/>
        <w:rPr>
          <w:sz w:val="36"/>
        </w:rPr>
      </w:pPr>
    </w:p>
    <w:p w14:paraId="6B3E3536">
      <w:pPr>
        <w:pStyle w:val="75"/>
        <w:spacing w:line="240" w:lineRule="auto"/>
        <w:ind w:firstLine="1684" w:firstLineChars="468"/>
        <w:rPr>
          <w:sz w:val="36"/>
        </w:rPr>
      </w:pPr>
      <w:r>
        <w:rPr>
          <w:rFonts w:hint="eastAsia"/>
          <w:sz w:val="36"/>
        </w:rPr>
        <w:t>投标人全称：</w:t>
      </w:r>
      <w:r>
        <w:rPr>
          <w:rFonts w:hint="eastAsia"/>
          <w:sz w:val="36"/>
          <w:u w:val="single"/>
        </w:rPr>
        <w:t xml:space="preserve">           </w:t>
      </w:r>
      <w:r>
        <w:rPr>
          <w:rFonts w:hint="eastAsia"/>
          <w:sz w:val="36"/>
        </w:rPr>
        <w:t>（公章）</w:t>
      </w:r>
    </w:p>
    <w:p w14:paraId="29CCE41D">
      <w:pPr>
        <w:pStyle w:val="75"/>
        <w:spacing w:line="240" w:lineRule="auto"/>
        <w:ind w:firstLine="1684" w:firstLineChars="468"/>
        <w:rPr>
          <w:sz w:val="36"/>
          <w:u w:val="single"/>
        </w:rPr>
      </w:pPr>
      <w:r>
        <w:rPr>
          <w:rFonts w:hint="eastAsia"/>
          <w:sz w:val="36"/>
        </w:rPr>
        <w:t>时　    间：</w:t>
      </w:r>
      <w:r>
        <w:rPr>
          <w:rFonts w:hint="eastAsia"/>
          <w:sz w:val="36"/>
          <w:u w:val="single"/>
        </w:rPr>
        <w:t xml:space="preserve">           </w:t>
      </w:r>
    </w:p>
    <w:p w14:paraId="18068973">
      <w:pPr>
        <w:spacing w:line="240" w:lineRule="auto"/>
        <w:jc w:val="left"/>
        <w:rPr>
          <w:sz w:val="36"/>
        </w:rPr>
      </w:pPr>
      <w:r>
        <w:rPr>
          <w:sz w:val="36"/>
        </w:rPr>
        <w:br w:type="page"/>
      </w:r>
    </w:p>
    <w:p w14:paraId="21F82F60">
      <w:pPr>
        <w:pStyle w:val="75"/>
        <w:ind w:firstLine="0" w:firstLineChars="0"/>
        <w:jc w:val="center"/>
        <w:rPr>
          <w:b/>
          <w:sz w:val="36"/>
        </w:rPr>
      </w:pPr>
      <w:r>
        <w:rPr>
          <w:rFonts w:hint="eastAsia"/>
          <w:b/>
          <w:sz w:val="36"/>
        </w:rPr>
        <w:t>目   录</w:t>
      </w:r>
    </w:p>
    <w:p w14:paraId="4F465646">
      <w:pPr>
        <w:pStyle w:val="75"/>
        <w:ind w:firstLine="1686" w:firstLineChars="468"/>
        <w:rPr>
          <w:b/>
          <w:sz w:val="36"/>
          <w:szCs w:val="36"/>
        </w:rPr>
      </w:pPr>
    </w:p>
    <w:p w14:paraId="2CB72FBD">
      <w:pPr>
        <w:tabs>
          <w:tab w:val="right" w:leader="hyphen" w:pos="8504"/>
        </w:tabs>
        <w:spacing w:line="500" w:lineRule="exact"/>
        <w:ind w:left="0" w:leftChars="0" w:right="840" w:rightChars="300" w:firstLine="840" w:firstLineChars="300"/>
      </w:pPr>
      <w:r>
        <w:rPr>
          <w:rFonts w:hint="eastAsia"/>
        </w:rPr>
        <w:t>一、</w:t>
      </w:r>
      <w:r>
        <w:rPr>
          <w:rFonts w:hint="eastAsia"/>
          <w:lang w:val="en-US" w:eastAsia="zh-CN"/>
        </w:rPr>
        <w:t>投标</w:t>
      </w:r>
      <w:r>
        <w:rPr>
          <w:rFonts w:hint="eastAsia"/>
        </w:rPr>
        <w:t>响应</w:t>
      </w:r>
      <w:r>
        <w:t>函</w:t>
      </w:r>
      <w:r>
        <w:tab/>
      </w:r>
      <w:r>
        <w:t>X</w:t>
      </w:r>
    </w:p>
    <w:p w14:paraId="3D0C677F">
      <w:pPr>
        <w:tabs>
          <w:tab w:val="right" w:leader="hyphen" w:pos="8504"/>
        </w:tabs>
        <w:spacing w:line="500" w:lineRule="exact"/>
        <w:ind w:left="1960" w:leftChars="200" w:right="840" w:rightChars="300" w:hanging="1400" w:hangingChars="500"/>
      </w:pPr>
      <w:r>
        <w:rPr>
          <w:rFonts w:hint="eastAsia"/>
        </w:rPr>
        <w:t xml:space="preserve">  二、</w:t>
      </w:r>
      <w:r>
        <w:rPr>
          <w:rFonts w:hint="eastAsia"/>
          <w:lang w:val="en-US" w:eastAsia="zh-CN"/>
        </w:rPr>
        <w:t>开标一览</w:t>
      </w:r>
      <w:r>
        <w:rPr>
          <w:rFonts w:hint="eastAsia"/>
        </w:rPr>
        <w:t>表</w:t>
      </w:r>
      <w:r>
        <w:tab/>
      </w:r>
      <w:r>
        <w:t>X</w:t>
      </w:r>
    </w:p>
    <w:p w14:paraId="1CBAD7C7">
      <w:pPr>
        <w:tabs>
          <w:tab w:val="right" w:leader="hyphen" w:pos="8504"/>
        </w:tabs>
        <w:spacing w:line="500" w:lineRule="exact"/>
        <w:ind w:left="1960" w:leftChars="200" w:right="840" w:rightChars="300" w:hanging="1400" w:hangingChars="500"/>
      </w:pPr>
      <w:r>
        <w:t>　　　分项报价表</w:t>
      </w:r>
      <w:r>
        <w:tab/>
      </w:r>
      <w:r>
        <w:t>X</w:t>
      </w:r>
    </w:p>
    <w:p w14:paraId="7305DE35">
      <w:pPr>
        <w:tabs>
          <w:tab w:val="right" w:leader="hyphen" w:pos="8504"/>
        </w:tabs>
        <w:spacing w:line="500" w:lineRule="exact"/>
        <w:ind w:right="840" w:rightChars="300" w:firstLine="840" w:firstLineChars="300"/>
      </w:pPr>
      <w:r>
        <w:rPr>
          <w:rFonts w:hint="eastAsia"/>
        </w:rPr>
        <w:t>三、技术</w:t>
      </w:r>
      <w:r>
        <w:rPr>
          <w:rFonts w:hint="eastAsia"/>
          <w:lang w:val="en-US" w:eastAsia="zh-CN"/>
        </w:rPr>
        <w:t>指标</w:t>
      </w:r>
      <w:r>
        <w:rPr>
          <w:rFonts w:hint="eastAsia"/>
        </w:rPr>
        <w:t>偏离表</w:t>
      </w:r>
      <w:r>
        <w:tab/>
      </w:r>
      <w:r>
        <w:t>X</w:t>
      </w:r>
    </w:p>
    <w:p w14:paraId="14065C9C">
      <w:pPr>
        <w:tabs>
          <w:tab w:val="right" w:leader="hyphen" w:pos="8504"/>
        </w:tabs>
        <w:spacing w:line="500" w:lineRule="exact"/>
        <w:ind w:right="840" w:rightChars="300" w:firstLine="840" w:firstLineChars="300"/>
      </w:pPr>
      <w:r>
        <w:rPr>
          <w:rFonts w:hint="eastAsia"/>
        </w:rPr>
        <w:t>四、</w:t>
      </w:r>
      <w:r>
        <w:rPr>
          <w:rFonts w:hint="eastAsia" w:ascii="仿宋" w:hAnsi="仿宋" w:eastAsia="仿宋" w:cs="宋体"/>
        </w:rPr>
        <w:t>供应商承诺书</w:t>
      </w:r>
      <w:r>
        <w:tab/>
      </w:r>
      <w:r>
        <w:t>X</w:t>
      </w:r>
    </w:p>
    <w:p w14:paraId="336CA26D">
      <w:pPr>
        <w:tabs>
          <w:tab w:val="right" w:leader="hyphen" w:pos="8504"/>
        </w:tabs>
        <w:spacing w:line="500" w:lineRule="exact"/>
        <w:ind w:left="1960" w:leftChars="200" w:right="840" w:rightChars="300" w:hanging="1400" w:hangingChars="500"/>
      </w:pPr>
      <w:r>
        <w:rPr>
          <w:rFonts w:hint="eastAsia"/>
        </w:rPr>
        <w:t xml:space="preserve">  </w:t>
      </w:r>
      <w:r>
        <w:rPr>
          <w:rFonts w:hint="eastAsia"/>
          <w:lang w:val="en-US" w:eastAsia="zh-CN"/>
        </w:rPr>
        <w:t>五</w:t>
      </w:r>
      <w:r>
        <w:rPr>
          <w:rFonts w:hint="eastAsia"/>
        </w:rPr>
        <w:t>、商务及合同主要条款响应</w:t>
      </w:r>
      <w:r>
        <w:tab/>
      </w:r>
      <w:r>
        <w:t>X</w:t>
      </w:r>
    </w:p>
    <w:p w14:paraId="6402D312">
      <w:pPr>
        <w:tabs>
          <w:tab w:val="right" w:leader="hyphen" w:pos="8504"/>
        </w:tabs>
        <w:spacing w:line="500" w:lineRule="exact"/>
        <w:ind w:right="840" w:rightChars="300" w:firstLine="840" w:firstLineChars="300"/>
        <w:rPr>
          <w:rFonts w:ascii="仿宋" w:hAnsi="仿宋" w:eastAsia="仿宋" w:cs="宋体"/>
        </w:rPr>
      </w:pPr>
      <w:r>
        <w:rPr>
          <w:rFonts w:hint="eastAsia" w:ascii="仿宋" w:hAnsi="仿宋" w:eastAsia="仿宋" w:cs="宋体"/>
          <w:lang w:val="en-US" w:eastAsia="zh-CN"/>
        </w:rPr>
        <w:t>六</w:t>
      </w:r>
      <w:r>
        <w:rPr>
          <w:rFonts w:hint="eastAsia" w:ascii="仿宋" w:hAnsi="仿宋" w:eastAsia="仿宋" w:cs="宋体"/>
        </w:rPr>
        <w:t>、</w:t>
      </w:r>
      <w:r>
        <w:rPr>
          <w:rFonts w:hint="eastAsia" w:ascii="仿宋" w:hAnsi="仿宋" w:eastAsia="仿宋" w:cs="宋体"/>
          <w:lang w:val="en-US" w:eastAsia="zh-CN"/>
        </w:rPr>
        <w:t>供货服务</w:t>
      </w:r>
      <w:r>
        <w:rPr>
          <w:rFonts w:hint="eastAsia" w:ascii="仿宋" w:hAnsi="仿宋" w:eastAsia="仿宋" w:cs="宋体"/>
        </w:rPr>
        <w:t>方案</w:t>
      </w:r>
      <w:r>
        <w:rPr>
          <w:rFonts w:ascii="仿宋" w:hAnsi="仿宋" w:eastAsia="仿宋" w:cs="宋体"/>
        </w:rPr>
        <w:tab/>
      </w:r>
      <w:r>
        <w:rPr>
          <w:rFonts w:ascii="仿宋" w:hAnsi="仿宋" w:eastAsia="仿宋" w:cs="宋体"/>
        </w:rPr>
        <w:t>X</w:t>
      </w:r>
    </w:p>
    <w:p w14:paraId="453F5577">
      <w:pPr>
        <w:tabs>
          <w:tab w:val="right" w:leader="hyphen" w:pos="8504"/>
        </w:tabs>
        <w:spacing w:line="500" w:lineRule="exact"/>
        <w:ind w:right="840" w:rightChars="300" w:firstLine="840" w:firstLineChars="300"/>
        <w:rPr>
          <w:rFonts w:ascii="仿宋" w:hAnsi="仿宋" w:eastAsia="仿宋" w:cs="宋体"/>
        </w:rPr>
      </w:pPr>
      <w:r>
        <w:rPr>
          <w:rFonts w:hint="eastAsia" w:ascii="仿宋" w:hAnsi="仿宋" w:eastAsia="仿宋" w:cs="宋体"/>
          <w:lang w:val="en-US" w:eastAsia="zh-CN"/>
        </w:rPr>
        <w:t>七</w:t>
      </w:r>
      <w:r>
        <w:rPr>
          <w:rFonts w:hint="eastAsia" w:ascii="仿宋" w:hAnsi="仿宋" w:eastAsia="仿宋" w:cs="宋体"/>
        </w:rPr>
        <w:t>、供应商认为有利于成交的其他情况说明</w:t>
      </w:r>
      <w:r>
        <w:rPr>
          <w:rFonts w:ascii="仿宋" w:hAnsi="仿宋" w:eastAsia="仿宋" w:cs="宋体"/>
        </w:rPr>
        <w:tab/>
      </w:r>
      <w:r>
        <w:rPr>
          <w:rFonts w:ascii="仿宋" w:hAnsi="仿宋" w:eastAsia="仿宋" w:cs="宋体"/>
        </w:rPr>
        <w:t>X</w:t>
      </w:r>
    </w:p>
    <w:p w14:paraId="273A6E22">
      <w:pPr>
        <w:pStyle w:val="24"/>
        <w:ind w:firstLine="186"/>
      </w:pPr>
    </w:p>
    <w:p w14:paraId="706E85AB">
      <w:pPr>
        <w:pStyle w:val="4"/>
      </w:pPr>
    </w:p>
    <w:p w14:paraId="24D10902">
      <w:pPr>
        <w:spacing w:line="240" w:lineRule="auto"/>
        <w:jc w:val="left"/>
        <w:rPr>
          <w:sz w:val="36"/>
        </w:rPr>
      </w:pPr>
      <w:r>
        <w:rPr>
          <w:sz w:val="36"/>
        </w:rPr>
        <w:br w:type="page"/>
      </w:r>
    </w:p>
    <w:p w14:paraId="1E5D92E4">
      <w:pPr>
        <w:pStyle w:val="74"/>
        <w:rPr>
          <w:rFonts w:ascii="黑体" w:hAnsi="黑体" w:eastAsia="黑体"/>
          <w:b w:val="0"/>
        </w:rPr>
      </w:pPr>
      <w:r>
        <w:rPr>
          <w:rFonts w:hint="eastAsia" w:ascii="黑体" w:hAnsi="黑体" w:eastAsia="黑体"/>
          <w:b w:val="0"/>
        </w:rPr>
        <w:t>一、投标</w:t>
      </w:r>
      <w:r>
        <w:rPr>
          <w:rFonts w:hint="eastAsia" w:ascii="黑体" w:hAnsi="黑体" w:eastAsia="黑体"/>
          <w:b w:val="0"/>
          <w:lang w:val="en-US" w:eastAsia="zh-CN"/>
        </w:rPr>
        <w:t>响应</w:t>
      </w:r>
      <w:r>
        <w:rPr>
          <w:rFonts w:hint="eastAsia" w:ascii="黑体" w:hAnsi="黑体" w:eastAsia="黑体"/>
          <w:b w:val="0"/>
        </w:rPr>
        <w:t>函</w:t>
      </w:r>
    </w:p>
    <w:p w14:paraId="4E759BAF">
      <w:pPr>
        <w:pStyle w:val="75"/>
        <w:spacing w:line="500" w:lineRule="exact"/>
        <w:ind w:firstLine="0" w:firstLineChars="0"/>
        <w:rPr>
          <w:rFonts w:ascii="仿宋" w:hAnsi="仿宋" w:eastAsia="仿宋"/>
          <w:lang w:val="zh-CN"/>
        </w:rPr>
      </w:pPr>
      <w:r>
        <w:rPr>
          <w:rFonts w:hint="eastAsia"/>
          <w:lang w:eastAsia="zh-CN"/>
        </w:rPr>
        <w:t>府谷县公安局</w:t>
      </w:r>
      <w:r>
        <w:rPr>
          <w:rFonts w:ascii="仿宋" w:hAnsi="仿宋" w:eastAsia="仿宋"/>
          <w:lang w:val="zh-CN"/>
        </w:rPr>
        <w:t>：</w:t>
      </w:r>
    </w:p>
    <w:p w14:paraId="1767174E">
      <w:pPr>
        <w:pStyle w:val="75"/>
        <w:spacing w:line="500" w:lineRule="exact"/>
        <w:ind w:firstLine="572"/>
      </w:pPr>
      <w:r>
        <w:rPr>
          <w:color w:val="000000"/>
        </w:rPr>
        <w:t>我方收到贵中心发布的</w:t>
      </w:r>
      <w:r>
        <w:rPr>
          <w:rFonts w:hint="eastAsia"/>
          <w:color w:val="000000"/>
          <w:u w:val="single"/>
        </w:rPr>
        <w:t xml:space="preserve">  </w:t>
      </w:r>
      <w:r>
        <w:rPr>
          <w:b/>
          <w:u w:val="single"/>
        </w:rPr>
        <w:t>《</w:t>
      </w:r>
      <w:r>
        <w:rPr>
          <w:rFonts w:hint="eastAsia"/>
          <w:b/>
          <w:u w:val="single"/>
        </w:rPr>
        <w:t>项目名称</w:t>
      </w:r>
      <w:r>
        <w:rPr>
          <w:b/>
          <w:u w:val="single"/>
        </w:rPr>
        <w:t>》</w:t>
      </w:r>
      <w:r>
        <w:rPr>
          <w:rFonts w:hint="eastAsia"/>
          <w:b/>
          <w:u w:val="single"/>
          <w:lang w:val="en-US" w:eastAsia="zh-CN"/>
        </w:rPr>
        <w:t xml:space="preserve">   </w:t>
      </w:r>
      <w:r>
        <w:rPr>
          <w:rFonts w:hint="eastAsia"/>
          <w:b/>
          <w:u w:val="single"/>
        </w:rPr>
        <w:t xml:space="preserve">  </w:t>
      </w:r>
      <w:r>
        <w:t>（</w:t>
      </w:r>
      <w:r>
        <w:rPr>
          <w:b/>
        </w:rPr>
        <w:t>项目编号：</w:t>
      </w:r>
      <w:r>
        <w:rPr>
          <w:rFonts w:hint="eastAsia"/>
          <w:b/>
          <w:u w:val="single"/>
        </w:rPr>
        <w:t xml:space="preserve">    </w:t>
      </w:r>
      <w:r>
        <w:t>）</w:t>
      </w:r>
      <w:r>
        <w:rPr>
          <w:rFonts w:hint="eastAsia"/>
          <w:lang w:val="en-US" w:eastAsia="zh-CN"/>
        </w:rPr>
        <w:t>的</w:t>
      </w:r>
      <w:r>
        <w:t>招标文件，经详细研究，我方决定参加该项招标活动。为此，我方郑重声明以下诸点，并负法律责任。</w:t>
      </w:r>
    </w:p>
    <w:p w14:paraId="6F71415B">
      <w:pPr>
        <w:pStyle w:val="75"/>
        <w:spacing w:line="500" w:lineRule="exact"/>
        <w:ind w:firstLine="572"/>
      </w:pPr>
      <w:r>
        <w:t>一、我方已详细阅读了招标文件，完全理解并同意招标文件的所有事项及内容。</w:t>
      </w:r>
    </w:p>
    <w:p w14:paraId="4EDF95EB">
      <w:pPr>
        <w:pStyle w:val="75"/>
        <w:spacing w:line="500" w:lineRule="exact"/>
        <w:ind w:firstLine="572"/>
      </w:pPr>
      <w:r>
        <w:t>二、我方已悉知并关注了贵</w:t>
      </w:r>
      <w:r>
        <w:rPr>
          <w:rFonts w:hint="eastAsia"/>
          <w:lang w:val="en-US" w:eastAsia="zh-CN"/>
        </w:rPr>
        <w:t>方</w:t>
      </w:r>
      <w:r>
        <w:t>发布的关于本项目的有关变更公告</w:t>
      </w:r>
      <w:r>
        <w:rPr>
          <w:rFonts w:hint="eastAsia"/>
        </w:rPr>
        <w:t>。</w:t>
      </w:r>
    </w:p>
    <w:p w14:paraId="7796ECB3">
      <w:pPr>
        <w:pStyle w:val="75"/>
        <w:spacing w:line="500" w:lineRule="exact"/>
        <w:ind w:firstLine="572"/>
      </w:pPr>
      <w:r>
        <w:rPr>
          <w:rFonts w:hint="eastAsia"/>
        </w:rPr>
        <w:t>三、我方同意</w:t>
      </w:r>
      <w:r>
        <w:t>向贵方提供与本投标有关的任何</w:t>
      </w:r>
      <w:r>
        <w:rPr>
          <w:rFonts w:hint="eastAsia"/>
        </w:rPr>
        <w:t>证明材料，保证</w:t>
      </w:r>
      <w:r>
        <w:t>所</w:t>
      </w:r>
      <w:r>
        <w:rPr>
          <w:rFonts w:hint="eastAsia"/>
        </w:rPr>
        <w:t>提交的证明</w:t>
      </w:r>
      <w:r>
        <w:t>材料</w:t>
      </w:r>
      <w:r>
        <w:rPr>
          <w:rFonts w:hint="eastAsia"/>
        </w:rPr>
        <w:t>真实、合法、</w:t>
      </w:r>
      <w:r>
        <w:t>有效。我方理解最低价不是中标的唯一条件</w:t>
      </w:r>
      <w:r>
        <w:rPr>
          <w:rFonts w:hint="eastAsia"/>
        </w:rPr>
        <w:t>，</w:t>
      </w:r>
      <w:r>
        <w:t>并尊重评标委员会的评审结果。</w:t>
      </w:r>
    </w:p>
    <w:p w14:paraId="539C66A3">
      <w:pPr>
        <w:pStyle w:val="75"/>
        <w:spacing w:line="500" w:lineRule="exact"/>
        <w:ind w:firstLine="572"/>
      </w:pPr>
      <w:r>
        <w:rPr>
          <w:rFonts w:hint="eastAsia"/>
        </w:rPr>
        <w:t>四</w:t>
      </w:r>
      <w:r>
        <w:t>、我方愿意按照招标文件中的一切要求，完成本项目</w:t>
      </w:r>
      <w:r>
        <w:rPr>
          <w:rFonts w:hint="eastAsia"/>
        </w:rPr>
        <w:t>合同</w:t>
      </w:r>
      <w:r>
        <w:rPr>
          <w:rFonts w:hint="eastAsia" w:ascii="仿宋" w:hAnsi="仿宋" w:eastAsia="仿宋"/>
        </w:rPr>
        <w:t>责任和义务</w:t>
      </w:r>
      <w:r>
        <w:t>。</w:t>
      </w:r>
    </w:p>
    <w:p w14:paraId="2158E25A">
      <w:pPr>
        <w:pStyle w:val="75"/>
        <w:spacing w:line="500" w:lineRule="exact"/>
        <w:ind w:firstLine="572"/>
      </w:pPr>
      <w:r>
        <w:rPr>
          <w:rFonts w:hint="eastAsia"/>
        </w:rPr>
        <w:t>五</w:t>
      </w:r>
      <w:r>
        <w:t>、按招标文件的规定</w:t>
      </w:r>
      <w:r>
        <w:rPr>
          <w:rFonts w:hint="eastAsia"/>
        </w:rPr>
        <w:t>，</w:t>
      </w:r>
      <w:r>
        <w:t>完成本项目采购内容并验收合格</w:t>
      </w:r>
      <w:r>
        <w:rPr>
          <w:rFonts w:hint="eastAsia"/>
          <w:lang w:val="en-US" w:eastAsia="zh-CN"/>
        </w:rPr>
        <w:t>的</w:t>
      </w:r>
      <w:r>
        <w:t>投标报价以开标一览表为准</w:t>
      </w:r>
      <w:r>
        <w:rPr>
          <w:rFonts w:hint="eastAsia"/>
        </w:rPr>
        <w:t>。</w:t>
      </w:r>
    </w:p>
    <w:p w14:paraId="508DDDCC">
      <w:pPr>
        <w:pStyle w:val="75"/>
        <w:spacing w:line="500" w:lineRule="exact"/>
        <w:ind w:firstLine="572"/>
      </w:pPr>
      <w:r>
        <w:t>六</w:t>
      </w:r>
      <w:r>
        <w:rPr>
          <w:rFonts w:hint="eastAsia"/>
        </w:rPr>
        <w:t>、</w:t>
      </w:r>
      <w:r>
        <w:t>我方提交的投标文件</w:t>
      </w:r>
      <w:r>
        <w:rPr>
          <w:rFonts w:hint="eastAsia"/>
        </w:rPr>
        <w:t>包括</w:t>
      </w:r>
      <w:r>
        <w:rPr>
          <w:rFonts w:hint="eastAsia" w:ascii="华文仿宋" w:hAnsi="华文仿宋" w:cs="仿宋"/>
          <w:b/>
        </w:rPr>
        <w:t>电子资格响应文件一份、电子商务及技术响应文件一份。同时在投标截止时间前按招标文件要求邮寄纸质资格响应文件（纸质文件邮寄回执单除外）一式三份；纸质商务及技术响应文件一式三份；电子响应文件（U盘）一式</w:t>
      </w:r>
      <w:r>
        <w:rPr>
          <w:rFonts w:hint="eastAsia" w:ascii="华文仿宋" w:hAnsi="华文仿宋" w:cs="仿宋"/>
          <w:b/>
          <w:lang w:val="en-US" w:eastAsia="zh-CN"/>
        </w:rPr>
        <w:t>三</w:t>
      </w:r>
      <w:r>
        <w:rPr>
          <w:rFonts w:hint="eastAsia" w:ascii="华文仿宋" w:hAnsi="华文仿宋" w:cs="仿宋"/>
          <w:b/>
        </w:rPr>
        <w:t>份</w:t>
      </w:r>
      <w:r>
        <w:rPr>
          <w:rFonts w:hint="eastAsia" w:ascii="华文仿宋" w:hAnsi="华文仿宋" w:cs="仿宋"/>
          <w:b/>
          <w:lang w:eastAsia="zh-CN"/>
        </w:rPr>
        <w:t>（</w:t>
      </w:r>
      <w:r>
        <w:rPr>
          <w:rFonts w:hint="eastAsia" w:ascii="华文仿宋" w:hAnsi="华文仿宋" w:cs="仿宋"/>
          <w:b/>
          <w:lang w:val="en-US" w:eastAsia="zh-CN"/>
        </w:rPr>
        <w:t>包含</w:t>
      </w:r>
      <w:r>
        <w:rPr>
          <w:rFonts w:hint="eastAsia" w:ascii="华文仿宋" w:hAnsi="华文仿宋" w:cs="仿宋"/>
          <w:b/>
        </w:rPr>
        <w:t>资格响应文件</w:t>
      </w:r>
      <w:r>
        <w:rPr>
          <w:rFonts w:hint="eastAsia" w:ascii="华文仿宋" w:hAnsi="华文仿宋" w:cs="仿宋"/>
          <w:b/>
          <w:lang w:eastAsia="zh-CN"/>
        </w:rPr>
        <w:t>、</w:t>
      </w:r>
      <w:r>
        <w:rPr>
          <w:rFonts w:hint="eastAsia" w:ascii="华文仿宋" w:hAnsi="华文仿宋" w:cs="仿宋"/>
          <w:b/>
        </w:rPr>
        <w:t>商务及技术响应文件</w:t>
      </w:r>
      <w:r>
        <w:rPr>
          <w:rFonts w:hint="eastAsia" w:ascii="华文仿宋" w:hAnsi="华文仿宋" w:cs="仿宋"/>
          <w:b/>
          <w:lang w:val="en-US" w:eastAsia="zh-CN"/>
        </w:rPr>
        <w:t>全部内容的签章后PDF版文件</w:t>
      </w:r>
      <w:r>
        <w:rPr>
          <w:rFonts w:hint="eastAsia" w:ascii="华文仿宋" w:hAnsi="华文仿宋" w:cs="仿宋"/>
          <w:b/>
          <w:lang w:eastAsia="zh-CN"/>
        </w:rPr>
        <w:t>）</w:t>
      </w:r>
      <w:r>
        <w:rPr>
          <w:rFonts w:hint="eastAsia" w:ascii="华文仿宋" w:hAnsi="华文仿宋" w:cs="仿宋"/>
          <w:b/>
        </w:rPr>
        <w:t>。并将纸质文件邮寄回执单附在电子资格响应文件中用于资格审查</w:t>
      </w:r>
      <w:r>
        <w:rPr>
          <w:rFonts w:hint="eastAsia" w:ascii="华文仿宋" w:hAnsi="华文仿宋" w:cs="仿宋"/>
          <w:b/>
          <w:bCs/>
        </w:rPr>
        <w:t>。</w:t>
      </w:r>
    </w:p>
    <w:p w14:paraId="181490A7">
      <w:pPr>
        <w:pStyle w:val="75"/>
        <w:spacing w:line="500" w:lineRule="exact"/>
        <w:ind w:firstLine="572"/>
      </w:pPr>
      <w:r>
        <w:rPr>
          <w:rFonts w:hint="eastAsia"/>
        </w:rPr>
        <w:t>七</w:t>
      </w:r>
      <w:r>
        <w:t>、</w:t>
      </w:r>
      <w:r>
        <w:rPr>
          <w:rFonts w:hint="eastAsia"/>
        </w:rPr>
        <w:t>若我方在</w:t>
      </w:r>
      <w:r>
        <w:t>规定的投标有效期内撤回投标</w:t>
      </w:r>
      <w:r>
        <w:rPr>
          <w:rFonts w:hint="eastAsia"/>
        </w:rPr>
        <w:t>的</w:t>
      </w:r>
      <w:r>
        <w:t>，</w:t>
      </w:r>
      <w:r>
        <w:rPr>
          <w:rFonts w:hint="eastAsia"/>
        </w:rPr>
        <w:t>我们</w:t>
      </w:r>
      <w:r>
        <w:t>愿接受政府采购的有关处罚决定。</w:t>
      </w:r>
    </w:p>
    <w:p w14:paraId="78C34960">
      <w:pPr>
        <w:pStyle w:val="75"/>
        <w:spacing w:line="500" w:lineRule="exact"/>
        <w:ind w:firstLine="572"/>
      </w:pPr>
      <w:r>
        <w:rPr>
          <w:rFonts w:hint="eastAsia"/>
        </w:rPr>
        <w:t>八</w:t>
      </w:r>
      <w:r>
        <w:t>、我方的投标文件</w:t>
      </w:r>
      <w:r>
        <w:rPr>
          <w:rFonts w:hint="eastAsia"/>
        </w:rPr>
        <w:t>自</w:t>
      </w:r>
      <w:r>
        <w:t>开标之日起</w:t>
      </w:r>
      <w:r>
        <w:rPr>
          <w:rFonts w:hint="eastAsia"/>
          <w:u w:val="single"/>
        </w:rPr>
        <w:t>90</w:t>
      </w:r>
      <w:r>
        <w:rPr>
          <w:rFonts w:hint="eastAsia"/>
        </w:rPr>
        <w:t>个日历日</w:t>
      </w:r>
      <w:r>
        <w:t>内有效，如中标，延长至</w:t>
      </w:r>
      <w:r>
        <w:rPr>
          <w:rFonts w:hint="eastAsia"/>
        </w:rPr>
        <w:t>合同</w:t>
      </w:r>
      <w:r>
        <w:rPr>
          <w:rFonts w:ascii="仿宋" w:hAnsi="仿宋" w:eastAsia="仿宋"/>
        </w:rPr>
        <w:t>执行完毕时止</w:t>
      </w:r>
      <w:r>
        <w:t>。</w:t>
      </w:r>
    </w:p>
    <w:p w14:paraId="602E7630">
      <w:pPr>
        <w:pStyle w:val="75"/>
        <w:spacing w:line="500" w:lineRule="exact"/>
        <w:ind w:firstLine="572"/>
      </w:pPr>
      <w:r>
        <w:rPr>
          <w:rFonts w:hint="eastAsia"/>
          <w:lang w:val="en-US" w:eastAsia="zh-CN"/>
        </w:rPr>
        <w:t>九</w:t>
      </w:r>
      <w:r>
        <w:t>、所有关于此次招标活动的函电，请按下列地址联系：</w:t>
      </w:r>
    </w:p>
    <w:p w14:paraId="629757EA">
      <w:pPr>
        <w:pStyle w:val="75"/>
        <w:spacing w:line="500" w:lineRule="exact"/>
        <w:ind w:firstLine="572"/>
      </w:pPr>
    </w:p>
    <w:p w14:paraId="7F771EB5">
      <w:pPr>
        <w:pStyle w:val="75"/>
        <w:spacing w:line="500" w:lineRule="exact"/>
        <w:ind w:firstLine="572"/>
      </w:pPr>
    </w:p>
    <w:p w14:paraId="18DADA60">
      <w:pPr>
        <w:pStyle w:val="75"/>
        <w:spacing w:line="500" w:lineRule="exact"/>
        <w:ind w:firstLine="572"/>
      </w:pPr>
      <w:r>
        <w:rPr>
          <w:rFonts w:hint="eastAsia"/>
        </w:rPr>
        <w:t>投标人全称</w:t>
      </w:r>
      <w:r>
        <w:t>：</w:t>
      </w:r>
      <w:r>
        <w:rPr>
          <w:rFonts w:hint="eastAsia"/>
          <w:u w:val="single"/>
          <w:lang w:val="en-US" w:eastAsia="zh-CN"/>
        </w:rPr>
        <w:t xml:space="preserve">  名称   </w:t>
      </w:r>
      <w:r>
        <w:t>（</w:t>
      </w:r>
      <w:r>
        <w:rPr>
          <w:rFonts w:hint="eastAsia"/>
          <w:lang w:val="en-US" w:eastAsia="zh-CN"/>
        </w:rPr>
        <w:t>加盖</w:t>
      </w:r>
      <w:r>
        <w:t>公章）</w:t>
      </w:r>
    </w:p>
    <w:p w14:paraId="63BD43B0">
      <w:pPr>
        <w:pStyle w:val="75"/>
        <w:spacing w:line="500" w:lineRule="exact"/>
        <w:ind w:firstLine="572"/>
      </w:pPr>
      <w:r>
        <w:t>法定代表人或授权</w:t>
      </w:r>
      <w:r>
        <w:rPr>
          <w:rFonts w:hint="eastAsia"/>
        </w:rPr>
        <w:t>代表</w:t>
      </w:r>
      <w:r>
        <w:t>：（</w:t>
      </w:r>
      <w:r>
        <w:rPr>
          <w:rFonts w:hint="eastAsia"/>
        </w:rPr>
        <w:t>签字</w:t>
      </w:r>
      <w:r>
        <w:t>）</w:t>
      </w:r>
    </w:p>
    <w:p w14:paraId="02E2A15E">
      <w:pPr>
        <w:pStyle w:val="75"/>
        <w:spacing w:line="500" w:lineRule="exact"/>
        <w:ind w:firstLine="572"/>
      </w:pPr>
      <w:r>
        <w:t>地址：</w:t>
      </w:r>
    </w:p>
    <w:p w14:paraId="680A1B1C">
      <w:pPr>
        <w:pStyle w:val="75"/>
        <w:spacing w:line="500" w:lineRule="exact"/>
        <w:ind w:firstLine="572"/>
      </w:pPr>
      <w:r>
        <w:t>开户</w:t>
      </w:r>
      <w:r>
        <w:rPr>
          <w:rFonts w:hint="eastAsia"/>
        </w:rPr>
        <w:t>银行</w:t>
      </w:r>
      <w:r>
        <w:t>：</w:t>
      </w:r>
    </w:p>
    <w:p w14:paraId="4E5AC381">
      <w:pPr>
        <w:pStyle w:val="75"/>
        <w:spacing w:line="500" w:lineRule="exact"/>
        <w:ind w:firstLine="572"/>
      </w:pPr>
      <w:r>
        <w:rPr>
          <w:rFonts w:hint="eastAsia"/>
        </w:rPr>
        <w:t>账号</w:t>
      </w:r>
      <w:r>
        <w:t>：</w:t>
      </w:r>
    </w:p>
    <w:p w14:paraId="774D0C4D">
      <w:pPr>
        <w:pStyle w:val="75"/>
        <w:spacing w:line="500" w:lineRule="exact"/>
        <w:ind w:firstLine="572"/>
      </w:pPr>
      <w:r>
        <w:t>电话：</w:t>
      </w:r>
    </w:p>
    <w:p w14:paraId="703745CE">
      <w:pPr>
        <w:pStyle w:val="75"/>
        <w:spacing w:line="500" w:lineRule="exact"/>
        <w:ind w:firstLine="572"/>
      </w:pPr>
      <w:r>
        <w:t>传真：</w:t>
      </w:r>
    </w:p>
    <w:p w14:paraId="0DB40BBA">
      <w:pPr>
        <w:pStyle w:val="75"/>
        <w:spacing w:line="500" w:lineRule="exact"/>
        <w:ind w:firstLine="572"/>
      </w:pPr>
      <w:r>
        <w:t>邮编：</w:t>
      </w:r>
    </w:p>
    <w:p w14:paraId="3F32BE9E">
      <w:pPr>
        <w:pStyle w:val="75"/>
        <w:spacing w:line="500" w:lineRule="exact"/>
        <w:ind w:firstLine="572"/>
      </w:pPr>
      <w:r>
        <w:rPr>
          <w:rFonts w:hint="eastAsia"/>
        </w:rPr>
        <w:t>电子邮箱：</w:t>
      </w:r>
    </w:p>
    <w:p w14:paraId="2977E03A">
      <w:pPr>
        <w:pStyle w:val="75"/>
        <w:spacing w:line="500" w:lineRule="exact"/>
        <w:ind w:right="137" w:firstLine="572"/>
        <w:jc w:val="right"/>
      </w:pPr>
      <w:r>
        <w:rPr>
          <w:rFonts w:hint="eastAsia"/>
        </w:rPr>
        <w:t>年   月   日</w:t>
      </w:r>
    </w:p>
    <w:p w14:paraId="73631B0A">
      <w:pPr>
        <w:pStyle w:val="75"/>
        <w:ind w:firstLine="0" w:firstLineChars="0"/>
        <w:rPr>
          <w:sz w:val="36"/>
        </w:rPr>
      </w:pPr>
    </w:p>
    <w:p w14:paraId="1F2CDED0">
      <w:pPr>
        <w:pStyle w:val="75"/>
        <w:ind w:firstLine="0" w:firstLineChars="0"/>
        <w:rPr>
          <w:sz w:val="36"/>
        </w:rPr>
      </w:pPr>
    </w:p>
    <w:p w14:paraId="736E69E3">
      <w:pPr>
        <w:pStyle w:val="75"/>
        <w:ind w:firstLine="0" w:firstLineChars="0"/>
        <w:rPr>
          <w:sz w:val="36"/>
        </w:rPr>
      </w:pPr>
    </w:p>
    <w:p w14:paraId="5520FF2B">
      <w:pPr>
        <w:pStyle w:val="75"/>
        <w:ind w:firstLine="0" w:firstLineChars="0"/>
        <w:rPr>
          <w:sz w:val="36"/>
        </w:rPr>
      </w:pPr>
    </w:p>
    <w:p w14:paraId="26C9A1E2">
      <w:pPr>
        <w:pStyle w:val="75"/>
        <w:ind w:firstLine="0" w:firstLineChars="0"/>
        <w:rPr>
          <w:sz w:val="36"/>
        </w:rPr>
      </w:pPr>
    </w:p>
    <w:p w14:paraId="15FAF4F4">
      <w:pPr>
        <w:pStyle w:val="75"/>
        <w:ind w:firstLine="0" w:firstLineChars="0"/>
        <w:rPr>
          <w:sz w:val="36"/>
        </w:rPr>
      </w:pPr>
    </w:p>
    <w:p w14:paraId="47D2D1A9">
      <w:pPr>
        <w:pStyle w:val="75"/>
        <w:ind w:firstLine="0" w:firstLineChars="0"/>
        <w:rPr>
          <w:sz w:val="36"/>
        </w:rPr>
      </w:pPr>
    </w:p>
    <w:p w14:paraId="0F1D86ED">
      <w:pPr>
        <w:pStyle w:val="75"/>
        <w:ind w:firstLine="0" w:firstLineChars="0"/>
        <w:rPr>
          <w:sz w:val="36"/>
        </w:rPr>
      </w:pPr>
    </w:p>
    <w:p w14:paraId="470A946C">
      <w:pPr>
        <w:pStyle w:val="75"/>
        <w:ind w:firstLine="0" w:firstLineChars="0"/>
        <w:rPr>
          <w:sz w:val="36"/>
        </w:rPr>
      </w:pPr>
    </w:p>
    <w:p w14:paraId="144531FA">
      <w:pPr>
        <w:pStyle w:val="75"/>
        <w:ind w:firstLine="0" w:firstLineChars="0"/>
        <w:rPr>
          <w:sz w:val="36"/>
        </w:rPr>
      </w:pPr>
    </w:p>
    <w:p w14:paraId="213E092A">
      <w:pPr>
        <w:pStyle w:val="75"/>
        <w:ind w:firstLine="0" w:firstLineChars="0"/>
        <w:rPr>
          <w:sz w:val="36"/>
        </w:rPr>
      </w:pPr>
    </w:p>
    <w:p w14:paraId="72CBE0BD">
      <w:pPr>
        <w:pStyle w:val="75"/>
        <w:ind w:firstLine="0" w:firstLineChars="0"/>
        <w:rPr>
          <w:sz w:val="36"/>
        </w:rPr>
      </w:pPr>
    </w:p>
    <w:p w14:paraId="77B61C94">
      <w:pPr>
        <w:pStyle w:val="75"/>
        <w:ind w:firstLine="0" w:firstLineChars="0"/>
        <w:rPr>
          <w:sz w:val="36"/>
        </w:rPr>
      </w:pPr>
    </w:p>
    <w:p w14:paraId="62D6EA08">
      <w:pPr>
        <w:pStyle w:val="75"/>
        <w:ind w:firstLine="0" w:firstLineChars="0"/>
        <w:rPr>
          <w:sz w:val="36"/>
        </w:rPr>
      </w:pPr>
    </w:p>
    <w:p w14:paraId="4784AA43">
      <w:pPr>
        <w:pStyle w:val="75"/>
        <w:ind w:firstLine="0" w:firstLineChars="0"/>
        <w:rPr>
          <w:sz w:val="36"/>
        </w:rPr>
      </w:pPr>
    </w:p>
    <w:p w14:paraId="1F0B2EA8">
      <w:pPr>
        <w:pStyle w:val="75"/>
        <w:ind w:firstLine="0" w:firstLineChars="0"/>
        <w:rPr>
          <w:sz w:val="36"/>
        </w:rPr>
      </w:pPr>
    </w:p>
    <w:p w14:paraId="0E11B429">
      <w:pPr>
        <w:pStyle w:val="75"/>
        <w:ind w:firstLine="0" w:firstLineChars="0"/>
        <w:rPr>
          <w:rFonts w:ascii="宋体" w:hAnsi="宋体" w:eastAsia="宋体" w:cs="宋体"/>
          <w:b/>
          <w:sz w:val="21"/>
          <w:szCs w:val="21"/>
        </w:rPr>
      </w:pPr>
      <w:r>
        <w:rPr>
          <w:rFonts w:hint="eastAsia" w:ascii="华文仿宋" w:hAnsi="华文仿宋" w:eastAsia="华文仿宋" w:cs="华文仿宋"/>
          <w:b/>
          <w:sz w:val="21"/>
          <w:szCs w:val="21"/>
        </w:rPr>
        <w:t xml:space="preserve">备注：1、除可填报项目外，对本投标函的任何修改将被视为非实质性响应投标，在评标时将其视为无效投标。  </w:t>
      </w:r>
    </w:p>
    <w:p w14:paraId="0EC47CE3">
      <w:pPr>
        <w:spacing w:line="240" w:lineRule="auto"/>
        <w:jc w:val="left"/>
        <w:rPr>
          <w:rFonts w:ascii="仿宋" w:hAnsi="仿宋" w:eastAsia="仿宋" w:cs="仿宋"/>
          <w:b/>
          <w:sz w:val="32"/>
          <w:szCs w:val="32"/>
        </w:rPr>
      </w:pPr>
      <w:r>
        <w:rPr>
          <w:rFonts w:ascii="仿宋" w:hAnsi="仿宋" w:eastAsia="仿宋" w:cs="仿宋"/>
          <w:bCs/>
          <w:sz w:val="21"/>
          <w:szCs w:val="21"/>
        </w:rPr>
        <w:br w:type="page"/>
      </w:r>
    </w:p>
    <w:p w14:paraId="077DB5D6">
      <w:pPr>
        <w:pStyle w:val="74"/>
        <w:ind w:firstLine="3203" w:firstLineChars="1000"/>
        <w:jc w:val="both"/>
        <w:rPr>
          <w:rFonts w:ascii="华文仿宋" w:hAnsi="华文仿宋" w:cs="仿宋"/>
          <w:bCs w:val="0"/>
        </w:rPr>
      </w:pPr>
      <w:bookmarkStart w:id="89" w:name="_Toc22738"/>
      <w:bookmarkStart w:id="90" w:name="_Toc12523"/>
      <w:bookmarkStart w:id="91" w:name="_Toc503"/>
      <w:bookmarkStart w:id="92" w:name="_Toc56066576"/>
      <w:bookmarkStart w:id="93" w:name="_Toc21685"/>
      <w:bookmarkStart w:id="94" w:name="_Toc701"/>
      <w:r>
        <w:rPr>
          <w:rFonts w:hint="eastAsia" w:ascii="华文仿宋" w:hAnsi="华文仿宋" w:cs="仿宋"/>
          <w:bCs w:val="0"/>
        </w:rPr>
        <w:t>二、</w:t>
      </w:r>
      <w:r>
        <w:rPr>
          <w:rFonts w:hint="eastAsia"/>
          <w:lang w:val="en-US" w:eastAsia="zh-CN"/>
        </w:rPr>
        <w:t>开标一览</w:t>
      </w:r>
      <w:r>
        <w:rPr>
          <w:rFonts w:hint="eastAsia" w:ascii="华文仿宋" w:hAnsi="华文仿宋" w:cs="仿宋"/>
          <w:bCs w:val="0"/>
        </w:rPr>
        <w:t>表</w:t>
      </w:r>
      <w:bookmarkEnd w:id="89"/>
      <w:bookmarkEnd w:id="90"/>
      <w:bookmarkEnd w:id="91"/>
      <w:bookmarkEnd w:id="92"/>
      <w:bookmarkEnd w:id="93"/>
      <w:bookmarkEnd w:id="94"/>
    </w:p>
    <w:p w14:paraId="22479F8B">
      <w:pPr>
        <w:spacing w:line="500" w:lineRule="exact"/>
        <w:jc w:val="left"/>
        <w:rPr>
          <w:rFonts w:ascii="华文仿宋" w:hAnsi="华文仿宋" w:cs="Arial"/>
          <w:kern w:val="0"/>
        </w:rPr>
      </w:pPr>
      <w:r>
        <w:rPr>
          <w:rFonts w:hint="eastAsia" w:ascii="华文仿宋" w:hAnsi="华文仿宋" w:cs="Arial"/>
          <w:kern w:val="0"/>
        </w:rPr>
        <w:t>项目编号：</w:t>
      </w:r>
    </w:p>
    <w:p w14:paraId="79FBB2E5">
      <w:pPr>
        <w:spacing w:line="500" w:lineRule="exact"/>
        <w:jc w:val="left"/>
        <w:rPr>
          <w:rFonts w:ascii="华文仿宋" w:hAnsi="华文仿宋" w:cs="Arial"/>
          <w:kern w:val="0"/>
        </w:rPr>
      </w:pPr>
      <w:r>
        <w:rPr>
          <w:rFonts w:hint="eastAsia" w:ascii="华文仿宋" w:hAnsi="华文仿宋" w:cs="Arial"/>
          <w:kern w:val="0"/>
        </w:rPr>
        <w:t>项目名称：</w:t>
      </w:r>
    </w:p>
    <w:p w14:paraId="40CC21D8">
      <w:pPr>
        <w:ind w:right="560"/>
        <w:jc w:val="right"/>
        <w:rPr>
          <w:rFonts w:ascii="华文仿宋" w:hAnsi="华文仿宋"/>
        </w:rPr>
      </w:pPr>
      <w:r>
        <w:rPr>
          <w:rFonts w:hint="eastAsia" w:ascii="华文仿宋" w:hAnsi="华文仿宋"/>
        </w:rPr>
        <w:t>单位：元</w:t>
      </w:r>
    </w:p>
    <w:tbl>
      <w:tblPr>
        <w:tblStyle w:val="25"/>
        <w:tblW w:w="8662" w:type="dxa"/>
        <w:jc w:val="center"/>
        <w:tblLayout w:type="fixed"/>
        <w:tblCellMar>
          <w:top w:w="0" w:type="dxa"/>
          <w:left w:w="108" w:type="dxa"/>
          <w:bottom w:w="0" w:type="dxa"/>
          <w:right w:w="108" w:type="dxa"/>
        </w:tblCellMar>
      </w:tblPr>
      <w:tblGrid>
        <w:gridCol w:w="2055"/>
        <w:gridCol w:w="6607"/>
      </w:tblGrid>
      <w:tr w14:paraId="5AD8CA83">
        <w:tblPrEx>
          <w:tblCellMar>
            <w:top w:w="0" w:type="dxa"/>
            <w:left w:w="108" w:type="dxa"/>
            <w:bottom w:w="0" w:type="dxa"/>
            <w:right w:w="108" w:type="dxa"/>
          </w:tblCellMar>
        </w:tblPrEx>
        <w:trPr>
          <w:trHeight w:val="2128"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571C0A8E">
            <w:pPr>
              <w:jc w:val="center"/>
              <w:rPr>
                <w:rFonts w:ascii="华文仿宋" w:hAnsi="华文仿宋" w:cs="楷体"/>
                <w:kern w:val="0"/>
                <w:lang w:val="zh-CN"/>
              </w:rPr>
            </w:pPr>
            <w:r>
              <w:rPr>
                <w:rFonts w:hint="eastAsia" w:ascii="华文仿宋" w:hAnsi="华文仿宋" w:cs="楷体"/>
                <w:kern w:val="0"/>
                <w:lang w:val="en-US" w:eastAsia="zh-CN"/>
              </w:rPr>
              <w:t>投标</w:t>
            </w:r>
            <w:r>
              <w:rPr>
                <w:rFonts w:hint="eastAsia" w:ascii="华文仿宋" w:hAnsi="华文仿宋" w:cs="楷体"/>
                <w:kern w:val="0"/>
              </w:rPr>
              <w:t>报价</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0E6D2E84">
            <w:pPr>
              <w:jc w:val="left"/>
              <w:rPr>
                <w:rFonts w:ascii="华文仿宋" w:hAnsi="华文仿宋"/>
                <w:u w:val="single"/>
              </w:rPr>
            </w:pPr>
            <w:r>
              <w:rPr>
                <w:rFonts w:hint="eastAsia" w:ascii="华文仿宋" w:hAnsi="华文仿宋"/>
              </w:rPr>
              <w:t xml:space="preserve">人民币大写： </w:t>
            </w:r>
          </w:p>
          <w:p w14:paraId="718CBEC4">
            <w:pPr>
              <w:pStyle w:val="4"/>
            </w:pPr>
          </w:p>
          <w:p w14:paraId="73D20366">
            <w:pPr>
              <w:jc w:val="left"/>
              <w:rPr>
                <w:rFonts w:ascii="华文仿宋" w:hAnsi="华文仿宋"/>
                <w:u w:val="single"/>
              </w:rPr>
            </w:pPr>
            <w:r>
              <w:rPr>
                <w:rFonts w:hint="eastAsia" w:ascii="华文仿宋" w:hAnsi="华文仿宋"/>
              </w:rPr>
              <w:t xml:space="preserve">小写：￥ </w:t>
            </w:r>
            <w:r>
              <w:rPr>
                <w:rFonts w:hint="eastAsia" w:ascii="华文仿宋" w:hAnsi="华文仿宋"/>
                <w:u w:val="single"/>
              </w:rPr>
              <w:t xml:space="preserve">                  </w:t>
            </w:r>
            <w:r>
              <w:rPr>
                <w:rFonts w:hint="eastAsia" w:ascii="华文仿宋" w:hAnsi="华文仿宋"/>
              </w:rPr>
              <w:t>元</w:t>
            </w:r>
          </w:p>
        </w:tc>
      </w:tr>
      <w:tr w14:paraId="7F0F6B7B">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401DDF20">
            <w:pPr>
              <w:jc w:val="center"/>
              <w:rPr>
                <w:rFonts w:ascii="华文仿宋" w:hAnsi="华文仿宋" w:cs="楷体"/>
                <w:kern w:val="0"/>
              </w:rPr>
            </w:pPr>
            <w:r>
              <w:rPr>
                <w:rFonts w:hint="eastAsia" w:ascii="华文仿宋" w:hAnsi="华文仿宋" w:cs="楷体"/>
                <w:kern w:val="0"/>
              </w:rPr>
              <w:t>交货期</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0402F735">
            <w:pPr>
              <w:jc w:val="left"/>
              <w:rPr>
                <w:rFonts w:hint="default" w:ascii="华文仿宋" w:hAnsi="华文仿宋" w:eastAsia="楷体" w:cs="楷体"/>
                <w:kern w:val="0"/>
                <w:u w:val="single"/>
                <w:lang w:val="en-US" w:eastAsia="zh-CN"/>
              </w:rPr>
            </w:pPr>
          </w:p>
        </w:tc>
      </w:tr>
      <w:tr w14:paraId="265C3274">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2236AAAC">
            <w:pPr>
              <w:jc w:val="center"/>
              <w:rPr>
                <w:rFonts w:hint="eastAsia" w:ascii="华文仿宋" w:hAnsi="华文仿宋" w:eastAsia="华文仿宋" w:cs="楷体"/>
                <w:kern w:val="0"/>
                <w:lang w:val="en-US" w:eastAsia="zh-CN"/>
              </w:rPr>
            </w:pPr>
            <w:r>
              <w:rPr>
                <w:rFonts w:hint="eastAsia" w:ascii="华文仿宋" w:hAnsi="华文仿宋" w:cs="楷体"/>
                <w:kern w:val="0"/>
                <w:lang w:val="en-US" w:eastAsia="zh-CN"/>
              </w:rPr>
              <w:t>质保期</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5BC74C46">
            <w:pPr>
              <w:jc w:val="left"/>
              <w:rPr>
                <w:rFonts w:hint="eastAsia" w:ascii="楷体" w:hAnsi="楷体" w:eastAsia="楷体" w:cs="楷体"/>
              </w:rPr>
            </w:pPr>
          </w:p>
        </w:tc>
      </w:tr>
      <w:tr w14:paraId="771EBEE0">
        <w:tblPrEx>
          <w:tblCellMar>
            <w:top w:w="0" w:type="dxa"/>
            <w:left w:w="108" w:type="dxa"/>
            <w:bottom w:w="0" w:type="dxa"/>
            <w:right w:w="108" w:type="dxa"/>
          </w:tblCellMar>
        </w:tblPrEx>
        <w:trPr>
          <w:trHeight w:val="969"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4DCF6334">
            <w:pPr>
              <w:jc w:val="center"/>
              <w:rPr>
                <w:rFonts w:ascii="华文仿宋" w:hAnsi="华文仿宋"/>
                <w:b/>
              </w:rPr>
            </w:pPr>
            <w:r>
              <w:rPr>
                <w:rFonts w:hint="eastAsia" w:ascii="华文仿宋" w:hAnsi="华文仿宋"/>
                <w:b/>
              </w:rPr>
              <w:t>备注</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02392A41">
            <w:pPr>
              <w:rPr>
                <w:rFonts w:ascii="华文仿宋" w:hAnsi="华文仿宋"/>
                <w:sz w:val="24"/>
                <w:szCs w:val="24"/>
              </w:rPr>
            </w:pPr>
            <w:r>
              <w:rPr>
                <w:rFonts w:hint="eastAsia" w:ascii="华文仿宋" w:hAnsi="华文仿宋"/>
                <w:b/>
                <w:bCs/>
                <w:sz w:val="24"/>
                <w:szCs w:val="24"/>
              </w:rPr>
              <w:t>表内报价以元为单位，精确到小数点后两位。</w:t>
            </w:r>
          </w:p>
        </w:tc>
      </w:tr>
    </w:tbl>
    <w:p w14:paraId="4C21FEE1">
      <w:pPr>
        <w:pStyle w:val="4"/>
        <w:ind w:left="0" w:leftChars="0" w:firstLine="0" w:firstLineChars="0"/>
        <w:rPr>
          <w:lang w:val="zh-CN"/>
        </w:rPr>
      </w:pPr>
    </w:p>
    <w:p w14:paraId="40EE6129">
      <w:pPr>
        <w:pStyle w:val="4"/>
        <w:rPr>
          <w:lang w:val="zh-CN"/>
        </w:rPr>
      </w:pPr>
    </w:p>
    <w:p w14:paraId="14FC276E">
      <w:pPr>
        <w:pStyle w:val="4"/>
        <w:rPr>
          <w:lang w:val="zh-CN"/>
        </w:rPr>
      </w:pPr>
    </w:p>
    <w:p w14:paraId="5EEA8A87">
      <w:pPr>
        <w:ind w:firstLine="480"/>
        <w:rPr>
          <w:rFonts w:hint="eastAsia" w:ascii="华文仿宋" w:hAnsi="华文仿宋" w:cs="楷体"/>
          <w:kern w:val="0"/>
          <w:lang w:val="zh-CN"/>
        </w:rPr>
      </w:pPr>
    </w:p>
    <w:p w14:paraId="36AF1DF1">
      <w:pPr>
        <w:ind w:firstLine="480"/>
        <w:rPr>
          <w:rFonts w:ascii="华文仿宋" w:hAnsi="华文仿宋" w:cs="楷体"/>
          <w:kern w:val="0"/>
        </w:rPr>
      </w:pPr>
      <w:r>
        <w:rPr>
          <w:rFonts w:hint="eastAsia" w:ascii="华文仿宋" w:hAnsi="华文仿宋" w:cs="楷体"/>
          <w:kern w:val="0"/>
          <w:lang w:val="zh-CN"/>
        </w:rPr>
        <w:t>供应商</w:t>
      </w:r>
      <w:r>
        <w:rPr>
          <w:rFonts w:hint="eastAsia" w:ascii="华文仿宋" w:hAnsi="华文仿宋" w:cs="楷体"/>
          <w:kern w:val="0"/>
        </w:rPr>
        <w:t>全称</w:t>
      </w:r>
      <w:r>
        <w:rPr>
          <w:rFonts w:hint="eastAsia" w:ascii="华文仿宋" w:hAnsi="华文仿宋" w:cs="楷体"/>
          <w:kern w:val="0"/>
          <w:lang w:val="zh-CN"/>
        </w:rPr>
        <w:t>：（公章）</w:t>
      </w:r>
    </w:p>
    <w:p w14:paraId="06981CE0">
      <w:pPr>
        <w:ind w:firstLine="480"/>
        <w:rPr>
          <w:rFonts w:ascii="华文仿宋" w:hAnsi="华文仿宋" w:cs="楷体"/>
          <w:kern w:val="0"/>
        </w:rPr>
      </w:pPr>
    </w:p>
    <w:p w14:paraId="3FF23524">
      <w:pPr>
        <w:ind w:firstLine="480"/>
        <w:rPr>
          <w:rFonts w:ascii="华文仿宋" w:hAnsi="华文仿宋" w:cs="楷体"/>
          <w:kern w:val="0"/>
          <w:lang w:val="zh-CN"/>
        </w:rPr>
      </w:pPr>
      <w:r>
        <w:rPr>
          <w:rFonts w:hint="eastAsia" w:ascii="华文仿宋" w:hAnsi="华文仿宋" w:cs="楷体"/>
          <w:kern w:val="0"/>
          <w:lang w:val="zh-CN"/>
        </w:rPr>
        <w:t>法定代表人</w:t>
      </w:r>
      <w:r>
        <w:rPr>
          <w:rFonts w:hint="eastAsia" w:ascii="华文仿宋" w:hAnsi="华文仿宋" w:cs="楷体"/>
          <w:kern w:val="0"/>
        </w:rPr>
        <w:t>或</w:t>
      </w:r>
      <w:r>
        <w:rPr>
          <w:rFonts w:hint="eastAsia" w:ascii="华文仿宋" w:hAnsi="华文仿宋" w:cs="楷体"/>
          <w:kern w:val="0"/>
          <w:lang w:val="zh-CN"/>
        </w:rPr>
        <w:t>授权代表：（签字）</w:t>
      </w:r>
    </w:p>
    <w:p w14:paraId="0E153B3E">
      <w:pPr>
        <w:ind w:firstLine="480"/>
        <w:rPr>
          <w:rFonts w:ascii="华文仿宋" w:hAnsi="华文仿宋" w:cs="楷体"/>
          <w:kern w:val="0"/>
          <w:lang w:val="zh-CN"/>
        </w:rPr>
      </w:pPr>
    </w:p>
    <w:p w14:paraId="73E4A21E">
      <w:pPr>
        <w:ind w:firstLine="5180" w:firstLineChars="1850"/>
        <w:jc w:val="right"/>
        <w:rPr>
          <w:rFonts w:ascii="华文仿宋" w:hAnsi="华文仿宋" w:cs="楷体"/>
          <w:kern w:val="0"/>
          <w:lang w:val="zh-CN"/>
        </w:rPr>
      </w:pPr>
      <w:r>
        <w:rPr>
          <w:rFonts w:hint="eastAsia" w:ascii="华文仿宋" w:hAnsi="华文仿宋" w:cs="楷体"/>
          <w:kern w:val="0"/>
          <w:lang w:val="zh-CN"/>
        </w:rPr>
        <w:t>年       月      日</w:t>
      </w:r>
    </w:p>
    <w:p w14:paraId="3E6BF152">
      <w:pPr>
        <w:pStyle w:val="4"/>
      </w:pPr>
    </w:p>
    <w:p w14:paraId="13460B85">
      <w:pPr>
        <w:pStyle w:val="4"/>
      </w:pPr>
    </w:p>
    <w:p w14:paraId="38077BD0">
      <w:pPr>
        <w:tabs>
          <w:tab w:val="right" w:pos="9072"/>
        </w:tabs>
        <w:spacing w:line="240" w:lineRule="auto"/>
        <w:jc w:val="center"/>
        <w:rPr>
          <w:rFonts w:ascii="华文仿宋" w:hAnsi="华文仿宋"/>
          <w:b/>
        </w:rPr>
      </w:pPr>
      <w:bookmarkStart w:id="95" w:name="_Toc32016"/>
      <w:bookmarkStart w:id="96" w:name="_Toc30858"/>
      <w:bookmarkStart w:id="97" w:name="_Toc8177"/>
      <w:bookmarkStart w:id="98" w:name="_Toc14858"/>
      <w:bookmarkStart w:id="99" w:name="_Toc875"/>
      <w:r>
        <w:rPr>
          <w:rFonts w:ascii="华文仿宋" w:hAnsi="华文仿宋" w:cs="华文仿宋"/>
          <w:b/>
          <w:bCs/>
          <w:sz w:val="30"/>
          <w:szCs w:val="30"/>
        </w:rPr>
        <w:br w:type="page"/>
      </w:r>
      <w:r>
        <w:rPr>
          <w:rFonts w:ascii="华文仿宋" w:hAnsi="华文仿宋"/>
          <w:b/>
        </w:rPr>
        <w:t>分项报价表</w:t>
      </w:r>
    </w:p>
    <w:p w14:paraId="01631E9B">
      <w:pPr>
        <w:spacing w:line="500" w:lineRule="exact"/>
        <w:jc w:val="left"/>
        <w:rPr>
          <w:rFonts w:ascii="仿宋" w:hAnsi="仿宋" w:eastAsia="仿宋" w:cs="Arial"/>
          <w:color w:val="333333"/>
          <w:kern w:val="0"/>
        </w:rPr>
      </w:pPr>
      <w:r>
        <w:rPr>
          <w:rFonts w:hint="eastAsia" w:ascii="仿宋" w:hAnsi="仿宋" w:eastAsia="仿宋" w:cs="Arial"/>
          <w:color w:val="333333"/>
          <w:kern w:val="0"/>
        </w:rPr>
        <w:t>项目编号：</w:t>
      </w:r>
    </w:p>
    <w:p w14:paraId="361C2507">
      <w:pPr>
        <w:spacing w:line="500" w:lineRule="exact"/>
        <w:jc w:val="left"/>
        <w:rPr>
          <w:rFonts w:ascii="仿宋" w:hAnsi="仿宋" w:eastAsia="仿宋" w:cs="Arial"/>
          <w:color w:val="333333"/>
          <w:kern w:val="0"/>
        </w:rPr>
      </w:pPr>
      <w:r>
        <w:rPr>
          <w:rFonts w:hint="eastAsia" w:ascii="仿宋" w:hAnsi="仿宋" w:eastAsia="仿宋" w:cs="Arial"/>
          <w:color w:val="333333"/>
          <w:kern w:val="0"/>
        </w:rPr>
        <w:t>项目名称：</w:t>
      </w:r>
    </w:p>
    <w:p w14:paraId="198817EF">
      <w:pPr>
        <w:ind w:right="560"/>
        <w:jc w:val="right"/>
        <w:rPr>
          <w:color w:val="000000"/>
        </w:rPr>
      </w:pPr>
      <w:r>
        <w:rPr>
          <w:color w:val="000000"/>
        </w:rPr>
        <w:t>单位：元</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696"/>
        <w:gridCol w:w="660"/>
        <w:gridCol w:w="720"/>
        <w:gridCol w:w="743"/>
        <w:gridCol w:w="1280"/>
        <w:gridCol w:w="845"/>
        <w:gridCol w:w="895"/>
        <w:gridCol w:w="896"/>
        <w:gridCol w:w="896"/>
      </w:tblGrid>
      <w:tr w14:paraId="2A0E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50" w:hRule="atLeast"/>
        </w:trPr>
        <w:tc>
          <w:tcPr>
            <w:tcW w:w="657" w:type="dxa"/>
            <w:noWrap w:val="0"/>
            <w:vAlign w:val="top"/>
          </w:tcPr>
          <w:p w14:paraId="3AE9BD2F">
            <w:pPr>
              <w:pStyle w:val="4"/>
              <w:ind w:firstLine="0"/>
              <w:jc w:val="center"/>
              <w:rPr>
                <w:b/>
              </w:rPr>
            </w:pPr>
            <w:r>
              <w:rPr>
                <w:b/>
              </w:rPr>
              <w:t>序号</w:t>
            </w:r>
          </w:p>
        </w:tc>
        <w:tc>
          <w:tcPr>
            <w:tcW w:w="1696" w:type="dxa"/>
            <w:noWrap w:val="0"/>
            <w:vAlign w:val="top"/>
          </w:tcPr>
          <w:p w14:paraId="70CB2671">
            <w:pPr>
              <w:pStyle w:val="4"/>
              <w:ind w:firstLine="0"/>
              <w:jc w:val="center"/>
              <w:rPr>
                <w:b/>
              </w:rPr>
            </w:pPr>
            <w:r>
              <w:rPr>
                <w:rFonts w:hint="eastAsia"/>
                <w:b/>
              </w:rPr>
              <w:t>产品名称</w:t>
            </w:r>
          </w:p>
        </w:tc>
        <w:tc>
          <w:tcPr>
            <w:tcW w:w="660" w:type="dxa"/>
            <w:noWrap w:val="0"/>
            <w:vAlign w:val="top"/>
          </w:tcPr>
          <w:p w14:paraId="38934C28">
            <w:pPr>
              <w:pStyle w:val="4"/>
              <w:ind w:firstLine="0"/>
              <w:jc w:val="center"/>
              <w:rPr>
                <w:rFonts w:hint="eastAsia"/>
                <w:b/>
              </w:rPr>
            </w:pPr>
            <w:r>
              <w:rPr>
                <w:rFonts w:hint="eastAsia"/>
                <w:b/>
              </w:rPr>
              <w:t>品牌</w:t>
            </w:r>
          </w:p>
        </w:tc>
        <w:tc>
          <w:tcPr>
            <w:tcW w:w="720" w:type="dxa"/>
            <w:noWrap w:val="0"/>
            <w:vAlign w:val="top"/>
          </w:tcPr>
          <w:p w14:paraId="56C8889E">
            <w:pPr>
              <w:pStyle w:val="4"/>
              <w:ind w:firstLine="0"/>
              <w:jc w:val="center"/>
              <w:rPr>
                <w:b/>
              </w:rPr>
            </w:pPr>
            <w:r>
              <w:rPr>
                <w:rFonts w:hint="eastAsia"/>
                <w:b/>
              </w:rPr>
              <w:t>规格型号</w:t>
            </w:r>
          </w:p>
        </w:tc>
        <w:tc>
          <w:tcPr>
            <w:tcW w:w="743" w:type="dxa"/>
            <w:noWrap w:val="0"/>
            <w:vAlign w:val="top"/>
          </w:tcPr>
          <w:p w14:paraId="5100A913">
            <w:pPr>
              <w:pStyle w:val="4"/>
              <w:ind w:firstLine="0"/>
              <w:jc w:val="center"/>
              <w:rPr>
                <w:b/>
              </w:rPr>
            </w:pPr>
            <w:r>
              <w:rPr>
                <w:rFonts w:hint="eastAsia"/>
                <w:b/>
              </w:rPr>
              <w:t>制造厂商</w:t>
            </w:r>
          </w:p>
        </w:tc>
        <w:tc>
          <w:tcPr>
            <w:tcW w:w="1280" w:type="dxa"/>
            <w:noWrap w:val="0"/>
            <w:vAlign w:val="top"/>
          </w:tcPr>
          <w:p w14:paraId="18F7C8AA">
            <w:pPr>
              <w:pStyle w:val="4"/>
              <w:ind w:firstLine="0"/>
              <w:jc w:val="center"/>
              <w:rPr>
                <w:b/>
              </w:rPr>
            </w:pPr>
            <w:r>
              <w:rPr>
                <w:rFonts w:hint="eastAsia"/>
                <w:b/>
              </w:rPr>
              <w:t>制造厂商是否为</w:t>
            </w:r>
            <w:r>
              <w:rPr>
                <w:rFonts w:hint="eastAsia" w:ascii="仿宋" w:hAnsi="仿宋" w:eastAsia="仿宋" w:cs="仿宋"/>
                <w:bCs/>
                <w:lang w:val="en-US" w:eastAsia="zh-CN"/>
              </w:rPr>
              <w:t>中小</w:t>
            </w:r>
            <w:r>
              <w:rPr>
                <w:rFonts w:hint="eastAsia"/>
                <w:b/>
              </w:rPr>
              <w:t>企业</w:t>
            </w:r>
          </w:p>
        </w:tc>
        <w:tc>
          <w:tcPr>
            <w:tcW w:w="845" w:type="dxa"/>
            <w:noWrap w:val="0"/>
            <w:vAlign w:val="top"/>
          </w:tcPr>
          <w:p w14:paraId="3BC34CD9">
            <w:pPr>
              <w:pStyle w:val="4"/>
              <w:ind w:firstLine="0"/>
              <w:jc w:val="center"/>
              <w:rPr>
                <w:rFonts w:hint="default" w:eastAsia="华文仿宋"/>
                <w:b/>
                <w:lang w:val="en-US" w:eastAsia="zh-CN"/>
              </w:rPr>
            </w:pPr>
            <w:r>
              <w:rPr>
                <w:b/>
              </w:rPr>
              <w:t>数量</w:t>
            </w:r>
          </w:p>
        </w:tc>
        <w:tc>
          <w:tcPr>
            <w:tcW w:w="895" w:type="dxa"/>
            <w:noWrap w:val="0"/>
            <w:vAlign w:val="top"/>
          </w:tcPr>
          <w:p w14:paraId="7F2D904D">
            <w:pPr>
              <w:pStyle w:val="4"/>
              <w:ind w:firstLine="0"/>
              <w:jc w:val="center"/>
              <w:rPr>
                <w:rFonts w:hint="eastAsia"/>
                <w:b/>
              </w:rPr>
            </w:pPr>
            <w:r>
              <w:rPr>
                <w:b/>
              </w:rPr>
              <w:t>单</w:t>
            </w:r>
            <w:r>
              <w:rPr>
                <w:rFonts w:hint="eastAsia"/>
                <w:b/>
              </w:rPr>
              <w:t>价</w:t>
            </w:r>
          </w:p>
        </w:tc>
        <w:tc>
          <w:tcPr>
            <w:tcW w:w="896" w:type="dxa"/>
            <w:noWrap w:val="0"/>
            <w:vAlign w:val="top"/>
          </w:tcPr>
          <w:p w14:paraId="60261D65">
            <w:pPr>
              <w:pStyle w:val="4"/>
              <w:ind w:firstLine="0"/>
              <w:jc w:val="center"/>
              <w:rPr>
                <w:b/>
              </w:rPr>
            </w:pPr>
            <w:r>
              <w:rPr>
                <w:b/>
              </w:rPr>
              <w:t>总价</w:t>
            </w:r>
          </w:p>
        </w:tc>
        <w:tc>
          <w:tcPr>
            <w:tcW w:w="896" w:type="dxa"/>
            <w:noWrap w:val="0"/>
            <w:vAlign w:val="top"/>
          </w:tcPr>
          <w:p w14:paraId="61D2E70B">
            <w:pPr>
              <w:pStyle w:val="4"/>
              <w:ind w:firstLine="0"/>
              <w:jc w:val="center"/>
              <w:rPr>
                <w:b/>
              </w:rPr>
            </w:pPr>
            <w:r>
              <w:rPr>
                <w:rFonts w:hint="eastAsia"/>
                <w:b/>
              </w:rPr>
              <w:t>备注</w:t>
            </w:r>
          </w:p>
        </w:tc>
      </w:tr>
      <w:tr w14:paraId="4AFD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57" w:type="dxa"/>
            <w:noWrap w:val="0"/>
            <w:vAlign w:val="top"/>
          </w:tcPr>
          <w:p w14:paraId="3CD94CB5">
            <w:pPr>
              <w:pStyle w:val="4"/>
              <w:ind w:firstLine="0"/>
              <w:jc w:val="center"/>
            </w:pPr>
            <w:r>
              <w:rPr>
                <w:rFonts w:hint="eastAsia"/>
              </w:rPr>
              <w:t>1</w:t>
            </w:r>
          </w:p>
        </w:tc>
        <w:tc>
          <w:tcPr>
            <w:tcW w:w="1696" w:type="dxa"/>
            <w:noWrap w:val="0"/>
            <w:vAlign w:val="top"/>
          </w:tcPr>
          <w:p w14:paraId="419A3BAA">
            <w:pPr>
              <w:pStyle w:val="4"/>
              <w:ind w:firstLine="0"/>
              <w:jc w:val="center"/>
            </w:pPr>
          </w:p>
        </w:tc>
        <w:tc>
          <w:tcPr>
            <w:tcW w:w="660" w:type="dxa"/>
            <w:noWrap w:val="0"/>
            <w:vAlign w:val="top"/>
          </w:tcPr>
          <w:p w14:paraId="18169740">
            <w:pPr>
              <w:pStyle w:val="4"/>
              <w:ind w:firstLine="0"/>
              <w:jc w:val="center"/>
            </w:pPr>
          </w:p>
        </w:tc>
        <w:tc>
          <w:tcPr>
            <w:tcW w:w="720" w:type="dxa"/>
            <w:noWrap w:val="0"/>
            <w:vAlign w:val="top"/>
          </w:tcPr>
          <w:p w14:paraId="3227E9D9">
            <w:pPr>
              <w:pStyle w:val="4"/>
              <w:ind w:firstLine="0"/>
              <w:jc w:val="center"/>
            </w:pPr>
          </w:p>
        </w:tc>
        <w:tc>
          <w:tcPr>
            <w:tcW w:w="743" w:type="dxa"/>
            <w:noWrap w:val="0"/>
            <w:vAlign w:val="top"/>
          </w:tcPr>
          <w:p w14:paraId="6F742B56">
            <w:pPr>
              <w:pStyle w:val="4"/>
              <w:ind w:firstLine="0"/>
              <w:jc w:val="center"/>
            </w:pPr>
          </w:p>
        </w:tc>
        <w:tc>
          <w:tcPr>
            <w:tcW w:w="1280" w:type="dxa"/>
            <w:noWrap w:val="0"/>
            <w:vAlign w:val="top"/>
          </w:tcPr>
          <w:p w14:paraId="4759DDDF">
            <w:pPr>
              <w:pStyle w:val="4"/>
              <w:ind w:firstLine="0"/>
              <w:jc w:val="center"/>
            </w:pPr>
          </w:p>
        </w:tc>
        <w:tc>
          <w:tcPr>
            <w:tcW w:w="845" w:type="dxa"/>
            <w:noWrap w:val="0"/>
            <w:vAlign w:val="top"/>
          </w:tcPr>
          <w:p w14:paraId="24627825">
            <w:pPr>
              <w:pStyle w:val="4"/>
              <w:ind w:firstLine="0"/>
              <w:jc w:val="center"/>
              <w:rPr>
                <w:rFonts w:hint="eastAsia" w:eastAsia="华文仿宋"/>
                <w:lang w:val="en-US" w:eastAsia="zh-CN"/>
              </w:rPr>
            </w:pPr>
          </w:p>
        </w:tc>
        <w:tc>
          <w:tcPr>
            <w:tcW w:w="895" w:type="dxa"/>
            <w:noWrap w:val="0"/>
            <w:vAlign w:val="top"/>
          </w:tcPr>
          <w:p w14:paraId="4867F137">
            <w:pPr>
              <w:pStyle w:val="4"/>
              <w:ind w:firstLine="0"/>
              <w:jc w:val="center"/>
            </w:pPr>
          </w:p>
        </w:tc>
        <w:tc>
          <w:tcPr>
            <w:tcW w:w="896" w:type="dxa"/>
            <w:noWrap w:val="0"/>
            <w:vAlign w:val="top"/>
          </w:tcPr>
          <w:p w14:paraId="65BF7B26">
            <w:pPr>
              <w:pStyle w:val="4"/>
              <w:ind w:firstLine="0"/>
              <w:jc w:val="center"/>
            </w:pPr>
          </w:p>
        </w:tc>
        <w:tc>
          <w:tcPr>
            <w:tcW w:w="896" w:type="dxa"/>
            <w:noWrap w:val="0"/>
            <w:vAlign w:val="top"/>
          </w:tcPr>
          <w:p w14:paraId="18179119">
            <w:pPr>
              <w:pStyle w:val="4"/>
              <w:ind w:firstLine="0"/>
              <w:jc w:val="center"/>
            </w:pPr>
          </w:p>
        </w:tc>
      </w:tr>
      <w:tr w14:paraId="140F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dxa"/>
            <w:gridSpan w:val="2"/>
            <w:noWrap w:val="0"/>
            <w:vAlign w:val="center"/>
          </w:tcPr>
          <w:p w14:paraId="30D34A5B">
            <w:pPr>
              <w:pStyle w:val="4"/>
              <w:ind w:firstLine="0"/>
              <w:jc w:val="center"/>
              <w:rPr>
                <w:b/>
              </w:rPr>
            </w:pPr>
            <w:r>
              <w:rPr>
                <w:rFonts w:hint="eastAsia"/>
                <w:b/>
                <w:lang w:val="en-US" w:eastAsia="zh-CN"/>
              </w:rPr>
              <w:t>投标</w:t>
            </w:r>
            <w:r>
              <w:rPr>
                <w:rFonts w:hint="eastAsia"/>
                <w:b/>
              </w:rPr>
              <w:t>报价（合计）</w:t>
            </w:r>
          </w:p>
        </w:tc>
        <w:tc>
          <w:tcPr>
            <w:tcW w:w="6935" w:type="dxa"/>
            <w:gridSpan w:val="8"/>
            <w:noWrap w:val="0"/>
            <w:vAlign w:val="top"/>
          </w:tcPr>
          <w:p w14:paraId="2871C242">
            <w:pPr>
              <w:autoSpaceDE w:val="0"/>
              <w:autoSpaceDN w:val="0"/>
              <w:spacing w:line="240" w:lineRule="auto"/>
              <w:rPr>
                <w:rFonts w:ascii="华文仿宋" w:hAnsi="华文仿宋" w:cs="仿宋"/>
                <w:color w:val="000000"/>
                <w:kern w:val="0"/>
                <w:lang w:val="zh-CN"/>
              </w:rPr>
            </w:pPr>
            <w:r>
              <w:rPr>
                <w:rFonts w:hint="eastAsia" w:ascii="华文仿宋" w:hAnsi="华文仿宋" w:cs="仿宋"/>
                <w:color w:val="000000"/>
                <w:kern w:val="0"/>
              </w:rPr>
              <w:t>人民币</w:t>
            </w:r>
            <w:r>
              <w:rPr>
                <w:rFonts w:hint="eastAsia" w:ascii="华文仿宋" w:hAnsi="华文仿宋" w:cs="仿宋"/>
                <w:color w:val="000000"/>
                <w:kern w:val="0"/>
                <w:lang w:val="zh-CN"/>
              </w:rPr>
              <w:t>大写：</w:t>
            </w:r>
          </w:p>
          <w:p w14:paraId="185FA00D">
            <w:pPr>
              <w:pStyle w:val="4"/>
              <w:ind w:firstLine="0"/>
              <w:rPr>
                <w:lang w:val="zh-CN"/>
              </w:rPr>
            </w:pPr>
            <w:r>
              <w:rPr>
                <w:rFonts w:hint="eastAsia" w:ascii="华文仿宋" w:hAnsi="华文仿宋" w:cs="仿宋"/>
                <w:color w:val="000000"/>
                <w:kern w:val="0"/>
              </w:rPr>
              <w:t>小写</w:t>
            </w:r>
            <w:r>
              <w:rPr>
                <w:rFonts w:hint="eastAsia" w:ascii="华文仿宋" w:hAnsi="华文仿宋" w:cs="楷体"/>
                <w:color w:val="000000"/>
                <w:kern w:val="0"/>
                <w:sz w:val="24"/>
              </w:rPr>
              <w:t>：</w:t>
            </w:r>
          </w:p>
        </w:tc>
      </w:tr>
      <w:tr w14:paraId="5461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dxa"/>
            <w:gridSpan w:val="2"/>
            <w:noWrap w:val="0"/>
            <w:vAlign w:val="center"/>
          </w:tcPr>
          <w:p w14:paraId="49C148B9">
            <w:pPr>
              <w:autoSpaceDE w:val="0"/>
              <w:autoSpaceDN w:val="0"/>
              <w:spacing w:line="240" w:lineRule="auto"/>
              <w:jc w:val="center"/>
              <w:rPr>
                <w:rFonts w:ascii="华文仿宋" w:hAnsi="华文仿宋" w:cs="仿宋"/>
                <w:color w:val="000000"/>
                <w:kern w:val="0"/>
              </w:rPr>
            </w:pPr>
            <w:r>
              <w:rPr>
                <w:rFonts w:hint="eastAsia" w:ascii="华文仿宋" w:hAnsi="华文仿宋"/>
                <w:b/>
                <w:color w:val="000000"/>
              </w:rPr>
              <w:t>备注</w:t>
            </w:r>
            <w:r>
              <w:rPr>
                <w:rFonts w:hint="eastAsia" w:ascii="华文仿宋" w:hAnsi="华文仿宋"/>
                <w:color w:val="000000"/>
              </w:rPr>
              <w:t>：</w:t>
            </w:r>
          </w:p>
        </w:tc>
        <w:tc>
          <w:tcPr>
            <w:tcW w:w="6935" w:type="dxa"/>
            <w:gridSpan w:val="8"/>
            <w:noWrap w:val="0"/>
            <w:vAlign w:val="center"/>
          </w:tcPr>
          <w:p w14:paraId="4A3A4F21">
            <w:pPr>
              <w:rPr>
                <w:rFonts w:hint="eastAsia" w:ascii="华文仿宋" w:hAnsi="华文仿宋" w:cs="Times New Roman"/>
                <w:b/>
                <w:color w:val="000000"/>
                <w:sz w:val="24"/>
                <w:szCs w:val="24"/>
              </w:rPr>
            </w:pPr>
            <w:r>
              <w:rPr>
                <w:rFonts w:hint="eastAsia" w:ascii="华文仿宋" w:hAnsi="华文仿宋" w:cs="Times New Roman"/>
                <w:b/>
                <w:color w:val="000000"/>
                <w:sz w:val="24"/>
                <w:szCs w:val="24"/>
              </w:rPr>
              <w:t>1、表内报价以元为单位，保留小数点后两位。</w:t>
            </w:r>
          </w:p>
          <w:p w14:paraId="538FA3FE">
            <w:pPr>
              <w:rPr>
                <w:rFonts w:hint="eastAsia" w:ascii="华文仿宋" w:hAnsi="华文仿宋" w:cs="Times New Roman"/>
                <w:b/>
                <w:color w:val="000000"/>
                <w:sz w:val="24"/>
                <w:szCs w:val="24"/>
              </w:rPr>
            </w:pPr>
            <w:r>
              <w:rPr>
                <w:rFonts w:hint="eastAsia" w:ascii="华文仿宋" w:hAnsi="华文仿宋" w:cs="Times New Roman"/>
                <w:b/>
                <w:color w:val="000000"/>
                <w:sz w:val="24"/>
                <w:szCs w:val="24"/>
              </w:rPr>
              <w:t>2、供应商必须按格式对</w:t>
            </w:r>
            <w:r>
              <w:rPr>
                <w:rFonts w:hint="eastAsia" w:ascii="华文仿宋" w:hAnsi="华文仿宋" w:cs="Times New Roman"/>
                <w:b/>
                <w:color w:val="000000"/>
                <w:sz w:val="24"/>
                <w:szCs w:val="24"/>
                <w:lang w:val="en-US" w:eastAsia="zh-CN"/>
              </w:rPr>
              <w:t>照</w:t>
            </w:r>
            <w:r>
              <w:rPr>
                <w:rFonts w:hint="eastAsia" w:ascii="华文仿宋" w:hAnsi="华文仿宋" w:cs="Times New Roman"/>
                <w:b/>
                <w:color w:val="000000"/>
                <w:sz w:val="24"/>
                <w:szCs w:val="24"/>
              </w:rPr>
              <w:t>第</w:t>
            </w:r>
            <w:r>
              <w:rPr>
                <w:rFonts w:hint="eastAsia" w:ascii="华文仿宋" w:hAnsi="华文仿宋" w:cs="Times New Roman"/>
                <w:b/>
                <w:color w:val="000000"/>
                <w:sz w:val="24"/>
                <w:szCs w:val="24"/>
                <w:lang w:val="en-US" w:eastAsia="zh-CN"/>
              </w:rPr>
              <w:t>四</w:t>
            </w:r>
            <w:r>
              <w:rPr>
                <w:rFonts w:hint="eastAsia" w:ascii="华文仿宋" w:hAnsi="华文仿宋" w:cs="Times New Roman"/>
                <w:b/>
                <w:color w:val="000000"/>
                <w:sz w:val="24"/>
                <w:szCs w:val="24"/>
              </w:rPr>
              <w:t>章采购内容中的“采购清单”报出</w:t>
            </w:r>
            <w:r>
              <w:rPr>
                <w:rFonts w:hint="eastAsia" w:ascii="华文仿宋" w:hAnsi="华文仿宋" w:cs="Times New Roman"/>
                <w:b/>
                <w:color w:val="000000"/>
                <w:sz w:val="24"/>
                <w:szCs w:val="24"/>
                <w:lang w:val="en-US" w:eastAsia="zh-CN"/>
              </w:rPr>
              <w:t>所投产品的投标</w:t>
            </w:r>
            <w:r>
              <w:rPr>
                <w:rFonts w:hint="eastAsia" w:ascii="华文仿宋" w:hAnsi="华文仿宋" w:cs="Times New Roman"/>
                <w:b/>
                <w:color w:val="000000"/>
                <w:sz w:val="24"/>
                <w:szCs w:val="24"/>
              </w:rPr>
              <w:t>报价</w:t>
            </w:r>
            <w:r>
              <w:rPr>
                <w:rFonts w:hint="eastAsia" w:ascii="华文仿宋" w:hAnsi="华文仿宋" w:cs="Times New Roman"/>
                <w:b/>
                <w:color w:val="000000"/>
                <w:sz w:val="24"/>
                <w:szCs w:val="24"/>
                <w:lang w:eastAsia="zh-CN"/>
              </w:rPr>
              <w:t>，</w:t>
            </w:r>
            <w:r>
              <w:rPr>
                <w:rFonts w:hint="eastAsia" w:ascii="华文仿宋" w:hAnsi="华文仿宋" w:cs="Times New Roman"/>
                <w:b/>
                <w:color w:val="000000"/>
                <w:sz w:val="24"/>
                <w:szCs w:val="24"/>
              </w:rPr>
              <w:t>否则作无效响应处理。</w:t>
            </w:r>
          </w:p>
          <w:p w14:paraId="4A5EC541">
            <w:pPr>
              <w:rPr>
                <w:rFonts w:hint="default" w:ascii="华文仿宋" w:hAnsi="华文仿宋" w:eastAsia="华文仿宋" w:cs="Times New Roman"/>
                <w:b/>
                <w:color w:val="000000"/>
                <w:sz w:val="24"/>
                <w:szCs w:val="24"/>
                <w:lang w:val="en-US" w:eastAsia="zh-CN"/>
              </w:rPr>
            </w:pPr>
            <w:r>
              <w:rPr>
                <w:rFonts w:hint="eastAsia" w:ascii="华文仿宋" w:hAnsi="华文仿宋" w:cs="Times New Roman"/>
                <w:b/>
                <w:color w:val="000000"/>
                <w:sz w:val="24"/>
                <w:szCs w:val="24"/>
              </w:rPr>
              <w:t>3、本表中的“</w:t>
            </w:r>
            <w:r>
              <w:rPr>
                <w:rFonts w:hint="eastAsia" w:ascii="华文仿宋" w:hAnsi="华文仿宋" w:cs="Times New Roman"/>
                <w:b/>
                <w:color w:val="000000"/>
                <w:sz w:val="24"/>
                <w:szCs w:val="24"/>
                <w:lang w:val="en-US" w:eastAsia="zh-CN"/>
              </w:rPr>
              <w:t>投标</w:t>
            </w:r>
            <w:r>
              <w:rPr>
                <w:rFonts w:hint="eastAsia" w:ascii="华文仿宋" w:hAnsi="华文仿宋" w:cs="Times New Roman"/>
                <w:b/>
                <w:color w:val="000000"/>
                <w:sz w:val="24"/>
                <w:szCs w:val="24"/>
              </w:rPr>
              <w:t>报价”与“</w:t>
            </w:r>
            <w:r>
              <w:rPr>
                <w:rFonts w:hint="eastAsia" w:ascii="华文仿宋" w:hAnsi="华文仿宋" w:cs="Times New Roman"/>
                <w:b/>
                <w:color w:val="000000"/>
                <w:sz w:val="24"/>
                <w:szCs w:val="24"/>
                <w:lang w:val="en-US" w:eastAsia="zh-CN"/>
              </w:rPr>
              <w:t>开标一览</w:t>
            </w:r>
            <w:r>
              <w:rPr>
                <w:rFonts w:hint="eastAsia" w:ascii="华文仿宋" w:hAnsi="华文仿宋" w:cs="Times New Roman"/>
                <w:b/>
                <w:color w:val="000000"/>
                <w:sz w:val="24"/>
                <w:szCs w:val="24"/>
              </w:rPr>
              <w:t>表”中的“</w:t>
            </w:r>
            <w:r>
              <w:rPr>
                <w:rFonts w:hint="eastAsia" w:ascii="华文仿宋" w:hAnsi="华文仿宋" w:cs="Times New Roman"/>
                <w:b/>
                <w:color w:val="000000"/>
                <w:sz w:val="24"/>
                <w:szCs w:val="24"/>
                <w:lang w:val="en-US" w:eastAsia="zh-CN"/>
              </w:rPr>
              <w:t>投标</w:t>
            </w:r>
            <w:r>
              <w:rPr>
                <w:rFonts w:hint="eastAsia" w:ascii="华文仿宋" w:hAnsi="华文仿宋" w:cs="Times New Roman"/>
                <w:b/>
                <w:color w:val="000000"/>
                <w:sz w:val="24"/>
                <w:szCs w:val="24"/>
              </w:rPr>
              <w:t>报价”一致。</w:t>
            </w:r>
          </w:p>
        </w:tc>
      </w:tr>
    </w:tbl>
    <w:p w14:paraId="2824FBA7">
      <w:pPr>
        <w:pStyle w:val="4"/>
        <w:ind w:firstLine="0"/>
      </w:pPr>
    </w:p>
    <w:p w14:paraId="14DD5BAE">
      <w:pPr>
        <w:ind w:firstLine="560" w:firstLineChars="200"/>
        <w:rPr>
          <w:rFonts w:ascii="楷体" w:hAnsi="楷体" w:cs="楷体"/>
          <w:color w:val="000000"/>
          <w:kern w:val="0"/>
        </w:rPr>
      </w:pPr>
      <w:r>
        <w:rPr>
          <w:rFonts w:hint="eastAsia" w:ascii="楷体" w:hAnsi="楷体" w:cs="楷体"/>
          <w:color w:val="000000"/>
          <w:kern w:val="0"/>
          <w:lang w:val="zh-CN"/>
        </w:rPr>
        <w:t>供应商</w:t>
      </w:r>
      <w:r>
        <w:rPr>
          <w:rFonts w:hint="eastAsia" w:ascii="楷体" w:hAnsi="楷体" w:cs="楷体"/>
          <w:color w:val="000000"/>
          <w:kern w:val="0"/>
        </w:rPr>
        <w:t>全称</w:t>
      </w:r>
      <w:r>
        <w:rPr>
          <w:rFonts w:hint="eastAsia" w:ascii="楷体" w:hAnsi="楷体" w:cs="楷体"/>
          <w:color w:val="000000"/>
          <w:kern w:val="0"/>
          <w:lang w:val="zh-CN"/>
        </w:rPr>
        <w:t>：（公章）</w:t>
      </w:r>
    </w:p>
    <w:p w14:paraId="2A587A96">
      <w:pPr>
        <w:ind w:firstLine="480"/>
        <w:rPr>
          <w:rFonts w:ascii="楷体" w:hAnsi="楷体" w:cs="楷体"/>
          <w:color w:val="000000"/>
          <w:kern w:val="0"/>
        </w:rPr>
      </w:pPr>
    </w:p>
    <w:p w14:paraId="56262C78">
      <w:pPr>
        <w:ind w:firstLine="480"/>
        <w:rPr>
          <w:rFonts w:ascii="楷体" w:hAnsi="楷体" w:cs="楷体"/>
          <w:color w:val="000000"/>
          <w:kern w:val="0"/>
          <w:lang w:val="zh-CN"/>
        </w:rPr>
      </w:pPr>
      <w:r>
        <w:rPr>
          <w:rFonts w:hint="eastAsia" w:ascii="楷体" w:hAnsi="楷体" w:cs="楷体"/>
          <w:color w:val="000000"/>
          <w:kern w:val="0"/>
          <w:lang w:val="zh-CN"/>
        </w:rPr>
        <w:t>法定代表人</w:t>
      </w:r>
      <w:r>
        <w:rPr>
          <w:rFonts w:hint="eastAsia" w:ascii="楷体" w:hAnsi="楷体" w:cs="楷体"/>
          <w:color w:val="000000"/>
          <w:kern w:val="0"/>
        </w:rPr>
        <w:t>或</w:t>
      </w:r>
      <w:r>
        <w:rPr>
          <w:rFonts w:hint="eastAsia" w:ascii="楷体" w:hAnsi="楷体" w:cs="楷体"/>
          <w:color w:val="000000"/>
          <w:kern w:val="0"/>
          <w:lang w:val="zh-CN"/>
        </w:rPr>
        <w:t>授权代表：（签字）</w:t>
      </w:r>
    </w:p>
    <w:p w14:paraId="695C6FE5">
      <w:pPr>
        <w:ind w:firstLine="480"/>
        <w:rPr>
          <w:rFonts w:ascii="楷体" w:hAnsi="楷体" w:cs="楷体"/>
          <w:color w:val="000000"/>
          <w:kern w:val="0"/>
          <w:lang w:val="zh-CN"/>
        </w:rPr>
      </w:pPr>
    </w:p>
    <w:p w14:paraId="61A23728">
      <w:pPr>
        <w:ind w:firstLine="5180" w:firstLineChars="1850"/>
        <w:rPr>
          <w:rFonts w:hint="eastAsia" w:ascii="楷体" w:hAnsi="楷体" w:cs="楷体"/>
          <w:color w:val="000000"/>
          <w:kern w:val="0"/>
          <w:lang w:val="zh-CN"/>
        </w:rPr>
      </w:pPr>
      <w:r>
        <w:rPr>
          <w:rFonts w:hint="eastAsia" w:ascii="楷体" w:hAnsi="楷体" w:cs="楷体"/>
          <w:color w:val="000000"/>
          <w:kern w:val="0"/>
          <w:lang w:val="zh-CN"/>
        </w:rPr>
        <w:t>年       月      日</w:t>
      </w:r>
    </w:p>
    <w:p w14:paraId="02950257">
      <w:pPr>
        <w:rPr>
          <w:rFonts w:hint="eastAsia" w:ascii="楷体" w:hAnsi="楷体" w:cs="楷体"/>
          <w:color w:val="000000"/>
          <w:kern w:val="0"/>
          <w:lang w:val="zh-CN"/>
        </w:rPr>
      </w:pPr>
      <w:r>
        <w:rPr>
          <w:rFonts w:hint="eastAsia" w:ascii="楷体" w:hAnsi="楷体" w:cs="楷体"/>
          <w:color w:val="000000"/>
          <w:kern w:val="0"/>
          <w:lang w:val="zh-CN"/>
        </w:rPr>
        <w:br w:type="page"/>
      </w:r>
    </w:p>
    <w:p w14:paraId="4BE80403">
      <w:pPr>
        <w:spacing w:line="500" w:lineRule="exact"/>
        <w:ind w:firstLine="643" w:firstLineChars="200"/>
        <w:jc w:val="center"/>
        <w:rPr>
          <w:rFonts w:hint="eastAsia" w:ascii="仿宋" w:hAnsi="仿宋" w:eastAsia="仿宋"/>
          <w:b/>
          <w:sz w:val="32"/>
          <w:szCs w:val="32"/>
        </w:rPr>
      </w:pPr>
      <w:r>
        <w:rPr>
          <w:rFonts w:hint="eastAsia" w:ascii="仿宋" w:hAnsi="仿宋" w:eastAsia="仿宋" w:cs="仿宋"/>
          <w:b/>
          <w:sz w:val="32"/>
          <w:szCs w:val="32"/>
        </w:rPr>
        <w:t>三、</w:t>
      </w:r>
      <w:r>
        <w:rPr>
          <w:rFonts w:ascii="华文仿宋" w:hAnsi="华文仿宋"/>
          <w:b/>
          <w:sz w:val="32"/>
          <w:szCs w:val="32"/>
        </w:rPr>
        <w:t>技术</w:t>
      </w:r>
      <w:r>
        <w:rPr>
          <w:rFonts w:hint="eastAsia" w:ascii="华文仿宋" w:hAnsi="华文仿宋"/>
          <w:b/>
          <w:sz w:val="32"/>
          <w:szCs w:val="32"/>
        </w:rPr>
        <w:t>指标偏离表</w:t>
      </w:r>
    </w:p>
    <w:p w14:paraId="5A8C8DA0">
      <w:pPr>
        <w:spacing w:line="500" w:lineRule="exact"/>
        <w:outlineLvl w:val="1"/>
        <w:rPr>
          <w:rFonts w:ascii="华文仿宋" w:hAnsi="华文仿宋"/>
          <w:b/>
        </w:rPr>
      </w:pPr>
      <w:r>
        <w:rPr>
          <w:rFonts w:hint="eastAsia" w:ascii="华文仿宋" w:hAnsi="华文仿宋" w:cs="Arial"/>
          <w:color w:val="333333"/>
          <w:kern w:val="0"/>
        </w:rPr>
        <w:t>项目编号：</w:t>
      </w:r>
    </w:p>
    <w:p w14:paraId="067ACD7C">
      <w:pPr>
        <w:spacing w:line="500" w:lineRule="exact"/>
        <w:jc w:val="left"/>
        <w:rPr>
          <w:rFonts w:hint="eastAsia" w:ascii="华文仿宋" w:hAnsi="华文仿宋" w:cs="Arial"/>
          <w:color w:val="333333"/>
          <w:kern w:val="0"/>
        </w:rPr>
      </w:pPr>
      <w:r>
        <w:rPr>
          <w:rFonts w:hint="eastAsia" w:ascii="华文仿宋" w:hAnsi="华文仿宋" w:cs="Arial"/>
          <w:color w:val="333333"/>
          <w:kern w:val="0"/>
        </w:rPr>
        <w:t>项目名称：</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470"/>
        <w:gridCol w:w="2190"/>
        <w:gridCol w:w="2085"/>
        <w:gridCol w:w="930"/>
        <w:gridCol w:w="851"/>
        <w:gridCol w:w="1279"/>
      </w:tblGrid>
      <w:tr w14:paraId="2A00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739" w:type="dxa"/>
            <w:noWrap w:val="0"/>
            <w:vAlign w:val="center"/>
          </w:tcPr>
          <w:p w14:paraId="7D7B352C">
            <w:pPr>
              <w:pStyle w:val="12"/>
              <w:spacing w:line="336" w:lineRule="auto"/>
              <w:jc w:val="center"/>
              <w:rPr>
                <w:rFonts w:hint="eastAsia" w:ascii="华文仿宋" w:hAnsi="华文仿宋" w:cs="仿宋"/>
                <w:b/>
                <w:bCs/>
                <w:sz w:val="28"/>
                <w:szCs w:val="28"/>
              </w:rPr>
            </w:pPr>
            <w:r>
              <w:rPr>
                <w:rFonts w:hint="eastAsia" w:ascii="华文仿宋" w:hAnsi="华文仿宋" w:cs="仿宋"/>
                <w:b/>
                <w:bCs/>
                <w:sz w:val="28"/>
                <w:szCs w:val="28"/>
              </w:rPr>
              <w:t>序号</w:t>
            </w:r>
          </w:p>
        </w:tc>
        <w:tc>
          <w:tcPr>
            <w:tcW w:w="1470" w:type="dxa"/>
            <w:noWrap w:val="0"/>
            <w:vAlign w:val="center"/>
          </w:tcPr>
          <w:p w14:paraId="1C946056">
            <w:pPr>
              <w:pStyle w:val="12"/>
              <w:spacing w:line="336" w:lineRule="auto"/>
              <w:jc w:val="center"/>
              <w:rPr>
                <w:rFonts w:hint="eastAsia" w:ascii="华文仿宋" w:hAnsi="华文仿宋" w:cs="仿宋"/>
                <w:b/>
                <w:bCs/>
                <w:sz w:val="28"/>
                <w:szCs w:val="28"/>
              </w:rPr>
            </w:pPr>
            <w:r>
              <w:rPr>
                <w:rFonts w:hint="eastAsia" w:ascii="华文仿宋" w:hAnsi="华文仿宋" w:cs="仿宋"/>
                <w:b/>
                <w:bCs/>
                <w:sz w:val="28"/>
                <w:szCs w:val="28"/>
              </w:rPr>
              <w:t>产品名称</w:t>
            </w:r>
          </w:p>
        </w:tc>
        <w:tc>
          <w:tcPr>
            <w:tcW w:w="2190" w:type="dxa"/>
            <w:tcBorders>
              <w:right w:val="single" w:color="auto" w:sz="4" w:space="0"/>
            </w:tcBorders>
            <w:noWrap w:val="0"/>
            <w:vAlign w:val="center"/>
          </w:tcPr>
          <w:p w14:paraId="522FD93F">
            <w:pPr>
              <w:pStyle w:val="12"/>
              <w:spacing w:line="336" w:lineRule="auto"/>
              <w:jc w:val="center"/>
              <w:rPr>
                <w:rFonts w:ascii="华文仿宋" w:hAnsi="华文仿宋" w:cs="仿宋"/>
                <w:b/>
                <w:bCs/>
                <w:sz w:val="28"/>
                <w:szCs w:val="28"/>
              </w:rPr>
            </w:pPr>
            <w:r>
              <w:rPr>
                <w:rFonts w:hint="eastAsia" w:ascii="华文仿宋" w:hAnsi="华文仿宋" w:cs="仿宋"/>
                <w:b/>
                <w:bCs/>
                <w:sz w:val="28"/>
                <w:szCs w:val="28"/>
                <w:lang w:val="en-US" w:eastAsia="zh-CN"/>
              </w:rPr>
              <w:t>招标</w:t>
            </w:r>
            <w:r>
              <w:rPr>
                <w:rFonts w:hint="eastAsia" w:ascii="华文仿宋" w:hAnsi="华文仿宋" w:cs="仿宋"/>
                <w:b/>
                <w:bCs/>
                <w:sz w:val="28"/>
                <w:szCs w:val="28"/>
              </w:rPr>
              <w:t>文件要求</w:t>
            </w:r>
          </w:p>
          <w:p w14:paraId="60EF2934">
            <w:pPr>
              <w:pStyle w:val="12"/>
              <w:spacing w:line="336" w:lineRule="auto"/>
              <w:jc w:val="center"/>
              <w:rPr>
                <w:rFonts w:hint="eastAsia" w:ascii="华文仿宋" w:hAnsi="华文仿宋" w:cs="仿宋"/>
                <w:b/>
                <w:bCs/>
                <w:sz w:val="28"/>
                <w:szCs w:val="28"/>
              </w:rPr>
            </w:pPr>
            <w:r>
              <w:rPr>
                <w:rFonts w:hint="eastAsia" w:ascii="华文仿宋" w:hAnsi="华文仿宋" w:cs="仿宋"/>
                <w:b/>
                <w:bCs/>
                <w:sz w:val="28"/>
                <w:szCs w:val="28"/>
              </w:rPr>
              <w:t>技术参数指标</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C8F2E87">
            <w:pPr>
              <w:pStyle w:val="12"/>
              <w:spacing w:line="336" w:lineRule="auto"/>
              <w:jc w:val="center"/>
              <w:rPr>
                <w:rFonts w:hint="eastAsia" w:ascii="华文仿宋" w:hAnsi="华文仿宋" w:cs="仿宋"/>
                <w:b/>
                <w:bCs/>
                <w:sz w:val="28"/>
                <w:szCs w:val="28"/>
              </w:rPr>
            </w:pPr>
            <w:r>
              <w:rPr>
                <w:rFonts w:hint="eastAsia" w:ascii="华文仿宋" w:hAnsi="华文仿宋" w:cs="仿宋"/>
                <w:b/>
                <w:bCs/>
                <w:sz w:val="28"/>
                <w:szCs w:val="28"/>
              </w:rPr>
              <w:t>响应文件技术参数指标</w:t>
            </w:r>
          </w:p>
        </w:tc>
        <w:tc>
          <w:tcPr>
            <w:tcW w:w="930" w:type="dxa"/>
            <w:tcBorders>
              <w:left w:val="single" w:color="auto" w:sz="4" w:space="0"/>
            </w:tcBorders>
            <w:noWrap w:val="0"/>
            <w:vAlign w:val="center"/>
          </w:tcPr>
          <w:p w14:paraId="46743AF5">
            <w:pPr>
              <w:pStyle w:val="12"/>
              <w:spacing w:line="336" w:lineRule="auto"/>
              <w:jc w:val="center"/>
              <w:rPr>
                <w:rFonts w:hint="eastAsia" w:ascii="华文仿宋" w:hAnsi="华文仿宋" w:cs="仿宋"/>
                <w:b/>
                <w:bCs/>
                <w:sz w:val="28"/>
                <w:szCs w:val="28"/>
              </w:rPr>
            </w:pPr>
            <w:r>
              <w:rPr>
                <w:rFonts w:hint="eastAsia" w:ascii="华文仿宋" w:hAnsi="华文仿宋" w:cs="仿宋"/>
                <w:b/>
                <w:bCs/>
                <w:sz w:val="28"/>
                <w:szCs w:val="28"/>
              </w:rPr>
              <w:t>偏离情况</w:t>
            </w:r>
          </w:p>
        </w:tc>
        <w:tc>
          <w:tcPr>
            <w:tcW w:w="851" w:type="dxa"/>
            <w:tcBorders>
              <w:left w:val="single" w:color="auto" w:sz="4" w:space="0"/>
            </w:tcBorders>
            <w:noWrap w:val="0"/>
            <w:vAlign w:val="center"/>
          </w:tcPr>
          <w:p w14:paraId="5187524B">
            <w:pPr>
              <w:spacing w:line="320" w:lineRule="exact"/>
              <w:jc w:val="center"/>
              <w:rPr>
                <w:rFonts w:hint="eastAsia" w:ascii="华文仿宋" w:hAnsi="华文仿宋" w:cs="仿宋"/>
                <w:b/>
                <w:bCs/>
                <w:sz w:val="28"/>
                <w:szCs w:val="28"/>
              </w:rPr>
            </w:pPr>
            <w:r>
              <w:rPr>
                <w:rFonts w:hint="eastAsia" w:ascii="华文仿宋" w:hAnsi="华文仿宋" w:cs="仿宋"/>
                <w:b/>
                <w:bCs/>
                <w:sz w:val="28"/>
                <w:szCs w:val="28"/>
              </w:rPr>
              <w:t>偏离简述</w:t>
            </w:r>
          </w:p>
        </w:tc>
        <w:tc>
          <w:tcPr>
            <w:tcW w:w="1279" w:type="dxa"/>
            <w:tcBorders>
              <w:left w:val="single" w:color="auto" w:sz="4" w:space="0"/>
            </w:tcBorders>
            <w:noWrap w:val="0"/>
            <w:vAlign w:val="center"/>
          </w:tcPr>
          <w:p w14:paraId="1F1DDBE7">
            <w:pPr>
              <w:spacing w:line="320" w:lineRule="exact"/>
              <w:jc w:val="center"/>
              <w:rPr>
                <w:rFonts w:hint="default" w:ascii="华文仿宋" w:hAnsi="华文仿宋" w:eastAsia="华文仿宋" w:cs="仿宋"/>
                <w:b/>
                <w:bCs/>
                <w:sz w:val="28"/>
                <w:szCs w:val="28"/>
                <w:lang w:val="en-US" w:eastAsia="zh-CN"/>
              </w:rPr>
            </w:pPr>
            <w:r>
              <w:rPr>
                <w:rFonts w:hint="eastAsia" w:ascii="华文仿宋" w:hAnsi="华文仿宋" w:cs="仿宋"/>
                <w:b/>
                <w:bCs/>
                <w:sz w:val="28"/>
                <w:szCs w:val="28"/>
                <w:lang w:val="en-US" w:eastAsia="zh-CN"/>
              </w:rPr>
              <w:t>佐证材料说明（如有）</w:t>
            </w:r>
          </w:p>
        </w:tc>
      </w:tr>
      <w:tr w14:paraId="4C71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39" w:type="dxa"/>
            <w:noWrap w:val="0"/>
            <w:vAlign w:val="top"/>
          </w:tcPr>
          <w:p w14:paraId="78EB104C">
            <w:pPr>
              <w:pStyle w:val="12"/>
              <w:spacing w:line="336" w:lineRule="auto"/>
              <w:ind w:left="-160" w:leftChars="-57"/>
              <w:jc w:val="center"/>
              <w:rPr>
                <w:rFonts w:hint="eastAsia" w:ascii="华文仿宋" w:hAnsi="华文仿宋" w:cs="仿宋"/>
                <w:sz w:val="24"/>
                <w:szCs w:val="24"/>
              </w:rPr>
            </w:pPr>
          </w:p>
        </w:tc>
        <w:tc>
          <w:tcPr>
            <w:tcW w:w="1470" w:type="dxa"/>
            <w:noWrap w:val="0"/>
            <w:vAlign w:val="top"/>
          </w:tcPr>
          <w:p w14:paraId="2C6A33AE">
            <w:pPr>
              <w:pStyle w:val="12"/>
              <w:spacing w:line="336" w:lineRule="auto"/>
              <w:rPr>
                <w:rFonts w:ascii="华文仿宋" w:hAnsi="华文仿宋" w:cs="仿宋"/>
                <w:sz w:val="24"/>
                <w:szCs w:val="24"/>
              </w:rPr>
            </w:pPr>
          </w:p>
        </w:tc>
        <w:tc>
          <w:tcPr>
            <w:tcW w:w="2190" w:type="dxa"/>
            <w:noWrap w:val="0"/>
            <w:vAlign w:val="center"/>
          </w:tcPr>
          <w:p w14:paraId="39122719">
            <w:pPr>
              <w:pStyle w:val="12"/>
              <w:spacing w:line="336" w:lineRule="auto"/>
              <w:rPr>
                <w:rFonts w:hint="eastAsia" w:ascii="华文仿宋" w:hAnsi="华文仿宋" w:cs="仿宋"/>
                <w:sz w:val="24"/>
                <w:szCs w:val="24"/>
              </w:rPr>
            </w:pPr>
          </w:p>
        </w:tc>
        <w:tc>
          <w:tcPr>
            <w:tcW w:w="2085" w:type="dxa"/>
            <w:tcBorders>
              <w:top w:val="single" w:color="auto" w:sz="4" w:space="0"/>
            </w:tcBorders>
            <w:noWrap w:val="0"/>
            <w:vAlign w:val="center"/>
          </w:tcPr>
          <w:p w14:paraId="77B796EF">
            <w:pPr>
              <w:pStyle w:val="12"/>
              <w:spacing w:line="336" w:lineRule="auto"/>
              <w:rPr>
                <w:rFonts w:hint="eastAsia" w:ascii="华文仿宋" w:hAnsi="华文仿宋" w:cs="仿宋"/>
                <w:sz w:val="24"/>
                <w:szCs w:val="24"/>
              </w:rPr>
            </w:pPr>
          </w:p>
        </w:tc>
        <w:tc>
          <w:tcPr>
            <w:tcW w:w="930" w:type="dxa"/>
            <w:noWrap w:val="0"/>
            <w:vAlign w:val="center"/>
          </w:tcPr>
          <w:p w14:paraId="44FD14AD">
            <w:pPr>
              <w:pStyle w:val="12"/>
              <w:spacing w:line="336" w:lineRule="auto"/>
              <w:rPr>
                <w:rFonts w:hint="eastAsia" w:ascii="华文仿宋" w:hAnsi="华文仿宋" w:cs="仿宋"/>
                <w:sz w:val="24"/>
                <w:szCs w:val="24"/>
              </w:rPr>
            </w:pPr>
          </w:p>
        </w:tc>
        <w:tc>
          <w:tcPr>
            <w:tcW w:w="851" w:type="dxa"/>
            <w:noWrap w:val="0"/>
            <w:vAlign w:val="center"/>
          </w:tcPr>
          <w:p w14:paraId="6DE99FCA">
            <w:pPr>
              <w:pStyle w:val="12"/>
              <w:spacing w:line="336" w:lineRule="auto"/>
              <w:rPr>
                <w:rFonts w:hint="eastAsia" w:ascii="华文仿宋" w:hAnsi="华文仿宋" w:cs="仿宋"/>
                <w:sz w:val="24"/>
                <w:szCs w:val="24"/>
              </w:rPr>
            </w:pPr>
          </w:p>
        </w:tc>
        <w:tc>
          <w:tcPr>
            <w:tcW w:w="1279" w:type="dxa"/>
            <w:noWrap w:val="0"/>
            <w:vAlign w:val="center"/>
          </w:tcPr>
          <w:p w14:paraId="354D27FB">
            <w:pPr>
              <w:pStyle w:val="12"/>
              <w:spacing w:line="336" w:lineRule="auto"/>
              <w:rPr>
                <w:rFonts w:hint="eastAsia" w:ascii="华文仿宋" w:hAnsi="华文仿宋" w:cs="仿宋"/>
                <w:sz w:val="24"/>
                <w:szCs w:val="24"/>
              </w:rPr>
            </w:pPr>
          </w:p>
        </w:tc>
      </w:tr>
      <w:tr w14:paraId="4E58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39" w:type="dxa"/>
            <w:noWrap w:val="0"/>
            <w:vAlign w:val="top"/>
          </w:tcPr>
          <w:p w14:paraId="6A8D84CE">
            <w:pPr>
              <w:pStyle w:val="12"/>
              <w:spacing w:line="336" w:lineRule="auto"/>
              <w:ind w:left="-160" w:leftChars="-57"/>
              <w:jc w:val="center"/>
              <w:rPr>
                <w:rFonts w:hint="eastAsia" w:ascii="华文仿宋" w:hAnsi="华文仿宋" w:cs="仿宋"/>
                <w:sz w:val="24"/>
                <w:szCs w:val="24"/>
              </w:rPr>
            </w:pPr>
          </w:p>
        </w:tc>
        <w:tc>
          <w:tcPr>
            <w:tcW w:w="1470" w:type="dxa"/>
            <w:noWrap w:val="0"/>
            <w:vAlign w:val="top"/>
          </w:tcPr>
          <w:p w14:paraId="5758077E">
            <w:pPr>
              <w:pStyle w:val="12"/>
              <w:spacing w:line="336" w:lineRule="auto"/>
              <w:rPr>
                <w:rFonts w:ascii="华文仿宋" w:hAnsi="华文仿宋" w:cs="仿宋"/>
                <w:sz w:val="24"/>
                <w:szCs w:val="24"/>
              </w:rPr>
            </w:pPr>
          </w:p>
        </w:tc>
        <w:tc>
          <w:tcPr>
            <w:tcW w:w="2190" w:type="dxa"/>
            <w:noWrap w:val="0"/>
            <w:vAlign w:val="center"/>
          </w:tcPr>
          <w:p w14:paraId="3B7D6D94">
            <w:pPr>
              <w:pStyle w:val="12"/>
              <w:spacing w:line="336" w:lineRule="auto"/>
              <w:rPr>
                <w:rFonts w:hint="eastAsia" w:ascii="华文仿宋" w:hAnsi="华文仿宋" w:cs="仿宋"/>
                <w:sz w:val="24"/>
                <w:szCs w:val="24"/>
              </w:rPr>
            </w:pPr>
          </w:p>
        </w:tc>
        <w:tc>
          <w:tcPr>
            <w:tcW w:w="2085" w:type="dxa"/>
            <w:tcBorders>
              <w:top w:val="single" w:color="auto" w:sz="4" w:space="0"/>
            </w:tcBorders>
            <w:noWrap w:val="0"/>
            <w:vAlign w:val="center"/>
          </w:tcPr>
          <w:p w14:paraId="01176D1F">
            <w:pPr>
              <w:pStyle w:val="12"/>
              <w:spacing w:line="336" w:lineRule="auto"/>
              <w:rPr>
                <w:rFonts w:hint="eastAsia" w:ascii="华文仿宋" w:hAnsi="华文仿宋" w:cs="仿宋"/>
                <w:sz w:val="24"/>
                <w:szCs w:val="24"/>
              </w:rPr>
            </w:pPr>
          </w:p>
        </w:tc>
        <w:tc>
          <w:tcPr>
            <w:tcW w:w="930" w:type="dxa"/>
            <w:noWrap w:val="0"/>
            <w:vAlign w:val="center"/>
          </w:tcPr>
          <w:p w14:paraId="2F78C459">
            <w:pPr>
              <w:pStyle w:val="12"/>
              <w:spacing w:line="336" w:lineRule="auto"/>
              <w:rPr>
                <w:rFonts w:hint="eastAsia" w:ascii="华文仿宋" w:hAnsi="华文仿宋" w:cs="仿宋"/>
                <w:sz w:val="24"/>
                <w:szCs w:val="24"/>
              </w:rPr>
            </w:pPr>
          </w:p>
        </w:tc>
        <w:tc>
          <w:tcPr>
            <w:tcW w:w="851" w:type="dxa"/>
            <w:noWrap w:val="0"/>
            <w:vAlign w:val="center"/>
          </w:tcPr>
          <w:p w14:paraId="45BD9A29">
            <w:pPr>
              <w:pStyle w:val="12"/>
              <w:spacing w:line="336" w:lineRule="auto"/>
              <w:rPr>
                <w:rFonts w:hint="eastAsia" w:ascii="华文仿宋" w:hAnsi="华文仿宋" w:cs="仿宋"/>
                <w:sz w:val="24"/>
                <w:szCs w:val="24"/>
              </w:rPr>
            </w:pPr>
          </w:p>
        </w:tc>
        <w:tc>
          <w:tcPr>
            <w:tcW w:w="1279" w:type="dxa"/>
            <w:noWrap w:val="0"/>
            <w:vAlign w:val="center"/>
          </w:tcPr>
          <w:p w14:paraId="62B4021B">
            <w:pPr>
              <w:pStyle w:val="12"/>
              <w:spacing w:line="336" w:lineRule="auto"/>
              <w:rPr>
                <w:rFonts w:hint="eastAsia" w:ascii="华文仿宋" w:hAnsi="华文仿宋" w:cs="仿宋"/>
                <w:sz w:val="24"/>
                <w:szCs w:val="24"/>
              </w:rPr>
            </w:pPr>
          </w:p>
        </w:tc>
      </w:tr>
      <w:tr w14:paraId="75D2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9" w:type="dxa"/>
            <w:noWrap w:val="0"/>
            <w:vAlign w:val="top"/>
          </w:tcPr>
          <w:p w14:paraId="0997F24E">
            <w:pPr>
              <w:pStyle w:val="12"/>
              <w:spacing w:line="336" w:lineRule="auto"/>
              <w:ind w:left="-160" w:leftChars="-57"/>
              <w:jc w:val="center"/>
              <w:rPr>
                <w:rFonts w:hint="eastAsia" w:ascii="华文仿宋" w:hAnsi="华文仿宋" w:cs="仿宋"/>
                <w:sz w:val="24"/>
                <w:szCs w:val="24"/>
              </w:rPr>
            </w:pPr>
          </w:p>
        </w:tc>
        <w:tc>
          <w:tcPr>
            <w:tcW w:w="1470" w:type="dxa"/>
            <w:noWrap w:val="0"/>
            <w:vAlign w:val="top"/>
          </w:tcPr>
          <w:p w14:paraId="0FC707A0">
            <w:pPr>
              <w:pStyle w:val="12"/>
              <w:spacing w:line="336" w:lineRule="auto"/>
              <w:rPr>
                <w:rFonts w:ascii="华文仿宋" w:hAnsi="华文仿宋" w:cs="仿宋"/>
                <w:sz w:val="24"/>
                <w:szCs w:val="24"/>
              </w:rPr>
            </w:pPr>
          </w:p>
        </w:tc>
        <w:tc>
          <w:tcPr>
            <w:tcW w:w="2190" w:type="dxa"/>
            <w:noWrap w:val="0"/>
            <w:vAlign w:val="center"/>
          </w:tcPr>
          <w:p w14:paraId="1154AF87">
            <w:pPr>
              <w:pStyle w:val="12"/>
              <w:spacing w:line="336" w:lineRule="auto"/>
              <w:rPr>
                <w:rFonts w:hint="eastAsia" w:ascii="华文仿宋" w:hAnsi="华文仿宋" w:cs="仿宋"/>
                <w:sz w:val="24"/>
                <w:szCs w:val="24"/>
              </w:rPr>
            </w:pPr>
          </w:p>
        </w:tc>
        <w:tc>
          <w:tcPr>
            <w:tcW w:w="2085" w:type="dxa"/>
            <w:tcBorders>
              <w:top w:val="single" w:color="auto" w:sz="4" w:space="0"/>
            </w:tcBorders>
            <w:noWrap w:val="0"/>
            <w:vAlign w:val="center"/>
          </w:tcPr>
          <w:p w14:paraId="42B098EB">
            <w:pPr>
              <w:pStyle w:val="12"/>
              <w:spacing w:line="336" w:lineRule="auto"/>
              <w:rPr>
                <w:rFonts w:hint="eastAsia" w:ascii="华文仿宋" w:hAnsi="华文仿宋" w:cs="仿宋"/>
                <w:sz w:val="24"/>
                <w:szCs w:val="24"/>
              </w:rPr>
            </w:pPr>
          </w:p>
        </w:tc>
        <w:tc>
          <w:tcPr>
            <w:tcW w:w="930" w:type="dxa"/>
            <w:noWrap w:val="0"/>
            <w:vAlign w:val="center"/>
          </w:tcPr>
          <w:p w14:paraId="1C2BBCC5">
            <w:pPr>
              <w:pStyle w:val="12"/>
              <w:spacing w:line="336" w:lineRule="auto"/>
              <w:rPr>
                <w:rFonts w:hint="eastAsia" w:ascii="华文仿宋" w:hAnsi="华文仿宋" w:cs="仿宋"/>
                <w:sz w:val="24"/>
                <w:szCs w:val="24"/>
              </w:rPr>
            </w:pPr>
          </w:p>
        </w:tc>
        <w:tc>
          <w:tcPr>
            <w:tcW w:w="851" w:type="dxa"/>
            <w:noWrap w:val="0"/>
            <w:vAlign w:val="center"/>
          </w:tcPr>
          <w:p w14:paraId="52FE90F5">
            <w:pPr>
              <w:pStyle w:val="12"/>
              <w:spacing w:line="336" w:lineRule="auto"/>
              <w:rPr>
                <w:rFonts w:hint="eastAsia" w:ascii="华文仿宋" w:hAnsi="华文仿宋" w:cs="仿宋"/>
                <w:sz w:val="24"/>
                <w:szCs w:val="24"/>
              </w:rPr>
            </w:pPr>
          </w:p>
        </w:tc>
        <w:tc>
          <w:tcPr>
            <w:tcW w:w="1279" w:type="dxa"/>
            <w:noWrap w:val="0"/>
            <w:vAlign w:val="center"/>
          </w:tcPr>
          <w:p w14:paraId="7697FA28">
            <w:pPr>
              <w:pStyle w:val="12"/>
              <w:spacing w:line="336" w:lineRule="auto"/>
              <w:rPr>
                <w:rFonts w:hint="eastAsia" w:ascii="华文仿宋" w:hAnsi="华文仿宋" w:cs="仿宋"/>
                <w:sz w:val="24"/>
                <w:szCs w:val="24"/>
              </w:rPr>
            </w:pPr>
          </w:p>
        </w:tc>
      </w:tr>
      <w:tr w14:paraId="2C6A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9" w:type="dxa"/>
            <w:noWrap w:val="0"/>
            <w:vAlign w:val="top"/>
          </w:tcPr>
          <w:p w14:paraId="7858BFF9">
            <w:pPr>
              <w:pStyle w:val="12"/>
              <w:spacing w:line="336" w:lineRule="auto"/>
              <w:rPr>
                <w:rFonts w:hint="eastAsia" w:ascii="华文仿宋" w:hAnsi="华文仿宋" w:cs="仿宋"/>
                <w:sz w:val="24"/>
                <w:szCs w:val="24"/>
              </w:rPr>
            </w:pPr>
          </w:p>
        </w:tc>
        <w:tc>
          <w:tcPr>
            <w:tcW w:w="1470" w:type="dxa"/>
            <w:noWrap w:val="0"/>
            <w:vAlign w:val="top"/>
          </w:tcPr>
          <w:p w14:paraId="39507920">
            <w:pPr>
              <w:pStyle w:val="12"/>
              <w:spacing w:line="336" w:lineRule="auto"/>
              <w:rPr>
                <w:rFonts w:ascii="华文仿宋" w:hAnsi="华文仿宋" w:cs="仿宋"/>
                <w:sz w:val="24"/>
                <w:szCs w:val="24"/>
              </w:rPr>
            </w:pPr>
          </w:p>
        </w:tc>
        <w:tc>
          <w:tcPr>
            <w:tcW w:w="2190" w:type="dxa"/>
            <w:noWrap w:val="0"/>
            <w:vAlign w:val="top"/>
          </w:tcPr>
          <w:p w14:paraId="6410E735">
            <w:pPr>
              <w:pStyle w:val="12"/>
              <w:spacing w:line="336" w:lineRule="auto"/>
              <w:rPr>
                <w:rFonts w:hint="eastAsia" w:ascii="华文仿宋" w:hAnsi="华文仿宋" w:cs="仿宋"/>
                <w:sz w:val="24"/>
                <w:szCs w:val="24"/>
              </w:rPr>
            </w:pPr>
          </w:p>
        </w:tc>
        <w:tc>
          <w:tcPr>
            <w:tcW w:w="2085" w:type="dxa"/>
            <w:noWrap w:val="0"/>
            <w:vAlign w:val="top"/>
          </w:tcPr>
          <w:p w14:paraId="72E13341">
            <w:pPr>
              <w:pStyle w:val="12"/>
              <w:spacing w:line="336" w:lineRule="auto"/>
              <w:rPr>
                <w:rFonts w:hint="eastAsia" w:ascii="华文仿宋" w:hAnsi="华文仿宋" w:cs="仿宋"/>
                <w:sz w:val="24"/>
                <w:szCs w:val="24"/>
              </w:rPr>
            </w:pPr>
          </w:p>
        </w:tc>
        <w:tc>
          <w:tcPr>
            <w:tcW w:w="930" w:type="dxa"/>
            <w:noWrap w:val="0"/>
            <w:vAlign w:val="top"/>
          </w:tcPr>
          <w:p w14:paraId="02835A4E">
            <w:pPr>
              <w:pStyle w:val="12"/>
              <w:spacing w:line="336" w:lineRule="auto"/>
              <w:rPr>
                <w:rFonts w:hint="eastAsia" w:ascii="华文仿宋" w:hAnsi="华文仿宋" w:cs="仿宋"/>
                <w:sz w:val="24"/>
                <w:szCs w:val="24"/>
              </w:rPr>
            </w:pPr>
          </w:p>
        </w:tc>
        <w:tc>
          <w:tcPr>
            <w:tcW w:w="851" w:type="dxa"/>
            <w:noWrap w:val="0"/>
            <w:vAlign w:val="top"/>
          </w:tcPr>
          <w:p w14:paraId="15C38E54">
            <w:pPr>
              <w:pStyle w:val="12"/>
              <w:spacing w:line="336" w:lineRule="auto"/>
              <w:rPr>
                <w:rFonts w:hint="eastAsia" w:ascii="华文仿宋" w:hAnsi="华文仿宋" w:cs="仿宋"/>
                <w:sz w:val="24"/>
                <w:szCs w:val="24"/>
              </w:rPr>
            </w:pPr>
          </w:p>
        </w:tc>
        <w:tc>
          <w:tcPr>
            <w:tcW w:w="1279" w:type="dxa"/>
            <w:noWrap w:val="0"/>
            <w:vAlign w:val="top"/>
          </w:tcPr>
          <w:p w14:paraId="6E5B8DB8">
            <w:pPr>
              <w:pStyle w:val="12"/>
              <w:spacing w:line="336" w:lineRule="auto"/>
              <w:rPr>
                <w:rFonts w:hint="eastAsia" w:ascii="华文仿宋" w:hAnsi="华文仿宋" w:cs="仿宋"/>
                <w:sz w:val="24"/>
                <w:szCs w:val="24"/>
              </w:rPr>
            </w:pPr>
          </w:p>
        </w:tc>
      </w:tr>
      <w:tr w14:paraId="159C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9" w:type="dxa"/>
            <w:noWrap w:val="0"/>
            <w:vAlign w:val="top"/>
          </w:tcPr>
          <w:p w14:paraId="1BE1C08E">
            <w:pPr>
              <w:pStyle w:val="12"/>
              <w:spacing w:line="336" w:lineRule="auto"/>
              <w:rPr>
                <w:rFonts w:hint="eastAsia" w:ascii="华文仿宋" w:hAnsi="华文仿宋" w:cs="仿宋"/>
                <w:sz w:val="24"/>
                <w:szCs w:val="24"/>
              </w:rPr>
            </w:pPr>
          </w:p>
        </w:tc>
        <w:tc>
          <w:tcPr>
            <w:tcW w:w="1470" w:type="dxa"/>
            <w:noWrap w:val="0"/>
            <w:vAlign w:val="top"/>
          </w:tcPr>
          <w:p w14:paraId="749223AF">
            <w:pPr>
              <w:pStyle w:val="12"/>
              <w:spacing w:line="336" w:lineRule="auto"/>
              <w:rPr>
                <w:rFonts w:ascii="华文仿宋" w:hAnsi="华文仿宋" w:cs="仿宋"/>
                <w:sz w:val="24"/>
                <w:szCs w:val="24"/>
              </w:rPr>
            </w:pPr>
          </w:p>
        </w:tc>
        <w:tc>
          <w:tcPr>
            <w:tcW w:w="2190" w:type="dxa"/>
            <w:noWrap w:val="0"/>
            <w:vAlign w:val="top"/>
          </w:tcPr>
          <w:p w14:paraId="5C1BEDDD">
            <w:pPr>
              <w:pStyle w:val="12"/>
              <w:spacing w:line="336" w:lineRule="auto"/>
              <w:rPr>
                <w:rFonts w:hint="eastAsia" w:ascii="华文仿宋" w:hAnsi="华文仿宋" w:cs="仿宋"/>
                <w:sz w:val="24"/>
                <w:szCs w:val="24"/>
              </w:rPr>
            </w:pPr>
          </w:p>
        </w:tc>
        <w:tc>
          <w:tcPr>
            <w:tcW w:w="2085" w:type="dxa"/>
            <w:noWrap w:val="0"/>
            <w:vAlign w:val="top"/>
          </w:tcPr>
          <w:p w14:paraId="5BC520B8">
            <w:pPr>
              <w:pStyle w:val="12"/>
              <w:spacing w:line="336" w:lineRule="auto"/>
              <w:rPr>
                <w:rFonts w:hint="eastAsia" w:ascii="华文仿宋" w:hAnsi="华文仿宋" w:cs="仿宋"/>
                <w:sz w:val="24"/>
                <w:szCs w:val="24"/>
              </w:rPr>
            </w:pPr>
          </w:p>
        </w:tc>
        <w:tc>
          <w:tcPr>
            <w:tcW w:w="930" w:type="dxa"/>
            <w:noWrap w:val="0"/>
            <w:vAlign w:val="top"/>
          </w:tcPr>
          <w:p w14:paraId="3E7A5E0C">
            <w:pPr>
              <w:pStyle w:val="12"/>
              <w:spacing w:line="336" w:lineRule="auto"/>
              <w:rPr>
                <w:rFonts w:hint="eastAsia" w:ascii="华文仿宋" w:hAnsi="华文仿宋" w:cs="仿宋"/>
                <w:sz w:val="24"/>
                <w:szCs w:val="24"/>
              </w:rPr>
            </w:pPr>
          </w:p>
        </w:tc>
        <w:tc>
          <w:tcPr>
            <w:tcW w:w="851" w:type="dxa"/>
            <w:noWrap w:val="0"/>
            <w:vAlign w:val="top"/>
          </w:tcPr>
          <w:p w14:paraId="54A587B3">
            <w:pPr>
              <w:pStyle w:val="12"/>
              <w:spacing w:line="336" w:lineRule="auto"/>
              <w:rPr>
                <w:rFonts w:hint="eastAsia" w:ascii="华文仿宋" w:hAnsi="华文仿宋" w:cs="仿宋"/>
                <w:sz w:val="24"/>
                <w:szCs w:val="24"/>
              </w:rPr>
            </w:pPr>
          </w:p>
        </w:tc>
        <w:tc>
          <w:tcPr>
            <w:tcW w:w="1279" w:type="dxa"/>
            <w:noWrap w:val="0"/>
            <w:vAlign w:val="top"/>
          </w:tcPr>
          <w:p w14:paraId="124D2EE5">
            <w:pPr>
              <w:pStyle w:val="12"/>
              <w:spacing w:line="336" w:lineRule="auto"/>
              <w:rPr>
                <w:rFonts w:hint="eastAsia" w:ascii="华文仿宋" w:hAnsi="华文仿宋" w:cs="仿宋"/>
                <w:sz w:val="24"/>
                <w:szCs w:val="24"/>
              </w:rPr>
            </w:pPr>
          </w:p>
        </w:tc>
      </w:tr>
      <w:tr w14:paraId="5562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9" w:type="dxa"/>
            <w:noWrap w:val="0"/>
            <w:vAlign w:val="top"/>
          </w:tcPr>
          <w:p w14:paraId="22638962">
            <w:pPr>
              <w:pStyle w:val="12"/>
              <w:spacing w:line="336" w:lineRule="auto"/>
              <w:rPr>
                <w:rFonts w:hint="eastAsia" w:ascii="华文仿宋" w:hAnsi="华文仿宋" w:cs="仿宋"/>
                <w:sz w:val="24"/>
                <w:szCs w:val="24"/>
              </w:rPr>
            </w:pPr>
          </w:p>
        </w:tc>
        <w:tc>
          <w:tcPr>
            <w:tcW w:w="1470" w:type="dxa"/>
            <w:noWrap w:val="0"/>
            <w:vAlign w:val="top"/>
          </w:tcPr>
          <w:p w14:paraId="26E8F6B1">
            <w:pPr>
              <w:pStyle w:val="12"/>
              <w:spacing w:line="336" w:lineRule="auto"/>
              <w:rPr>
                <w:rFonts w:ascii="华文仿宋" w:hAnsi="华文仿宋" w:cs="仿宋"/>
                <w:sz w:val="24"/>
                <w:szCs w:val="24"/>
              </w:rPr>
            </w:pPr>
          </w:p>
        </w:tc>
        <w:tc>
          <w:tcPr>
            <w:tcW w:w="2190" w:type="dxa"/>
            <w:noWrap w:val="0"/>
            <w:vAlign w:val="top"/>
          </w:tcPr>
          <w:p w14:paraId="71648134">
            <w:pPr>
              <w:pStyle w:val="12"/>
              <w:spacing w:line="336" w:lineRule="auto"/>
              <w:rPr>
                <w:rFonts w:hint="eastAsia" w:ascii="华文仿宋" w:hAnsi="华文仿宋" w:cs="仿宋"/>
                <w:sz w:val="24"/>
                <w:szCs w:val="24"/>
              </w:rPr>
            </w:pPr>
          </w:p>
        </w:tc>
        <w:tc>
          <w:tcPr>
            <w:tcW w:w="2085" w:type="dxa"/>
            <w:noWrap w:val="0"/>
            <w:vAlign w:val="top"/>
          </w:tcPr>
          <w:p w14:paraId="0FBC592D">
            <w:pPr>
              <w:pStyle w:val="12"/>
              <w:spacing w:line="336" w:lineRule="auto"/>
              <w:rPr>
                <w:rFonts w:hint="eastAsia" w:ascii="华文仿宋" w:hAnsi="华文仿宋" w:cs="仿宋"/>
                <w:sz w:val="24"/>
                <w:szCs w:val="24"/>
              </w:rPr>
            </w:pPr>
          </w:p>
        </w:tc>
        <w:tc>
          <w:tcPr>
            <w:tcW w:w="930" w:type="dxa"/>
            <w:noWrap w:val="0"/>
            <w:vAlign w:val="top"/>
          </w:tcPr>
          <w:p w14:paraId="7A2FCEA1">
            <w:pPr>
              <w:pStyle w:val="12"/>
              <w:spacing w:line="336" w:lineRule="auto"/>
              <w:rPr>
                <w:rFonts w:hint="eastAsia" w:ascii="华文仿宋" w:hAnsi="华文仿宋" w:cs="仿宋"/>
                <w:sz w:val="24"/>
                <w:szCs w:val="24"/>
              </w:rPr>
            </w:pPr>
          </w:p>
        </w:tc>
        <w:tc>
          <w:tcPr>
            <w:tcW w:w="851" w:type="dxa"/>
            <w:noWrap w:val="0"/>
            <w:vAlign w:val="top"/>
          </w:tcPr>
          <w:p w14:paraId="465D4AFA">
            <w:pPr>
              <w:pStyle w:val="12"/>
              <w:spacing w:line="336" w:lineRule="auto"/>
              <w:rPr>
                <w:rFonts w:hint="eastAsia" w:ascii="华文仿宋" w:hAnsi="华文仿宋" w:cs="仿宋"/>
                <w:sz w:val="24"/>
                <w:szCs w:val="24"/>
              </w:rPr>
            </w:pPr>
          </w:p>
        </w:tc>
        <w:tc>
          <w:tcPr>
            <w:tcW w:w="1279" w:type="dxa"/>
            <w:noWrap w:val="0"/>
            <w:vAlign w:val="top"/>
          </w:tcPr>
          <w:p w14:paraId="189BE9CF">
            <w:pPr>
              <w:pStyle w:val="12"/>
              <w:spacing w:line="336" w:lineRule="auto"/>
              <w:rPr>
                <w:rFonts w:hint="eastAsia" w:ascii="华文仿宋" w:hAnsi="华文仿宋" w:cs="仿宋"/>
                <w:sz w:val="24"/>
                <w:szCs w:val="24"/>
              </w:rPr>
            </w:pPr>
          </w:p>
        </w:tc>
      </w:tr>
    </w:tbl>
    <w:p w14:paraId="4E0E5994">
      <w:pPr>
        <w:tabs>
          <w:tab w:val="right" w:pos="9070"/>
        </w:tabs>
        <w:spacing w:line="240" w:lineRule="auto"/>
        <w:ind w:firstLine="422" w:firstLineChars="200"/>
        <w:jc w:val="left"/>
        <w:rPr>
          <w:rFonts w:ascii="宋体" w:hAnsi="宋体" w:eastAsia="宋体" w:cs="宋体"/>
          <w:sz w:val="21"/>
          <w:szCs w:val="21"/>
        </w:rPr>
      </w:pPr>
      <w:r>
        <w:rPr>
          <w:rFonts w:hint="eastAsia" w:ascii="宋体" w:hAnsi="宋体" w:eastAsia="宋体" w:cs="宋体"/>
          <w:b/>
          <w:bCs/>
          <w:sz w:val="21"/>
          <w:szCs w:val="21"/>
        </w:rPr>
        <w:t>备注：</w:t>
      </w:r>
      <w:r>
        <w:rPr>
          <w:rFonts w:hint="eastAsia" w:ascii="宋体" w:hAnsi="宋体" w:eastAsia="宋体" w:cs="宋体"/>
          <w:sz w:val="21"/>
          <w:szCs w:val="21"/>
        </w:rPr>
        <w:t>1、</w:t>
      </w:r>
      <w:r>
        <w:rPr>
          <w:rFonts w:hint="eastAsia" w:hAnsi="宋体" w:cs="宋体"/>
          <w:b/>
          <w:sz w:val="24"/>
          <w:szCs w:val="28"/>
        </w:rPr>
        <w:t>技术指标偏离表</w:t>
      </w:r>
      <w:r>
        <w:rPr>
          <w:rFonts w:hint="eastAsia" w:hAnsi="宋体" w:cs="宋体"/>
          <w:b/>
          <w:sz w:val="24"/>
        </w:rPr>
        <w:t>应按照</w:t>
      </w:r>
      <w:r>
        <w:rPr>
          <w:rFonts w:hint="eastAsia" w:hAnsi="宋体" w:cs="宋体"/>
          <w:b/>
          <w:sz w:val="24"/>
          <w:lang w:val="en-US" w:eastAsia="zh-CN"/>
        </w:rPr>
        <w:t>招标文件</w:t>
      </w:r>
      <w:r>
        <w:rPr>
          <w:rFonts w:hint="eastAsia" w:hAnsi="宋体" w:cs="宋体"/>
          <w:b/>
          <w:sz w:val="24"/>
        </w:rPr>
        <w:t>第</w:t>
      </w:r>
      <w:r>
        <w:rPr>
          <w:rFonts w:hint="eastAsia" w:hAnsi="宋体" w:cs="宋体"/>
          <w:b/>
          <w:sz w:val="24"/>
          <w:lang w:val="en-US" w:eastAsia="zh-CN"/>
        </w:rPr>
        <w:t>四</w:t>
      </w:r>
      <w:r>
        <w:rPr>
          <w:rFonts w:hint="eastAsia" w:hAnsi="宋体" w:cs="宋体"/>
          <w:b/>
          <w:sz w:val="24"/>
        </w:rPr>
        <w:t>章“采购清单”内容及</w:t>
      </w:r>
      <w:r>
        <w:rPr>
          <w:rFonts w:hint="eastAsia" w:hAnsi="宋体" w:cs="宋体"/>
          <w:b/>
          <w:sz w:val="24"/>
          <w:lang w:val="en-US" w:eastAsia="zh-CN"/>
        </w:rPr>
        <w:t>技术参数</w:t>
      </w:r>
      <w:r>
        <w:rPr>
          <w:rFonts w:hint="eastAsia" w:hAnsi="宋体" w:cs="宋体"/>
          <w:b/>
          <w:sz w:val="24"/>
        </w:rPr>
        <w:t>顺序逐条响应，未逐条响应或缺项的</w:t>
      </w:r>
      <w:r>
        <w:rPr>
          <w:rFonts w:hAnsi="宋体"/>
          <w:b/>
          <w:bCs/>
          <w:sz w:val="24"/>
          <w:szCs w:val="24"/>
        </w:rPr>
        <w:t>按无效投标处理</w:t>
      </w:r>
      <w:r>
        <w:rPr>
          <w:rFonts w:hint="eastAsia" w:hAnsi="宋体" w:cs="宋体"/>
          <w:b/>
          <w:sz w:val="24"/>
        </w:rPr>
        <w:t>。</w:t>
      </w:r>
      <w:r>
        <w:rPr>
          <w:rFonts w:hint="eastAsia" w:hAnsi="宋体" w:cs="宋体"/>
          <w:b/>
          <w:sz w:val="24"/>
          <w:szCs w:val="28"/>
        </w:rPr>
        <w:t>满足</w:t>
      </w:r>
      <w:r>
        <w:rPr>
          <w:rFonts w:hint="eastAsia" w:hAnsi="宋体" w:cs="宋体"/>
          <w:b/>
          <w:sz w:val="24"/>
          <w:szCs w:val="28"/>
          <w:lang w:eastAsia="zh-CN"/>
        </w:rPr>
        <w:t>招标文件</w:t>
      </w:r>
      <w:r>
        <w:rPr>
          <w:rFonts w:hint="eastAsia" w:hAnsi="宋体" w:cs="宋体"/>
          <w:b/>
          <w:sz w:val="24"/>
          <w:szCs w:val="28"/>
        </w:rPr>
        <w:t>要求的，“偏离情况”注明“0”，无需填写“偏离简述”项。超出、不满足</w:t>
      </w:r>
      <w:r>
        <w:rPr>
          <w:rFonts w:hint="eastAsia" w:hAnsi="宋体" w:cs="宋体"/>
          <w:b/>
          <w:sz w:val="24"/>
          <w:szCs w:val="28"/>
          <w:lang w:eastAsia="zh-CN"/>
        </w:rPr>
        <w:t>招标文件</w:t>
      </w:r>
      <w:r>
        <w:rPr>
          <w:rFonts w:hint="eastAsia" w:hAnsi="宋体" w:cs="宋体"/>
          <w:b/>
          <w:sz w:val="24"/>
          <w:szCs w:val="28"/>
        </w:rPr>
        <w:t>要求的，列出“+”、“-”偏差，并在“偏离简述”项做出详细说明；如果“偏离情况”项未填写，将视为该项指标未响应</w:t>
      </w:r>
      <w:r>
        <w:rPr>
          <w:rFonts w:hint="eastAsia" w:hAnsi="宋体" w:cs="宋体"/>
          <w:b/>
          <w:sz w:val="24"/>
          <w:szCs w:val="28"/>
          <w:lang w:eastAsia="zh-CN"/>
        </w:rPr>
        <w:t>。</w:t>
      </w:r>
    </w:p>
    <w:p w14:paraId="0D59B8EC">
      <w:pPr>
        <w:ind w:firstLine="440" w:firstLineChars="200"/>
        <w:rPr>
          <w:rFonts w:hint="default" w:ascii="华文仿宋" w:hAnsi="华文仿宋" w:cs="华文仿宋"/>
          <w:b/>
          <w:bCs/>
          <w:sz w:val="24"/>
          <w:szCs w:val="24"/>
          <w:lang w:val="en-US" w:eastAsia="zh-CN"/>
        </w:rPr>
      </w:pPr>
      <w:r>
        <w:rPr>
          <w:rFonts w:hint="eastAsia" w:ascii="宋体" w:hAnsi="宋体" w:cs="宋体"/>
          <w:color w:val="000000"/>
          <w:kern w:val="0"/>
          <w:sz w:val="22"/>
          <w:szCs w:val="22"/>
          <w:lang w:val="en-US" w:eastAsia="zh-CN" w:bidi="ar"/>
        </w:rPr>
        <w:t>2、</w:t>
      </w:r>
      <w:r>
        <w:rPr>
          <w:rFonts w:hint="eastAsia" w:ascii="宋体" w:hAnsi="宋体" w:cs="宋体"/>
          <w:color w:val="000000"/>
          <w:kern w:val="0"/>
          <w:sz w:val="22"/>
          <w:szCs w:val="22"/>
          <w:lang w:bidi="ar"/>
        </w:rPr>
        <w:t>★</w:t>
      </w:r>
      <w:r>
        <w:rPr>
          <w:rFonts w:hint="eastAsia" w:ascii="宋体" w:hAnsi="宋体" w:cs="宋体"/>
          <w:b/>
          <w:sz w:val="24"/>
          <w:lang w:val="en-US" w:eastAsia="zh-CN"/>
        </w:rPr>
        <w:t>技术</w:t>
      </w:r>
      <w:r>
        <w:rPr>
          <w:rFonts w:hint="eastAsia" w:ascii="宋体" w:hAnsi="宋体" w:cs="宋体"/>
          <w:b/>
          <w:sz w:val="24"/>
        </w:rPr>
        <w:t>参数</w:t>
      </w:r>
      <w:r>
        <w:rPr>
          <w:rFonts w:hint="eastAsia" w:ascii="宋体" w:hAnsi="宋体" w:cs="宋体"/>
          <w:b/>
          <w:sz w:val="24"/>
          <w:lang w:val="en-US" w:eastAsia="zh-CN"/>
        </w:rPr>
        <w:t>，</w:t>
      </w:r>
      <w:r>
        <w:rPr>
          <w:rFonts w:hint="eastAsia" w:ascii="宋体" w:hAnsi="宋体" w:cs="宋体"/>
          <w:b/>
          <w:sz w:val="24"/>
        </w:rPr>
        <w:t>需提供</w:t>
      </w:r>
      <w:r>
        <w:rPr>
          <w:rFonts w:hint="eastAsia" w:ascii="宋体" w:hAnsi="宋体" w:cs="宋体"/>
          <w:b/>
          <w:sz w:val="24"/>
          <w:lang w:val="en-US" w:eastAsia="zh-CN"/>
        </w:rPr>
        <w:t>佐证材料，</w:t>
      </w:r>
      <w:r>
        <w:rPr>
          <w:rFonts w:hint="eastAsia" w:ascii="宋体" w:hAnsi="宋体" w:cs="宋体"/>
          <w:b/>
          <w:sz w:val="24"/>
        </w:rPr>
        <w:t>佐证资料说明应按所提交的技术指标佐证资料逐项填写</w:t>
      </w:r>
      <w:r>
        <w:rPr>
          <w:rFonts w:hint="eastAsia" w:ascii="宋体" w:hAnsi="宋体" w:cs="宋体"/>
          <w:b/>
          <w:sz w:val="24"/>
          <w:lang w:eastAsia="zh-CN"/>
        </w:rPr>
        <w:t>，</w:t>
      </w:r>
      <w:r>
        <w:rPr>
          <w:rFonts w:hint="eastAsia" w:ascii="宋体" w:hAnsi="宋体" w:cs="宋体"/>
          <w:b/>
          <w:sz w:val="24"/>
        </w:rPr>
        <w:t>并将佐证材料按佐证</w:t>
      </w:r>
      <w:r>
        <w:rPr>
          <w:rFonts w:hint="eastAsia" w:ascii="宋体" w:hAnsi="宋体" w:cs="宋体"/>
          <w:b/>
          <w:sz w:val="24"/>
          <w:lang w:val="en-US" w:eastAsia="zh-CN"/>
        </w:rPr>
        <w:t>技术参数清单序号</w:t>
      </w:r>
      <w:r>
        <w:rPr>
          <w:rFonts w:hint="eastAsia" w:ascii="宋体" w:hAnsi="宋体" w:cs="宋体"/>
          <w:b/>
          <w:sz w:val="24"/>
        </w:rPr>
        <w:t>编号后</w:t>
      </w:r>
      <w:r>
        <w:rPr>
          <w:rFonts w:hint="eastAsia" w:ascii="宋体" w:hAnsi="宋体" w:cs="宋体"/>
          <w:b/>
          <w:sz w:val="24"/>
          <w:lang w:eastAsia="zh-CN"/>
        </w:rPr>
        <w:t>，</w:t>
      </w:r>
      <w:r>
        <w:rPr>
          <w:rFonts w:hint="eastAsia" w:ascii="宋体" w:hAnsi="宋体" w:cs="宋体"/>
          <w:b/>
          <w:sz w:val="24"/>
        </w:rPr>
        <w:t>附在“技术指标偏离表”后，以便评审查阅。</w:t>
      </w:r>
      <w:r>
        <w:rPr>
          <w:rFonts w:hint="eastAsia" w:ascii="华文仿宋" w:hAnsi="华文仿宋" w:eastAsia="华文仿宋" w:cs="华文仿宋"/>
          <w:b/>
          <w:bCs/>
          <w:sz w:val="24"/>
          <w:szCs w:val="24"/>
          <w:lang w:val="en-US" w:eastAsia="zh-CN"/>
        </w:rPr>
        <w:t>▲参数，为重要要求，投标人未达到要求或未响应将影响评分，具体评分规则</w:t>
      </w:r>
      <w:r>
        <w:rPr>
          <w:rFonts w:hint="eastAsia" w:ascii="华文仿宋" w:hAnsi="华文仿宋" w:cs="华文仿宋"/>
          <w:b/>
          <w:bCs/>
          <w:sz w:val="24"/>
          <w:szCs w:val="24"/>
          <w:lang w:val="en-US" w:eastAsia="zh-CN"/>
        </w:rPr>
        <w:t>以及佐证材料要求</w:t>
      </w:r>
      <w:r>
        <w:rPr>
          <w:rFonts w:hint="eastAsia" w:ascii="华文仿宋" w:hAnsi="华文仿宋" w:eastAsia="华文仿宋" w:cs="华文仿宋"/>
          <w:b/>
          <w:bCs/>
          <w:sz w:val="24"/>
          <w:szCs w:val="24"/>
          <w:lang w:val="en-US" w:eastAsia="zh-CN"/>
        </w:rPr>
        <w:t>见《评审要素及分值一览表》</w:t>
      </w:r>
      <w:r>
        <w:rPr>
          <w:rFonts w:hint="eastAsia" w:ascii="华文仿宋" w:hAnsi="华文仿宋" w:cs="华文仿宋"/>
          <w:b/>
          <w:bCs/>
          <w:sz w:val="24"/>
          <w:szCs w:val="24"/>
          <w:lang w:val="en-US" w:eastAsia="zh-CN"/>
        </w:rPr>
        <w:t>以及第四章招标内容及采购要求，</w:t>
      </w:r>
      <w:r>
        <w:rPr>
          <w:rFonts w:hint="eastAsia" w:ascii="宋体" w:hAnsi="宋体" w:cs="宋体"/>
          <w:b/>
          <w:sz w:val="24"/>
        </w:rPr>
        <w:t>佐证资料说明应按所提交的技术指标佐证资料逐项填写</w:t>
      </w:r>
      <w:r>
        <w:rPr>
          <w:rFonts w:hint="eastAsia" w:ascii="宋体" w:hAnsi="宋体" w:cs="宋体"/>
          <w:b/>
          <w:sz w:val="24"/>
          <w:lang w:eastAsia="zh-CN"/>
        </w:rPr>
        <w:t>，</w:t>
      </w:r>
      <w:r>
        <w:rPr>
          <w:rFonts w:hint="eastAsia" w:ascii="宋体" w:hAnsi="宋体" w:cs="宋体"/>
          <w:b/>
          <w:sz w:val="24"/>
        </w:rPr>
        <w:t>并将佐证材料按佐证</w:t>
      </w:r>
      <w:r>
        <w:rPr>
          <w:rFonts w:hint="eastAsia" w:ascii="宋体" w:hAnsi="宋体" w:cs="宋体"/>
          <w:b/>
          <w:sz w:val="24"/>
          <w:lang w:val="en-US" w:eastAsia="zh-CN"/>
        </w:rPr>
        <w:t>技术参数清单序号</w:t>
      </w:r>
      <w:r>
        <w:rPr>
          <w:rFonts w:hint="eastAsia" w:ascii="宋体" w:hAnsi="宋体" w:cs="宋体"/>
          <w:b/>
          <w:sz w:val="24"/>
        </w:rPr>
        <w:t>编号后</w:t>
      </w:r>
      <w:r>
        <w:rPr>
          <w:rFonts w:hint="eastAsia" w:ascii="宋体" w:hAnsi="宋体" w:cs="宋体"/>
          <w:b/>
          <w:sz w:val="24"/>
          <w:lang w:eastAsia="zh-CN"/>
        </w:rPr>
        <w:t>，</w:t>
      </w:r>
      <w:r>
        <w:rPr>
          <w:rFonts w:hint="eastAsia" w:ascii="宋体" w:hAnsi="宋体" w:cs="宋体"/>
          <w:b/>
          <w:sz w:val="24"/>
        </w:rPr>
        <w:t>附在“技术指标偏离表”后，以便评审查阅。</w:t>
      </w:r>
      <w:r>
        <w:rPr>
          <w:rFonts w:hint="eastAsia" w:ascii="华文仿宋" w:hAnsi="华文仿宋" w:cs="华文仿宋"/>
          <w:b/>
          <w:bCs/>
          <w:sz w:val="24"/>
          <w:szCs w:val="24"/>
          <w:lang w:val="en-US" w:eastAsia="zh-CN"/>
        </w:rPr>
        <w:t>。</w:t>
      </w:r>
    </w:p>
    <w:p w14:paraId="159DED2A">
      <w:pPr>
        <w:tabs>
          <w:tab w:val="right" w:pos="9070"/>
        </w:tabs>
        <w:spacing w:line="240" w:lineRule="auto"/>
        <w:ind w:firstLine="480" w:firstLineChars="200"/>
        <w:jc w:val="left"/>
        <w:rPr>
          <w:rFonts w:hint="eastAsia" w:ascii="宋体" w:hAnsi="宋体" w:eastAsia="宋体" w:cs="宋体"/>
          <w:color w:val="000000"/>
          <w:sz w:val="21"/>
          <w:szCs w:val="21"/>
        </w:rPr>
      </w:pPr>
      <w:r>
        <w:rPr>
          <w:rFonts w:hint="eastAsia" w:ascii="宋体" w:hAnsi="宋体" w:cs="宋体"/>
          <w:b/>
          <w:sz w:val="24"/>
          <w:lang w:val="en-US" w:eastAsia="zh-CN"/>
        </w:rPr>
        <w:t>3、</w:t>
      </w:r>
      <w:r>
        <w:rPr>
          <w:rFonts w:hint="eastAsia" w:ascii="宋体" w:hAnsi="宋体"/>
          <w:b/>
          <w:sz w:val="24"/>
          <w:szCs w:val="24"/>
          <w:lang w:val="en-US" w:eastAsia="zh-CN"/>
        </w:rPr>
        <w:t>响应</w:t>
      </w:r>
      <w:r>
        <w:rPr>
          <w:rFonts w:hint="eastAsia" w:ascii="宋体" w:hAnsi="宋体"/>
          <w:b/>
          <w:sz w:val="24"/>
          <w:szCs w:val="24"/>
        </w:rPr>
        <w:t>文件技术参数响应情况</w:t>
      </w:r>
      <w:r>
        <w:rPr>
          <w:rFonts w:hint="eastAsia" w:ascii="宋体" w:hAnsi="宋体"/>
          <w:b/>
          <w:sz w:val="24"/>
          <w:szCs w:val="24"/>
          <w:lang w:val="en-US" w:eastAsia="zh-CN"/>
        </w:rPr>
        <w:t>应为所投产品真实参数，如验收时发现产品不符合响应文件响应情况，则按中标无效处理，由此给采购人带来的损失由供应商承担，并将以提供虚假资料骗取中标报政府采购监督部门予以处罚。</w:t>
      </w:r>
    </w:p>
    <w:p w14:paraId="12CE64E6">
      <w:pPr>
        <w:pStyle w:val="4"/>
        <w:rPr>
          <w:rFonts w:hint="eastAsia"/>
          <w:color w:val="000000"/>
        </w:rPr>
      </w:pPr>
    </w:p>
    <w:p w14:paraId="3BA46F39">
      <w:pPr>
        <w:spacing w:line="500" w:lineRule="exact"/>
        <w:ind w:right="572"/>
        <w:rPr>
          <w:rFonts w:hint="eastAsia"/>
        </w:rPr>
      </w:pPr>
      <w:r>
        <w:rPr>
          <w:rFonts w:hint="eastAsia"/>
        </w:rPr>
        <w:t>供应商全称</w:t>
      </w:r>
      <w:r>
        <w:t>：</w:t>
      </w:r>
      <w:r>
        <w:rPr>
          <w:rFonts w:hint="eastAsia"/>
        </w:rPr>
        <w:t>（公章）</w:t>
      </w:r>
    </w:p>
    <w:p w14:paraId="59A77AF1">
      <w:pPr>
        <w:pStyle w:val="4"/>
        <w:rPr>
          <w:rFonts w:hint="eastAsia"/>
        </w:rPr>
      </w:pPr>
    </w:p>
    <w:p w14:paraId="005AC65D">
      <w:pPr>
        <w:spacing w:line="500" w:lineRule="exact"/>
        <w:rPr>
          <w:rFonts w:hint="eastAsia"/>
        </w:rPr>
      </w:pPr>
      <w:r>
        <w:rPr>
          <w:rFonts w:hint="eastAsia" w:ascii="仿宋" w:hAnsi="仿宋" w:eastAsia="仿宋" w:cs="仿宋"/>
        </w:rPr>
        <w:t>法定代表人或被授权人（签字）：</w:t>
      </w:r>
    </w:p>
    <w:p w14:paraId="04A85596">
      <w:pPr>
        <w:spacing w:line="500" w:lineRule="exact"/>
        <w:ind w:firstLine="5460" w:firstLineChars="1950"/>
        <w:rPr>
          <w:rFonts w:hint="eastAsia"/>
        </w:rPr>
      </w:pPr>
      <w:r>
        <w:rPr>
          <w:rFonts w:hint="eastAsia"/>
        </w:rPr>
        <w:t>　   　年　  月　  日</w:t>
      </w:r>
    </w:p>
    <w:p w14:paraId="5B1202AD">
      <w:pPr>
        <w:pStyle w:val="42"/>
        <w:ind w:firstLine="432"/>
        <w:rPr>
          <w:rFonts w:hint="eastAsia"/>
        </w:rPr>
      </w:pPr>
    </w:p>
    <w:p w14:paraId="7E0F17E2">
      <w:pPr>
        <w:spacing w:line="500" w:lineRule="exact"/>
        <w:ind w:firstLine="641" w:firstLineChars="200"/>
        <w:jc w:val="center"/>
        <w:rPr>
          <w:rFonts w:hint="eastAsia" w:ascii="华文仿宋" w:hAnsi="华文仿宋" w:cs="Times New Roman"/>
          <w:b/>
          <w:sz w:val="32"/>
          <w:szCs w:val="32"/>
        </w:rPr>
      </w:pPr>
      <w:r>
        <w:rPr>
          <w:rFonts w:hint="eastAsia" w:ascii="华文仿宋" w:hAnsi="华文仿宋" w:cs="Times New Roman"/>
          <w:b/>
          <w:sz w:val="32"/>
          <w:szCs w:val="32"/>
        </w:rPr>
        <w:br w:type="page"/>
      </w:r>
      <w:r>
        <w:rPr>
          <w:rFonts w:hint="eastAsia" w:ascii="华文仿宋" w:hAnsi="华文仿宋" w:cs="Times New Roman"/>
          <w:b/>
          <w:sz w:val="32"/>
          <w:szCs w:val="32"/>
        </w:rPr>
        <w:t>四、供应商承诺书</w:t>
      </w:r>
    </w:p>
    <w:p w14:paraId="2200D1BC">
      <w:pPr>
        <w:spacing w:line="500" w:lineRule="exact"/>
        <w:ind w:firstLine="560" w:firstLineChars="200"/>
        <w:rPr>
          <w:color w:val="000000"/>
        </w:rPr>
      </w:pPr>
      <w:r>
        <w:rPr>
          <w:color w:val="000000"/>
        </w:rPr>
        <w:t>未签署下列承诺书的，其责任由</w:t>
      </w:r>
      <w:r>
        <w:rPr>
          <w:rFonts w:hint="eastAsia"/>
          <w:color w:val="000000"/>
        </w:rPr>
        <w:t>供应商</w:t>
      </w:r>
      <w:r>
        <w:rPr>
          <w:color w:val="000000"/>
        </w:rPr>
        <w:t>自行承担。</w:t>
      </w:r>
    </w:p>
    <w:p w14:paraId="5D6F6AD7">
      <w:pPr>
        <w:spacing w:before="190" w:beforeLines="50" w:line="500" w:lineRule="exact"/>
        <w:ind w:firstLine="561" w:firstLineChars="200"/>
        <w:jc w:val="center"/>
        <w:rPr>
          <w:b/>
        </w:rPr>
      </w:pPr>
      <w:r>
        <w:rPr>
          <w:rFonts w:hint="eastAsia"/>
          <w:b/>
        </w:rPr>
        <w:t>（</w:t>
      </w:r>
      <w:r>
        <w:rPr>
          <w:b/>
        </w:rPr>
        <w:t>一</w:t>
      </w:r>
      <w:r>
        <w:rPr>
          <w:rFonts w:hint="eastAsia"/>
          <w:b/>
        </w:rPr>
        <w:t>）</w:t>
      </w:r>
      <w:r>
        <w:rPr>
          <w:b/>
        </w:rPr>
        <w:t>质量安全责任承诺书</w:t>
      </w:r>
    </w:p>
    <w:p w14:paraId="7CB65582">
      <w:pPr>
        <w:spacing w:line="500" w:lineRule="exact"/>
        <w:ind w:firstLine="560" w:firstLineChars="200"/>
      </w:pPr>
      <w:r>
        <w:t>为保证本采购项目顺利进行，作为</w:t>
      </w:r>
      <w:r>
        <w:rPr>
          <w:rFonts w:hint="eastAsia"/>
          <w:lang w:val="en-US" w:eastAsia="zh-CN"/>
        </w:rPr>
        <w:t>投标</w:t>
      </w:r>
      <w:r>
        <w:rPr>
          <w:rFonts w:hint="eastAsia"/>
        </w:rPr>
        <w:t>供应商</w:t>
      </w:r>
      <w:r>
        <w:t>，现郑重承诺：</w:t>
      </w:r>
    </w:p>
    <w:p w14:paraId="77FEB4F0">
      <w:pPr>
        <w:spacing w:line="500" w:lineRule="exact"/>
        <w:ind w:firstLine="560" w:firstLineChars="200"/>
        <w:rPr>
          <w:rFonts w:ascii="华文仿宋" w:hAnsi="华文仿宋" w:cs="华文仿宋"/>
        </w:rPr>
      </w:pPr>
      <w:r>
        <w:t>1、</w:t>
      </w:r>
      <w:r>
        <w:rPr>
          <w:rFonts w:ascii="华文仿宋" w:hAnsi="华文仿宋" w:cs="华文仿宋"/>
        </w:rPr>
        <w:t>我方</w:t>
      </w:r>
      <w:r>
        <w:rPr>
          <w:rFonts w:hint="eastAsia" w:ascii="华文仿宋" w:hAnsi="华文仿宋" w:cs="华文仿宋"/>
          <w:lang w:val="en-US" w:eastAsia="zh-CN"/>
        </w:rPr>
        <w:t>投标</w:t>
      </w:r>
      <w:r>
        <w:rPr>
          <w:rFonts w:ascii="华文仿宋" w:hAnsi="华文仿宋" w:cs="华文仿宋"/>
        </w:rPr>
        <w:t>产品</w:t>
      </w:r>
      <w:r>
        <w:rPr>
          <w:rFonts w:hint="eastAsia" w:ascii="华文仿宋" w:hAnsi="华文仿宋" w:cs="华文仿宋"/>
        </w:rPr>
        <w:t>保证质量可靠、进货渠道正规，符合国家、行业标准合格品要求。</w:t>
      </w:r>
    </w:p>
    <w:p w14:paraId="3743A6F6">
      <w:pPr>
        <w:spacing w:line="500" w:lineRule="exact"/>
        <w:ind w:firstLine="560" w:firstLineChars="200"/>
        <w:rPr>
          <w:rFonts w:ascii="华文仿宋" w:hAnsi="华文仿宋" w:cs="华文仿宋"/>
        </w:rPr>
      </w:pPr>
      <w:r>
        <w:rPr>
          <w:rFonts w:hint="eastAsia" w:ascii="华文仿宋" w:hAnsi="华文仿宋" w:cs="华文仿宋"/>
        </w:rPr>
        <w:t>2、</w:t>
      </w:r>
      <w:r>
        <w:rPr>
          <w:rFonts w:ascii="华文仿宋" w:hAnsi="华文仿宋" w:cs="华文仿宋"/>
        </w:rPr>
        <w:t>我方将严格按照国家现行相关标准规范，在规定的时限内，保质、保量完成项目全部内容，并向采购人交付合格产品。</w:t>
      </w:r>
    </w:p>
    <w:p w14:paraId="68866A51">
      <w:pPr>
        <w:spacing w:line="500" w:lineRule="exact"/>
        <w:ind w:firstLine="560" w:firstLineChars="200"/>
        <w:rPr>
          <w:rFonts w:ascii="华文仿宋" w:hAnsi="华文仿宋" w:cs="华文仿宋"/>
        </w:rPr>
      </w:pPr>
      <w:r>
        <w:rPr>
          <w:rFonts w:ascii="华文仿宋" w:hAnsi="华文仿宋" w:cs="华文仿宋"/>
        </w:rPr>
        <w:t>3、对于因产品生产质量以及储存、运输等过程中产生的任何安全事故，我方承担全部责任。</w:t>
      </w:r>
    </w:p>
    <w:p w14:paraId="13FCF338">
      <w:pPr>
        <w:spacing w:line="500" w:lineRule="exact"/>
        <w:ind w:firstLine="560" w:firstLineChars="200"/>
      </w:pPr>
      <w:r>
        <w:rPr>
          <w:rFonts w:ascii="华文仿宋" w:hAnsi="华文仿宋" w:cs="华文仿宋"/>
        </w:rPr>
        <w:t>4、我方提供的货物符合现行的国家、行业、地区、企业标准及要求，我方对提供的货物质量、安全、环保等承担全部责任。</w:t>
      </w:r>
    </w:p>
    <w:p w14:paraId="13FF3340">
      <w:pPr>
        <w:spacing w:line="500" w:lineRule="exact"/>
        <w:ind w:firstLine="560" w:firstLineChars="200"/>
        <w:rPr>
          <w:rFonts w:ascii="华文仿宋" w:hAnsi="华文仿宋" w:cs="华文仿宋"/>
        </w:rPr>
      </w:pPr>
      <w:r>
        <w:rPr>
          <w:rFonts w:hint="eastAsia" w:ascii="华文仿宋" w:hAnsi="华文仿宋" w:cs="华文仿宋"/>
        </w:rPr>
        <w:t>5、我方提供的项目在质保期内出现质量问题予以免费维修或调换。</w:t>
      </w:r>
    </w:p>
    <w:p w14:paraId="3C9A6F04">
      <w:pPr>
        <w:spacing w:line="500" w:lineRule="exact"/>
        <w:ind w:firstLine="560" w:firstLineChars="200"/>
      </w:pPr>
    </w:p>
    <w:p w14:paraId="49B547FA">
      <w:pPr>
        <w:spacing w:line="500" w:lineRule="exact"/>
        <w:ind w:right="572"/>
        <w:rPr>
          <w:rFonts w:hint="eastAsia"/>
        </w:rPr>
      </w:pPr>
    </w:p>
    <w:p w14:paraId="3AC59F3B">
      <w:pPr>
        <w:spacing w:line="500" w:lineRule="exact"/>
        <w:ind w:right="572"/>
        <w:rPr>
          <w:rFonts w:hint="eastAsia"/>
        </w:rPr>
      </w:pPr>
    </w:p>
    <w:p w14:paraId="117FA709">
      <w:pPr>
        <w:pStyle w:val="4"/>
        <w:rPr>
          <w:rFonts w:hint="eastAsia"/>
        </w:rPr>
      </w:pPr>
    </w:p>
    <w:p w14:paraId="6C68AFCF">
      <w:pPr>
        <w:spacing w:line="500" w:lineRule="exact"/>
        <w:ind w:right="572"/>
        <w:rPr>
          <w:rFonts w:hint="eastAsia"/>
        </w:rPr>
      </w:pPr>
      <w:r>
        <w:rPr>
          <w:rFonts w:hint="eastAsia"/>
        </w:rPr>
        <w:t>供应商名称</w:t>
      </w:r>
      <w:r>
        <w:t>：</w:t>
      </w:r>
      <w:r>
        <w:rPr>
          <w:rFonts w:hint="eastAsia"/>
        </w:rPr>
        <w:t>（加盖公章）</w:t>
      </w:r>
    </w:p>
    <w:p w14:paraId="1D056C79">
      <w:pPr>
        <w:pStyle w:val="4"/>
        <w:rPr>
          <w:rFonts w:hint="eastAsia"/>
        </w:rPr>
      </w:pPr>
    </w:p>
    <w:p w14:paraId="4E133587">
      <w:pPr>
        <w:spacing w:line="500" w:lineRule="exact"/>
        <w:rPr>
          <w:rFonts w:hint="eastAsia" w:ascii="仿宋" w:hAnsi="仿宋" w:eastAsia="仿宋" w:cs="仿宋"/>
        </w:rPr>
      </w:pPr>
      <w:r>
        <w:rPr>
          <w:rFonts w:hint="eastAsia" w:ascii="仿宋" w:hAnsi="仿宋" w:eastAsia="仿宋" w:cs="仿宋"/>
        </w:rPr>
        <w:t>法定代表人</w:t>
      </w:r>
      <w:r>
        <w:rPr>
          <w:rFonts w:hint="eastAsia" w:ascii="仿宋" w:hAnsi="仿宋" w:eastAsia="仿宋" w:cs="仿宋"/>
          <w:lang w:val="en-US" w:eastAsia="zh-CN"/>
        </w:rPr>
        <w:t>或</w:t>
      </w:r>
      <w:r>
        <w:rPr>
          <w:rFonts w:hint="eastAsia" w:ascii="仿宋" w:hAnsi="仿宋" w:eastAsia="仿宋" w:cs="仿宋"/>
        </w:rPr>
        <w:t>被授权人（签字）：</w:t>
      </w:r>
    </w:p>
    <w:p w14:paraId="50D57BDE">
      <w:pPr>
        <w:spacing w:line="500" w:lineRule="exact"/>
        <w:ind w:firstLine="560" w:firstLineChars="200"/>
        <w:rPr>
          <w:rFonts w:hint="eastAsia"/>
        </w:rPr>
      </w:pPr>
      <w:r>
        <w:rPr>
          <w:rFonts w:hint="eastAsia"/>
        </w:rPr>
        <w:t xml:space="preserve">                         </w:t>
      </w:r>
    </w:p>
    <w:p w14:paraId="74F416C1">
      <w:pPr>
        <w:spacing w:line="500" w:lineRule="exact"/>
        <w:ind w:firstLine="560" w:firstLineChars="200"/>
        <w:jc w:val="center"/>
      </w:pPr>
      <w:r>
        <w:rPr>
          <w:rFonts w:hint="eastAsia"/>
        </w:rPr>
        <w:t xml:space="preserve">                          </w:t>
      </w:r>
      <w:r>
        <w:rPr>
          <w:rFonts w:hint="eastAsia"/>
          <w:lang w:val="en-US" w:eastAsia="zh-CN"/>
        </w:rPr>
        <w:t xml:space="preserve">   </w:t>
      </w:r>
      <w:r>
        <w:t>　　年　</w:t>
      </w:r>
      <w:r>
        <w:rPr>
          <w:rFonts w:hint="eastAsia"/>
          <w:lang w:val="en-US" w:eastAsia="zh-CN"/>
        </w:rPr>
        <w:t xml:space="preserve">    </w:t>
      </w:r>
      <w:r>
        <w:t>月</w:t>
      </w:r>
      <w:r>
        <w:rPr>
          <w:rFonts w:hint="eastAsia"/>
          <w:lang w:val="en-US" w:eastAsia="zh-CN"/>
        </w:rPr>
        <w:t xml:space="preserve">   </w:t>
      </w:r>
      <w:r>
        <w:t>　日</w:t>
      </w:r>
    </w:p>
    <w:p w14:paraId="3E0358A5">
      <w:pPr>
        <w:pStyle w:val="24"/>
        <w:ind w:firstLine="186"/>
      </w:pPr>
    </w:p>
    <w:p w14:paraId="01882679">
      <w:pPr>
        <w:spacing w:before="190" w:beforeLines="50" w:line="500" w:lineRule="exact"/>
        <w:ind w:firstLine="561" w:firstLineChars="200"/>
        <w:jc w:val="center"/>
        <w:rPr>
          <w:rFonts w:hint="eastAsia"/>
          <w:b/>
        </w:rPr>
      </w:pPr>
    </w:p>
    <w:p w14:paraId="4CA27827">
      <w:pPr>
        <w:spacing w:before="190" w:beforeLines="50" w:line="500" w:lineRule="exact"/>
        <w:ind w:firstLine="561" w:firstLineChars="200"/>
        <w:jc w:val="center"/>
        <w:rPr>
          <w:rFonts w:hint="eastAsia"/>
          <w:b/>
        </w:rPr>
      </w:pPr>
    </w:p>
    <w:p w14:paraId="49F14C72">
      <w:pPr>
        <w:spacing w:before="190" w:beforeLines="50" w:line="500" w:lineRule="exact"/>
        <w:ind w:firstLine="561" w:firstLineChars="200"/>
        <w:jc w:val="center"/>
      </w:pPr>
      <w:r>
        <w:rPr>
          <w:rFonts w:hint="eastAsia"/>
          <w:b/>
        </w:rPr>
        <w:br w:type="page"/>
      </w:r>
      <w:r>
        <w:rPr>
          <w:rFonts w:hint="eastAsia"/>
          <w:b/>
        </w:rPr>
        <w:t>（</w:t>
      </w:r>
      <w:r>
        <w:rPr>
          <w:rFonts w:hint="eastAsia"/>
          <w:b/>
          <w:lang w:val="en-US" w:eastAsia="zh-CN"/>
        </w:rPr>
        <w:t>二</w:t>
      </w:r>
      <w:r>
        <w:rPr>
          <w:rFonts w:hint="eastAsia"/>
          <w:b/>
        </w:rPr>
        <w:t>）拒绝政府采购领域商业贿赂承诺书</w:t>
      </w:r>
    </w:p>
    <w:p w14:paraId="0C4C0E2B">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rPr>
        <w:t>（执行陕财办采管[2006]21号文件）</w:t>
      </w:r>
    </w:p>
    <w:p w14:paraId="22B12C14">
      <w:pPr>
        <w:spacing w:line="500" w:lineRule="exact"/>
        <w:ind w:firstLine="560" w:firstLineChars="200"/>
      </w:pPr>
      <w:r>
        <w:rPr>
          <w:rFonts w:hint="eastAsia"/>
        </w:rPr>
        <w:t>为响应党中央、国务院关于治理政府采购领域商业贿赂行为的号召，我公司在此庄严承诺：</w:t>
      </w:r>
    </w:p>
    <w:p w14:paraId="5D8DDAE5">
      <w:pPr>
        <w:spacing w:line="500" w:lineRule="exact"/>
        <w:ind w:firstLine="560" w:firstLineChars="200"/>
      </w:pPr>
      <w:r>
        <w:rPr>
          <w:rFonts w:hint="eastAsia"/>
        </w:rPr>
        <w:t>1、在参与政府采购活动中遵纪守法、诚信经营、公平竞标。</w:t>
      </w:r>
    </w:p>
    <w:p w14:paraId="2F89BCA1">
      <w:pPr>
        <w:spacing w:line="500" w:lineRule="exact"/>
        <w:ind w:firstLine="560" w:firstLineChars="200"/>
      </w:pPr>
      <w:r>
        <w:rPr>
          <w:rFonts w:hint="eastAsia"/>
        </w:rPr>
        <w:t>2、不向政府采购人、采购代理机构和政府采购评审专家进行任何形式的商业贿赂以谋取交易机会。</w:t>
      </w:r>
    </w:p>
    <w:p w14:paraId="7B72B850">
      <w:pPr>
        <w:spacing w:line="500" w:lineRule="exact"/>
        <w:ind w:firstLine="560" w:firstLineChars="200"/>
      </w:pPr>
      <w:r>
        <w:rPr>
          <w:rFonts w:hint="eastAsia"/>
        </w:rPr>
        <w:t>3、不向政府采购人和采购代理机构提供虚假资质文件或采用虚假应标方式参与政府采购市场竞争并谋取中标、成交。</w:t>
      </w:r>
    </w:p>
    <w:p w14:paraId="3FB45115">
      <w:pPr>
        <w:spacing w:line="500" w:lineRule="exact"/>
        <w:ind w:firstLine="560" w:firstLineChars="200"/>
      </w:pPr>
      <w:r>
        <w:rPr>
          <w:rFonts w:hint="eastAsia"/>
        </w:rPr>
        <w:t>4、不采取“围标、陪标”等商业欺诈手段获得政府采购定单。</w:t>
      </w:r>
    </w:p>
    <w:p w14:paraId="67B07037">
      <w:pPr>
        <w:spacing w:line="500" w:lineRule="exact"/>
        <w:ind w:firstLine="560" w:firstLineChars="200"/>
      </w:pPr>
      <w:r>
        <w:rPr>
          <w:rFonts w:hint="eastAsia"/>
        </w:rPr>
        <w:t>5、不采取不正当手段诋毁、排挤其他供应商。</w:t>
      </w:r>
    </w:p>
    <w:p w14:paraId="271D83AE">
      <w:pPr>
        <w:spacing w:line="500" w:lineRule="exact"/>
        <w:ind w:firstLine="560" w:firstLineChars="200"/>
      </w:pPr>
      <w:r>
        <w:rPr>
          <w:rFonts w:hint="eastAsia"/>
        </w:rPr>
        <w:t>6、不在提供商品和服务时“偷梁换柱、以次充好”损害采购人的合法权益。</w:t>
      </w:r>
    </w:p>
    <w:p w14:paraId="44B38386">
      <w:pPr>
        <w:spacing w:line="500" w:lineRule="exact"/>
        <w:ind w:firstLine="560" w:firstLineChars="200"/>
      </w:pPr>
      <w:r>
        <w:rPr>
          <w:rFonts w:hint="eastAsia"/>
        </w:rPr>
        <w:t>7、不与采购人、采购代理机构政府采购评审专家或其它供应商恶意串通，进行质疑和投诉，维护政府采购市场秩序。</w:t>
      </w:r>
    </w:p>
    <w:p w14:paraId="0F9D3D8A">
      <w:pPr>
        <w:spacing w:line="500" w:lineRule="exact"/>
        <w:ind w:firstLine="560" w:firstLineChars="200"/>
      </w:pPr>
      <w:r>
        <w:rPr>
          <w:rFonts w:hint="eastAsia"/>
        </w:rPr>
        <w:t>8、尊重和接受政府采购监督管理部门的监督和政府采购代理机构招标采购要求，承担因违约行为给采购人造成的损失。</w:t>
      </w:r>
    </w:p>
    <w:p w14:paraId="7FBA7DC8">
      <w:pPr>
        <w:spacing w:line="500" w:lineRule="exact"/>
        <w:ind w:firstLine="560" w:firstLineChars="200"/>
      </w:pPr>
      <w:r>
        <w:rPr>
          <w:rFonts w:hint="eastAsia"/>
        </w:rPr>
        <w:t>9、不发生其他有悖于政府采购公开、公平、公正和诚信原则的行为。</w:t>
      </w:r>
    </w:p>
    <w:p w14:paraId="461BE4CB">
      <w:pPr>
        <w:spacing w:line="500" w:lineRule="exact"/>
      </w:pPr>
    </w:p>
    <w:p w14:paraId="01CAD032">
      <w:pPr>
        <w:spacing w:line="500" w:lineRule="exact"/>
        <w:ind w:right="572"/>
      </w:pPr>
    </w:p>
    <w:p w14:paraId="09C933E3">
      <w:pPr>
        <w:spacing w:line="500" w:lineRule="exact"/>
        <w:ind w:right="572"/>
      </w:pPr>
      <w:r>
        <w:rPr>
          <w:rFonts w:hint="eastAsia"/>
        </w:rPr>
        <w:t>供应商全称：（公章）</w:t>
      </w:r>
    </w:p>
    <w:p w14:paraId="19A28217">
      <w:pPr>
        <w:pStyle w:val="4"/>
      </w:pPr>
    </w:p>
    <w:p w14:paraId="473E010B">
      <w:pPr>
        <w:spacing w:line="500" w:lineRule="exact"/>
        <w:rPr>
          <w:rFonts w:ascii="仿宋" w:hAnsi="仿宋" w:eastAsia="仿宋" w:cs="仿宋"/>
        </w:rPr>
      </w:pPr>
      <w:r>
        <w:rPr>
          <w:rFonts w:hint="eastAsia" w:ascii="仿宋" w:hAnsi="仿宋" w:eastAsia="仿宋" w:cs="仿宋"/>
        </w:rPr>
        <w:t>法定代表人或被授权人（签字）：</w:t>
      </w:r>
    </w:p>
    <w:p w14:paraId="2D8F4877">
      <w:pPr>
        <w:spacing w:line="500" w:lineRule="exact"/>
        <w:ind w:firstLine="560" w:firstLineChars="200"/>
        <w:jc w:val="center"/>
      </w:pPr>
      <w:r>
        <w:rPr>
          <w:rFonts w:hint="eastAsia"/>
        </w:rPr>
        <w:t xml:space="preserve">                          </w:t>
      </w:r>
    </w:p>
    <w:p w14:paraId="09DE0714">
      <w:pPr>
        <w:spacing w:line="500" w:lineRule="exact"/>
        <w:ind w:firstLine="560" w:firstLineChars="200"/>
        <w:jc w:val="center"/>
        <w:rPr>
          <w:rFonts w:ascii="宋体" w:hAnsi="宋体" w:eastAsia="宋体" w:cs="宋体"/>
          <w:sz w:val="21"/>
          <w:szCs w:val="21"/>
        </w:rPr>
      </w:pPr>
      <w:r>
        <w:rPr>
          <w:rFonts w:hint="eastAsia"/>
        </w:rPr>
        <w:t xml:space="preserve">                                 　　年</w:t>
      </w:r>
      <w:r>
        <w:rPr>
          <w:rFonts w:hint="eastAsia"/>
          <w:lang w:val="en-US" w:eastAsia="zh-CN"/>
        </w:rPr>
        <w:t xml:space="preserve">  </w:t>
      </w:r>
      <w:r>
        <w:rPr>
          <w:rFonts w:hint="eastAsia"/>
        </w:rPr>
        <w:t>　 月　</w:t>
      </w:r>
      <w:r>
        <w:rPr>
          <w:rFonts w:hint="eastAsia"/>
          <w:lang w:val="en-US" w:eastAsia="zh-CN"/>
        </w:rPr>
        <w:t xml:space="preserve">  </w:t>
      </w:r>
      <w:r>
        <w:rPr>
          <w:rFonts w:hint="eastAsia"/>
        </w:rPr>
        <w:t xml:space="preserve"> 日</w:t>
      </w:r>
      <w:r>
        <w:rPr>
          <w:rFonts w:ascii="宋体" w:hAnsi="宋体" w:eastAsia="宋体" w:cs="宋体"/>
          <w:sz w:val="21"/>
          <w:szCs w:val="21"/>
        </w:rPr>
        <w:t xml:space="preserve"> </w:t>
      </w:r>
    </w:p>
    <w:p w14:paraId="01C19D2F">
      <w:pPr>
        <w:spacing w:line="500" w:lineRule="exact"/>
        <w:ind w:firstLine="420" w:firstLineChars="200"/>
        <w:jc w:val="center"/>
        <w:rPr>
          <w:rFonts w:ascii="宋体" w:hAnsi="宋体" w:eastAsia="宋体" w:cs="宋体"/>
          <w:sz w:val="21"/>
          <w:szCs w:val="21"/>
        </w:rPr>
      </w:pPr>
    </w:p>
    <w:p w14:paraId="14ABB83A">
      <w:pPr>
        <w:spacing w:line="500" w:lineRule="exact"/>
        <w:ind w:firstLine="420" w:firstLineChars="200"/>
        <w:jc w:val="center"/>
        <w:rPr>
          <w:rFonts w:ascii="宋体" w:hAnsi="宋体" w:eastAsia="宋体" w:cs="宋体"/>
          <w:sz w:val="21"/>
          <w:szCs w:val="21"/>
        </w:rPr>
      </w:pPr>
    </w:p>
    <w:bookmarkEnd w:id="95"/>
    <w:bookmarkEnd w:id="96"/>
    <w:bookmarkEnd w:id="97"/>
    <w:bookmarkEnd w:id="98"/>
    <w:bookmarkEnd w:id="99"/>
    <w:p w14:paraId="3E2B378E">
      <w:pPr>
        <w:tabs>
          <w:tab w:val="right" w:pos="9070"/>
        </w:tabs>
        <w:spacing w:line="500" w:lineRule="exact"/>
        <w:jc w:val="center"/>
        <w:rPr>
          <w:rFonts w:ascii="仿宋" w:hAnsi="仿宋" w:eastAsia="仿宋" w:cs="仿宋"/>
          <w:bCs/>
        </w:rPr>
      </w:pPr>
      <w:bookmarkStart w:id="100" w:name="_Toc10199"/>
      <w:bookmarkStart w:id="101" w:name="_Toc18740"/>
      <w:bookmarkStart w:id="102" w:name="_Toc14180"/>
      <w:bookmarkStart w:id="103" w:name="_Toc14203"/>
      <w:bookmarkStart w:id="104" w:name="_Toc30496"/>
      <w:r>
        <w:rPr>
          <w:rFonts w:hint="eastAsia" w:ascii="仿宋" w:hAnsi="仿宋" w:eastAsia="仿宋" w:cs="仿宋"/>
          <w:b/>
          <w:sz w:val="32"/>
          <w:szCs w:val="32"/>
          <w:lang w:val="en-US" w:eastAsia="zh-CN"/>
        </w:rPr>
        <w:t>五</w:t>
      </w:r>
      <w:r>
        <w:rPr>
          <w:rFonts w:hint="eastAsia" w:ascii="仿宋" w:hAnsi="仿宋" w:eastAsia="仿宋" w:cs="仿宋"/>
          <w:b/>
          <w:sz w:val="32"/>
          <w:szCs w:val="32"/>
        </w:rPr>
        <w:t>、商务及合同主要条款响应</w:t>
      </w:r>
      <w:bookmarkEnd w:id="100"/>
      <w:bookmarkEnd w:id="101"/>
      <w:bookmarkEnd w:id="102"/>
      <w:bookmarkEnd w:id="103"/>
      <w:bookmarkEnd w:id="104"/>
    </w:p>
    <w:p w14:paraId="07D9B3A5">
      <w:pPr>
        <w:spacing w:line="500" w:lineRule="exact"/>
        <w:ind w:firstLine="560" w:firstLineChars="200"/>
        <w:rPr>
          <w:bCs/>
        </w:rPr>
      </w:pPr>
    </w:p>
    <w:p w14:paraId="69A0678F">
      <w:pPr>
        <w:spacing w:line="500" w:lineRule="exact"/>
        <w:ind w:firstLine="560" w:firstLineChars="200"/>
        <w:rPr>
          <w:bCs/>
        </w:rPr>
      </w:pPr>
      <w:r>
        <w:rPr>
          <w:rFonts w:hint="eastAsia"/>
          <w:bCs/>
        </w:rPr>
        <w:t>完全理解并接受</w:t>
      </w:r>
      <w:r>
        <w:rPr>
          <w:rFonts w:hint="eastAsia"/>
          <w:bCs/>
          <w:lang w:eastAsia="zh-CN"/>
        </w:rPr>
        <w:t>招标文件</w:t>
      </w:r>
      <w:r>
        <w:rPr>
          <w:rFonts w:hint="eastAsia"/>
          <w:bCs/>
        </w:rPr>
        <w:t>第</w:t>
      </w:r>
      <w:r>
        <w:rPr>
          <w:rFonts w:hint="eastAsia"/>
          <w:bCs/>
          <w:lang w:val="en-US" w:eastAsia="zh-CN"/>
        </w:rPr>
        <w:t>四</w:t>
      </w:r>
      <w:r>
        <w:rPr>
          <w:rFonts w:hint="eastAsia"/>
          <w:bCs/>
        </w:rPr>
        <w:t>章“商务响应及合同主要条款”要求。</w:t>
      </w:r>
    </w:p>
    <w:p w14:paraId="33B41C58">
      <w:pPr>
        <w:pStyle w:val="24"/>
        <w:ind w:firstLine="186"/>
      </w:pPr>
    </w:p>
    <w:p w14:paraId="53A52EC4">
      <w:pPr>
        <w:spacing w:line="500" w:lineRule="exact"/>
        <w:ind w:right="572"/>
      </w:pPr>
    </w:p>
    <w:p w14:paraId="63CF8A8A">
      <w:pPr>
        <w:spacing w:line="500" w:lineRule="exact"/>
        <w:ind w:right="572"/>
      </w:pPr>
    </w:p>
    <w:p w14:paraId="5BFD6F3D">
      <w:pPr>
        <w:spacing w:line="500" w:lineRule="exact"/>
        <w:ind w:right="572"/>
      </w:pPr>
    </w:p>
    <w:p w14:paraId="58733644">
      <w:pPr>
        <w:spacing w:line="500" w:lineRule="exact"/>
        <w:ind w:right="572"/>
      </w:pPr>
    </w:p>
    <w:p w14:paraId="37BAE553">
      <w:pPr>
        <w:spacing w:line="500" w:lineRule="exact"/>
        <w:ind w:right="572"/>
      </w:pPr>
    </w:p>
    <w:p w14:paraId="64E15508">
      <w:pPr>
        <w:spacing w:line="500" w:lineRule="exact"/>
        <w:ind w:right="572"/>
      </w:pPr>
    </w:p>
    <w:p w14:paraId="1FD00C74">
      <w:pPr>
        <w:spacing w:line="500" w:lineRule="exact"/>
        <w:ind w:right="572"/>
      </w:pPr>
    </w:p>
    <w:p w14:paraId="0195344F">
      <w:pPr>
        <w:spacing w:line="500" w:lineRule="exact"/>
        <w:ind w:right="572"/>
      </w:pPr>
    </w:p>
    <w:p w14:paraId="06B2F80B">
      <w:pPr>
        <w:spacing w:line="500" w:lineRule="exact"/>
        <w:ind w:right="572"/>
      </w:pPr>
    </w:p>
    <w:p w14:paraId="1382C342">
      <w:pPr>
        <w:spacing w:line="500" w:lineRule="exact"/>
        <w:ind w:right="572"/>
      </w:pPr>
    </w:p>
    <w:p w14:paraId="72B3302C">
      <w:pPr>
        <w:spacing w:line="500" w:lineRule="exact"/>
        <w:ind w:right="572"/>
      </w:pPr>
      <w:r>
        <w:rPr>
          <w:rFonts w:hint="eastAsia"/>
        </w:rPr>
        <w:t>供应商全称</w:t>
      </w:r>
      <w:r>
        <w:t>：</w:t>
      </w:r>
      <w:r>
        <w:rPr>
          <w:rFonts w:hint="eastAsia"/>
        </w:rPr>
        <w:t>（公章）</w:t>
      </w:r>
    </w:p>
    <w:p w14:paraId="29D91676">
      <w:pPr>
        <w:pStyle w:val="4"/>
      </w:pPr>
    </w:p>
    <w:p w14:paraId="25304071">
      <w:pPr>
        <w:spacing w:line="500" w:lineRule="exact"/>
        <w:rPr>
          <w:rFonts w:ascii="仿宋" w:hAnsi="仿宋" w:eastAsia="仿宋" w:cs="仿宋"/>
        </w:rPr>
      </w:pPr>
      <w:r>
        <w:rPr>
          <w:rFonts w:hint="eastAsia" w:ascii="仿宋" w:hAnsi="仿宋" w:eastAsia="仿宋" w:cs="仿宋"/>
        </w:rPr>
        <w:t>法定代表人或被授权人（签字）：</w:t>
      </w:r>
    </w:p>
    <w:p w14:paraId="24FDA99C">
      <w:pPr>
        <w:spacing w:line="500" w:lineRule="exact"/>
        <w:ind w:firstLine="4480" w:firstLineChars="1600"/>
      </w:pPr>
    </w:p>
    <w:p w14:paraId="7922A80F">
      <w:pPr>
        <w:spacing w:line="500" w:lineRule="exact"/>
        <w:ind w:firstLine="4480" w:firstLineChars="1600"/>
      </w:pPr>
    </w:p>
    <w:p w14:paraId="15770566">
      <w:pPr>
        <w:spacing w:line="500" w:lineRule="exact"/>
        <w:ind w:firstLine="4480" w:firstLineChars="1600"/>
      </w:pPr>
    </w:p>
    <w:p w14:paraId="550190F9">
      <w:pPr>
        <w:spacing w:line="500" w:lineRule="exact"/>
        <w:ind w:firstLine="4480" w:firstLineChars="1600"/>
      </w:pPr>
    </w:p>
    <w:p w14:paraId="3748373E">
      <w:pPr>
        <w:spacing w:line="500" w:lineRule="exact"/>
        <w:ind w:firstLine="4480" w:firstLineChars="1600"/>
      </w:pPr>
    </w:p>
    <w:p w14:paraId="0D35D8D8">
      <w:pPr>
        <w:spacing w:line="500" w:lineRule="exact"/>
        <w:ind w:firstLine="5040" w:firstLineChars="1800"/>
      </w:pPr>
      <w:r>
        <w:rPr>
          <w:rFonts w:hint="eastAsia"/>
        </w:rPr>
        <w:t>日  期：　　年　月　日</w:t>
      </w:r>
    </w:p>
    <w:p w14:paraId="326A1F88">
      <w:pPr>
        <w:pStyle w:val="80"/>
        <w:ind w:firstLine="1144"/>
      </w:pPr>
    </w:p>
    <w:p w14:paraId="649B44BA">
      <w:pPr>
        <w:pStyle w:val="80"/>
        <w:ind w:firstLine="1144"/>
      </w:pPr>
    </w:p>
    <w:p w14:paraId="0B22C491">
      <w:pPr>
        <w:pStyle w:val="80"/>
        <w:ind w:firstLine="1144"/>
      </w:pPr>
    </w:p>
    <w:p w14:paraId="67929E78">
      <w:pPr>
        <w:pStyle w:val="80"/>
        <w:ind w:firstLine="1144"/>
      </w:pPr>
    </w:p>
    <w:p w14:paraId="30AD9FC3">
      <w:pPr>
        <w:pStyle w:val="3"/>
        <w:jc w:val="center"/>
      </w:pPr>
      <w:r>
        <w:rPr>
          <w:rFonts w:hint="eastAsia"/>
          <w:lang w:val="en-US" w:eastAsia="zh-CN"/>
        </w:rPr>
        <w:t>六</w:t>
      </w:r>
      <w:r>
        <w:rPr>
          <w:rFonts w:hint="eastAsia"/>
        </w:rPr>
        <w:t>、</w:t>
      </w:r>
      <w:r>
        <w:rPr>
          <w:rFonts w:hint="eastAsia"/>
          <w:lang w:val="en-US" w:eastAsia="zh-CN"/>
        </w:rPr>
        <w:t>供货</w:t>
      </w:r>
      <w:r>
        <w:rPr>
          <w:rFonts w:hint="eastAsia"/>
        </w:rPr>
        <w:t>服务方案</w:t>
      </w:r>
    </w:p>
    <w:p w14:paraId="2E1AA1E7">
      <w:pPr>
        <w:pStyle w:val="4"/>
        <w:ind w:left="0" w:leftChars="0" w:firstLine="561" w:firstLineChars="200"/>
        <w:rPr>
          <w:rFonts w:hint="eastAsia"/>
          <w:b/>
          <w:bCs/>
        </w:rPr>
      </w:pPr>
      <w:r>
        <w:rPr>
          <w:b/>
          <w:bCs/>
        </w:rPr>
        <w:t>结合</w:t>
      </w:r>
      <w:r>
        <w:rPr>
          <w:rFonts w:hint="eastAsia"/>
          <w:b/>
          <w:bCs/>
          <w:lang w:val="en-US" w:eastAsia="zh-CN"/>
        </w:rPr>
        <w:t>《评审要素及分值一览表》以及</w:t>
      </w:r>
      <w:r>
        <w:rPr>
          <w:b/>
          <w:bCs/>
        </w:rPr>
        <w:t>第</w:t>
      </w:r>
      <w:r>
        <w:rPr>
          <w:rFonts w:hint="eastAsia"/>
          <w:b/>
          <w:bCs/>
          <w:lang w:val="en-US" w:eastAsia="zh-CN"/>
        </w:rPr>
        <w:t>四</w:t>
      </w:r>
      <w:r>
        <w:rPr>
          <w:b/>
          <w:bCs/>
        </w:rPr>
        <w:t>章《采购内容及采购要求》</w:t>
      </w:r>
      <w:r>
        <w:rPr>
          <w:rFonts w:hint="eastAsia"/>
          <w:b/>
          <w:bCs/>
        </w:rPr>
        <w:t>及第</w:t>
      </w:r>
      <w:r>
        <w:rPr>
          <w:rFonts w:hint="eastAsia"/>
          <w:b/>
          <w:bCs/>
          <w:lang w:val="en-US" w:eastAsia="zh-CN"/>
        </w:rPr>
        <w:t>五</w:t>
      </w:r>
      <w:r>
        <w:rPr>
          <w:rFonts w:hint="eastAsia"/>
          <w:b/>
          <w:bCs/>
        </w:rPr>
        <w:t>章《商务响应及合同主要条款》要求</w:t>
      </w:r>
      <w:r>
        <w:rPr>
          <w:b/>
          <w:bCs/>
        </w:rPr>
        <w:t>编制</w:t>
      </w:r>
      <w:r>
        <w:rPr>
          <w:rFonts w:hint="eastAsia"/>
          <w:b/>
          <w:bCs/>
          <w:lang w:val="en-US" w:eastAsia="zh-CN"/>
        </w:rPr>
        <w:t>供货供货</w:t>
      </w:r>
      <w:r>
        <w:rPr>
          <w:rFonts w:hint="eastAsia"/>
          <w:b/>
          <w:bCs/>
        </w:rPr>
        <w:t>方案</w:t>
      </w:r>
      <w:r>
        <w:rPr>
          <w:b/>
          <w:bCs/>
        </w:rPr>
        <w:t>。（</w:t>
      </w:r>
      <w:r>
        <w:rPr>
          <w:rFonts w:hint="eastAsia"/>
          <w:b/>
          <w:bCs/>
        </w:rPr>
        <w:t>格式自制）</w:t>
      </w:r>
    </w:p>
    <w:p w14:paraId="779F449F">
      <w:pPr>
        <w:pStyle w:val="4"/>
      </w:pPr>
    </w:p>
    <w:p w14:paraId="4FE08ABE">
      <w:pPr>
        <w:pStyle w:val="4"/>
      </w:pPr>
    </w:p>
    <w:p w14:paraId="40C85BDC">
      <w:pPr>
        <w:pStyle w:val="4"/>
      </w:pPr>
    </w:p>
    <w:p w14:paraId="0CCC37C8">
      <w:pPr>
        <w:pStyle w:val="4"/>
      </w:pPr>
    </w:p>
    <w:p w14:paraId="27822B14">
      <w:pPr>
        <w:adjustRightInd w:val="0"/>
        <w:snapToGrid w:val="0"/>
        <w:spacing w:line="360" w:lineRule="auto"/>
        <w:rPr>
          <w:rFonts w:ascii="仿宋" w:hAnsi="仿宋" w:eastAsia="仿宋"/>
          <w:b/>
          <w:sz w:val="32"/>
          <w:szCs w:val="32"/>
        </w:rPr>
      </w:pPr>
    </w:p>
    <w:p w14:paraId="1C8C03FF">
      <w:pPr>
        <w:pStyle w:val="4"/>
      </w:pPr>
    </w:p>
    <w:p w14:paraId="052C2B43">
      <w:pPr>
        <w:pStyle w:val="4"/>
      </w:pPr>
    </w:p>
    <w:p w14:paraId="5E534BDA">
      <w:pPr>
        <w:spacing w:line="500" w:lineRule="exact"/>
        <w:jc w:val="center"/>
        <w:rPr>
          <w:rFonts w:ascii="仿宋" w:hAnsi="仿宋" w:eastAsia="仿宋"/>
          <w:b/>
          <w:sz w:val="32"/>
          <w:szCs w:val="32"/>
        </w:rPr>
      </w:pPr>
    </w:p>
    <w:p w14:paraId="3D384E18">
      <w:pPr>
        <w:spacing w:line="500" w:lineRule="exact"/>
        <w:jc w:val="center"/>
        <w:rPr>
          <w:rFonts w:ascii="仿宋" w:hAnsi="仿宋" w:eastAsia="仿宋"/>
          <w:b/>
          <w:sz w:val="32"/>
          <w:szCs w:val="32"/>
        </w:rPr>
      </w:pPr>
    </w:p>
    <w:p w14:paraId="4B1FC161">
      <w:pPr>
        <w:spacing w:line="500" w:lineRule="exact"/>
        <w:jc w:val="center"/>
        <w:rPr>
          <w:rFonts w:ascii="仿宋" w:hAnsi="仿宋" w:eastAsia="仿宋"/>
          <w:b/>
          <w:sz w:val="32"/>
          <w:szCs w:val="32"/>
        </w:rPr>
      </w:pPr>
    </w:p>
    <w:p w14:paraId="00F13024">
      <w:pPr>
        <w:spacing w:line="500" w:lineRule="exact"/>
        <w:jc w:val="center"/>
        <w:rPr>
          <w:rFonts w:ascii="仿宋" w:hAnsi="仿宋" w:eastAsia="仿宋"/>
          <w:b/>
          <w:sz w:val="32"/>
          <w:szCs w:val="32"/>
        </w:rPr>
      </w:pPr>
    </w:p>
    <w:p w14:paraId="1826B804">
      <w:pPr>
        <w:spacing w:line="500" w:lineRule="exact"/>
        <w:jc w:val="center"/>
        <w:rPr>
          <w:rFonts w:ascii="仿宋" w:hAnsi="仿宋" w:eastAsia="仿宋"/>
          <w:b/>
          <w:sz w:val="32"/>
          <w:szCs w:val="32"/>
        </w:rPr>
      </w:pPr>
    </w:p>
    <w:p w14:paraId="7F5A7F85">
      <w:pPr>
        <w:spacing w:line="500" w:lineRule="exact"/>
        <w:jc w:val="center"/>
        <w:rPr>
          <w:rFonts w:ascii="仿宋" w:hAnsi="仿宋" w:eastAsia="仿宋"/>
          <w:b/>
          <w:sz w:val="32"/>
          <w:szCs w:val="32"/>
        </w:rPr>
      </w:pPr>
    </w:p>
    <w:p w14:paraId="4231348D">
      <w:pPr>
        <w:spacing w:line="500" w:lineRule="exact"/>
        <w:jc w:val="center"/>
        <w:rPr>
          <w:rFonts w:ascii="仿宋" w:hAnsi="仿宋" w:eastAsia="仿宋"/>
          <w:b/>
          <w:sz w:val="32"/>
          <w:szCs w:val="32"/>
        </w:rPr>
      </w:pPr>
    </w:p>
    <w:p w14:paraId="02955097">
      <w:pPr>
        <w:spacing w:line="500" w:lineRule="exact"/>
        <w:jc w:val="center"/>
        <w:rPr>
          <w:rFonts w:ascii="仿宋" w:hAnsi="仿宋" w:eastAsia="仿宋"/>
          <w:b/>
          <w:sz w:val="32"/>
          <w:szCs w:val="32"/>
        </w:rPr>
      </w:pPr>
    </w:p>
    <w:p w14:paraId="3F504CCE">
      <w:pPr>
        <w:spacing w:line="500" w:lineRule="exact"/>
        <w:jc w:val="center"/>
        <w:rPr>
          <w:rFonts w:ascii="仿宋" w:hAnsi="仿宋" w:eastAsia="仿宋"/>
          <w:b/>
          <w:sz w:val="32"/>
          <w:szCs w:val="32"/>
        </w:rPr>
      </w:pPr>
    </w:p>
    <w:p w14:paraId="705078DB">
      <w:pPr>
        <w:spacing w:line="500" w:lineRule="exact"/>
        <w:jc w:val="center"/>
        <w:rPr>
          <w:rFonts w:ascii="仿宋" w:hAnsi="仿宋" w:eastAsia="仿宋"/>
          <w:b/>
          <w:sz w:val="32"/>
          <w:szCs w:val="32"/>
        </w:rPr>
      </w:pPr>
    </w:p>
    <w:p w14:paraId="29BB253B">
      <w:pPr>
        <w:spacing w:line="500" w:lineRule="exact"/>
        <w:jc w:val="center"/>
        <w:rPr>
          <w:rFonts w:ascii="仿宋" w:hAnsi="仿宋" w:eastAsia="仿宋"/>
          <w:b/>
          <w:sz w:val="32"/>
          <w:szCs w:val="32"/>
        </w:rPr>
      </w:pPr>
    </w:p>
    <w:p w14:paraId="6EEF0DD2">
      <w:pPr>
        <w:spacing w:line="500" w:lineRule="exact"/>
        <w:jc w:val="center"/>
        <w:rPr>
          <w:rFonts w:ascii="仿宋" w:hAnsi="仿宋" w:eastAsia="仿宋"/>
          <w:b/>
          <w:sz w:val="32"/>
          <w:szCs w:val="32"/>
        </w:rPr>
      </w:pPr>
    </w:p>
    <w:p w14:paraId="723F57B9">
      <w:pPr>
        <w:spacing w:line="500" w:lineRule="exact"/>
        <w:jc w:val="center"/>
        <w:rPr>
          <w:rFonts w:ascii="仿宋" w:hAnsi="仿宋" w:eastAsia="仿宋"/>
          <w:b/>
          <w:sz w:val="32"/>
          <w:szCs w:val="32"/>
        </w:rPr>
      </w:pPr>
    </w:p>
    <w:p w14:paraId="3AD6F990">
      <w:pPr>
        <w:spacing w:line="500" w:lineRule="exact"/>
        <w:jc w:val="center"/>
        <w:rPr>
          <w:rFonts w:ascii="仿宋" w:hAnsi="仿宋" w:eastAsia="仿宋"/>
          <w:b/>
          <w:sz w:val="32"/>
          <w:szCs w:val="32"/>
        </w:rPr>
      </w:pPr>
    </w:p>
    <w:p w14:paraId="3D24C4CB">
      <w:pPr>
        <w:spacing w:line="500" w:lineRule="exact"/>
        <w:jc w:val="center"/>
        <w:rPr>
          <w:rFonts w:ascii="仿宋" w:hAnsi="仿宋" w:eastAsia="仿宋"/>
          <w:b/>
          <w:sz w:val="32"/>
          <w:szCs w:val="32"/>
        </w:rPr>
      </w:pPr>
    </w:p>
    <w:p w14:paraId="002221F8">
      <w:pPr>
        <w:spacing w:line="500" w:lineRule="exact"/>
        <w:jc w:val="center"/>
        <w:rPr>
          <w:rFonts w:ascii="仿宋" w:hAnsi="仿宋" w:eastAsia="仿宋"/>
          <w:b/>
          <w:sz w:val="32"/>
          <w:szCs w:val="32"/>
        </w:rPr>
      </w:pPr>
    </w:p>
    <w:p w14:paraId="1A51C8FE">
      <w:pPr>
        <w:spacing w:line="500" w:lineRule="exact"/>
        <w:jc w:val="center"/>
        <w:rPr>
          <w:rFonts w:ascii="仿宋" w:hAnsi="仿宋" w:eastAsia="仿宋"/>
          <w:b/>
          <w:sz w:val="32"/>
          <w:szCs w:val="32"/>
        </w:rPr>
      </w:pPr>
    </w:p>
    <w:p w14:paraId="516EB829">
      <w:pPr>
        <w:spacing w:line="500" w:lineRule="exact"/>
        <w:jc w:val="center"/>
        <w:rPr>
          <w:rFonts w:ascii="仿宋" w:hAnsi="仿宋" w:eastAsia="仿宋"/>
          <w:b/>
          <w:sz w:val="32"/>
          <w:szCs w:val="32"/>
        </w:rPr>
      </w:pPr>
    </w:p>
    <w:p w14:paraId="7074B239">
      <w:pPr>
        <w:spacing w:line="500" w:lineRule="exact"/>
        <w:jc w:val="center"/>
        <w:rPr>
          <w:rFonts w:ascii="仿宋" w:hAnsi="仿宋" w:eastAsia="仿宋"/>
          <w:b/>
          <w:sz w:val="32"/>
          <w:szCs w:val="32"/>
        </w:rPr>
      </w:pPr>
    </w:p>
    <w:p w14:paraId="0A672063">
      <w:pPr>
        <w:pStyle w:val="4"/>
        <w:rPr>
          <w:b/>
        </w:rPr>
      </w:pPr>
      <w:r>
        <w:rPr>
          <w:rFonts w:hint="eastAsia"/>
          <w:b/>
        </w:rPr>
        <w:t>附件6.</w:t>
      </w:r>
      <w:r>
        <w:rPr>
          <w:rFonts w:hint="eastAsia"/>
          <w:b/>
          <w:lang w:val="en-US" w:eastAsia="zh-CN"/>
        </w:rPr>
        <w:t>1</w:t>
      </w:r>
      <w:r>
        <w:rPr>
          <w:rFonts w:hint="eastAsia"/>
          <w:b/>
        </w:rPr>
        <w:t>:</w:t>
      </w:r>
    </w:p>
    <w:p w14:paraId="638E04C6">
      <w:pPr>
        <w:tabs>
          <w:tab w:val="left" w:pos="3544"/>
        </w:tabs>
        <w:spacing w:line="360" w:lineRule="auto"/>
        <w:jc w:val="center"/>
        <w:rPr>
          <w:rFonts w:hint="eastAsia" w:ascii="宋体" w:hAnsi="宋体" w:eastAsia="华文仿宋"/>
          <w:b/>
          <w:bCs/>
          <w:sz w:val="32"/>
          <w:szCs w:val="32"/>
          <w:lang w:eastAsia="zh-CN"/>
        </w:rPr>
      </w:pPr>
      <w:r>
        <w:rPr>
          <w:rFonts w:hint="eastAsia" w:ascii="宋体" w:hAnsi="宋体"/>
          <w:b/>
          <w:bCs/>
          <w:sz w:val="32"/>
          <w:szCs w:val="32"/>
          <w:lang w:val="en-US" w:eastAsia="zh-CN"/>
        </w:rPr>
        <w:t>供应商业绩</w:t>
      </w:r>
      <w:r>
        <w:rPr>
          <w:rFonts w:hint="eastAsia" w:ascii="宋体" w:hAnsi="宋体"/>
          <w:b/>
          <w:bCs/>
          <w:sz w:val="32"/>
          <w:szCs w:val="32"/>
        </w:rPr>
        <w:t>情况表</w:t>
      </w:r>
      <w:r>
        <w:rPr>
          <w:rFonts w:hint="eastAsia" w:ascii="宋体" w:hAnsi="宋体"/>
          <w:b/>
          <w:bCs/>
          <w:sz w:val="32"/>
          <w:szCs w:val="32"/>
          <w:lang w:eastAsia="zh-CN"/>
        </w:rPr>
        <w:t>（</w:t>
      </w:r>
      <w:r>
        <w:rPr>
          <w:rFonts w:hint="eastAsia" w:ascii="宋体" w:hAnsi="宋体"/>
          <w:b/>
          <w:bCs/>
          <w:sz w:val="32"/>
          <w:szCs w:val="32"/>
          <w:lang w:val="en-US" w:eastAsia="zh-CN"/>
        </w:rPr>
        <w:t>如有</w:t>
      </w:r>
      <w:r>
        <w:rPr>
          <w:rFonts w:hint="eastAsia" w:ascii="宋体" w:hAnsi="宋体"/>
          <w:b/>
          <w:bCs/>
          <w:sz w:val="32"/>
          <w:szCs w:val="32"/>
          <w:lang w:eastAsia="zh-CN"/>
        </w:rPr>
        <w:t>）</w:t>
      </w:r>
    </w:p>
    <w:tbl>
      <w:tblPr>
        <w:tblStyle w:val="26"/>
        <w:tblW w:w="9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3"/>
        <w:gridCol w:w="7346"/>
      </w:tblGrid>
      <w:tr w14:paraId="08DE0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953" w:type="dxa"/>
            <w:vAlign w:val="center"/>
          </w:tcPr>
          <w:p w14:paraId="7E2E1F95">
            <w:pPr>
              <w:pStyle w:val="4"/>
              <w:ind w:firstLine="0"/>
              <w:jc w:val="center"/>
            </w:pPr>
            <w:r>
              <w:rPr>
                <w:rFonts w:hint="eastAsia"/>
              </w:rPr>
              <w:t>项目名称</w:t>
            </w:r>
          </w:p>
        </w:tc>
        <w:tc>
          <w:tcPr>
            <w:tcW w:w="7346" w:type="dxa"/>
          </w:tcPr>
          <w:p w14:paraId="56B74663">
            <w:pPr>
              <w:pStyle w:val="4"/>
              <w:ind w:firstLine="0"/>
            </w:pPr>
          </w:p>
        </w:tc>
      </w:tr>
      <w:tr w14:paraId="6A09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953" w:type="dxa"/>
            <w:vAlign w:val="center"/>
          </w:tcPr>
          <w:p w14:paraId="04881100">
            <w:pPr>
              <w:pStyle w:val="4"/>
              <w:ind w:firstLine="0"/>
              <w:jc w:val="center"/>
            </w:pPr>
            <w:r>
              <w:rPr>
                <w:rFonts w:hint="eastAsia"/>
              </w:rPr>
              <w:t>项目所在地</w:t>
            </w:r>
          </w:p>
        </w:tc>
        <w:tc>
          <w:tcPr>
            <w:tcW w:w="7346" w:type="dxa"/>
          </w:tcPr>
          <w:p w14:paraId="1BEDAD1B">
            <w:pPr>
              <w:pStyle w:val="4"/>
              <w:ind w:firstLine="0"/>
            </w:pPr>
          </w:p>
        </w:tc>
      </w:tr>
      <w:tr w14:paraId="718D2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953" w:type="dxa"/>
            <w:vAlign w:val="center"/>
          </w:tcPr>
          <w:p w14:paraId="0A542E5A">
            <w:pPr>
              <w:pStyle w:val="4"/>
              <w:ind w:firstLine="0"/>
              <w:jc w:val="center"/>
            </w:pPr>
            <w:r>
              <w:rPr>
                <w:rFonts w:hint="eastAsia"/>
              </w:rPr>
              <w:t>发包人名称</w:t>
            </w:r>
          </w:p>
        </w:tc>
        <w:tc>
          <w:tcPr>
            <w:tcW w:w="7346" w:type="dxa"/>
          </w:tcPr>
          <w:p w14:paraId="241A5F5C">
            <w:pPr>
              <w:pStyle w:val="4"/>
              <w:ind w:firstLine="0"/>
            </w:pPr>
          </w:p>
        </w:tc>
      </w:tr>
      <w:tr w14:paraId="3B2F6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953" w:type="dxa"/>
            <w:vAlign w:val="center"/>
          </w:tcPr>
          <w:p w14:paraId="59F260D1">
            <w:pPr>
              <w:pStyle w:val="4"/>
              <w:ind w:firstLine="0"/>
              <w:jc w:val="center"/>
            </w:pPr>
            <w:r>
              <w:rPr>
                <w:rFonts w:hint="eastAsia"/>
              </w:rPr>
              <w:t>发包人电话</w:t>
            </w:r>
          </w:p>
        </w:tc>
        <w:tc>
          <w:tcPr>
            <w:tcW w:w="7346" w:type="dxa"/>
          </w:tcPr>
          <w:p w14:paraId="0E2A6135">
            <w:pPr>
              <w:pStyle w:val="4"/>
              <w:ind w:firstLine="0"/>
            </w:pPr>
          </w:p>
        </w:tc>
      </w:tr>
      <w:tr w14:paraId="0492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953" w:type="dxa"/>
            <w:vAlign w:val="center"/>
          </w:tcPr>
          <w:p w14:paraId="356A4907">
            <w:pPr>
              <w:pStyle w:val="4"/>
              <w:ind w:firstLine="0"/>
              <w:jc w:val="center"/>
            </w:pPr>
            <w:r>
              <w:rPr>
                <w:rFonts w:hint="eastAsia"/>
              </w:rPr>
              <w:t>合同价格</w:t>
            </w:r>
          </w:p>
        </w:tc>
        <w:tc>
          <w:tcPr>
            <w:tcW w:w="7346" w:type="dxa"/>
          </w:tcPr>
          <w:p w14:paraId="23C4A1CD">
            <w:pPr>
              <w:pStyle w:val="4"/>
              <w:ind w:firstLine="0"/>
            </w:pPr>
          </w:p>
        </w:tc>
      </w:tr>
      <w:tr w14:paraId="4A4D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953" w:type="dxa"/>
            <w:vAlign w:val="center"/>
          </w:tcPr>
          <w:p w14:paraId="58AB31DB">
            <w:pPr>
              <w:pStyle w:val="4"/>
              <w:ind w:firstLine="0"/>
              <w:jc w:val="center"/>
            </w:pPr>
            <w:r>
              <w:rPr>
                <w:rFonts w:hint="eastAsia"/>
                <w:lang w:val="en-US" w:eastAsia="zh-CN"/>
              </w:rPr>
              <w:t>供货</w:t>
            </w:r>
            <w:r>
              <w:rPr>
                <w:rFonts w:hint="eastAsia"/>
              </w:rPr>
              <w:t>期限</w:t>
            </w:r>
          </w:p>
        </w:tc>
        <w:tc>
          <w:tcPr>
            <w:tcW w:w="7346" w:type="dxa"/>
          </w:tcPr>
          <w:p w14:paraId="4DBC55D7">
            <w:pPr>
              <w:pStyle w:val="4"/>
              <w:ind w:firstLine="0"/>
            </w:pPr>
          </w:p>
        </w:tc>
      </w:tr>
      <w:tr w14:paraId="135D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953" w:type="dxa"/>
            <w:vAlign w:val="center"/>
          </w:tcPr>
          <w:p w14:paraId="4233B308">
            <w:pPr>
              <w:pStyle w:val="4"/>
              <w:ind w:firstLine="0"/>
              <w:jc w:val="center"/>
            </w:pPr>
            <w:r>
              <w:rPr>
                <w:rFonts w:hint="eastAsia"/>
              </w:rPr>
              <w:t>工作内容</w:t>
            </w:r>
          </w:p>
        </w:tc>
        <w:tc>
          <w:tcPr>
            <w:tcW w:w="7346" w:type="dxa"/>
          </w:tcPr>
          <w:p w14:paraId="2764D24D">
            <w:pPr>
              <w:pStyle w:val="4"/>
              <w:ind w:firstLine="0"/>
            </w:pPr>
          </w:p>
        </w:tc>
      </w:tr>
      <w:tr w14:paraId="71C8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2" w:hRule="atLeast"/>
        </w:trPr>
        <w:tc>
          <w:tcPr>
            <w:tcW w:w="1953" w:type="dxa"/>
            <w:vAlign w:val="center"/>
          </w:tcPr>
          <w:p w14:paraId="2EE043F7">
            <w:pPr>
              <w:pStyle w:val="4"/>
              <w:ind w:firstLine="0"/>
              <w:jc w:val="center"/>
            </w:pPr>
            <w:r>
              <w:rPr>
                <w:rFonts w:hint="eastAsia"/>
              </w:rPr>
              <w:t>项目简要描述</w:t>
            </w:r>
          </w:p>
        </w:tc>
        <w:tc>
          <w:tcPr>
            <w:tcW w:w="7346" w:type="dxa"/>
          </w:tcPr>
          <w:p w14:paraId="7540CFE3">
            <w:pPr>
              <w:pStyle w:val="4"/>
              <w:ind w:firstLine="0"/>
            </w:pPr>
          </w:p>
        </w:tc>
      </w:tr>
      <w:tr w14:paraId="16B8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953" w:type="dxa"/>
            <w:vAlign w:val="center"/>
          </w:tcPr>
          <w:p w14:paraId="4FEA1B6A">
            <w:pPr>
              <w:pStyle w:val="4"/>
              <w:ind w:firstLine="0"/>
              <w:jc w:val="center"/>
            </w:pPr>
            <w:r>
              <w:rPr>
                <w:rFonts w:hint="eastAsia"/>
              </w:rPr>
              <w:t>备注</w:t>
            </w:r>
          </w:p>
        </w:tc>
        <w:tc>
          <w:tcPr>
            <w:tcW w:w="7346" w:type="dxa"/>
          </w:tcPr>
          <w:p w14:paraId="1B6F2498">
            <w:pPr>
              <w:pStyle w:val="4"/>
              <w:ind w:firstLine="0"/>
            </w:pPr>
          </w:p>
        </w:tc>
      </w:tr>
    </w:tbl>
    <w:p w14:paraId="0596DEF2">
      <w:pPr>
        <w:tabs>
          <w:tab w:val="left" w:pos="3544"/>
        </w:tabs>
        <w:spacing w:line="360" w:lineRule="auto"/>
        <w:ind w:firstLine="240" w:firstLineChars="100"/>
        <w:rPr>
          <w:rFonts w:ascii="宋体" w:hAnsi="宋体" w:cs="新宋体"/>
          <w:b/>
          <w:sz w:val="24"/>
        </w:rPr>
      </w:pPr>
      <w:r>
        <w:rPr>
          <w:rFonts w:hint="eastAsia" w:ascii="宋体" w:hAnsi="宋体" w:cs="新宋体"/>
          <w:b/>
          <w:sz w:val="24"/>
        </w:rPr>
        <w:t>注：1、每张表格只填写一个项目，</w:t>
      </w:r>
      <w:r>
        <w:rPr>
          <w:rFonts w:hint="eastAsia" w:ascii="宋体" w:hAnsi="宋体" w:cs="新宋体"/>
          <w:b/>
          <w:sz w:val="24"/>
          <w:lang w:val="en-US" w:eastAsia="zh-CN"/>
        </w:rPr>
        <w:t>对照</w:t>
      </w:r>
      <w:r>
        <w:rPr>
          <w:rFonts w:hint="eastAsia" w:ascii="宋体" w:hAnsi="宋体" w:cs="新宋体"/>
          <w:b/>
          <w:sz w:val="24"/>
        </w:rPr>
        <w:t>第三章第三项（综合比较与评价）</w:t>
      </w:r>
      <w:r>
        <w:rPr>
          <w:rFonts w:hint="eastAsia" w:ascii="宋体" w:hAnsi="宋体" w:cs="新宋体"/>
          <w:b/>
          <w:sz w:val="24"/>
          <w:lang w:val="en-US" w:eastAsia="zh-CN"/>
        </w:rPr>
        <w:t>中企业业绩</w:t>
      </w:r>
      <w:r>
        <w:rPr>
          <w:rFonts w:hint="eastAsia" w:ascii="宋体" w:hAnsi="宋体" w:cs="新宋体"/>
          <w:b/>
          <w:sz w:val="24"/>
        </w:rPr>
        <w:t>评审要求提供相关材料扫描件加盖投标人公章</w:t>
      </w:r>
      <w:r>
        <w:rPr>
          <w:rFonts w:hint="eastAsia" w:ascii="宋体" w:hAnsi="宋体" w:cs="新宋体"/>
          <w:b/>
          <w:sz w:val="24"/>
          <w:lang w:val="en-US" w:eastAsia="zh-CN"/>
        </w:rPr>
        <w:t>附后</w:t>
      </w:r>
      <w:r>
        <w:rPr>
          <w:rFonts w:hint="eastAsia" w:ascii="宋体" w:hAnsi="宋体" w:cs="新宋体"/>
          <w:b/>
          <w:sz w:val="24"/>
        </w:rPr>
        <w:t>；提供多项类似业绩的需标明序号。</w:t>
      </w:r>
    </w:p>
    <w:p w14:paraId="5EB468E0">
      <w:pPr>
        <w:spacing w:afterLines="50"/>
        <w:rPr>
          <w:rFonts w:ascii="仿宋" w:hAnsi="仿宋" w:eastAsia="仿宋" w:cs="仿宋"/>
          <w:b/>
          <w:sz w:val="32"/>
          <w:szCs w:val="32"/>
        </w:rPr>
      </w:pPr>
    </w:p>
    <w:p w14:paraId="57D7DAA3">
      <w:pPr>
        <w:pStyle w:val="42"/>
        <w:ind w:firstLine="432"/>
      </w:pPr>
    </w:p>
    <w:p w14:paraId="5B6BC77D">
      <w:pPr>
        <w:spacing w:afterLines="50"/>
        <w:jc w:val="center"/>
        <w:rPr>
          <w:rFonts w:ascii="仿宋" w:hAnsi="仿宋" w:eastAsia="仿宋" w:cs="仿宋"/>
          <w:b/>
          <w:sz w:val="32"/>
          <w:szCs w:val="32"/>
        </w:rPr>
      </w:pPr>
    </w:p>
    <w:p w14:paraId="0F25C749">
      <w:pPr>
        <w:rPr>
          <w:rFonts w:ascii="仿宋" w:hAnsi="仿宋" w:eastAsia="仿宋" w:cs="仿宋"/>
          <w:b/>
          <w:sz w:val="32"/>
          <w:szCs w:val="32"/>
        </w:rPr>
      </w:pPr>
      <w:r>
        <w:rPr>
          <w:rFonts w:ascii="仿宋" w:hAnsi="仿宋" w:eastAsia="仿宋" w:cs="仿宋"/>
          <w:b/>
          <w:sz w:val="32"/>
          <w:szCs w:val="32"/>
        </w:rPr>
        <w:br w:type="page"/>
      </w:r>
    </w:p>
    <w:p w14:paraId="743D51A7">
      <w:pPr>
        <w:pStyle w:val="4"/>
        <w:rPr>
          <w:rFonts w:hint="eastAsia"/>
          <w:b/>
        </w:rPr>
      </w:pPr>
      <w:r>
        <w:rPr>
          <w:rFonts w:hint="eastAsia"/>
          <w:b/>
        </w:rPr>
        <w:t>附件6.</w:t>
      </w:r>
      <w:r>
        <w:rPr>
          <w:rFonts w:hint="eastAsia"/>
          <w:b/>
          <w:lang w:val="en-US" w:eastAsia="zh-CN"/>
        </w:rPr>
        <w:t>2</w:t>
      </w:r>
      <w:r>
        <w:rPr>
          <w:rFonts w:hint="eastAsia"/>
          <w:b/>
        </w:rPr>
        <w:t>:</w:t>
      </w:r>
    </w:p>
    <w:p w14:paraId="381A315D">
      <w:pPr>
        <w:pStyle w:val="4"/>
        <w:jc w:val="center"/>
        <w:rPr>
          <w:rFonts w:hint="eastAsia"/>
          <w:b/>
          <w:bCs w:val="0"/>
          <w:sz w:val="32"/>
          <w:szCs w:val="32"/>
          <w:lang w:eastAsia="zh-CN"/>
        </w:rPr>
      </w:pPr>
      <w:r>
        <w:rPr>
          <w:rFonts w:hint="eastAsia"/>
          <w:b/>
          <w:bCs w:val="0"/>
          <w:sz w:val="32"/>
          <w:szCs w:val="32"/>
          <w:lang w:val="en-US" w:eastAsia="zh-CN"/>
        </w:rPr>
        <w:t>企业</w:t>
      </w:r>
      <w:r>
        <w:rPr>
          <w:rFonts w:hint="eastAsia"/>
          <w:b/>
          <w:bCs w:val="0"/>
          <w:sz w:val="32"/>
          <w:szCs w:val="32"/>
        </w:rPr>
        <w:t>实力</w:t>
      </w:r>
      <w:r>
        <w:rPr>
          <w:rFonts w:hint="eastAsia"/>
          <w:b/>
          <w:bCs w:val="0"/>
          <w:sz w:val="32"/>
          <w:szCs w:val="32"/>
          <w:lang w:eastAsia="zh-CN"/>
        </w:rPr>
        <w:t>（</w:t>
      </w:r>
      <w:r>
        <w:rPr>
          <w:rFonts w:hint="eastAsia"/>
          <w:b/>
          <w:bCs w:val="0"/>
          <w:sz w:val="32"/>
          <w:szCs w:val="32"/>
          <w:lang w:val="en-US" w:eastAsia="zh-CN"/>
        </w:rPr>
        <w:t>如有</w:t>
      </w:r>
      <w:r>
        <w:rPr>
          <w:rFonts w:hint="eastAsia"/>
          <w:b/>
          <w:bCs w:val="0"/>
          <w:sz w:val="32"/>
          <w:szCs w:val="32"/>
          <w:lang w:eastAsia="zh-CN"/>
        </w:rPr>
        <w:t>）</w:t>
      </w:r>
    </w:p>
    <w:p w14:paraId="5551AEED">
      <w:pPr>
        <w:pStyle w:val="4"/>
        <w:ind w:left="0" w:leftChars="0" w:firstLine="560" w:firstLineChars="200"/>
        <w:jc w:val="both"/>
        <w:rPr>
          <w:rFonts w:hint="eastAsia"/>
          <w:bCs/>
        </w:rPr>
      </w:pPr>
    </w:p>
    <w:p w14:paraId="348D1E2D">
      <w:pPr>
        <w:pStyle w:val="4"/>
        <w:ind w:left="0" w:leftChars="0" w:firstLine="560" w:firstLineChars="200"/>
        <w:jc w:val="both"/>
        <w:rPr>
          <w:bCs/>
        </w:rPr>
      </w:pPr>
      <w:r>
        <w:rPr>
          <w:rFonts w:hint="eastAsia"/>
          <w:bCs/>
          <w:lang w:val="en-US" w:eastAsia="zh-CN"/>
        </w:rPr>
        <w:t>对照</w:t>
      </w:r>
      <w:r>
        <w:rPr>
          <w:rFonts w:hint="eastAsia"/>
          <w:bCs/>
        </w:rPr>
        <w:t>第三章第三项（</w:t>
      </w:r>
      <w:r>
        <w:rPr>
          <w:bCs/>
        </w:rPr>
        <w:t>综合比较与评价</w:t>
      </w:r>
      <w:r>
        <w:rPr>
          <w:rFonts w:hint="eastAsia"/>
          <w:bCs/>
        </w:rPr>
        <w:t>）</w:t>
      </w:r>
      <w:r>
        <w:rPr>
          <w:rFonts w:hint="eastAsia"/>
          <w:bCs/>
          <w:lang w:val="en-US" w:eastAsia="zh-CN"/>
        </w:rPr>
        <w:t>有关企业</w:t>
      </w:r>
      <w:r>
        <w:rPr>
          <w:rFonts w:hint="eastAsia"/>
          <w:bCs/>
        </w:rPr>
        <w:t>实力评审项所涉及</w:t>
      </w:r>
      <w:r>
        <w:rPr>
          <w:rFonts w:hint="eastAsia"/>
          <w:b w:val="0"/>
          <w:bCs/>
        </w:rPr>
        <w:t>相关证明材料</w:t>
      </w:r>
      <w:r>
        <w:rPr>
          <w:rFonts w:hint="eastAsia"/>
          <w:b w:val="0"/>
          <w:bCs/>
          <w:lang w:val="en-US" w:eastAsia="zh-CN"/>
        </w:rPr>
        <w:t>要求，提供</w:t>
      </w:r>
      <w:r>
        <w:rPr>
          <w:rFonts w:hint="eastAsia"/>
          <w:bCs/>
        </w:rPr>
        <w:t>的加盖公章的扫描件。应注明证件或证明材料的名称及序号。</w:t>
      </w:r>
    </w:p>
    <w:p w14:paraId="171BEDFD">
      <w:pPr>
        <w:rPr>
          <w:rFonts w:ascii="仿宋" w:hAnsi="仿宋" w:eastAsia="仿宋"/>
          <w:b/>
          <w:sz w:val="32"/>
          <w:szCs w:val="32"/>
        </w:rPr>
      </w:pPr>
      <w:r>
        <w:rPr>
          <w:rFonts w:hint="eastAsia"/>
          <w:bCs/>
        </w:rPr>
        <w:br w:type="page"/>
      </w:r>
    </w:p>
    <w:p w14:paraId="4340938E">
      <w:pPr>
        <w:spacing w:line="500" w:lineRule="exact"/>
        <w:jc w:val="center"/>
        <w:rPr>
          <w:rFonts w:ascii="仿宋" w:hAnsi="仿宋" w:eastAsia="仿宋"/>
          <w:b/>
          <w:sz w:val="32"/>
          <w:szCs w:val="32"/>
        </w:rPr>
      </w:pPr>
      <w:bookmarkStart w:id="105" w:name="_GoBack"/>
      <w:r>
        <w:rPr>
          <w:rFonts w:hint="eastAsia" w:ascii="黑体" w:hAnsi="黑体" w:eastAsia="黑体" w:cs="宋体"/>
          <w:b/>
          <w:bCs/>
          <w:sz w:val="30"/>
          <w:szCs w:val="30"/>
          <w:lang w:eastAsia="zh-CN"/>
        </w:rPr>
        <w:drawing>
          <wp:anchor distT="0" distB="0" distL="114300" distR="114300" simplePos="0" relativeHeight="251761664" behindDoc="0" locked="0" layoutInCell="1" allowOverlap="1">
            <wp:simplePos x="0" y="0"/>
            <wp:positionH relativeFrom="column">
              <wp:posOffset>-247650</wp:posOffset>
            </wp:positionH>
            <wp:positionV relativeFrom="paragraph">
              <wp:posOffset>-837565</wp:posOffset>
            </wp:positionV>
            <wp:extent cx="7054215" cy="9984740"/>
            <wp:effectExtent l="0" t="0" r="13335" b="16510"/>
            <wp:wrapNone/>
            <wp:docPr id="4" name="图片 4" descr="微信图片_20260617093445_111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617093445_111_5"/>
                    <pic:cNvPicPr>
                      <a:picLocks noChangeAspect="1"/>
                    </pic:cNvPicPr>
                  </pic:nvPicPr>
                  <pic:blipFill>
                    <a:blip r:embed="rId119"/>
                    <a:stretch>
                      <a:fillRect/>
                    </a:stretch>
                  </pic:blipFill>
                  <pic:spPr>
                    <a:xfrm>
                      <a:off x="0" y="0"/>
                      <a:ext cx="7054215" cy="9984740"/>
                    </a:xfrm>
                    <a:prstGeom prst="rect">
                      <a:avLst/>
                    </a:prstGeom>
                  </pic:spPr>
                </pic:pic>
              </a:graphicData>
            </a:graphic>
          </wp:anchor>
        </w:drawing>
      </w:r>
      <w:bookmarkEnd w:id="105"/>
    </w:p>
    <w:p w14:paraId="53EC80F0">
      <w:pPr>
        <w:rPr>
          <w:rFonts w:hint="eastAsia" w:ascii="黑体" w:hAnsi="黑体" w:eastAsia="黑体" w:cs="宋体"/>
          <w:b/>
          <w:bCs/>
          <w:sz w:val="30"/>
          <w:szCs w:val="30"/>
          <w:lang w:eastAsia="zh-CN"/>
        </w:rPr>
      </w:pPr>
      <w:r>
        <w:rPr>
          <w:rFonts w:hint="eastAsia" w:ascii="黑体" w:hAnsi="黑体" w:eastAsia="黑体" w:cs="宋体"/>
          <w:b/>
          <w:bCs/>
          <w:sz w:val="30"/>
          <w:szCs w:val="30"/>
          <w:lang w:eastAsia="zh-CN"/>
        </w:rPr>
        <w:br w:type="page"/>
      </w:r>
    </w:p>
    <w:p w14:paraId="7A25603E">
      <w:pPr>
        <w:rPr>
          <w:rFonts w:hint="eastAsia" w:ascii="黑体" w:hAnsi="黑体" w:eastAsia="黑体" w:cs="宋体"/>
          <w:b/>
          <w:bCs/>
          <w:sz w:val="30"/>
          <w:szCs w:val="30"/>
          <w:lang w:eastAsia="zh-CN"/>
        </w:rPr>
      </w:pPr>
    </w:p>
    <w:p w14:paraId="7F297019">
      <w:pPr>
        <w:pStyle w:val="24"/>
        <w:ind w:firstLine="186"/>
      </w:pPr>
    </w:p>
    <w:p w14:paraId="23F8168B">
      <w:pPr>
        <w:pStyle w:val="3"/>
        <w:jc w:val="center"/>
        <w:rPr>
          <w:rFonts w:ascii="黑体" w:hAnsi="黑体" w:eastAsia="黑体" w:cs="宋体"/>
          <w:b w:val="0"/>
          <w:bCs w:val="0"/>
        </w:rPr>
      </w:pPr>
      <w:r>
        <w:rPr>
          <w:rFonts w:hint="eastAsia" w:ascii="黑体" w:hAnsi="黑体" w:eastAsia="黑体"/>
          <w:b w:val="0"/>
        </w:rPr>
        <w:t xml:space="preserve">第七章 </w:t>
      </w:r>
      <w:r>
        <w:rPr>
          <w:rFonts w:hint="eastAsia" w:ascii="黑体" w:hAnsi="黑体" w:eastAsia="黑体" w:cs="宋体"/>
          <w:b w:val="0"/>
          <w:bCs w:val="0"/>
        </w:rPr>
        <w:t>封袋正面标识式样</w:t>
      </w:r>
    </w:p>
    <w:p w14:paraId="0E45F281">
      <w:pPr>
        <w:pStyle w:val="3"/>
        <w:jc w:val="center"/>
        <w:rPr>
          <w:rFonts w:ascii="黑体" w:hAnsi="黑体" w:eastAsia="黑体" w:cs="宋体"/>
          <w:b w:val="0"/>
        </w:rPr>
      </w:pPr>
      <w:r>
        <w:rPr>
          <w:rFonts w:hint="eastAsia" w:ascii="黑体" w:hAnsi="黑体" w:eastAsia="黑体" w:cs="宋体"/>
          <w:b w:val="0"/>
          <w:bCs w:val="0"/>
          <w:color w:val="FF0000"/>
        </w:rPr>
        <w:t>（仅用于纸质投标文件密封）</w:t>
      </w:r>
    </w:p>
    <w:p w14:paraId="531823B3">
      <w:pPr>
        <w:spacing w:line="336" w:lineRule="auto"/>
        <w:ind w:right="456" w:firstLine="641" w:firstLineChars="200"/>
        <w:rPr>
          <w:rFonts w:ascii="黑体" w:hAnsi="黑体" w:eastAsia="黑体" w:cs="宋体"/>
          <w:sz w:val="32"/>
          <w:szCs w:val="32"/>
        </w:rPr>
      </w:pPr>
      <w:r>
        <w:rPr>
          <w:rFonts w:ascii="宋体" w:hAnsi="宋体" w:cs="宋体"/>
          <w:b/>
          <w:sz w:val="32"/>
          <w:szCs w:val="32"/>
        </w:rPr>
        <mc:AlternateContent>
          <mc:Choice Requires="wps">
            <w:drawing>
              <wp:anchor distT="0" distB="0" distL="114300" distR="114300" simplePos="0" relativeHeight="251712512" behindDoc="0" locked="0" layoutInCell="1" allowOverlap="1">
                <wp:simplePos x="0" y="0"/>
                <wp:positionH relativeFrom="column">
                  <wp:posOffset>0</wp:posOffset>
                </wp:positionH>
                <wp:positionV relativeFrom="paragraph">
                  <wp:posOffset>397510</wp:posOffset>
                </wp:positionV>
                <wp:extent cx="5867400" cy="3114675"/>
                <wp:effectExtent l="4445" t="5080" r="14605" b="4445"/>
                <wp:wrapNone/>
                <wp:docPr id="2" name="文本框 4"/>
                <wp:cNvGraphicFramePr/>
                <a:graphic xmlns:a="http://schemas.openxmlformats.org/drawingml/2006/main">
                  <a:graphicData uri="http://schemas.microsoft.com/office/word/2010/wordprocessingShape">
                    <wps:wsp>
                      <wps:cNvSpPr txBox="1"/>
                      <wps:spPr>
                        <a:xfrm>
                          <a:off x="0" y="0"/>
                          <a:ext cx="5867400" cy="31146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DF8672">
                            <w:pPr>
                              <w:rPr>
                                <w:rFonts w:ascii="仿宋" w:hAnsi="仿宋" w:eastAsia="仿宋"/>
                                <w:sz w:val="32"/>
                                <w:szCs w:val="32"/>
                              </w:rPr>
                            </w:pPr>
                          </w:p>
                          <w:p w14:paraId="4782238F">
                            <w:pPr>
                              <w:rPr>
                                <w:rFonts w:ascii="仿宋" w:hAnsi="仿宋" w:eastAsia="仿宋"/>
                                <w:sz w:val="32"/>
                                <w:szCs w:val="32"/>
                              </w:rPr>
                            </w:pPr>
                            <w:r>
                              <w:rPr>
                                <w:rFonts w:hint="eastAsia" w:ascii="仿宋" w:hAnsi="仿宋" w:eastAsia="仿宋"/>
                                <w:sz w:val="32"/>
                                <w:szCs w:val="32"/>
                              </w:rPr>
                              <w:t>致：</w:t>
                            </w:r>
                            <w:r>
                              <w:rPr>
                                <w:rFonts w:hint="eastAsia" w:ascii="仿宋" w:hAnsi="仿宋" w:eastAsia="仿宋"/>
                                <w:sz w:val="32"/>
                                <w:szCs w:val="32"/>
                                <w:u w:val="single"/>
                              </w:rPr>
                              <w:t xml:space="preserve"> 府谷县政府投资和采购服务中心 </w:t>
                            </w:r>
                          </w:p>
                          <w:p w14:paraId="2BE2FC4C">
                            <w:pPr>
                              <w:rPr>
                                <w:rFonts w:ascii="仿宋" w:hAnsi="仿宋" w:eastAsia="仿宋"/>
                                <w:sz w:val="32"/>
                                <w:szCs w:val="32"/>
                              </w:rPr>
                            </w:pPr>
                          </w:p>
                          <w:p w14:paraId="13901B6F">
                            <w:pPr>
                              <w:rPr>
                                <w:rFonts w:ascii="仿宋" w:hAnsi="仿宋" w:eastAsia="仿宋"/>
                                <w:color w:val="FF0000"/>
                                <w:sz w:val="32"/>
                                <w:szCs w:val="32"/>
                              </w:rPr>
                            </w:pPr>
                            <w:r>
                              <w:rPr>
                                <w:rFonts w:hint="eastAsia" w:ascii="仿宋" w:hAnsi="仿宋" w:eastAsia="仿宋"/>
                                <w:sz w:val="32"/>
                                <w:szCs w:val="32"/>
                              </w:rPr>
                              <w:t xml:space="preserve">项目编号：                                    </w:t>
                            </w:r>
                          </w:p>
                          <w:p w14:paraId="7B0A291D">
                            <w:pPr>
                              <w:rPr>
                                <w:rFonts w:ascii="仿宋" w:hAnsi="仿宋" w:eastAsia="仿宋"/>
                                <w:color w:val="FF0000"/>
                                <w:sz w:val="32"/>
                                <w:szCs w:val="32"/>
                              </w:rPr>
                            </w:pPr>
                            <w:r>
                              <w:rPr>
                                <w:rFonts w:hint="eastAsia" w:ascii="仿宋" w:hAnsi="仿宋" w:eastAsia="仿宋"/>
                                <w:sz w:val="32"/>
                                <w:szCs w:val="32"/>
                              </w:rPr>
                              <w:t xml:space="preserve">项目名称：                             </w:t>
                            </w:r>
                          </w:p>
                          <w:p w14:paraId="02E00B22">
                            <w:pPr>
                              <w:jc w:val="center"/>
                              <w:rPr>
                                <w:rFonts w:ascii="仿宋" w:hAnsi="仿宋" w:eastAsia="仿宋"/>
                                <w:b/>
                                <w:sz w:val="32"/>
                                <w:szCs w:val="32"/>
                              </w:rPr>
                            </w:pPr>
                            <w:r>
                              <w:rPr>
                                <w:rFonts w:hint="eastAsia" w:ascii="仿宋" w:hAnsi="仿宋" w:eastAsia="仿宋"/>
                                <w:b/>
                                <w:sz w:val="32"/>
                                <w:szCs w:val="32"/>
                              </w:rPr>
                              <w:t>资格证明文件</w:t>
                            </w:r>
                          </w:p>
                          <w:p w14:paraId="0189452D">
                            <w:pPr>
                              <w:jc w:val="center"/>
                              <w:rPr>
                                <w:rFonts w:ascii="仿宋" w:hAnsi="仿宋" w:eastAsia="仿宋"/>
                                <w:sz w:val="32"/>
                                <w:szCs w:val="32"/>
                              </w:rPr>
                            </w:pPr>
                            <w:r>
                              <w:rPr>
                                <w:rFonts w:hint="eastAsia" w:ascii="仿宋" w:hAnsi="仿宋" w:eastAsia="仿宋"/>
                                <w:sz w:val="32"/>
                                <w:szCs w:val="32"/>
                              </w:rPr>
                              <w:t>（开标前不得启封）</w:t>
                            </w:r>
                          </w:p>
                          <w:p w14:paraId="238CC301">
                            <w:pPr>
                              <w:rPr>
                                <w:rFonts w:ascii="仿宋" w:hAnsi="仿宋" w:eastAsia="仿宋"/>
                                <w:sz w:val="32"/>
                                <w:szCs w:val="32"/>
                              </w:rPr>
                            </w:pPr>
                          </w:p>
                          <w:p w14:paraId="26D7E94E">
                            <w:pPr>
                              <w:rPr>
                                <w:rFonts w:ascii="仿宋" w:hAnsi="仿宋" w:eastAsia="仿宋"/>
                                <w:sz w:val="32"/>
                                <w:szCs w:val="32"/>
                              </w:rPr>
                            </w:pPr>
                          </w:p>
                          <w:p w14:paraId="4A2134A6">
                            <w:pPr>
                              <w:rPr>
                                <w:rFonts w:ascii="仿宋" w:hAnsi="仿宋" w:eastAsia="仿宋"/>
                                <w:sz w:val="32"/>
                                <w:szCs w:val="32"/>
                              </w:rPr>
                            </w:pPr>
                          </w:p>
                          <w:p w14:paraId="4B870B34">
                            <w:pPr>
                              <w:rPr>
                                <w:rFonts w:ascii="仿宋" w:hAnsi="仿宋" w:eastAsia="仿宋"/>
                                <w:sz w:val="32"/>
                                <w:szCs w:val="32"/>
                              </w:rPr>
                            </w:pPr>
                            <w:r>
                              <w:rPr>
                                <w:rFonts w:hint="eastAsia" w:ascii="仿宋" w:hAnsi="仿宋" w:eastAsia="仿宋"/>
                                <w:sz w:val="32"/>
                                <w:szCs w:val="32"/>
                              </w:rPr>
                              <w:t>投标人全称：            （公章）</w:t>
                            </w:r>
                          </w:p>
                          <w:p w14:paraId="64C48199"/>
                        </w:txbxContent>
                      </wps:txbx>
                      <wps:bodyPr upright="1"/>
                    </wps:wsp>
                  </a:graphicData>
                </a:graphic>
              </wp:anchor>
            </w:drawing>
          </mc:Choice>
          <mc:Fallback>
            <w:pict>
              <v:shape id="文本框 4" o:spid="_x0000_s1026" o:spt="202" type="#_x0000_t202" style="position:absolute;left:0pt;margin-left:0pt;margin-top:31.3pt;height:245.25pt;width:462pt;z-index:251712512;mso-width-relative:page;mso-height-relative:page;" fillcolor="#FFFFFF" filled="t" stroked="t" coordsize="21600,21600" o:gfxdata="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dSBnvXAAAABwEAAA8AAAAAAAAAAQAgAAAA&#10;IgAAAGRycy9kb3ducmV2LnhtbFBLAQIUABQAAAAIAIdO4kCP8LnyDAIAADcEAAAOAAAAAAAAAAEA&#10;IAAAACYBAABkcnMvZTJvRG9jLnhtbFBLBQYAAAAABgAGAFkBAACkBQAAAAA=&#10;">
                <v:fill on="t" focussize="0,0"/>
                <v:stroke color="#000000" joinstyle="miter"/>
                <v:imagedata o:title=""/>
                <o:lock v:ext="edit" aspectratio="f"/>
                <v:textbox>
                  <w:txbxContent>
                    <w:p w14:paraId="0BDF8672">
                      <w:pPr>
                        <w:rPr>
                          <w:rFonts w:ascii="仿宋" w:hAnsi="仿宋" w:eastAsia="仿宋"/>
                          <w:sz w:val="32"/>
                          <w:szCs w:val="32"/>
                        </w:rPr>
                      </w:pPr>
                    </w:p>
                    <w:p w14:paraId="4782238F">
                      <w:pPr>
                        <w:rPr>
                          <w:rFonts w:ascii="仿宋" w:hAnsi="仿宋" w:eastAsia="仿宋"/>
                          <w:sz w:val="32"/>
                          <w:szCs w:val="32"/>
                        </w:rPr>
                      </w:pPr>
                      <w:r>
                        <w:rPr>
                          <w:rFonts w:hint="eastAsia" w:ascii="仿宋" w:hAnsi="仿宋" w:eastAsia="仿宋"/>
                          <w:sz w:val="32"/>
                          <w:szCs w:val="32"/>
                        </w:rPr>
                        <w:t>致：</w:t>
                      </w:r>
                      <w:r>
                        <w:rPr>
                          <w:rFonts w:hint="eastAsia" w:ascii="仿宋" w:hAnsi="仿宋" w:eastAsia="仿宋"/>
                          <w:sz w:val="32"/>
                          <w:szCs w:val="32"/>
                          <w:u w:val="single"/>
                        </w:rPr>
                        <w:t xml:space="preserve"> 府谷县政府投资和采购服务中心 </w:t>
                      </w:r>
                    </w:p>
                    <w:p w14:paraId="2BE2FC4C">
                      <w:pPr>
                        <w:rPr>
                          <w:rFonts w:ascii="仿宋" w:hAnsi="仿宋" w:eastAsia="仿宋"/>
                          <w:sz w:val="32"/>
                          <w:szCs w:val="32"/>
                        </w:rPr>
                      </w:pPr>
                    </w:p>
                    <w:p w14:paraId="13901B6F">
                      <w:pPr>
                        <w:rPr>
                          <w:rFonts w:ascii="仿宋" w:hAnsi="仿宋" w:eastAsia="仿宋"/>
                          <w:color w:val="FF0000"/>
                          <w:sz w:val="32"/>
                          <w:szCs w:val="32"/>
                        </w:rPr>
                      </w:pPr>
                      <w:r>
                        <w:rPr>
                          <w:rFonts w:hint="eastAsia" w:ascii="仿宋" w:hAnsi="仿宋" w:eastAsia="仿宋"/>
                          <w:sz w:val="32"/>
                          <w:szCs w:val="32"/>
                        </w:rPr>
                        <w:t xml:space="preserve">项目编号：                                    </w:t>
                      </w:r>
                    </w:p>
                    <w:p w14:paraId="7B0A291D">
                      <w:pPr>
                        <w:rPr>
                          <w:rFonts w:ascii="仿宋" w:hAnsi="仿宋" w:eastAsia="仿宋"/>
                          <w:color w:val="FF0000"/>
                          <w:sz w:val="32"/>
                          <w:szCs w:val="32"/>
                        </w:rPr>
                      </w:pPr>
                      <w:r>
                        <w:rPr>
                          <w:rFonts w:hint="eastAsia" w:ascii="仿宋" w:hAnsi="仿宋" w:eastAsia="仿宋"/>
                          <w:sz w:val="32"/>
                          <w:szCs w:val="32"/>
                        </w:rPr>
                        <w:t xml:space="preserve">项目名称：                             </w:t>
                      </w:r>
                    </w:p>
                    <w:p w14:paraId="02E00B22">
                      <w:pPr>
                        <w:jc w:val="center"/>
                        <w:rPr>
                          <w:rFonts w:ascii="仿宋" w:hAnsi="仿宋" w:eastAsia="仿宋"/>
                          <w:b/>
                          <w:sz w:val="32"/>
                          <w:szCs w:val="32"/>
                        </w:rPr>
                      </w:pPr>
                      <w:r>
                        <w:rPr>
                          <w:rFonts w:hint="eastAsia" w:ascii="仿宋" w:hAnsi="仿宋" w:eastAsia="仿宋"/>
                          <w:b/>
                          <w:sz w:val="32"/>
                          <w:szCs w:val="32"/>
                        </w:rPr>
                        <w:t>资格证明文件</w:t>
                      </w:r>
                    </w:p>
                    <w:p w14:paraId="0189452D">
                      <w:pPr>
                        <w:jc w:val="center"/>
                        <w:rPr>
                          <w:rFonts w:ascii="仿宋" w:hAnsi="仿宋" w:eastAsia="仿宋"/>
                          <w:sz w:val="32"/>
                          <w:szCs w:val="32"/>
                        </w:rPr>
                      </w:pPr>
                      <w:r>
                        <w:rPr>
                          <w:rFonts w:hint="eastAsia" w:ascii="仿宋" w:hAnsi="仿宋" w:eastAsia="仿宋"/>
                          <w:sz w:val="32"/>
                          <w:szCs w:val="32"/>
                        </w:rPr>
                        <w:t>（开标前不得启封）</w:t>
                      </w:r>
                    </w:p>
                    <w:p w14:paraId="238CC301">
                      <w:pPr>
                        <w:rPr>
                          <w:rFonts w:ascii="仿宋" w:hAnsi="仿宋" w:eastAsia="仿宋"/>
                          <w:sz w:val="32"/>
                          <w:szCs w:val="32"/>
                        </w:rPr>
                      </w:pPr>
                    </w:p>
                    <w:p w14:paraId="26D7E94E">
                      <w:pPr>
                        <w:rPr>
                          <w:rFonts w:ascii="仿宋" w:hAnsi="仿宋" w:eastAsia="仿宋"/>
                          <w:sz w:val="32"/>
                          <w:szCs w:val="32"/>
                        </w:rPr>
                      </w:pPr>
                    </w:p>
                    <w:p w14:paraId="4A2134A6">
                      <w:pPr>
                        <w:rPr>
                          <w:rFonts w:ascii="仿宋" w:hAnsi="仿宋" w:eastAsia="仿宋"/>
                          <w:sz w:val="32"/>
                          <w:szCs w:val="32"/>
                        </w:rPr>
                      </w:pPr>
                    </w:p>
                    <w:p w14:paraId="4B870B34">
                      <w:pPr>
                        <w:rPr>
                          <w:rFonts w:ascii="仿宋" w:hAnsi="仿宋" w:eastAsia="仿宋"/>
                          <w:sz w:val="32"/>
                          <w:szCs w:val="32"/>
                        </w:rPr>
                      </w:pPr>
                      <w:r>
                        <w:rPr>
                          <w:rFonts w:hint="eastAsia" w:ascii="仿宋" w:hAnsi="仿宋" w:eastAsia="仿宋"/>
                          <w:sz w:val="32"/>
                          <w:szCs w:val="32"/>
                        </w:rPr>
                        <w:t>投标人全称：            （公章）</w:t>
                      </w:r>
                    </w:p>
                    <w:p w14:paraId="64C48199"/>
                  </w:txbxContent>
                </v:textbox>
              </v:shape>
            </w:pict>
          </mc:Fallback>
        </mc:AlternateContent>
      </w:r>
      <w:r>
        <w:rPr>
          <w:rFonts w:hint="eastAsia" w:ascii="宋体" w:hAnsi="宋体" w:cs="宋体"/>
          <w:b/>
          <w:sz w:val="32"/>
          <w:szCs w:val="32"/>
        </w:rPr>
        <w:t>格式A：资格证明文件封袋正面标识式样</w:t>
      </w:r>
    </w:p>
    <w:p w14:paraId="12D9CDCB">
      <w:pPr>
        <w:spacing w:line="336" w:lineRule="auto"/>
        <w:ind w:firstLine="641" w:firstLineChars="200"/>
        <w:rPr>
          <w:rFonts w:ascii="宋体" w:hAnsi="宋体" w:cs="宋体"/>
          <w:b/>
          <w:sz w:val="32"/>
          <w:szCs w:val="32"/>
        </w:rPr>
      </w:pPr>
    </w:p>
    <w:p w14:paraId="66BA2064">
      <w:pPr>
        <w:spacing w:line="336" w:lineRule="auto"/>
        <w:ind w:firstLine="641" w:firstLineChars="200"/>
        <w:rPr>
          <w:rFonts w:ascii="宋体" w:hAnsi="宋体" w:cs="宋体"/>
          <w:b/>
          <w:sz w:val="32"/>
          <w:szCs w:val="32"/>
        </w:rPr>
      </w:pPr>
    </w:p>
    <w:p w14:paraId="0AA0EA94">
      <w:pPr>
        <w:spacing w:line="336" w:lineRule="auto"/>
        <w:ind w:firstLine="641" w:firstLineChars="200"/>
        <w:rPr>
          <w:rFonts w:ascii="宋体" w:hAnsi="宋体" w:cs="宋体"/>
          <w:b/>
          <w:sz w:val="32"/>
          <w:szCs w:val="32"/>
        </w:rPr>
      </w:pPr>
    </w:p>
    <w:p w14:paraId="1FEC273B">
      <w:pPr>
        <w:spacing w:line="336" w:lineRule="auto"/>
        <w:ind w:firstLine="1602" w:firstLineChars="500"/>
        <w:rPr>
          <w:rFonts w:ascii="宋体" w:hAnsi="宋体" w:cs="宋体"/>
          <w:b/>
          <w:sz w:val="32"/>
          <w:szCs w:val="32"/>
        </w:rPr>
      </w:pPr>
    </w:p>
    <w:p w14:paraId="04F588DB">
      <w:pPr>
        <w:spacing w:line="336" w:lineRule="auto"/>
        <w:ind w:firstLine="641" w:firstLineChars="200"/>
        <w:rPr>
          <w:rFonts w:ascii="宋体" w:hAnsi="宋体" w:cs="宋体"/>
          <w:b/>
          <w:sz w:val="32"/>
          <w:szCs w:val="32"/>
        </w:rPr>
      </w:pPr>
    </w:p>
    <w:p w14:paraId="2F24E125">
      <w:pPr>
        <w:spacing w:line="336" w:lineRule="auto"/>
        <w:ind w:firstLine="641" w:firstLineChars="200"/>
        <w:rPr>
          <w:rFonts w:ascii="宋体" w:hAnsi="宋体" w:cs="宋体"/>
          <w:b/>
          <w:sz w:val="32"/>
          <w:szCs w:val="32"/>
        </w:rPr>
      </w:pPr>
    </w:p>
    <w:p w14:paraId="7D6E92C3">
      <w:pPr>
        <w:spacing w:line="336" w:lineRule="auto"/>
        <w:ind w:firstLine="641" w:firstLineChars="200"/>
        <w:rPr>
          <w:rFonts w:ascii="宋体" w:hAnsi="宋体" w:cs="宋体"/>
          <w:b/>
          <w:sz w:val="32"/>
          <w:szCs w:val="32"/>
        </w:rPr>
      </w:pPr>
    </w:p>
    <w:p w14:paraId="64A9AABE">
      <w:pPr>
        <w:spacing w:line="336" w:lineRule="auto"/>
        <w:ind w:firstLine="641" w:firstLineChars="200"/>
        <w:rPr>
          <w:rFonts w:ascii="宋体" w:hAnsi="宋体" w:cs="宋体"/>
          <w:b/>
          <w:sz w:val="32"/>
          <w:szCs w:val="32"/>
        </w:rPr>
      </w:pPr>
      <w:r>
        <w:rPr>
          <w:rFonts w:ascii="宋体" w:hAnsi="宋体" w:cs="宋体"/>
          <w:b/>
          <w:sz w:val="32"/>
          <w:szCs w:val="32"/>
        </w:rPr>
        <mc:AlternateContent>
          <mc:Choice Requires="wps">
            <w:drawing>
              <wp:anchor distT="0" distB="0" distL="114300" distR="114300" simplePos="0" relativeHeight="251711488" behindDoc="0" locked="0" layoutInCell="1" allowOverlap="1">
                <wp:simplePos x="0" y="0"/>
                <wp:positionH relativeFrom="column">
                  <wp:posOffset>0</wp:posOffset>
                </wp:positionH>
                <wp:positionV relativeFrom="paragraph">
                  <wp:posOffset>387985</wp:posOffset>
                </wp:positionV>
                <wp:extent cx="5867400" cy="3158490"/>
                <wp:effectExtent l="4445" t="5080" r="14605" b="17780"/>
                <wp:wrapNone/>
                <wp:docPr id="1" name="文本框 2"/>
                <wp:cNvGraphicFramePr/>
                <a:graphic xmlns:a="http://schemas.openxmlformats.org/drawingml/2006/main">
                  <a:graphicData uri="http://schemas.microsoft.com/office/word/2010/wordprocessingShape">
                    <wps:wsp>
                      <wps:cNvSpPr txBox="1"/>
                      <wps:spPr>
                        <a:xfrm>
                          <a:off x="0" y="0"/>
                          <a:ext cx="5867400" cy="31584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7EEBCB">
                            <w:pPr>
                              <w:rPr>
                                <w:rFonts w:ascii="仿宋" w:hAnsi="仿宋" w:eastAsia="仿宋"/>
                                <w:sz w:val="32"/>
                                <w:szCs w:val="32"/>
                              </w:rPr>
                            </w:pPr>
                          </w:p>
                          <w:p w14:paraId="69C5393A">
                            <w:pPr>
                              <w:rPr>
                                <w:rFonts w:ascii="仿宋" w:hAnsi="仿宋" w:eastAsia="仿宋"/>
                                <w:sz w:val="32"/>
                                <w:szCs w:val="32"/>
                              </w:rPr>
                            </w:pPr>
                            <w:r>
                              <w:rPr>
                                <w:rFonts w:hint="eastAsia" w:ascii="仿宋" w:hAnsi="仿宋" w:eastAsia="仿宋"/>
                                <w:sz w:val="32"/>
                                <w:szCs w:val="32"/>
                              </w:rPr>
                              <w:t>致：</w:t>
                            </w:r>
                            <w:r>
                              <w:rPr>
                                <w:rFonts w:hint="eastAsia" w:ascii="仿宋" w:hAnsi="仿宋" w:eastAsia="仿宋"/>
                                <w:sz w:val="32"/>
                                <w:szCs w:val="32"/>
                                <w:u w:val="single"/>
                              </w:rPr>
                              <w:t xml:space="preserve">府谷县政府投资和采购服务中心 </w:t>
                            </w:r>
                          </w:p>
                          <w:p w14:paraId="24D630F3">
                            <w:pPr>
                              <w:rPr>
                                <w:rFonts w:ascii="仿宋" w:hAnsi="仿宋" w:eastAsia="仿宋"/>
                                <w:sz w:val="32"/>
                                <w:szCs w:val="32"/>
                              </w:rPr>
                            </w:pPr>
                          </w:p>
                          <w:p w14:paraId="641DD9B9">
                            <w:pPr>
                              <w:rPr>
                                <w:rFonts w:ascii="仿宋" w:hAnsi="仿宋" w:eastAsia="仿宋"/>
                                <w:color w:val="FF0000"/>
                                <w:sz w:val="32"/>
                                <w:szCs w:val="32"/>
                              </w:rPr>
                            </w:pPr>
                            <w:r>
                              <w:rPr>
                                <w:rFonts w:hint="eastAsia" w:ascii="仿宋" w:hAnsi="仿宋" w:eastAsia="仿宋"/>
                                <w:sz w:val="32"/>
                                <w:szCs w:val="32"/>
                              </w:rPr>
                              <w:t xml:space="preserve">项目编号：                                    </w:t>
                            </w:r>
                          </w:p>
                          <w:p w14:paraId="7BB799F3">
                            <w:pPr>
                              <w:rPr>
                                <w:rFonts w:ascii="仿宋" w:hAnsi="仿宋" w:eastAsia="仿宋"/>
                                <w:color w:val="FF0000"/>
                                <w:sz w:val="32"/>
                                <w:szCs w:val="32"/>
                              </w:rPr>
                            </w:pPr>
                            <w:r>
                              <w:rPr>
                                <w:rFonts w:hint="eastAsia" w:ascii="仿宋" w:hAnsi="仿宋" w:eastAsia="仿宋"/>
                                <w:sz w:val="32"/>
                                <w:szCs w:val="32"/>
                              </w:rPr>
                              <w:t xml:space="preserve">项目名称：                             </w:t>
                            </w:r>
                          </w:p>
                          <w:p w14:paraId="2BBDFD16">
                            <w:pPr>
                              <w:jc w:val="center"/>
                              <w:rPr>
                                <w:rFonts w:ascii="仿宋" w:hAnsi="仿宋" w:eastAsia="仿宋"/>
                                <w:b/>
                                <w:sz w:val="32"/>
                                <w:szCs w:val="32"/>
                              </w:rPr>
                            </w:pPr>
                            <w:r>
                              <w:rPr>
                                <w:rFonts w:hint="eastAsia" w:ascii="仿宋" w:hAnsi="仿宋" w:eastAsia="仿宋"/>
                                <w:b/>
                                <w:sz w:val="32"/>
                                <w:szCs w:val="32"/>
                              </w:rPr>
                              <w:t>商务及技术响应文件</w:t>
                            </w:r>
                          </w:p>
                          <w:p w14:paraId="7E27F944">
                            <w:pPr>
                              <w:jc w:val="center"/>
                              <w:rPr>
                                <w:rFonts w:ascii="仿宋" w:hAnsi="仿宋" w:eastAsia="仿宋"/>
                                <w:sz w:val="32"/>
                                <w:szCs w:val="32"/>
                              </w:rPr>
                            </w:pPr>
                            <w:r>
                              <w:rPr>
                                <w:rFonts w:hint="eastAsia" w:ascii="仿宋" w:hAnsi="仿宋" w:eastAsia="仿宋"/>
                                <w:sz w:val="32"/>
                                <w:szCs w:val="32"/>
                              </w:rPr>
                              <w:t>（开标前不得启封）</w:t>
                            </w:r>
                          </w:p>
                          <w:p w14:paraId="2333A601">
                            <w:pPr>
                              <w:rPr>
                                <w:rFonts w:ascii="仿宋" w:hAnsi="仿宋" w:eastAsia="仿宋"/>
                                <w:sz w:val="32"/>
                                <w:szCs w:val="32"/>
                              </w:rPr>
                            </w:pPr>
                          </w:p>
                          <w:p w14:paraId="71EE75B2">
                            <w:pPr>
                              <w:rPr>
                                <w:rFonts w:ascii="仿宋" w:hAnsi="仿宋" w:eastAsia="仿宋"/>
                                <w:sz w:val="32"/>
                                <w:szCs w:val="32"/>
                              </w:rPr>
                            </w:pPr>
                          </w:p>
                          <w:p w14:paraId="22637794">
                            <w:pPr>
                              <w:rPr>
                                <w:rFonts w:ascii="仿宋" w:hAnsi="仿宋" w:eastAsia="仿宋"/>
                                <w:sz w:val="32"/>
                                <w:szCs w:val="32"/>
                              </w:rPr>
                            </w:pPr>
                          </w:p>
                          <w:p w14:paraId="397EF98F">
                            <w:pPr>
                              <w:rPr>
                                <w:rFonts w:ascii="仿宋" w:hAnsi="仿宋" w:eastAsia="仿宋"/>
                                <w:sz w:val="32"/>
                                <w:szCs w:val="32"/>
                              </w:rPr>
                            </w:pPr>
                            <w:r>
                              <w:rPr>
                                <w:rFonts w:hint="eastAsia" w:ascii="仿宋" w:hAnsi="仿宋" w:eastAsia="仿宋"/>
                                <w:sz w:val="32"/>
                                <w:szCs w:val="32"/>
                              </w:rPr>
                              <w:t>投标人全称：               （公章）</w:t>
                            </w:r>
                          </w:p>
                          <w:p w14:paraId="0D127CBA"/>
                        </w:txbxContent>
                      </wps:txbx>
                      <wps:bodyPr upright="1"/>
                    </wps:wsp>
                  </a:graphicData>
                </a:graphic>
              </wp:anchor>
            </w:drawing>
          </mc:Choice>
          <mc:Fallback>
            <w:pict>
              <v:shape id="文本框 2" o:spid="_x0000_s1026" o:spt="202" type="#_x0000_t202" style="position:absolute;left:0pt;margin-left:0pt;margin-top:30.55pt;height:248.7pt;width:462pt;z-index:251711488;mso-width-relative:page;mso-height-relative:page;" fillcolor="#FFFFFF" filled="t" stroked="t" coordsize="21600,21600" o:gfxdata="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VrcbZ1wAAAAcBAAAPAAAAAAAAAAEAIAAA&#10;ACIAAABkcnMvZG93bnJldi54bWxQSwECFAAUAAAACACHTuJArj2qtQ0CAAA3BAAADgAAAAAAAAAB&#10;ACAAAAAmAQAAZHJzL2Uyb0RvYy54bWxQSwUGAAAAAAYABgBZAQAApQUAAAAA&#10;">
                <v:fill on="t" focussize="0,0"/>
                <v:stroke color="#000000" joinstyle="miter"/>
                <v:imagedata o:title=""/>
                <o:lock v:ext="edit" aspectratio="f"/>
                <v:textbox>
                  <w:txbxContent>
                    <w:p w14:paraId="0F7EEBCB">
                      <w:pPr>
                        <w:rPr>
                          <w:rFonts w:ascii="仿宋" w:hAnsi="仿宋" w:eastAsia="仿宋"/>
                          <w:sz w:val="32"/>
                          <w:szCs w:val="32"/>
                        </w:rPr>
                      </w:pPr>
                    </w:p>
                    <w:p w14:paraId="69C5393A">
                      <w:pPr>
                        <w:rPr>
                          <w:rFonts w:ascii="仿宋" w:hAnsi="仿宋" w:eastAsia="仿宋"/>
                          <w:sz w:val="32"/>
                          <w:szCs w:val="32"/>
                        </w:rPr>
                      </w:pPr>
                      <w:r>
                        <w:rPr>
                          <w:rFonts w:hint="eastAsia" w:ascii="仿宋" w:hAnsi="仿宋" w:eastAsia="仿宋"/>
                          <w:sz w:val="32"/>
                          <w:szCs w:val="32"/>
                        </w:rPr>
                        <w:t>致：</w:t>
                      </w:r>
                      <w:r>
                        <w:rPr>
                          <w:rFonts w:hint="eastAsia" w:ascii="仿宋" w:hAnsi="仿宋" w:eastAsia="仿宋"/>
                          <w:sz w:val="32"/>
                          <w:szCs w:val="32"/>
                          <w:u w:val="single"/>
                        </w:rPr>
                        <w:t xml:space="preserve">府谷县政府投资和采购服务中心 </w:t>
                      </w:r>
                    </w:p>
                    <w:p w14:paraId="24D630F3">
                      <w:pPr>
                        <w:rPr>
                          <w:rFonts w:ascii="仿宋" w:hAnsi="仿宋" w:eastAsia="仿宋"/>
                          <w:sz w:val="32"/>
                          <w:szCs w:val="32"/>
                        </w:rPr>
                      </w:pPr>
                    </w:p>
                    <w:p w14:paraId="641DD9B9">
                      <w:pPr>
                        <w:rPr>
                          <w:rFonts w:ascii="仿宋" w:hAnsi="仿宋" w:eastAsia="仿宋"/>
                          <w:color w:val="FF0000"/>
                          <w:sz w:val="32"/>
                          <w:szCs w:val="32"/>
                        </w:rPr>
                      </w:pPr>
                      <w:r>
                        <w:rPr>
                          <w:rFonts w:hint="eastAsia" w:ascii="仿宋" w:hAnsi="仿宋" w:eastAsia="仿宋"/>
                          <w:sz w:val="32"/>
                          <w:szCs w:val="32"/>
                        </w:rPr>
                        <w:t xml:space="preserve">项目编号：                                    </w:t>
                      </w:r>
                    </w:p>
                    <w:p w14:paraId="7BB799F3">
                      <w:pPr>
                        <w:rPr>
                          <w:rFonts w:ascii="仿宋" w:hAnsi="仿宋" w:eastAsia="仿宋"/>
                          <w:color w:val="FF0000"/>
                          <w:sz w:val="32"/>
                          <w:szCs w:val="32"/>
                        </w:rPr>
                      </w:pPr>
                      <w:r>
                        <w:rPr>
                          <w:rFonts w:hint="eastAsia" w:ascii="仿宋" w:hAnsi="仿宋" w:eastAsia="仿宋"/>
                          <w:sz w:val="32"/>
                          <w:szCs w:val="32"/>
                        </w:rPr>
                        <w:t xml:space="preserve">项目名称：                             </w:t>
                      </w:r>
                    </w:p>
                    <w:p w14:paraId="2BBDFD16">
                      <w:pPr>
                        <w:jc w:val="center"/>
                        <w:rPr>
                          <w:rFonts w:ascii="仿宋" w:hAnsi="仿宋" w:eastAsia="仿宋"/>
                          <w:b/>
                          <w:sz w:val="32"/>
                          <w:szCs w:val="32"/>
                        </w:rPr>
                      </w:pPr>
                      <w:r>
                        <w:rPr>
                          <w:rFonts w:hint="eastAsia" w:ascii="仿宋" w:hAnsi="仿宋" w:eastAsia="仿宋"/>
                          <w:b/>
                          <w:sz w:val="32"/>
                          <w:szCs w:val="32"/>
                        </w:rPr>
                        <w:t>商务及技术响应文件</w:t>
                      </w:r>
                    </w:p>
                    <w:p w14:paraId="7E27F944">
                      <w:pPr>
                        <w:jc w:val="center"/>
                        <w:rPr>
                          <w:rFonts w:ascii="仿宋" w:hAnsi="仿宋" w:eastAsia="仿宋"/>
                          <w:sz w:val="32"/>
                          <w:szCs w:val="32"/>
                        </w:rPr>
                      </w:pPr>
                      <w:r>
                        <w:rPr>
                          <w:rFonts w:hint="eastAsia" w:ascii="仿宋" w:hAnsi="仿宋" w:eastAsia="仿宋"/>
                          <w:sz w:val="32"/>
                          <w:szCs w:val="32"/>
                        </w:rPr>
                        <w:t>（开标前不得启封）</w:t>
                      </w:r>
                    </w:p>
                    <w:p w14:paraId="2333A601">
                      <w:pPr>
                        <w:rPr>
                          <w:rFonts w:ascii="仿宋" w:hAnsi="仿宋" w:eastAsia="仿宋"/>
                          <w:sz w:val="32"/>
                          <w:szCs w:val="32"/>
                        </w:rPr>
                      </w:pPr>
                    </w:p>
                    <w:p w14:paraId="71EE75B2">
                      <w:pPr>
                        <w:rPr>
                          <w:rFonts w:ascii="仿宋" w:hAnsi="仿宋" w:eastAsia="仿宋"/>
                          <w:sz w:val="32"/>
                          <w:szCs w:val="32"/>
                        </w:rPr>
                      </w:pPr>
                    </w:p>
                    <w:p w14:paraId="22637794">
                      <w:pPr>
                        <w:rPr>
                          <w:rFonts w:ascii="仿宋" w:hAnsi="仿宋" w:eastAsia="仿宋"/>
                          <w:sz w:val="32"/>
                          <w:szCs w:val="32"/>
                        </w:rPr>
                      </w:pPr>
                    </w:p>
                    <w:p w14:paraId="397EF98F">
                      <w:pPr>
                        <w:rPr>
                          <w:rFonts w:ascii="仿宋" w:hAnsi="仿宋" w:eastAsia="仿宋"/>
                          <w:sz w:val="32"/>
                          <w:szCs w:val="32"/>
                        </w:rPr>
                      </w:pPr>
                      <w:r>
                        <w:rPr>
                          <w:rFonts w:hint="eastAsia" w:ascii="仿宋" w:hAnsi="仿宋" w:eastAsia="仿宋"/>
                          <w:sz w:val="32"/>
                          <w:szCs w:val="32"/>
                        </w:rPr>
                        <w:t>投标人全称：               （公章）</w:t>
                      </w:r>
                    </w:p>
                    <w:p w14:paraId="0D127CBA"/>
                  </w:txbxContent>
                </v:textbox>
              </v:shape>
            </w:pict>
          </mc:Fallback>
        </mc:AlternateContent>
      </w:r>
      <w:r>
        <w:rPr>
          <w:rFonts w:hint="eastAsia" w:ascii="宋体" w:hAnsi="宋体" w:cs="宋体"/>
          <w:b/>
          <w:sz w:val="32"/>
          <w:szCs w:val="32"/>
        </w:rPr>
        <w:t>格式B：商务及技术响应文件封袋正面标识式样</w:t>
      </w:r>
    </w:p>
    <w:p w14:paraId="0EAEBCD9">
      <w:pPr>
        <w:spacing w:line="336" w:lineRule="auto"/>
        <w:ind w:firstLine="641" w:firstLineChars="200"/>
        <w:rPr>
          <w:rFonts w:ascii="宋体" w:hAnsi="宋体" w:cs="宋体"/>
          <w:b/>
          <w:sz w:val="32"/>
          <w:szCs w:val="32"/>
        </w:rPr>
      </w:pPr>
    </w:p>
    <w:p w14:paraId="577E590E">
      <w:pPr>
        <w:spacing w:line="336" w:lineRule="auto"/>
        <w:ind w:firstLine="641" w:firstLineChars="200"/>
        <w:rPr>
          <w:rFonts w:ascii="宋体" w:hAnsi="宋体" w:cs="宋体"/>
          <w:b/>
          <w:sz w:val="32"/>
          <w:szCs w:val="32"/>
        </w:rPr>
      </w:pPr>
    </w:p>
    <w:p w14:paraId="715FB809">
      <w:pPr>
        <w:spacing w:line="336" w:lineRule="auto"/>
        <w:ind w:firstLine="641" w:firstLineChars="200"/>
        <w:rPr>
          <w:rFonts w:ascii="宋体" w:hAnsi="宋体" w:cs="宋体"/>
          <w:b/>
          <w:sz w:val="32"/>
          <w:szCs w:val="32"/>
        </w:rPr>
      </w:pPr>
    </w:p>
    <w:p w14:paraId="03BC30D7">
      <w:pPr>
        <w:spacing w:line="336" w:lineRule="auto"/>
        <w:ind w:firstLine="1602" w:firstLineChars="500"/>
        <w:rPr>
          <w:rFonts w:ascii="宋体" w:hAnsi="宋体" w:cs="宋体"/>
          <w:b/>
          <w:sz w:val="32"/>
          <w:szCs w:val="32"/>
        </w:rPr>
      </w:pPr>
    </w:p>
    <w:p w14:paraId="277A144E">
      <w:pPr>
        <w:spacing w:line="336" w:lineRule="auto"/>
        <w:ind w:firstLine="641" w:firstLineChars="200"/>
        <w:rPr>
          <w:rFonts w:ascii="宋体" w:hAnsi="宋体" w:cs="宋体"/>
          <w:b/>
          <w:sz w:val="32"/>
          <w:szCs w:val="32"/>
        </w:rPr>
      </w:pPr>
    </w:p>
    <w:p w14:paraId="3E5E04B9">
      <w:pPr>
        <w:spacing w:line="336" w:lineRule="auto"/>
        <w:ind w:firstLine="641" w:firstLineChars="200"/>
        <w:rPr>
          <w:rFonts w:ascii="宋体" w:hAnsi="宋体" w:cs="宋体"/>
          <w:b/>
          <w:sz w:val="32"/>
          <w:szCs w:val="32"/>
        </w:rPr>
      </w:pPr>
    </w:p>
    <w:p w14:paraId="4D99E8B7">
      <w:pPr>
        <w:spacing w:line="240" w:lineRule="auto"/>
        <w:jc w:val="left"/>
        <w:rPr>
          <w:rFonts w:ascii="宋体" w:hAnsi="宋体" w:cs="宋体"/>
          <w:b/>
          <w:sz w:val="32"/>
          <w:szCs w:val="32"/>
        </w:rPr>
      </w:pPr>
      <w:r>
        <w:rPr>
          <w:rFonts w:ascii="宋体" w:hAnsi="宋体" w:cs="宋体"/>
          <w:b/>
          <w:sz w:val="32"/>
          <w:szCs w:val="32"/>
        </w:rPr>
        <w:br w:type="page"/>
      </w:r>
    </w:p>
    <w:p w14:paraId="4B8C6942">
      <w:pPr>
        <w:spacing w:line="336" w:lineRule="auto"/>
        <w:ind w:firstLine="641" w:firstLineChars="200"/>
        <w:rPr>
          <w:rFonts w:ascii="宋体" w:hAnsi="宋体" w:cs="宋体"/>
          <w:b/>
          <w:sz w:val="32"/>
          <w:szCs w:val="32"/>
        </w:rPr>
      </w:pPr>
      <w:r>
        <w:rPr>
          <w:rFonts w:ascii="宋体" w:hAnsi="宋体" w:cs="宋体"/>
          <w:b/>
          <w:sz w:val="32"/>
          <w:szCs w:val="32"/>
        </w:rPr>
        <mc:AlternateContent>
          <mc:Choice Requires="wps">
            <w:drawing>
              <wp:anchor distT="0" distB="0" distL="114300" distR="114300" simplePos="0" relativeHeight="251713536" behindDoc="0" locked="0" layoutInCell="1" allowOverlap="1">
                <wp:simplePos x="0" y="0"/>
                <wp:positionH relativeFrom="column">
                  <wp:posOffset>0</wp:posOffset>
                </wp:positionH>
                <wp:positionV relativeFrom="paragraph">
                  <wp:posOffset>349885</wp:posOffset>
                </wp:positionV>
                <wp:extent cx="5867400" cy="2870835"/>
                <wp:effectExtent l="5080" t="5080" r="13970" b="19685"/>
                <wp:wrapNone/>
                <wp:docPr id="3" name="文本框 5"/>
                <wp:cNvGraphicFramePr/>
                <a:graphic xmlns:a="http://schemas.openxmlformats.org/drawingml/2006/main">
                  <a:graphicData uri="http://schemas.microsoft.com/office/word/2010/wordprocessingShape">
                    <wps:wsp>
                      <wps:cNvSpPr txBox="1"/>
                      <wps:spPr>
                        <a:xfrm>
                          <a:off x="0" y="0"/>
                          <a:ext cx="5867400" cy="28708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D2438C">
                            <w:pPr>
                              <w:rPr>
                                <w:rFonts w:ascii="仿宋" w:hAnsi="仿宋" w:eastAsia="仿宋"/>
                                <w:sz w:val="32"/>
                                <w:szCs w:val="32"/>
                              </w:rPr>
                            </w:pPr>
                          </w:p>
                          <w:p w14:paraId="7EFE4AB4">
                            <w:pPr>
                              <w:rPr>
                                <w:rFonts w:ascii="仿宋" w:hAnsi="仿宋" w:eastAsia="仿宋"/>
                                <w:sz w:val="32"/>
                                <w:szCs w:val="32"/>
                                <w:u w:val="single"/>
                              </w:rPr>
                            </w:pPr>
                            <w:r>
                              <w:rPr>
                                <w:rFonts w:hint="eastAsia" w:ascii="仿宋" w:hAnsi="仿宋" w:eastAsia="仿宋"/>
                                <w:sz w:val="32"/>
                                <w:szCs w:val="32"/>
                              </w:rPr>
                              <w:t>致：</w:t>
                            </w:r>
                            <w:r>
                              <w:rPr>
                                <w:rFonts w:hint="eastAsia" w:ascii="仿宋" w:hAnsi="仿宋" w:eastAsia="仿宋"/>
                                <w:sz w:val="32"/>
                                <w:szCs w:val="32"/>
                                <w:u w:val="single"/>
                              </w:rPr>
                              <w:t>府谷县政府投资和采购服务中心</w:t>
                            </w:r>
                          </w:p>
                          <w:p w14:paraId="5227B095">
                            <w:pPr>
                              <w:rPr>
                                <w:rFonts w:ascii="仿宋" w:hAnsi="仿宋" w:eastAsia="仿宋"/>
                                <w:sz w:val="32"/>
                                <w:szCs w:val="32"/>
                                <w:u w:val="single"/>
                              </w:rPr>
                            </w:pPr>
                          </w:p>
                          <w:p w14:paraId="197BD97C">
                            <w:pPr>
                              <w:rPr>
                                <w:rFonts w:ascii="仿宋" w:hAnsi="仿宋" w:eastAsia="仿宋"/>
                                <w:color w:val="FF0000"/>
                                <w:sz w:val="32"/>
                                <w:szCs w:val="32"/>
                              </w:rPr>
                            </w:pPr>
                            <w:r>
                              <w:rPr>
                                <w:rFonts w:hint="eastAsia" w:ascii="仿宋" w:hAnsi="仿宋" w:eastAsia="仿宋"/>
                                <w:sz w:val="32"/>
                                <w:szCs w:val="32"/>
                              </w:rPr>
                              <w:t xml:space="preserve">项目编号：                                    </w:t>
                            </w:r>
                          </w:p>
                          <w:p w14:paraId="74F8B0EB">
                            <w:pPr>
                              <w:rPr>
                                <w:rFonts w:ascii="仿宋" w:hAnsi="仿宋" w:eastAsia="仿宋"/>
                                <w:color w:val="FF0000"/>
                                <w:sz w:val="32"/>
                                <w:szCs w:val="32"/>
                              </w:rPr>
                            </w:pPr>
                            <w:r>
                              <w:rPr>
                                <w:rFonts w:hint="eastAsia" w:ascii="仿宋" w:hAnsi="仿宋" w:eastAsia="仿宋"/>
                                <w:sz w:val="32"/>
                                <w:szCs w:val="32"/>
                              </w:rPr>
                              <w:t xml:space="preserve">项目名称：                             </w:t>
                            </w:r>
                          </w:p>
                          <w:p w14:paraId="6C19623E">
                            <w:pPr>
                              <w:jc w:val="center"/>
                              <w:rPr>
                                <w:rFonts w:ascii="仿宋" w:hAnsi="仿宋" w:eastAsia="仿宋"/>
                                <w:b/>
                                <w:sz w:val="32"/>
                                <w:szCs w:val="32"/>
                              </w:rPr>
                            </w:pPr>
                            <w:r>
                              <w:rPr>
                                <w:rFonts w:hint="eastAsia" w:ascii="仿宋" w:hAnsi="仿宋" w:eastAsia="仿宋"/>
                                <w:b/>
                                <w:sz w:val="32"/>
                                <w:szCs w:val="32"/>
                              </w:rPr>
                              <w:t>电子响应文件</w:t>
                            </w:r>
                          </w:p>
                          <w:p w14:paraId="17E69C2E">
                            <w:pPr>
                              <w:jc w:val="center"/>
                              <w:rPr>
                                <w:rFonts w:ascii="仿宋" w:hAnsi="仿宋" w:eastAsia="仿宋"/>
                                <w:sz w:val="32"/>
                                <w:szCs w:val="32"/>
                              </w:rPr>
                            </w:pPr>
                            <w:r>
                              <w:rPr>
                                <w:rFonts w:hint="eastAsia" w:ascii="仿宋" w:hAnsi="仿宋" w:eastAsia="仿宋"/>
                                <w:sz w:val="32"/>
                                <w:szCs w:val="32"/>
                              </w:rPr>
                              <w:t>（开标前不得启封）</w:t>
                            </w:r>
                          </w:p>
                          <w:p w14:paraId="7A143C6D">
                            <w:pPr>
                              <w:rPr>
                                <w:rFonts w:ascii="仿宋" w:hAnsi="仿宋" w:eastAsia="仿宋"/>
                                <w:sz w:val="32"/>
                                <w:szCs w:val="32"/>
                              </w:rPr>
                            </w:pPr>
                          </w:p>
                          <w:p w14:paraId="1AD918B6">
                            <w:pPr>
                              <w:pStyle w:val="4"/>
                            </w:pPr>
                          </w:p>
                          <w:p w14:paraId="532ED49C">
                            <w:pPr>
                              <w:rPr>
                                <w:rFonts w:ascii="仿宋" w:hAnsi="仿宋" w:eastAsia="仿宋"/>
                                <w:sz w:val="32"/>
                                <w:szCs w:val="32"/>
                              </w:rPr>
                            </w:pPr>
                            <w:r>
                              <w:rPr>
                                <w:rFonts w:hint="eastAsia" w:ascii="仿宋" w:hAnsi="仿宋" w:eastAsia="仿宋"/>
                                <w:sz w:val="32"/>
                                <w:szCs w:val="32"/>
                              </w:rPr>
                              <w:t>投标人全称：                （公章）</w:t>
                            </w:r>
                          </w:p>
                          <w:p w14:paraId="632ABE41"/>
                        </w:txbxContent>
                      </wps:txbx>
                      <wps:bodyPr upright="1"/>
                    </wps:wsp>
                  </a:graphicData>
                </a:graphic>
              </wp:anchor>
            </w:drawing>
          </mc:Choice>
          <mc:Fallback>
            <w:pict>
              <v:shape id="文本框 5" o:spid="_x0000_s1026" o:spt="202" type="#_x0000_t202" style="position:absolute;left:0pt;margin-left:0pt;margin-top:27.55pt;height:226.05pt;width:462pt;z-index:251713536;mso-width-relative:page;mso-height-relative:page;" fillcolor="#FFFFFF" filled="t" stroked="t" coordsize="21600,21600" o:gfxdata="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qMG/q1gAAAAcBAAAPAAAAAAAAAAEAIAAA&#10;ACIAAABkcnMvZG93bnJldi54bWxQSwECFAAUAAAACACHTuJA4kOQ3A4CAAA3BAAADgAAAAAAAAAB&#10;ACAAAAAlAQAAZHJzL2Uyb0RvYy54bWxQSwUGAAAAAAYABgBZAQAApQUAAAAA&#10;">
                <v:fill on="t" focussize="0,0"/>
                <v:stroke color="#000000" joinstyle="miter"/>
                <v:imagedata o:title=""/>
                <o:lock v:ext="edit" aspectratio="f"/>
                <v:textbox>
                  <w:txbxContent>
                    <w:p w14:paraId="19D2438C">
                      <w:pPr>
                        <w:rPr>
                          <w:rFonts w:ascii="仿宋" w:hAnsi="仿宋" w:eastAsia="仿宋"/>
                          <w:sz w:val="32"/>
                          <w:szCs w:val="32"/>
                        </w:rPr>
                      </w:pPr>
                    </w:p>
                    <w:p w14:paraId="7EFE4AB4">
                      <w:pPr>
                        <w:rPr>
                          <w:rFonts w:ascii="仿宋" w:hAnsi="仿宋" w:eastAsia="仿宋"/>
                          <w:sz w:val="32"/>
                          <w:szCs w:val="32"/>
                          <w:u w:val="single"/>
                        </w:rPr>
                      </w:pPr>
                      <w:r>
                        <w:rPr>
                          <w:rFonts w:hint="eastAsia" w:ascii="仿宋" w:hAnsi="仿宋" w:eastAsia="仿宋"/>
                          <w:sz w:val="32"/>
                          <w:szCs w:val="32"/>
                        </w:rPr>
                        <w:t>致：</w:t>
                      </w:r>
                      <w:r>
                        <w:rPr>
                          <w:rFonts w:hint="eastAsia" w:ascii="仿宋" w:hAnsi="仿宋" w:eastAsia="仿宋"/>
                          <w:sz w:val="32"/>
                          <w:szCs w:val="32"/>
                          <w:u w:val="single"/>
                        </w:rPr>
                        <w:t>府谷县政府投资和采购服务中心</w:t>
                      </w:r>
                    </w:p>
                    <w:p w14:paraId="5227B095">
                      <w:pPr>
                        <w:rPr>
                          <w:rFonts w:ascii="仿宋" w:hAnsi="仿宋" w:eastAsia="仿宋"/>
                          <w:sz w:val="32"/>
                          <w:szCs w:val="32"/>
                          <w:u w:val="single"/>
                        </w:rPr>
                      </w:pPr>
                    </w:p>
                    <w:p w14:paraId="197BD97C">
                      <w:pPr>
                        <w:rPr>
                          <w:rFonts w:ascii="仿宋" w:hAnsi="仿宋" w:eastAsia="仿宋"/>
                          <w:color w:val="FF0000"/>
                          <w:sz w:val="32"/>
                          <w:szCs w:val="32"/>
                        </w:rPr>
                      </w:pPr>
                      <w:r>
                        <w:rPr>
                          <w:rFonts w:hint="eastAsia" w:ascii="仿宋" w:hAnsi="仿宋" w:eastAsia="仿宋"/>
                          <w:sz w:val="32"/>
                          <w:szCs w:val="32"/>
                        </w:rPr>
                        <w:t xml:space="preserve">项目编号：                                    </w:t>
                      </w:r>
                    </w:p>
                    <w:p w14:paraId="74F8B0EB">
                      <w:pPr>
                        <w:rPr>
                          <w:rFonts w:ascii="仿宋" w:hAnsi="仿宋" w:eastAsia="仿宋"/>
                          <w:color w:val="FF0000"/>
                          <w:sz w:val="32"/>
                          <w:szCs w:val="32"/>
                        </w:rPr>
                      </w:pPr>
                      <w:r>
                        <w:rPr>
                          <w:rFonts w:hint="eastAsia" w:ascii="仿宋" w:hAnsi="仿宋" w:eastAsia="仿宋"/>
                          <w:sz w:val="32"/>
                          <w:szCs w:val="32"/>
                        </w:rPr>
                        <w:t xml:space="preserve">项目名称：                             </w:t>
                      </w:r>
                    </w:p>
                    <w:p w14:paraId="6C19623E">
                      <w:pPr>
                        <w:jc w:val="center"/>
                        <w:rPr>
                          <w:rFonts w:ascii="仿宋" w:hAnsi="仿宋" w:eastAsia="仿宋"/>
                          <w:b/>
                          <w:sz w:val="32"/>
                          <w:szCs w:val="32"/>
                        </w:rPr>
                      </w:pPr>
                      <w:r>
                        <w:rPr>
                          <w:rFonts w:hint="eastAsia" w:ascii="仿宋" w:hAnsi="仿宋" w:eastAsia="仿宋"/>
                          <w:b/>
                          <w:sz w:val="32"/>
                          <w:szCs w:val="32"/>
                        </w:rPr>
                        <w:t>电子响应文件</w:t>
                      </w:r>
                    </w:p>
                    <w:p w14:paraId="17E69C2E">
                      <w:pPr>
                        <w:jc w:val="center"/>
                        <w:rPr>
                          <w:rFonts w:ascii="仿宋" w:hAnsi="仿宋" w:eastAsia="仿宋"/>
                          <w:sz w:val="32"/>
                          <w:szCs w:val="32"/>
                        </w:rPr>
                      </w:pPr>
                      <w:r>
                        <w:rPr>
                          <w:rFonts w:hint="eastAsia" w:ascii="仿宋" w:hAnsi="仿宋" w:eastAsia="仿宋"/>
                          <w:sz w:val="32"/>
                          <w:szCs w:val="32"/>
                        </w:rPr>
                        <w:t>（开标前不得启封）</w:t>
                      </w:r>
                    </w:p>
                    <w:p w14:paraId="7A143C6D">
                      <w:pPr>
                        <w:rPr>
                          <w:rFonts w:ascii="仿宋" w:hAnsi="仿宋" w:eastAsia="仿宋"/>
                          <w:sz w:val="32"/>
                          <w:szCs w:val="32"/>
                        </w:rPr>
                      </w:pPr>
                    </w:p>
                    <w:p w14:paraId="1AD918B6">
                      <w:pPr>
                        <w:pStyle w:val="4"/>
                      </w:pPr>
                    </w:p>
                    <w:p w14:paraId="532ED49C">
                      <w:pPr>
                        <w:rPr>
                          <w:rFonts w:ascii="仿宋" w:hAnsi="仿宋" w:eastAsia="仿宋"/>
                          <w:sz w:val="32"/>
                          <w:szCs w:val="32"/>
                        </w:rPr>
                      </w:pPr>
                      <w:r>
                        <w:rPr>
                          <w:rFonts w:hint="eastAsia" w:ascii="仿宋" w:hAnsi="仿宋" w:eastAsia="仿宋"/>
                          <w:sz w:val="32"/>
                          <w:szCs w:val="32"/>
                        </w:rPr>
                        <w:t>投标人全称：                （公章）</w:t>
                      </w:r>
                    </w:p>
                    <w:p w14:paraId="632ABE41"/>
                  </w:txbxContent>
                </v:textbox>
              </v:shape>
            </w:pict>
          </mc:Fallback>
        </mc:AlternateContent>
      </w:r>
      <w:r>
        <w:rPr>
          <w:rFonts w:hint="eastAsia" w:ascii="宋体" w:hAnsi="宋体" w:cs="宋体"/>
          <w:b/>
          <w:sz w:val="32"/>
          <w:szCs w:val="32"/>
        </w:rPr>
        <w:t>格式C：电子响应文件封袋正面标识式样</w:t>
      </w:r>
    </w:p>
    <w:p w14:paraId="2A2DBCD5">
      <w:pPr>
        <w:spacing w:line="336" w:lineRule="auto"/>
        <w:ind w:firstLine="641" w:firstLineChars="200"/>
        <w:rPr>
          <w:rFonts w:ascii="宋体" w:hAnsi="宋体" w:cs="宋体"/>
          <w:b/>
          <w:sz w:val="32"/>
          <w:szCs w:val="32"/>
        </w:rPr>
      </w:pPr>
    </w:p>
    <w:p w14:paraId="5EB09E8B">
      <w:pPr>
        <w:spacing w:line="336" w:lineRule="auto"/>
        <w:ind w:firstLine="641" w:firstLineChars="200"/>
        <w:rPr>
          <w:rFonts w:ascii="宋体" w:hAnsi="宋体" w:cs="宋体"/>
          <w:b/>
          <w:sz w:val="32"/>
          <w:szCs w:val="32"/>
        </w:rPr>
      </w:pPr>
    </w:p>
    <w:p w14:paraId="4D0465BA">
      <w:pPr>
        <w:spacing w:line="336" w:lineRule="auto"/>
        <w:ind w:firstLine="641" w:firstLineChars="200"/>
        <w:rPr>
          <w:rFonts w:ascii="宋体" w:hAnsi="宋体" w:cs="宋体"/>
          <w:b/>
          <w:sz w:val="32"/>
          <w:szCs w:val="32"/>
        </w:rPr>
      </w:pPr>
    </w:p>
    <w:p w14:paraId="11C841BF">
      <w:pPr>
        <w:spacing w:line="336" w:lineRule="auto"/>
        <w:ind w:firstLine="641" w:firstLineChars="200"/>
        <w:rPr>
          <w:rFonts w:ascii="宋体" w:hAnsi="宋体" w:cs="宋体"/>
          <w:b/>
          <w:sz w:val="32"/>
          <w:szCs w:val="32"/>
        </w:rPr>
      </w:pPr>
    </w:p>
    <w:p w14:paraId="6352C7F5">
      <w:pPr>
        <w:spacing w:line="336" w:lineRule="auto"/>
        <w:ind w:firstLine="1602" w:firstLineChars="500"/>
        <w:rPr>
          <w:rFonts w:ascii="宋体" w:hAnsi="宋体" w:cs="宋体"/>
          <w:b/>
          <w:sz w:val="32"/>
          <w:szCs w:val="32"/>
        </w:rPr>
      </w:pPr>
    </w:p>
    <w:p w14:paraId="6E179FA6">
      <w:pPr>
        <w:spacing w:line="336" w:lineRule="auto"/>
        <w:ind w:firstLine="1602" w:firstLineChars="500"/>
        <w:rPr>
          <w:rFonts w:ascii="宋体" w:hAnsi="宋体" w:cs="宋体"/>
          <w:b/>
          <w:sz w:val="32"/>
          <w:szCs w:val="32"/>
        </w:rPr>
      </w:pPr>
    </w:p>
    <w:p w14:paraId="491BA5A7">
      <w:pPr>
        <w:spacing w:line="336" w:lineRule="auto"/>
        <w:ind w:firstLine="641" w:firstLineChars="200"/>
        <w:rPr>
          <w:rFonts w:ascii="宋体" w:hAnsi="宋体" w:cs="宋体"/>
          <w:b/>
          <w:sz w:val="32"/>
          <w:szCs w:val="32"/>
        </w:rPr>
      </w:pPr>
    </w:p>
    <w:p w14:paraId="35CA473F">
      <w:pPr>
        <w:spacing w:line="240" w:lineRule="auto"/>
        <w:jc w:val="left"/>
        <w:rPr>
          <w:rFonts w:ascii="华文仿宋" w:hAnsi="华文仿宋" w:cs="楷体"/>
          <w:b/>
          <w:bCs/>
          <w:sz w:val="24"/>
          <w:szCs w:val="24"/>
          <w:lang w:val="zh-CN"/>
        </w:rPr>
      </w:pPr>
    </w:p>
    <w:p w14:paraId="1C8E71E3">
      <w:pPr>
        <w:pStyle w:val="44"/>
        <w:rPr>
          <w:rFonts w:ascii="华文仿宋" w:hAnsi="华文仿宋" w:cs="楷体"/>
          <w:b/>
          <w:bCs/>
          <w:sz w:val="24"/>
          <w:szCs w:val="24"/>
          <w:lang w:val="zh-CN"/>
        </w:rPr>
      </w:pPr>
    </w:p>
    <w:p w14:paraId="49484F68">
      <w:pPr>
        <w:pStyle w:val="44"/>
        <w:rPr>
          <w:rFonts w:ascii="华文仿宋" w:hAnsi="华文仿宋" w:cs="楷体"/>
          <w:b/>
          <w:bCs/>
          <w:sz w:val="24"/>
          <w:szCs w:val="24"/>
          <w:lang w:val="zh-CN"/>
        </w:rPr>
      </w:pPr>
    </w:p>
    <w:p w14:paraId="105B0639">
      <w:pPr>
        <w:pStyle w:val="44"/>
        <w:rPr>
          <w:rFonts w:ascii="华文仿宋" w:hAnsi="华文仿宋" w:cs="楷体"/>
          <w:b/>
          <w:bCs/>
          <w:sz w:val="24"/>
          <w:szCs w:val="24"/>
          <w:lang w:val="zh-CN"/>
        </w:rPr>
      </w:pPr>
    </w:p>
    <w:p w14:paraId="41EB7B5A">
      <w:pPr>
        <w:pStyle w:val="44"/>
        <w:rPr>
          <w:rFonts w:ascii="华文仿宋" w:hAnsi="华文仿宋" w:cs="楷体"/>
          <w:b/>
          <w:bCs/>
          <w:sz w:val="24"/>
          <w:szCs w:val="24"/>
          <w:lang w:val="zh-CN"/>
        </w:rPr>
      </w:pPr>
    </w:p>
    <w:p w14:paraId="1789EE4D">
      <w:pPr>
        <w:pStyle w:val="44"/>
        <w:rPr>
          <w:rFonts w:ascii="华文仿宋" w:hAnsi="华文仿宋" w:cs="楷体"/>
          <w:b/>
          <w:bCs/>
          <w:sz w:val="24"/>
          <w:szCs w:val="24"/>
          <w:lang w:val="zh-CN"/>
        </w:rPr>
      </w:pPr>
    </w:p>
    <w:p w14:paraId="70361D18">
      <w:pPr>
        <w:pStyle w:val="4"/>
        <w:ind w:left="0" w:leftChars="0" w:firstLine="0" w:firstLineChars="0"/>
        <w:rPr>
          <w:rFonts w:hint="default" w:ascii="华文仿宋" w:hAnsi="华文仿宋" w:eastAsia="华文仿宋" w:cs="楷体"/>
          <w:b/>
          <w:bCs/>
          <w:kern w:val="2"/>
          <w:sz w:val="28"/>
          <w:szCs w:val="28"/>
          <w:lang w:val="en-US" w:eastAsia="zh-CN" w:bidi="ar-SA"/>
        </w:rPr>
      </w:pPr>
    </w:p>
    <w:p w14:paraId="16F2521B">
      <w:pPr>
        <w:pStyle w:val="4"/>
        <w:ind w:left="0" w:leftChars="0" w:firstLine="0" w:firstLineChars="0"/>
        <w:rPr>
          <w:rFonts w:hint="default" w:ascii="华文仿宋" w:hAnsi="华文仿宋" w:eastAsia="华文仿宋" w:cs="楷体"/>
          <w:b/>
          <w:bCs/>
          <w:kern w:val="2"/>
          <w:sz w:val="28"/>
          <w:szCs w:val="28"/>
          <w:lang w:val="en-US" w:eastAsia="zh-CN" w:bidi="ar-SA"/>
        </w:rPr>
      </w:pPr>
    </w:p>
    <w:p w14:paraId="4C434221">
      <w:pPr>
        <w:pStyle w:val="4"/>
        <w:ind w:left="0" w:leftChars="0" w:firstLine="0" w:firstLineChars="0"/>
        <w:rPr>
          <w:rFonts w:hint="default" w:ascii="华文仿宋" w:hAnsi="华文仿宋" w:eastAsia="华文仿宋" w:cs="楷体"/>
          <w:b/>
          <w:bCs/>
          <w:kern w:val="2"/>
          <w:sz w:val="28"/>
          <w:szCs w:val="28"/>
          <w:lang w:val="en-US" w:eastAsia="zh-CN" w:bidi="ar-SA"/>
        </w:rPr>
      </w:pPr>
    </w:p>
    <w:p w14:paraId="24DEE120">
      <w:pPr>
        <w:pStyle w:val="4"/>
        <w:ind w:left="0" w:leftChars="0" w:firstLine="0" w:firstLineChars="0"/>
        <w:rPr>
          <w:rFonts w:hint="default" w:ascii="华文仿宋" w:hAnsi="华文仿宋" w:eastAsia="华文仿宋" w:cs="楷体"/>
          <w:b/>
          <w:bCs/>
          <w:kern w:val="2"/>
          <w:sz w:val="28"/>
          <w:szCs w:val="28"/>
          <w:lang w:val="en-US" w:eastAsia="zh-CN" w:bidi="ar-SA"/>
        </w:rPr>
      </w:pPr>
    </w:p>
    <w:p w14:paraId="495360F8">
      <w:pPr>
        <w:pStyle w:val="4"/>
        <w:ind w:left="0" w:leftChars="0" w:firstLine="0" w:firstLineChars="0"/>
        <w:rPr>
          <w:rFonts w:hint="default" w:ascii="华文仿宋" w:hAnsi="华文仿宋" w:eastAsia="华文仿宋" w:cs="楷体"/>
          <w:b/>
          <w:bCs/>
          <w:kern w:val="2"/>
          <w:sz w:val="28"/>
          <w:szCs w:val="28"/>
          <w:lang w:val="en-US" w:eastAsia="zh-CN" w:bidi="ar-SA"/>
        </w:rPr>
      </w:pPr>
    </w:p>
    <w:p w14:paraId="1FEF6C45">
      <w:pPr>
        <w:pStyle w:val="4"/>
        <w:ind w:left="0" w:leftChars="0" w:firstLine="0" w:firstLineChars="0"/>
        <w:rPr>
          <w:rFonts w:hint="default" w:ascii="华文仿宋" w:hAnsi="华文仿宋" w:eastAsia="华文仿宋" w:cs="楷体"/>
          <w:b/>
          <w:bCs/>
          <w:kern w:val="2"/>
          <w:sz w:val="28"/>
          <w:szCs w:val="28"/>
          <w:lang w:val="en-US" w:eastAsia="zh-CN" w:bidi="ar-SA"/>
        </w:rPr>
      </w:pPr>
    </w:p>
    <w:p w14:paraId="57E545B5">
      <w:pPr>
        <w:pStyle w:val="4"/>
        <w:ind w:left="0" w:leftChars="0" w:firstLine="0" w:firstLineChars="0"/>
        <w:rPr>
          <w:rFonts w:hint="default" w:ascii="华文仿宋" w:hAnsi="华文仿宋" w:eastAsia="华文仿宋" w:cs="楷体"/>
          <w:b/>
          <w:bCs/>
          <w:kern w:val="2"/>
          <w:sz w:val="28"/>
          <w:szCs w:val="28"/>
          <w:lang w:val="en-US" w:eastAsia="zh-CN" w:bidi="ar-SA"/>
        </w:rPr>
      </w:pPr>
    </w:p>
    <w:p w14:paraId="60EA3773">
      <w:pPr>
        <w:pStyle w:val="4"/>
        <w:ind w:left="0" w:leftChars="0" w:firstLine="0" w:firstLineChars="0"/>
        <w:rPr>
          <w:rFonts w:hint="default" w:ascii="华文仿宋" w:hAnsi="华文仿宋" w:eastAsia="华文仿宋" w:cs="楷体"/>
          <w:b/>
          <w:bCs/>
          <w:kern w:val="2"/>
          <w:sz w:val="28"/>
          <w:szCs w:val="28"/>
          <w:lang w:val="en-US" w:eastAsia="zh-CN" w:bidi="ar-SA"/>
        </w:rPr>
      </w:pPr>
    </w:p>
    <w:p w14:paraId="43683709">
      <w:pPr>
        <w:pStyle w:val="4"/>
        <w:ind w:left="0" w:leftChars="0" w:firstLine="0" w:firstLineChars="0"/>
        <w:rPr>
          <w:rFonts w:hint="default" w:ascii="华文仿宋" w:hAnsi="华文仿宋" w:eastAsia="华文仿宋" w:cs="楷体"/>
          <w:b/>
          <w:bCs/>
          <w:kern w:val="2"/>
          <w:sz w:val="28"/>
          <w:szCs w:val="28"/>
          <w:lang w:val="en-US" w:eastAsia="zh-CN" w:bidi="ar-SA"/>
        </w:rPr>
      </w:pPr>
    </w:p>
    <w:p w14:paraId="7BC5CB6E">
      <w:pPr>
        <w:pStyle w:val="4"/>
        <w:ind w:left="0" w:leftChars="0" w:firstLine="0" w:firstLineChars="0"/>
        <w:rPr>
          <w:rFonts w:hint="default" w:ascii="华文仿宋" w:hAnsi="华文仿宋" w:eastAsia="华文仿宋" w:cs="楷体"/>
          <w:b/>
          <w:bCs/>
          <w:kern w:val="2"/>
          <w:sz w:val="28"/>
          <w:szCs w:val="28"/>
          <w:lang w:val="en-US" w:eastAsia="zh-CN" w:bidi="ar-SA"/>
        </w:rPr>
      </w:pPr>
    </w:p>
    <w:p w14:paraId="11415617">
      <w:pPr>
        <w:pStyle w:val="4"/>
        <w:ind w:left="0" w:leftChars="0" w:firstLine="0" w:firstLineChars="0"/>
        <w:rPr>
          <w:rFonts w:hint="default" w:ascii="华文仿宋" w:hAnsi="华文仿宋" w:eastAsia="华文仿宋" w:cs="楷体"/>
          <w:b/>
          <w:bCs/>
          <w:kern w:val="2"/>
          <w:sz w:val="28"/>
          <w:szCs w:val="28"/>
          <w:lang w:val="en-US" w:eastAsia="zh-CN" w:bidi="ar-SA"/>
        </w:rPr>
      </w:pPr>
    </w:p>
    <w:bookmarkEnd w:id="52"/>
    <w:bookmarkEnd w:id="53"/>
    <w:bookmarkEnd w:id="54"/>
    <w:bookmarkEnd w:id="55"/>
    <w:bookmarkEnd w:id="56"/>
    <w:bookmarkEnd w:id="57"/>
    <w:bookmarkEnd w:id="58"/>
    <w:bookmarkEnd w:id="59"/>
    <w:p w14:paraId="340AE3CD">
      <w:pPr>
        <w:pStyle w:val="21"/>
        <w:rPr>
          <w:rFonts w:hint="eastAsia" w:eastAsia="华文仿宋"/>
          <w:color w:val="FF0000"/>
          <w:sz w:val="24"/>
          <w:szCs w:val="24"/>
          <w:lang w:eastAsia="zh-CN"/>
        </w:rPr>
      </w:pPr>
    </w:p>
    <w:sectPr>
      <w:footerReference r:id="rId18" w:type="first"/>
      <w:headerReference r:id="rId16" w:type="default"/>
      <w:footerReference r:id="rId17" w:type="default"/>
      <w:pgSz w:w="11906" w:h="16838"/>
      <w:pgMar w:top="1417" w:right="1417" w:bottom="1417" w:left="1417" w:header="850" w:footer="992" w:gutter="0"/>
      <w:pgNumType w:fmt="decimal"/>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EEBB6F7-95C6-4AF6-8717-93B13285D117}"/>
  </w:font>
  <w:font w:name="Arial">
    <w:panose1 w:val="020B0604020202020204"/>
    <w:charset w:val="01"/>
    <w:family w:val="swiss"/>
    <w:pitch w:val="default"/>
    <w:sig w:usb0="E0002EFF" w:usb1="C000785B" w:usb2="00000009" w:usb3="00000000" w:csb0="400001FF" w:csb1="FFFF0000"/>
    <w:embedRegular r:id="rId2" w:fontKey="{E21DA6A2-E10A-4FA5-BA83-B3A25F31389A}"/>
  </w:font>
  <w:font w:name="黑体">
    <w:panose1 w:val="02010609060101010101"/>
    <w:charset w:val="86"/>
    <w:family w:val="auto"/>
    <w:pitch w:val="default"/>
    <w:sig w:usb0="800002BF" w:usb1="38CF7CFA" w:usb2="00000016" w:usb3="00000000" w:csb0="00040001" w:csb1="00000000"/>
    <w:embedRegular r:id="rId3" w:fontKey="{CF999C0A-FF2A-4B9F-ADAE-0A4CFDCF11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1389510-96BC-4A6F-9A0A-E80DECF72398}"/>
  </w:font>
  <w:font w:name="Calibri Light">
    <w:panose1 w:val="020F0302020204030204"/>
    <w:charset w:val="00"/>
    <w:family w:val="swiss"/>
    <w:pitch w:val="default"/>
    <w:sig w:usb0="E4002EFF" w:usb1="C000247B" w:usb2="00000009" w:usb3="00000000" w:csb0="200001FF" w:csb1="00000000"/>
    <w:embedRegular r:id="rId5" w:fontKey="{CBB4B709-372F-43EF-93FD-7655F9C7E04B}"/>
  </w:font>
  <w:font w:name="华文仿宋">
    <w:panose1 w:val="02010600040101010101"/>
    <w:charset w:val="86"/>
    <w:family w:val="auto"/>
    <w:pitch w:val="default"/>
    <w:sig w:usb0="00000287" w:usb1="080F0000" w:usb2="00000000" w:usb3="00000000" w:csb0="0004009F" w:csb1="DFD70000"/>
    <w:embedRegular r:id="rId6" w:fontKey="{B686B4D1-1BD0-4B9F-9F16-AFBE7F76718D}"/>
  </w:font>
  <w:font w:name="仿宋">
    <w:panose1 w:val="02010609060101010101"/>
    <w:charset w:val="86"/>
    <w:family w:val="modern"/>
    <w:pitch w:val="default"/>
    <w:sig w:usb0="800002BF" w:usb1="38CF7CFA" w:usb2="00000016" w:usb3="00000000" w:csb0="00040001" w:csb1="00000000"/>
    <w:embedRegular r:id="rId7" w:fontKey="{D49B8C57-40DA-433B-85D3-2F7E91F2CF44}"/>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0000000000000000000"/>
    <w:charset w:val="86"/>
    <w:family w:val="auto"/>
    <w:pitch w:val="default"/>
    <w:sig w:usb0="00000000" w:usb1="00000000" w:usb2="00000010" w:usb3="00000000" w:csb0="00040000" w:csb1="00000000"/>
    <w:embedRegular r:id="rId8" w:fontKey="{015224CE-3460-4E16-86C0-1A7A8554EB43}"/>
  </w:font>
  <w:font w:name="微软雅黑">
    <w:panose1 w:val="020B0503020204020204"/>
    <w:charset w:val="86"/>
    <w:family w:val="swiss"/>
    <w:pitch w:val="default"/>
    <w:sig w:usb0="80000287" w:usb1="2ACF3C50" w:usb2="00000016" w:usb3="00000000" w:csb0="0004001F" w:csb1="00000000"/>
    <w:embedRegular r:id="rId9" w:fontKey="{03E702E2-0411-4EA5-BF41-1DF44ADDBB8F}"/>
  </w:font>
  <w:font w:name="Wingdings 2">
    <w:panose1 w:val="05020102010507070707"/>
    <w:charset w:val="02"/>
    <w:family w:val="roman"/>
    <w:pitch w:val="default"/>
    <w:sig w:usb0="00000000" w:usb1="00000000" w:usb2="00000000" w:usb3="00000000" w:csb0="80000000" w:csb1="00000000"/>
    <w:embedRegular r:id="rId10" w:fontKey="{82970C81-41BF-48B7-AF5F-78ADB5FD0EA4}"/>
  </w:font>
  <w:font w:name="华文中宋">
    <w:altName w:val="汉仪中黑 197"/>
    <w:panose1 w:val="00000000000000000000"/>
    <w:charset w:val="86"/>
    <w:family w:val="auto"/>
    <w:pitch w:val="default"/>
    <w:sig w:usb0="00000000" w:usb1="00000000" w:usb2="00000000" w:usb3="00000000" w:csb0="0004009F" w:csb1="DFD70000"/>
    <w:embedRegular r:id="rId11" w:fontKey="{2527456C-3316-429A-8351-1A7666D7BC4D}"/>
  </w:font>
  <w:font w:name="汉仪中黑 197">
    <w:panose1 w:val="00020600040101010101"/>
    <w:charset w:val="86"/>
    <w:family w:val="auto"/>
    <w:pitch w:val="default"/>
    <w:sig w:usb0="A00002BF" w:usb1="18EF7CFA" w:usb2="00000016" w:usb3="00000000" w:csb0="0004009F" w:csb1="00000000"/>
  </w:font>
  <w:font w:name="仿宋_GB2312">
    <w:altName w:val="仿宋"/>
    <w:panose1 w:val="00000000000000000000"/>
    <w:charset w:val="00"/>
    <w:family w:val="auto"/>
    <w:pitch w:val="default"/>
    <w:sig w:usb0="00000000" w:usb1="00000000" w:usb2="00000000" w:usb3="00000000" w:csb0="00000000" w:csb1="00000000"/>
    <w:embedRegular r:id="rId12" w:fontKey="{8E5715EF-6E97-4846-A2E7-EC4AB4B34611}"/>
  </w:font>
  <w:font w:name="楷体">
    <w:panose1 w:val="02010609060101010101"/>
    <w:charset w:val="86"/>
    <w:family w:val="modern"/>
    <w:pitch w:val="default"/>
    <w:sig w:usb0="800002BF" w:usb1="38CF7CFA" w:usb2="00000016" w:usb3="00000000" w:csb0="00040001" w:csb1="00000000"/>
    <w:embedRegular r:id="rId13" w:fontKey="{2FCF57E6-4C88-4E66-9A41-573635F70854}"/>
  </w:font>
  <w:font w:name="-apple-system">
    <w:altName w:val="Segoe Print"/>
    <w:panose1 w:val="00000000000000000000"/>
    <w:charset w:val="00"/>
    <w:family w:val="auto"/>
    <w:pitch w:val="default"/>
    <w:sig w:usb0="00000000" w:usb1="00000000" w:usb2="00000000" w:usb3="00000000" w:csb0="00000000" w:csb1="00000000"/>
    <w:embedRegular r:id="rId14" w:fontKey="{B91AA8B6-9B2D-40A6-9817-2EB9BE7B941D}"/>
  </w:font>
  <w:font w:name="宋体-18030">
    <w:altName w:val="SimSun-ExtB"/>
    <w:panose1 w:val="00000000000000000000"/>
    <w:charset w:val="86"/>
    <w:family w:val="modern"/>
    <w:pitch w:val="default"/>
    <w:sig w:usb0="00000000" w:usb1="00000000" w:usb2="000A005E" w:usb3="00000000" w:csb0="00040001" w:csb1="00000000"/>
    <w:embedRegular r:id="rId15" w:fontKey="{13775EDE-8466-4A9F-B738-2F48DCC0BEAC}"/>
  </w:font>
  <w:font w:name="SimSun-ExtB">
    <w:panose1 w:val="02010609060101010101"/>
    <w:charset w:val="86"/>
    <w:family w:val="auto"/>
    <w:pitch w:val="default"/>
    <w:sig w:usb0="00000001" w:usb1="02000000" w:usb2="00000000" w:usb3="00000000" w:csb0="00040001" w:csb1="00000000"/>
  </w:font>
  <w:font w:name="新宋体">
    <w:panose1 w:val="02010609030101010101"/>
    <w:charset w:val="86"/>
    <w:family w:val="modern"/>
    <w:pitch w:val="default"/>
    <w:sig w:usb0="00000283" w:usb1="288F0000" w:usb2="00000006" w:usb3="00000000" w:csb0="00040001" w:csb1="00000000"/>
    <w:embedRegular r:id="rId16" w:fontKey="{AC3C3A62-BBA9-4691-8AC1-6444ADCDC816}"/>
  </w:font>
  <w:font w:name="WPSEMBED5">
    <w:panose1 w:val="02010600040101010101"/>
    <w:charset w:val="86"/>
    <w:family w:val="auto"/>
    <w:pitch w:val="default"/>
    <w:sig w:usb0="00000287" w:usb1="080F0000" w:usb2="00000000" w:usb3="00000000" w:csb0="0004009F" w:csb1="DFD70000"/>
  </w:font>
  <w:font w:name="WPSEMBED6">
    <w:panose1 w:val="05020102010507070707"/>
    <w:charset w:val="00"/>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73EAA">
    <w:pPr>
      <w:pStyle w:val="16"/>
      <w:tabs>
        <w:tab w:val="center" w:pos="4536"/>
        <w:tab w:val="right" w:pos="10489"/>
        <w:tab w:val="clear" w:pos="4153"/>
        <w:tab w:val="clear" w:pos="8306"/>
      </w:tabs>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BE349">
    <w:pPr>
      <w:pStyle w:val="16"/>
      <w:tabs>
        <w:tab w:val="center" w:pos="4536"/>
        <w:tab w:val="right" w:pos="10489"/>
        <w:tab w:val="clear" w:pos="4153"/>
        <w:tab w:val="clear" w:pos="8306"/>
      </w:tabs>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4287C">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5B4C0">
    <w:pPr>
      <w:pStyle w:val="16"/>
      <w:tabs>
        <w:tab w:val="center" w:pos="4536"/>
        <w:tab w:val="right" w:pos="10489"/>
        <w:tab w:val="clear" w:pos="4153"/>
        <w:tab w:val="clear" w:pos="8306"/>
      </w:tabs>
      <w:jc w:val="center"/>
      <w:rPr>
        <w:rFonts w:ascii="宋体" w:hAnsi="宋体"/>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AA589">
                          <w:pPr>
                            <w:pStyle w:val="16"/>
                            <w:tabs>
                              <w:tab w:val="center" w:pos="4536"/>
                              <w:tab w:val="right" w:pos="10489"/>
                              <w:tab w:val="clear" w:pos="4153"/>
                              <w:tab w:val="clear" w:pos="8306"/>
                            </w:tabs>
                            <w:jc w:val="center"/>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100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97AA589">
                    <w:pPr>
                      <w:pStyle w:val="16"/>
                      <w:tabs>
                        <w:tab w:val="center" w:pos="4536"/>
                        <w:tab w:val="right" w:pos="10489"/>
                        <w:tab w:val="clear" w:pos="4153"/>
                        <w:tab w:val="clear" w:pos="8306"/>
                      </w:tabs>
                      <w:jc w:val="center"/>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100</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823E5">
    <w:pPr>
      <w:pStyle w:val="16"/>
      <w:tabs>
        <w:tab w:val="center" w:pos="4536"/>
        <w:tab w:val="right" w:pos="10489"/>
        <w:tab w:val="clear" w:pos="4153"/>
        <w:tab w:val="clear" w:pos="8306"/>
      </w:tabs>
      <w:jc w:val="center"/>
      <w:rPr>
        <w:rFonts w:ascii="宋体" w:hAnsi="宋体"/>
      </w:rPr>
    </w:pPr>
    <w:r>
      <w:rPr>
        <w:rFonts w:ascii="宋体" w:hAnsi="宋体"/>
      </w:rPr>
      <w:t>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20</w:t>
    </w:r>
    <w:r>
      <w:rPr>
        <w:rFonts w:ascii="宋体" w:hAnsi="宋体"/>
      </w:rPr>
      <w:fldChar w:fldCharType="end"/>
    </w:r>
    <w:r>
      <w:rPr>
        <w:rFonts w:ascii="宋体" w:hAnsi="宋体"/>
      </w:rPr>
      <w:t>页　共</w:t>
    </w:r>
    <w:r>
      <w:rPr>
        <w:rFonts w:ascii="宋体" w:hAnsi="宋体"/>
      </w:rPr>
      <w:fldChar w:fldCharType="begin"/>
    </w:r>
    <w:r>
      <w:rPr>
        <w:rFonts w:ascii="宋体" w:hAnsi="宋体"/>
      </w:rPr>
      <w:instrText xml:space="preserve"> =</w:instrText>
    </w:r>
    <w:r>
      <w:fldChar w:fldCharType="begin"/>
    </w:r>
    <w:r>
      <w:instrText xml:space="preserve"> NUMPAGES  \* MERGEFORMAT </w:instrText>
    </w:r>
    <w:r>
      <w:fldChar w:fldCharType="separate"/>
    </w:r>
    <w:r>
      <w:rPr>
        <w:rFonts w:ascii="宋体" w:hAnsi="宋体"/>
      </w:rPr>
      <w:instrText xml:space="preserve">96</w:instrText>
    </w:r>
    <w:r>
      <w:rPr>
        <w:rFonts w:ascii="宋体" w:hAnsi="宋体"/>
      </w:rPr>
      <w:fldChar w:fldCharType="end"/>
    </w:r>
    <w:r>
      <w:rPr>
        <w:rFonts w:ascii="宋体" w:hAnsi="宋体"/>
      </w:rPr>
      <w:instrText xml:space="preserve">-2 \* MERGEFORMAT </w:instrText>
    </w:r>
    <w:r>
      <w:rPr>
        <w:rFonts w:ascii="宋体" w:hAnsi="宋体"/>
      </w:rPr>
      <w:fldChar w:fldCharType="separate"/>
    </w:r>
    <w:r>
      <w:rPr>
        <w:rFonts w:ascii="宋体" w:hAnsi="宋体"/>
      </w:rPr>
      <w:t>94</w:t>
    </w:r>
    <w:r>
      <w:rPr>
        <w:rFonts w:ascii="宋体" w:hAnsi="宋体"/>
      </w:rPr>
      <w:fldChar w:fldCharType="end"/>
    </w:r>
    <w:r>
      <w:rPr>
        <w:rFonts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6F85C">
    <w:pPr>
      <w:pStyle w:val="16"/>
      <w:tabs>
        <w:tab w:val="center" w:pos="4536"/>
        <w:tab w:val="right" w:pos="9070"/>
        <w:tab w:val="clear" w:pos="4153"/>
        <w:tab w:val="clear" w:pos="8306"/>
      </w:tabs>
      <w:rPr>
        <w:rFonts w:ascii="宋体" w:hAnsi="宋体"/>
      </w:rPr>
    </w:pPr>
    <w:r>
      <w:rPr>
        <w:rFonts w:hint="eastAsia" w:ascii="宋体" w:hAnsi="宋体"/>
      </w:rPr>
      <w:t>西安市市级单位政府采购中心</w:t>
    </w:r>
    <w:r>
      <w:rPr>
        <w:rFonts w:ascii="宋体" w:hAnsi="宋体"/>
      </w:rPr>
      <w:tab/>
    </w:r>
    <w:r>
      <w:rPr>
        <w:rFonts w:hint="eastAsia" w:ascii="宋体" w:hAnsi="宋体"/>
      </w:rPr>
      <w:t>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27</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96</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95</w:t>
    </w:r>
    <w:r>
      <w:rPr>
        <w:rFonts w:ascii="宋体" w:hAnsi="宋体"/>
      </w:rPr>
      <w:fldChar w:fldCharType="end"/>
    </w:r>
    <w:r>
      <w:rPr>
        <w:rFonts w:hint="eastAsia" w:ascii="宋体" w:hAnsi="宋体"/>
      </w:rPr>
      <w:t>页</w: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78A49">
    <w:pPr>
      <w:spacing w:line="209" w:lineRule="auto"/>
      <w:ind w:left="4182"/>
      <w:rPr>
        <w:rFonts w:ascii="宋体" w:hAnsi="宋体" w:eastAsia="宋体" w:cs="宋体"/>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CDE952">
                          <w:pPr>
                            <w:pStyle w:val="16"/>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125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CCDE952">
                    <w:pPr>
                      <w:pStyle w:val="16"/>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125</w:t>
                    </w:r>
                    <w:r>
                      <w:t xml:space="preserve"> 页</w:t>
                    </w:r>
                  </w:p>
                </w:txbxContent>
              </v:textbox>
            </v:shape>
          </w:pict>
        </mc:Fallback>
      </mc:AlternateContent>
    </w: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882015" cy="12636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882015" cy="1263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CFB39">
                          <w:pPr>
                            <w:pStyle w:val="16"/>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9.95pt;width:69.45pt;mso-position-horizontal:center;mso-position-horizontal-relative:margin;z-index:251715584;mso-width-relative:page;mso-height-relative:page;" filled="f" stroked="f" coordsize="21600,21600" o:gfxdata="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fyPn1AAAAAQBAAAPAAAAAAAAAAEAIAAAACIAAABkcnMvZG93bnJldi54&#10;bWxQSwECFAAUAAAACACHTuJAb2CWwzcCAABjBAAADgAAAAAAAAABACAAAAAjAQAAZHJzL2Uyb0Rv&#10;Yy54bWxQSwUGAAAAAAYABgBZAQAAzAUAAAAA&#10;">
              <v:fill on="f" focussize="0,0"/>
              <v:stroke on="f" weight="0.5pt"/>
              <v:imagedata o:title=""/>
              <o:lock v:ext="edit" aspectratio="f"/>
              <v:textbox inset="0mm,0mm,0mm,0mm">
                <w:txbxContent>
                  <w:p w14:paraId="2BFCFB39">
                    <w:pPr>
                      <w:pStyle w:val="16"/>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0AE71">
    <w:pPr>
      <w:pStyle w:val="16"/>
      <w:tabs>
        <w:tab w:val="center" w:pos="4536"/>
        <w:tab w:val="right" w:pos="9070"/>
        <w:tab w:val="clear" w:pos="4153"/>
        <w:tab w:val="clear" w:pos="8306"/>
      </w:tabs>
    </w:pPr>
    <w:r>
      <w:rPr>
        <w:rFonts w:hint="eastAsia" w:ascii="宋体" w:hAnsi="宋体"/>
      </w:rPr>
      <w:t>西安市市级单位政府采购中心</w:t>
    </w:r>
    <w:r>
      <w:rPr>
        <w:rFonts w:ascii="宋体" w:hAnsi="宋体"/>
      </w:rPr>
      <w:tab/>
    </w:r>
    <w:r>
      <w:rPr>
        <w:rFonts w:hint="eastAsia" w:ascii="宋体" w:hAnsi="宋体"/>
      </w:rPr>
      <w:t>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96</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95</w:t>
    </w:r>
    <w:r>
      <w:rPr>
        <w:rFonts w:ascii="宋体" w:hAnsi="宋体"/>
      </w:rPr>
      <w:fldChar w:fldCharType="end"/>
    </w:r>
    <w:r>
      <w:rPr>
        <w:rFonts w:hint="eastAsia" w:ascii="宋体" w:hAnsi="宋体"/>
      </w:rPr>
      <w:t>页</w:t>
    </w:r>
    <w:r>
      <w:rPr>
        <w:rFonts w:ascii="宋体" w:hAnsi="宋体"/>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2F8B">
    <w:pPr>
      <w:pStyle w:val="17"/>
      <w:pBdr>
        <w:bottom w:val="none" w:color="auto" w:sz="0" w:space="0"/>
      </w:pBdr>
      <w:jc w:val="right"/>
      <w:rPr>
        <w:rFonts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40BC">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B0043">
    <w:pPr>
      <w:pStyle w:val="17"/>
      <w:rPr>
        <w:rFonts w:hint="eastAsia" w:ascii="华文仿宋" w:hAnsi="华文仿宋" w:eastAsia="华文仿宋" w:cs="华文仿宋"/>
        <w:b/>
        <w:sz w:val="21"/>
        <w:szCs w:val="21"/>
        <w:lang w:eastAsia="zh-CN"/>
      </w:rPr>
    </w:pPr>
    <w:r>
      <w:rPr>
        <w:rFonts w:hint="eastAsia" w:ascii="华文仿宋" w:hAnsi="华文仿宋" w:eastAsia="华文仿宋" w:cs="华文仿宋"/>
        <w:b/>
        <w:sz w:val="21"/>
        <w:szCs w:val="21"/>
        <w:lang w:eastAsia="zh-CN"/>
      </w:rPr>
      <w:t>府谷县公安局业务技术用房及大数据应用中心办公、数据操作等家具设备采购项目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AC7E2">
    <w:pPr>
      <w:pStyle w:val="17"/>
      <w:rPr>
        <w:rFonts w:ascii="宋体" w:hAnsi="宋体" w:cs="宋体"/>
      </w:rPr>
    </w:pPr>
    <w:r>
      <w:rPr>
        <w:rFonts w:hint="eastAsia" w:ascii="宋体" w:hAnsi="宋体" w:cs="宋体"/>
      </w:rPr>
      <w:t>陕西省审计厅社会中介机构资源库采购项目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96A1B">
    <w:pPr>
      <w:pStyle w:val="17"/>
      <w:jc w:val="right"/>
      <w:rPr>
        <w:rFonts w:ascii="宋体" w:hAnsi="宋体"/>
      </w:rPr>
    </w:pPr>
    <w:r>
      <w:rPr>
        <w:rFonts w:hint="eastAsia" w:ascii="宋体" w:hAnsi="宋体"/>
      </w:rPr>
      <w:t>bbb〈项目</w:t>
    </w:r>
    <w:r>
      <w:rPr>
        <w:rFonts w:ascii="宋体" w:hAnsi="宋体"/>
      </w:rPr>
      <w:t>名称</w:t>
    </w:r>
    <w:r>
      <w:rPr>
        <w:rFonts w:hint="eastAsia" w:ascii="宋体" w:hAnsi="宋体"/>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1F5E5">
    <w:pPr>
      <w:pStyle w:val="17"/>
      <w:jc w:val="center"/>
      <w:rPr>
        <w:rFonts w:hint="eastAsia" w:ascii="华文仿宋" w:hAnsi="华文仿宋" w:eastAsia="华文仿宋" w:cs="华文仿宋"/>
        <w:sz w:val="21"/>
        <w:szCs w:val="21"/>
        <w:lang w:eastAsia="zh-CN"/>
      </w:rPr>
    </w:pPr>
    <w:r>
      <w:rPr>
        <w:rFonts w:hint="eastAsia" w:ascii="华文仿宋" w:hAnsi="华文仿宋" w:eastAsia="华文仿宋" w:cs="华文仿宋"/>
        <w:b/>
        <w:sz w:val="21"/>
        <w:szCs w:val="21"/>
        <w:lang w:eastAsia="zh-CN"/>
      </w:rPr>
      <w:t>府谷县公安局业务技术用房及大数据应用中心办公、数据操作等家具设备采购项目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42190"/>
    <w:multiLevelType w:val="singleLevel"/>
    <w:tmpl w:val="87142190"/>
    <w:lvl w:ilvl="0" w:tentative="0">
      <w:start w:val="1"/>
      <w:numFmt w:val="decimal"/>
      <w:suff w:val="nothing"/>
      <w:lvlText w:val="%1、"/>
      <w:lvlJc w:val="left"/>
    </w:lvl>
  </w:abstractNum>
  <w:abstractNum w:abstractNumId="1">
    <w:nsid w:val="A53651F1"/>
    <w:multiLevelType w:val="singleLevel"/>
    <w:tmpl w:val="A53651F1"/>
    <w:lvl w:ilvl="0" w:tentative="0">
      <w:start w:val="2"/>
      <w:numFmt w:val="chineseCounting"/>
      <w:suff w:val="nothing"/>
      <w:lvlText w:val="%1、"/>
      <w:lvlJc w:val="left"/>
      <w:rPr>
        <w:rFonts w:hint="eastAsia"/>
      </w:rPr>
    </w:lvl>
  </w:abstractNum>
  <w:abstractNum w:abstractNumId="2">
    <w:nsid w:val="AF6C3945"/>
    <w:multiLevelType w:val="singleLevel"/>
    <w:tmpl w:val="AF6C3945"/>
    <w:lvl w:ilvl="0" w:tentative="0">
      <w:start w:val="7"/>
      <w:numFmt w:val="decimal"/>
      <w:suff w:val="nothing"/>
      <w:lvlText w:val="%1、"/>
      <w:lvlJc w:val="left"/>
    </w:lvl>
  </w:abstractNum>
  <w:abstractNum w:abstractNumId="3">
    <w:nsid w:val="D78A9C12"/>
    <w:multiLevelType w:val="singleLevel"/>
    <w:tmpl w:val="D78A9C12"/>
    <w:lvl w:ilvl="0" w:tentative="0">
      <w:start w:val="6"/>
      <w:numFmt w:val="chineseCounting"/>
      <w:suff w:val="nothing"/>
      <w:lvlText w:val="%1、"/>
      <w:lvlJc w:val="left"/>
      <w:rPr>
        <w:rFonts w:hint="eastAsia"/>
        <w:b/>
        <w:bCs/>
      </w:rPr>
    </w:lvl>
  </w:abstractNum>
  <w:abstractNum w:abstractNumId="4">
    <w:nsid w:val="F4F3A9F2"/>
    <w:multiLevelType w:val="singleLevel"/>
    <w:tmpl w:val="F4F3A9F2"/>
    <w:lvl w:ilvl="0" w:tentative="0">
      <w:start w:val="3"/>
      <w:numFmt w:val="decimal"/>
      <w:suff w:val="nothing"/>
      <w:lvlText w:val="（%1）"/>
      <w:lvlJc w:val="left"/>
    </w:lvl>
  </w:abstractNum>
  <w:abstractNum w:abstractNumId="5">
    <w:nsid w:val="04D6360B"/>
    <w:multiLevelType w:val="multilevel"/>
    <w:tmpl w:val="04D6360B"/>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E6E52AD"/>
    <w:multiLevelType w:val="singleLevel"/>
    <w:tmpl w:val="6E6E52AD"/>
    <w:lvl w:ilvl="0" w:tentative="0">
      <w:start w:val="1"/>
      <w:numFmt w:val="chineseCounting"/>
      <w:suff w:val="nothing"/>
      <w:lvlText w:val="%1、"/>
      <w:lvlJc w:val="left"/>
      <w:rPr>
        <w:rFonts w:hint="eastAsia"/>
      </w:r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HorizontalSpacing w:val="143"/>
  <w:drawingGridVerticalSpacing w:val="3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YWU3MjUwYjcwMTczMTkzNTZiNmJmMjU1ZTZmYmIifQ=="/>
  </w:docVars>
  <w:rsids>
    <w:rsidRoot w:val="00172A27"/>
    <w:rsid w:val="00000505"/>
    <w:rsid w:val="0000106C"/>
    <w:rsid w:val="00001198"/>
    <w:rsid w:val="00003D21"/>
    <w:rsid w:val="00004EC6"/>
    <w:rsid w:val="00005C23"/>
    <w:rsid w:val="00006CB1"/>
    <w:rsid w:val="00006D93"/>
    <w:rsid w:val="00006F79"/>
    <w:rsid w:val="0001020B"/>
    <w:rsid w:val="00010272"/>
    <w:rsid w:val="00012EBD"/>
    <w:rsid w:val="000134AA"/>
    <w:rsid w:val="00013D05"/>
    <w:rsid w:val="0001401E"/>
    <w:rsid w:val="000140D5"/>
    <w:rsid w:val="000153C4"/>
    <w:rsid w:val="000153C5"/>
    <w:rsid w:val="00015C8F"/>
    <w:rsid w:val="00016CA4"/>
    <w:rsid w:val="00017C69"/>
    <w:rsid w:val="0002046D"/>
    <w:rsid w:val="00020589"/>
    <w:rsid w:val="00020F4F"/>
    <w:rsid w:val="000212EB"/>
    <w:rsid w:val="0002137C"/>
    <w:rsid w:val="00021A1F"/>
    <w:rsid w:val="00021AAC"/>
    <w:rsid w:val="00022B3B"/>
    <w:rsid w:val="0002302E"/>
    <w:rsid w:val="00023384"/>
    <w:rsid w:val="00023622"/>
    <w:rsid w:val="000247D9"/>
    <w:rsid w:val="000248B3"/>
    <w:rsid w:val="00024B39"/>
    <w:rsid w:val="00024D9C"/>
    <w:rsid w:val="0002563F"/>
    <w:rsid w:val="00025A17"/>
    <w:rsid w:val="00026265"/>
    <w:rsid w:val="00026269"/>
    <w:rsid w:val="00026FE0"/>
    <w:rsid w:val="0002793F"/>
    <w:rsid w:val="000279FC"/>
    <w:rsid w:val="0003037A"/>
    <w:rsid w:val="000311DD"/>
    <w:rsid w:val="00031CA3"/>
    <w:rsid w:val="000322BB"/>
    <w:rsid w:val="000327A3"/>
    <w:rsid w:val="0003341B"/>
    <w:rsid w:val="000335D8"/>
    <w:rsid w:val="000337CC"/>
    <w:rsid w:val="000344A3"/>
    <w:rsid w:val="000348FC"/>
    <w:rsid w:val="00035335"/>
    <w:rsid w:val="0003551A"/>
    <w:rsid w:val="00035B4D"/>
    <w:rsid w:val="00036665"/>
    <w:rsid w:val="00036BF4"/>
    <w:rsid w:val="0003720C"/>
    <w:rsid w:val="00037DBD"/>
    <w:rsid w:val="000403BC"/>
    <w:rsid w:val="00040EA1"/>
    <w:rsid w:val="00040F12"/>
    <w:rsid w:val="00041127"/>
    <w:rsid w:val="0004153D"/>
    <w:rsid w:val="00041FC6"/>
    <w:rsid w:val="000425F9"/>
    <w:rsid w:val="000426F7"/>
    <w:rsid w:val="00045447"/>
    <w:rsid w:val="00045D0B"/>
    <w:rsid w:val="0004619F"/>
    <w:rsid w:val="00046847"/>
    <w:rsid w:val="00046957"/>
    <w:rsid w:val="00047D7D"/>
    <w:rsid w:val="00050D4B"/>
    <w:rsid w:val="000513DC"/>
    <w:rsid w:val="00052A70"/>
    <w:rsid w:val="0005343E"/>
    <w:rsid w:val="000534C3"/>
    <w:rsid w:val="000535D2"/>
    <w:rsid w:val="00053C66"/>
    <w:rsid w:val="00053D88"/>
    <w:rsid w:val="000540B1"/>
    <w:rsid w:val="00055B80"/>
    <w:rsid w:val="00055ECB"/>
    <w:rsid w:val="00056F0E"/>
    <w:rsid w:val="000575F9"/>
    <w:rsid w:val="00057F5A"/>
    <w:rsid w:val="0006060C"/>
    <w:rsid w:val="00061261"/>
    <w:rsid w:val="00061D46"/>
    <w:rsid w:val="00062574"/>
    <w:rsid w:val="00062637"/>
    <w:rsid w:val="000647D6"/>
    <w:rsid w:val="00064D2C"/>
    <w:rsid w:val="000658F0"/>
    <w:rsid w:val="00065F6A"/>
    <w:rsid w:val="000660F8"/>
    <w:rsid w:val="000668A4"/>
    <w:rsid w:val="00067116"/>
    <w:rsid w:val="00067A9B"/>
    <w:rsid w:val="00067D2D"/>
    <w:rsid w:val="0007017E"/>
    <w:rsid w:val="0007079F"/>
    <w:rsid w:val="0007103C"/>
    <w:rsid w:val="0007114C"/>
    <w:rsid w:val="0007170D"/>
    <w:rsid w:val="000720B4"/>
    <w:rsid w:val="00073169"/>
    <w:rsid w:val="0007519E"/>
    <w:rsid w:val="000751F3"/>
    <w:rsid w:val="0007532D"/>
    <w:rsid w:val="00075A66"/>
    <w:rsid w:val="00080275"/>
    <w:rsid w:val="00080FC6"/>
    <w:rsid w:val="0008196E"/>
    <w:rsid w:val="00082056"/>
    <w:rsid w:val="000821A1"/>
    <w:rsid w:val="00082E6D"/>
    <w:rsid w:val="00083BDB"/>
    <w:rsid w:val="000840FA"/>
    <w:rsid w:val="000841E6"/>
    <w:rsid w:val="000844EE"/>
    <w:rsid w:val="00084960"/>
    <w:rsid w:val="000860FE"/>
    <w:rsid w:val="0008732C"/>
    <w:rsid w:val="000876DB"/>
    <w:rsid w:val="00087A67"/>
    <w:rsid w:val="00090023"/>
    <w:rsid w:val="00091318"/>
    <w:rsid w:val="00092451"/>
    <w:rsid w:val="00092E7E"/>
    <w:rsid w:val="00092F3D"/>
    <w:rsid w:val="00093129"/>
    <w:rsid w:val="00093A94"/>
    <w:rsid w:val="00093B90"/>
    <w:rsid w:val="00094B6A"/>
    <w:rsid w:val="00094E84"/>
    <w:rsid w:val="000953A2"/>
    <w:rsid w:val="0009556F"/>
    <w:rsid w:val="000956E8"/>
    <w:rsid w:val="0009595D"/>
    <w:rsid w:val="000964D9"/>
    <w:rsid w:val="000966FF"/>
    <w:rsid w:val="00096D41"/>
    <w:rsid w:val="00096DBE"/>
    <w:rsid w:val="000970D3"/>
    <w:rsid w:val="000A044D"/>
    <w:rsid w:val="000A1069"/>
    <w:rsid w:val="000A1578"/>
    <w:rsid w:val="000A1AD0"/>
    <w:rsid w:val="000A5337"/>
    <w:rsid w:val="000A6023"/>
    <w:rsid w:val="000A7119"/>
    <w:rsid w:val="000B081E"/>
    <w:rsid w:val="000B0A35"/>
    <w:rsid w:val="000B1260"/>
    <w:rsid w:val="000B14EF"/>
    <w:rsid w:val="000B1803"/>
    <w:rsid w:val="000B21D7"/>
    <w:rsid w:val="000B2C78"/>
    <w:rsid w:val="000B3098"/>
    <w:rsid w:val="000B3444"/>
    <w:rsid w:val="000B3EE2"/>
    <w:rsid w:val="000B5B7F"/>
    <w:rsid w:val="000B6558"/>
    <w:rsid w:val="000B6EB8"/>
    <w:rsid w:val="000B6FB9"/>
    <w:rsid w:val="000C04E3"/>
    <w:rsid w:val="000C0727"/>
    <w:rsid w:val="000C07CF"/>
    <w:rsid w:val="000C10D2"/>
    <w:rsid w:val="000C1853"/>
    <w:rsid w:val="000C28F4"/>
    <w:rsid w:val="000C2ADE"/>
    <w:rsid w:val="000C3342"/>
    <w:rsid w:val="000C36D0"/>
    <w:rsid w:val="000C4C5C"/>
    <w:rsid w:val="000C4F73"/>
    <w:rsid w:val="000C5042"/>
    <w:rsid w:val="000C51BB"/>
    <w:rsid w:val="000C63A1"/>
    <w:rsid w:val="000C73B6"/>
    <w:rsid w:val="000C7932"/>
    <w:rsid w:val="000D07AE"/>
    <w:rsid w:val="000D157B"/>
    <w:rsid w:val="000D199E"/>
    <w:rsid w:val="000D2481"/>
    <w:rsid w:val="000D3C8A"/>
    <w:rsid w:val="000D417A"/>
    <w:rsid w:val="000D490F"/>
    <w:rsid w:val="000D566B"/>
    <w:rsid w:val="000D5A9C"/>
    <w:rsid w:val="000D6B3D"/>
    <w:rsid w:val="000E0B16"/>
    <w:rsid w:val="000E0BB3"/>
    <w:rsid w:val="000E12DA"/>
    <w:rsid w:val="000E141C"/>
    <w:rsid w:val="000E3581"/>
    <w:rsid w:val="000E3C3E"/>
    <w:rsid w:val="000E3C73"/>
    <w:rsid w:val="000E474C"/>
    <w:rsid w:val="000E573C"/>
    <w:rsid w:val="000E686D"/>
    <w:rsid w:val="000E7452"/>
    <w:rsid w:val="000E7EC8"/>
    <w:rsid w:val="000F04D9"/>
    <w:rsid w:val="000F2917"/>
    <w:rsid w:val="000F2C4F"/>
    <w:rsid w:val="000F37C0"/>
    <w:rsid w:val="000F6013"/>
    <w:rsid w:val="000F6716"/>
    <w:rsid w:val="000F6F1B"/>
    <w:rsid w:val="000F71DF"/>
    <w:rsid w:val="00101703"/>
    <w:rsid w:val="001019C2"/>
    <w:rsid w:val="00102021"/>
    <w:rsid w:val="001026E5"/>
    <w:rsid w:val="00102A85"/>
    <w:rsid w:val="001046B3"/>
    <w:rsid w:val="00104800"/>
    <w:rsid w:val="00104DA6"/>
    <w:rsid w:val="00105147"/>
    <w:rsid w:val="00105A36"/>
    <w:rsid w:val="00105F93"/>
    <w:rsid w:val="001062C7"/>
    <w:rsid w:val="00106650"/>
    <w:rsid w:val="00106D28"/>
    <w:rsid w:val="00107BC6"/>
    <w:rsid w:val="00107F68"/>
    <w:rsid w:val="0011068D"/>
    <w:rsid w:val="0011088F"/>
    <w:rsid w:val="00110D33"/>
    <w:rsid w:val="00110D44"/>
    <w:rsid w:val="00111223"/>
    <w:rsid w:val="001117FD"/>
    <w:rsid w:val="001127DB"/>
    <w:rsid w:val="00113090"/>
    <w:rsid w:val="00113290"/>
    <w:rsid w:val="001140DE"/>
    <w:rsid w:val="001141F6"/>
    <w:rsid w:val="001145E4"/>
    <w:rsid w:val="00114A66"/>
    <w:rsid w:val="00114ECB"/>
    <w:rsid w:val="00115E63"/>
    <w:rsid w:val="00117322"/>
    <w:rsid w:val="00117CE1"/>
    <w:rsid w:val="0012102A"/>
    <w:rsid w:val="00121AE1"/>
    <w:rsid w:val="00122452"/>
    <w:rsid w:val="00122811"/>
    <w:rsid w:val="0012349B"/>
    <w:rsid w:val="00123F8F"/>
    <w:rsid w:val="00124155"/>
    <w:rsid w:val="00124D56"/>
    <w:rsid w:val="001271FF"/>
    <w:rsid w:val="0012720C"/>
    <w:rsid w:val="001275F9"/>
    <w:rsid w:val="00130186"/>
    <w:rsid w:val="001302E4"/>
    <w:rsid w:val="00133200"/>
    <w:rsid w:val="0013368D"/>
    <w:rsid w:val="00134DB0"/>
    <w:rsid w:val="001361ED"/>
    <w:rsid w:val="00136DE6"/>
    <w:rsid w:val="001414EA"/>
    <w:rsid w:val="0014213A"/>
    <w:rsid w:val="00142468"/>
    <w:rsid w:val="001425FD"/>
    <w:rsid w:val="001426B7"/>
    <w:rsid w:val="00142CFF"/>
    <w:rsid w:val="0014313C"/>
    <w:rsid w:val="0014315A"/>
    <w:rsid w:val="00143162"/>
    <w:rsid w:val="001432DD"/>
    <w:rsid w:val="00143A23"/>
    <w:rsid w:val="00143B4C"/>
    <w:rsid w:val="00143B50"/>
    <w:rsid w:val="00143F5B"/>
    <w:rsid w:val="001442C3"/>
    <w:rsid w:val="001447F4"/>
    <w:rsid w:val="001455C6"/>
    <w:rsid w:val="00145801"/>
    <w:rsid w:val="00145C29"/>
    <w:rsid w:val="00145C6A"/>
    <w:rsid w:val="00145C9E"/>
    <w:rsid w:val="00146868"/>
    <w:rsid w:val="001468CE"/>
    <w:rsid w:val="00146D42"/>
    <w:rsid w:val="001475C2"/>
    <w:rsid w:val="001475C3"/>
    <w:rsid w:val="0015091D"/>
    <w:rsid w:val="00151474"/>
    <w:rsid w:val="0015245D"/>
    <w:rsid w:val="00152490"/>
    <w:rsid w:val="0015270B"/>
    <w:rsid w:val="00152EBF"/>
    <w:rsid w:val="00153F57"/>
    <w:rsid w:val="0015454D"/>
    <w:rsid w:val="00154CC4"/>
    <w:rsid w:val="00155A3A"/>
    <w:rsid w:val="0015649C"/>
    <w:rsid w:val="001564D9"/>
    <w:rsid w:val="00156C33"/>
    <w:rsid w:val="00157613"/>
    <w:rsid w:val="001577F0"/>
    <w:rsid w:val="00157BBE"/>
    <w:rsid w:val="001600D2"/>
    <w:rsid w:val="001601DD"/>
    <w:rsid w:val="00162481"/>
    <w:rsid w:val="00162E9B"/>
    <w:rsid w:val="00163C37"/>
    <w:rsid w:val="00163C8A"/>
    <w:rsid w:val="0016468E"/>
    <w:rsid w:val="00165649"/>
    <w:rsid w:val="00165AEE"/>
    <w:rsid w:val="00166B2F"/>
    <w:rsid w:val="00167092"/>
    <w:rsid w:val="00171A5D"/>
    <w:rsid w:val="00171EA4"/>
    <w:rsid w:val="0017209E"/>
    <w:rsid w:val="00172A27"/>
    <w:rsid w:val="00175160"/>
    <w:rsid w:val="00176AFD"/>
    <w:rsid w:val="00176DDF"/>
    <w:rsid w:val="00177ADF"/>
    <w:rsid w:val="00182B70"/>
    <w:rsid w:val="00182D83"/>
    <w:rsid w:val="00182EB0"/>
    <w:rsid w:val="00182F30"/>
    <w:rsid w:val="00183536"/>
    <w:rsid w:val="0018359D"/>
    <w:rsid w:val="00183E89"/>
    <w:rsid w:val="00184633"/>
    <w:rsid w:val="00184754"/>
    <w:rsid w:val="00186BF0"/>
    <w:rsid w:val="00187807"/>
    <w:rsid w:val="001900A0"/>
    <w:rsid w:val="0019037C"/>
    <w:rsid w:val="001904B9"/>
    <w:rsid w:val="00192A57"/>
    <w:rsid w:val="00192BBB"/>
    <w:rsid w:val="0019404E"/>
    <w:rsid w:val="00194675"/>
    <w:rsid w:val="00194920"/>
    <w:rsid w:val="00195011"/>
    <w:rsid w:val="00195703"/>
    <w:rsid w:val="00195D51"/>
    <w:rsid w:val="001968A6"/>
    <w:rsid w:val="001A07F8"/>
    <w:rsid w:val="001A1299"/>
    <w:rsid w:val="001A136B"/>
    <w:rsid w:val="001A1577"/>
    <w:rsid w:val="001A2213"/>
    <w:rsid w:val="001A2D5E"/>
    <w:rsid w:val="001A3466"/>
    <w:rsid w:val="001A3494"/>
    <w:rsid w:val="001A34BD"/>
    <w:rsid w:val="001A3AC5"/>
    <w:rsid w:val="001A5857"/>
    <w:rsid w:val="001A5C07"/>
    <w:rsid w:val="001A6008"/>
    <w:rsid w:val="001A6E4E"/>
    <w:rsid w:val="001A716F"/>
    <w:rsid w:val="001A7741"/>
    <w:rsid w:val="001A7E6F"/>
    <w:rsid w:val="001B0488"/>
    <w:rsid w:val="001B0784"/>
    <w:rsid w:val="001B1C91"/>
    <w:rsid w:val="001B2552"/>
    <w:rsid w:val="001B3846"/>
    <w:rsid w:val="001B4C96"/>
    <w:rsid w:val="001B5661"/>
    <w:rsid w:val="001B6654"/>
    <w:rsid w:val="001B6AFD"/>
    <w:rsid w:val="001B7BD9"/>
    <w:rsid w:val="001C0085"/>
    <w:rsid w:val="001C197A"/>
    <w:rsid w:val="001C1B86"/>
    <w:rsid w:val="001C23E9"/>
    <w:rsid w:val="001C4E86"/>
    <w:rsid w:val="001C5361"/>
    <w:rsid w:val="001C6064"/>
    <w:rsid w:val="001C674F"/>
    <w:rsid w:val="001C67C3"/>
    <w:rsid w:val="001C6AD6"/>
    <w:rsid w:val="001C7F44"/>
    <w:rsid w:val="001D06AC"/>
    <w:rsid w:val="001D1275"/>
    <w:rsid w:val="001D173C"/>
    <w:rsid w:val="001D1F4A"/>
    <w:rsid w:val="001D1FE7"/>
    <w:rsid w:val="001D2014"/>
    <w:rsid w:val="001D292F"/>
    <w:rsid w:val="001D3007"/>
    <w:rsid w:val="001D5748"/>
    <w:rsid w:val="001D6C5B"/>
    <w:rsid w:val="001D6D22"/>
    <w:rsid w:val="001D745F"/>
    <w:rsid w:val="001D779F"/>
    <w:rsid w:val="001D7F8F"/>
    <w:rsid w:val="001E0448"/>
    <w:rsid w:val="001E086B"/>
    <w:rsid w:val="001E0A90"/>
    <w:rsid w:val="001E1FB3"/>
    <w:rsid w:val="001E2989"/>
    <w:rsid w:val="001E3D32"/>
    <w:rsid w:val="001E4C56"/>
    <w:rsid w:val="001E4CA7"/>
    <w:rsid w:val="001E4D10"/>
    <w:rsid w:val="001E614B"/>
    <w:rsid w:val="001E6D60"/>
    <w:rsid w:val="001F07C5"/>
    <w:rsid w:val="001F0F45"/>
    <w:rsid w:val="001F104D"/>
    <w:rsid w:val="001F105F"/>
    <w:rsid w:val="001F1EA9"/>
    <w:rsid w:val="001F2A7B"/>
    <w:rsid w:val="001F2E50"/>
    <w:rsid w:val="001F34A1"/>
    <w:rsid w:val="001F3811"/>
    <w:rsid w:val="001F3A5F"/>
    <w:rsid w:val="001F436F"/>
    <w:rsid w:val="001F58B9"/>
    <w:rsid w:val="001F674A"/>
    <w:rsid w:val="001F6AAF"/>
    <w:rsid w:val="001F6DB1"/>
    <w:rsid w:val="001F70FC"/>
    <w:rsid w:val="00201083"/>
    <w:rsid w:val="00203272"/>
    <w:rsid w:val="002041CE"/>
    <w:rsid w:val="00204506"/>
    <w:rsid w:val="002062C6"/>
    <w:rsid w:val="00206CE3"/>
    <w:rsid w:val="00206DB5"/>
    <w:rsid w:val="00206E6F"/>
    <w:rsid w:val="002072E2"/>
    <w:rsid w:val="0021009C"/>
    <w:rsid w:val="00210805"/>
    <w:rsid w:val="00211854"/>
    <w:rsid w:val="0021272A"/>
    <w:rsid w:val="002127F7"/>
    <w:rsid w:val="00213827"/>
    <w:rsid w:val="00213BA5"/>
    <w:rsid w:val="00213BEE"/>
    <w:rsid w:val="00213C79"/>
    <w:rsid w:val="00214CD9"/>
    <w:rsid w:val="0021592F"/>
    <w:rsid w:val="00215BCE"/>
    <w:rsid w:val="0021650A"/>
    <w:rsid w:val="002169A9"/>
    <w:rsid w:val="00216A4E"/>
    <w:rsid w:val="00217CEA"/>
    <w:rsid w:val="00220AE8"/>
    <w:rsid w:val="0022130C"/>
    <w:rsid w:val="0022178A"/>
    <w:rsid w:val="00223E37"/>
    <w:rsid w:val="00224145"/>
    <w:rsid w:val="00224818"/>
    <w:rsid w:val="00224CBC"/>
    <w:rsid w:val="0022540D"/>
    <w:rsid w:val="002268F4"/>
    <w:rsid w:val="00226DA4"/>
    <w:rsid w:val="00227EFE"/>
    <w:rsid w:val="00230158"/>
    <w:rsid w:val="00230A38"/>
    <w:rsid w:val="00231517"/>
    <w:rsid w:val="0023159F"/>
    <w:rsid w:val="00231FD7"/>
    <w:rsid w:val="00232FE7"/>
    <w:rsid w:val="00235304"/>
    <w:rsid w:val="00235315"/>
    <w:rsid w:val="00235647"/>
    <w:rsid w:val="002356D4"/>
    <w:rsid w:val="00235C73"/>
    <w:rsid w:val="00236B6F"/>
    <w:rsid w:val="00237339"/>
    <w:rsid w:val="00240B6F"/>
    <w:rsid w:val="00241E83"/>
    <w:rsid w:val="00241ED2"/>
    <w:rsid w:val="00241F13"/>
    <w:rsid w:val="002420FC"/>
    <w:rsid w:val="00243CF2"/>
    <w:rsid w:val="00243DA4"/>
    <w:rsid w:val="00243F80"/>
    <w:rsid w:val="00245106"/>
    <w:rsid w:val="002453C6"/>
    <w:rsid w:val="00245C2E"/>
    <w:rsid w:val="00246435"/>
    <w:rsid w:val="00246493"/>
    <w:rsid w:val="00251487"/>
    <w:rsid w:val="002515D9"/>
    <w:rsid w:val="00251DA3"/>
    <w:rsid w:val="00252A5A"/>
    <w:rsid w:val="00253807"/>
    <w:rsid w:val="002543E8"/>
    <w:rsid w:val="00254505"/>
    <w:rsid w:val="002548D4"/>
    <w:rsid w:val="00256FC7"/>
    <w:rsid w:val="0025722A"/>
    <w:rsid w:val="00257DC7"/>
    <w:rsid w:val="00261B35"/>
    <w:rsid w:val="0026254A"/>
    <w:rsid w:val="00262A23"/>
    <w:rsid w:val="00265718"/>
    <w:rsid w:val="00265DDD"/>
    <w:rsid w:val="00265F67"/>
    <w:rsid w:val="002663DC"/>
    <w:rsid w:val="00266AD4"/>
    <w:rsid w:val="00266E57"/>
    <w:rsid w:val="002701C1"/>
    <w:rsid w:val="00270C45"/>
    <w:rsid w:val="00270E94"/>
    <w:rsid w:val="002716EE"/>
    <w:rsid w:val="002718A6"/>
    <w:rsid w:val="0027190A"/>
    <w:rsid w:val="00271D1C"/>
    <w:rsid w:val="00272989"/>
    <w:rsid w:val="002739D1"/>
    <w:rsid w:val="002751B9"/>
    <w:rsid w:val="002758E9"/>
    <w:rsid w:val="002760DE"/>
    <w:rsid w:val="002761AD"/>
    <w:rsid w:val="00277C9C"/>
    <w:rsid w:val="002802D8"/>
    <w:rsid w:val="00282047"/>
    <w:rsid w:val="002830D7"/>
    <w:rsid w:val="00284763"/>
    <w:rsid w:val="00284931"/>
    <w:rsid w:val="0028708F"/>
    <w:rsid w:val="0028787A"/>
    <w:rsid w:val="00287F3F"/>
    <w:rsid w:val="002901D6"/>
    <w:rsid w:val="00290E74"/>
    <w:rsid w:val="00290F80"/>
    <w:rsid w:val="0029169F"/>
    <w:rsid w:val="002921BB"/>
    <w:rsid w:val="00293596"/>
    <w:rsid w:val="0029421B"/>
    <w:rsid w:val="00294A1F"/>
    <w:rsid w:val="00295A37"/>
    <w:rsid w:val="002960FF"/>
    <w:rsid w:val="00296238"/>
    <w:rsid w:val="00296A30"/>
    <w:rsid w:val="00296CD0"/>
    <w:rsid w:val="00297417"/>
    <w:rsid w:val="00297EF5"/>
    <w:rsid w:val="002A1481"/>
    <w:rsid w:val="002A22F0"/>
    <w:rsid w:val="002A2A64"/>
    <w:rsid w:val="002A3FDD"/>
    <w:rsid w:val="002A44DF"/>
    <w:rsid w:val="002A4D10"/>
    <w:rsid w:val="002A4E5D"/>
    <w:rsid w:val="002A5E1C"/>
    <w:rsid w:val="002A60F7"/>
    <w:rsid w:val="002A6AAA"/>
    <w:rsid w:val="002A6F0F"/>
    <w:rsid w:val="002A76AB"/>
    <w:rsid w:val="002B0150"/>
    <w:rsid w:val="002B0737"/>
    <w:rsid w:val="002B0B09"/>
    <w:rsid w:val="002B1A52"/>
    <w:rsid w:val="002B1BF2"/>
    <w:rsid w:val="002B2418"/>
    <w:rsid w:val="002B258A"/>
    <w:rsid w:val="002B28F6"/>
    <w:rsid w:val="002B4501"/>
    <w:rsid w:val="002B457A"/>
    <w:rsid w:val="002B49B9"/>
    <w:rsid w:val="002B4A8B"/>
    <w:rsid w:val="002B4DD0"/>
    <w:rsid w:val="002B5AC8"/>
    <w:rsid w:val="002B5EA1"/>
    <w:rsid w:val="002B5EE7"/>
    <w:rsid w:val="002B7090"/>
    <w:rsid w:val="002B7EBD"/>
    <w:rsid w:val="002C0642"/>
    <w:rsid w:val="002C1102"/>
    <w:rsid w:val="002C1A9B"/>
    <w:rsid w:val="002C20D1"/>
    <w:rsid w:val="002C2108"/>
    <w:rsid w:val="002C2244"/>
    <w:rsid w:val="002C33B7"/>
    <w:rsid w:val="002C3518"/>
    <w:rsid w:val="002C375F"/>
    <w:rsid w:val="002C4FB3"/>
    <w:rsid w:val="002D0C92"/>
    <w:rsid w:val="002D1666"/>
    <w:rsid w:val="002D3CC2"/>
    <w:rsid w:val="002D4367"/>
    <w:rsid w:val="002D4677"/>
    <w:rsid w:val="002D5515"/>
    <w:rsid w:val="002D641E"/>
    <w:rsid w:val="002D6F44"/>
    <w:rsid w:val="002D6FB4"/>
    <w:rsid w:val="002D724F"/>
    <w:rsid w:val="002D77D5"/>
    <w:rsid w:val="002E0DC3"/>
    <w:rsid w:val="002E1BFB"/>
    <w:rsid w:val="002E2417"/>
    <w:rsid w:val="002E253A"/>
    <w:rsid w:val="002E30B1"/>
    <w:rsid w:val="002E3341"/>
    <w:rsid w:val="002E3460"/>
    <w:rsid w:val="002E3589"/>
    <w:rsid w:val="002E3783"/>
    <w:rsid w:val="002E61F9"/>
    <w:rsid w:val="002E68CB"/>
    <w:rsid w:val="002E717F"/>
    <w:rsid w:val="002E7CFF"/>
    <w:rsid w:val="002F01EB"/>
    <w:rsid w:val="002F0F6C"/>
    <w:rsid w:val="002F1089"/>
    <w:rsid w:val="002F1C38"/>
    <w:rsid w:val="002F4169"/>
    <w:rsid w:val="002F4457"/>
    <w:rsid w:val="002F4A48"/>
    <w:rsid w:val="002F53AD"/>
    <w:rsid w:val="002F5556"/>
    <w:rsid w:val="002F57A8"/>
    <w:rsid w:val="002F66CF"/>
    <w:rsid w:val="002F6868"/>
    <w:rsid w:val="002F6BF5"/>
    <w:rsid w:val="002F6C16"/>
    <w:rsid w:val="002F72AF"/>
    <w:rsid w:val="00300EBE"/>
    <w:rsid w:val="00300FB5"/>
    <w:rsid w:val="003018FB"/>
    <w:rsid w:val="00301D8D"/>
    <w:rsid w:val="003022BD"/>
    <w:rsid w:val="003040E8"/>
    <w:rsid w:val="003041B0"/>
    <w:rsid w:val="00304A1E"/>
    <w:rsid w:val="00305A2E"/>
    <w:rsid w:val="00305A72"/>
    <w:rsid w:val="00305AF0"/>
    <w:rsid w:val="00305D32"/>
    <w:rsid w:val="00305E41"/>
    <w:rsid w:val="00306673"/>
    <w:rsid w:val="00307435"/>
    <w:rsid w:val="003077C4"/>
    <w:rsid w:val="00310B9B"/>
    <w:rsid w:val="00310FD0"/>
    <w:rsid w:val="003118B9"/>
    <w:rsid w:val="00311E53"/>
    <w:rsid w:val="0031392F"/>
    <w:rsid w:val="00313CDC"/>
    <w:rsid w:val="00313DF9"/>
    <w:rsid w:val="003142A2"/>
    <w:rsid w:val="0031498B"/>
    <w:rsid w:val="0031735B"/>
    <w:rsid w:val="00320927"/>
    <w:rsid w:val="003215A4"/>
    <w:rsid w:val="00324494"/>
    <w:rsid w:val="00324543"/>
    <w:rsid w:val="00324A4A"/>
    <w:rsid w:val="00324EC4"/>
    <w:rsid w:val="00324FFC"/>
    <w:rsid w:val="0032569D"/>
    <w:rsid w:val="00326A35"/>
    <w:rsid w:val="00326D8C"/>
    <w:rsid w:val="0033037E"/>
    <w:rsid w:val="00331ED3"/>
    <w:rsid w:val="00332D9F"/>
    <w:rsid w:val="00333345"/>
    <w:rsid w:val="00334A63"/>
    <w:rsid w:val="00336EF8"/>
    <w:rsid w:val="0033775C"/>
    <w:rsid w:val="0033794B"/>
    <w:rsid w:val="00337AE7"/>
    <w:rsid w:val="00337F79"/>
    <w:rsid w:val="00340285"/>
    <w:rsid w:val="003403ED"/>
    <w:rsid w:val="003413DE"/>
    <w:rsid w:val="003415B8"/>
    <w:rsid w:val="003426CE"/>
    <w:rsid w:val="0034451E"/>
    <w:rsid w:val="003448F6"/>
    <w:rsid w:val="00345614"/>
    <w:rsid w:val="0034673C"/>
    <w:rsid w:val="003467CB"/>
    <w:rsid w:val="00346D7D"/>
    <w:rsid w:val="00347260"/>
    <w:rsid w:val="003479A9"/>
    <w:rsid w:val="003479E0"/>
    <w:rsid w:val="00350218"/>
    <w:rsid w:val="00350DCA"/>
    <w:rsid w:val="003513BE"/>
    <w:rsid w:val="00351A22"/>
    <w:rsid w:val="00352909"/>
    <w:rsid w:val="00352D79"/>
    <w:rsid w:val="00355437"/>
    <w:rsid w:val="00355785"/>
    <w:rsid w:val="003557CA"/>
    <w:rsid w:val="0035582A"/>
    <w:rsid w:val="00355927"/>
    <w:rsid w:val="00356611"/>
    <w:rsid w:val="00356A9F"/>
    <w:rsid w:val="00356F96"/>
    <w:rsid w:val="003574D5"/>
    <w:rsid w:val="00357D53"/>
    <w:rsid w:val="00357F57"/>
    <w:rsid w:val="00360E24"/>
    <w:rsid w:val="00361E46"/>
    <w:rsid w:val="0036333E"/>
    <w:rsid w:val="00364B39"/>
    <w:rsid w:val="00365A2B"/>
    <w:rsid w:val="0036799E"/>
    <w:rsid w:val="003700A4"/>
    <w:rsid w:val="00370521"/>
    <w:rsid w:val="00372364"/>
    <w:rsid w:val="00372FBB"/>
    <w:rsid w:val="00372FDA"/>
    <w:rsid w:val="003730E7"/>
    <w:rsid w:val="003732AE"/>
    <w:rsid w:val="0037364D"/>
    <w:rsid w:val="00373DE3"/>
    <w:rsid w:val="00373F68"/>
    <w:rsid w:val="00374655"/>
    <w:rsid w:val="003751AA"/>
    <w:rsid w:val="00375923"/>
    <w:rsid w:val="00377114"/>
    <w:rsid w:val="003823D2"/>
    <w:rsid w:val="003826A1"/>
    <w:rsid w:val="00384442"/>
    <w:rsid w:val="00385185"/>
    <w:rsid w:val="00385969"/>
    <w:rsid w:val="00387B22"/>
    <w:rsid w:val="00387FBE"/>
    <w:rsid w:val="00390270"/>
    <w:rsid w:val="00390F06"/>
    <w:rsid w:val="00391C6E"/>
    <w:rsid w:val="00391E75"/>
    <w:rsid w:val="003922F1"/>
    <w:rsid w:val="003927DD"/>
    <w:rsid w:val="00394861"/>
    <w:rsid w:val="00395F9C"/>
    <w:rsid w:val="003962E7"/>
    <w:rsid w:val="00396E1B"/>
    <w:rsid w:val="003A1787"/>
    <w:rsid w:val="003A183A"/>
    <w:rsid w:val="003A1DAC"/>
    <w:rsid w:val="003A23AA"/>
    <w:rsid w:val="003A295E"/>
    <w:rsid w:val="003A2B22"/>
    <w:rsid w:val="003A3020"/>
    <w:rsid w:val="003A3C3F"/>
    <w:rsid w:val="003A5C6D"/>
    <w:rsid w:val="003A6BED"/>
    <w:rsid w:val="003A703D"/>
    <w:rsid w:val="003B11ED"/>
    <w:rsid w:val="003B2567"/>
    <w:rsid w:val="003B2871"/>
    <w:rsid w:val="003B2AEB"/>
    <w:rsid w:val="003B2BE1"/>
    <w:rsid w:val="003B3315"/>
    <w:rsid w:val="003B3E61"/>
    <w:rsid w:val="003B4E3B"/>
    <w:rsid w:val="003B4E74"/>
    <w:rsid w:val="003B6165"/>
    <w:rsid w:val="003B62FC"/>
    <w:rsid w:val="003B6958"/>
    <w:rsid w:val="003B73CA"/>
    <w:rsid w:val="003B78F7"/>
    <w:rsid w:val="003C0DCD"/>
    <w:rsid w:val="003C13A6"/>
    <w:rsid w:val="003C16C8"/>
    <w:rsid w:val="003C1843"/>
    <w:rsid w:val="003C248B"/>
    <w:rsid w:val="003C3973"/>
    <w:rsid w:val="003C3A13"/>
    <w:rsid w:val="003C3A87"/>
    <w:rsid w:val="003C4DDE"/>
    <w:rsid w:val="003C4F8D"/>
    <w:rsid w:val="003C572A"/>
    <w:rsid w:val="003C6454"/>
    <w:rsid w:val="003C7531"/>
    <w:rsid w:val="003C7F44"/>
    <w:rsid w:val="003D0B9A"/>
    <w:rsid w:val="003D1704"/>
    <w:rsid w:val="003D2078"/>
    <w:rsid w:val="003D3396"/>
    <w:rsid w:val="003D33B1"/>
    <w:rsid w:val="003D3F2F"/>
    <w:rsid w:val="003D42A8"/>
    <w:rsid w:val="003D42DC"/>
    <w:rsid w:val="003D5A5C"/>
    <w:rsid w:val="003D5F1E"/>
    <w:rsid w:val="003D6F20"/>
    <w:rsid w:val="003D72B1"/>
    <w:rsid w:val="003E063C"/>
    <w:rsid w:val="003E0F8A"/>
    <w:rsid w:val="003E14D0"/>
    <w:rsid w:val="003E1E40"/>
    <w:rsid w:val="003E3256"/>
    <w:rsid w:val="003E3707"/>
    <w:rsid w:val="003E3FAD"/>
    <w:rsid w:val="003E4B1C"/>
    <w:rsid w:val="003E4F30"/>
    <w:rsid w:val="003E5B05"/>
    <w:rsid w:val="003E6720"/>
    <w:rsid w:val="003F093D"/>
    <w:rsid w:val="003F0D20"/>
    <w:rsid w:val="003F1090"/>
    <w:rsid w:val="003F127B"/>
    <w:rsid w:val="003F21DD"/>
    <w:rsid w:val="003F2396"/>
    <w:rsid w:val="003F2DA3"/>
    <w:rsid w:val="003F2E75"/>
    <w:rsid w:val="003F2FDD"/>
    <w:rsid w:val="003F3190"/>
    <w:rsid w:val="003F346A"/>
    <w:rsid w:val="003F3A2B"/>
    <w:rsid w:val="003F4085"/>
    <w:rsid w:val="003F56D4"/>
    <w:rsid w:val="003F5E75"/>
    <w:rsid w:val="003F5ED4"/>
    <w:rsid w:val="003F7211"/>
    <w:rsid w:val="003F7DCC"/>
    <w:rsid w:val="003F7E69"/>
    <w:rsid w:val="004011DA"/>
    <w:rsid w:val="00401437"/>
    <w:rsid w:val="00401849"/>
    <w:rsid w:val="004021D8"/>
    <w:rsid w:val="00402782"/>
    <w:rsid w:val="00403004"/>
    <w:rsid w:val="0040327A"/>
    <w:rsid w:val="00403C6C"/>
    <w:rsid w:val="0040454B"/>
    <w:rsid w:val="00405C52"/>
    <w:rsid w:val="00406380"/>
    <w:rsid w:val="00406771"/>
    <w:rsid w:val="004069AC"/>
    <w:rsid w:val="00406BED"/>
    <w:rsid w:val="00407572"/>
    <w:rsid w:val="00411964"/>
    <w:rsid w:val="004122B3"/>
    <w:rsid w:val="004126C4"/>
    <w:rsid w:val="0041336D"/>
    <w:rsid w:val="004135DF"/>
    <w:rsid w:val="00414073"/>
    <w:rsid w:val="0041423A"/>
    <w:rsid w:val="0041564E"/>
    <w:rsid w:val="00416A5E"/>
    <w:rsid w:val="00420105"/>
    <w:rsid w:val="004215C1"/>
    <w:rsid w:val="00421765"/>
    <w:rsid w:val="0042214B"/>
    <w:rsid w:val="004222C9"/>
    <w:rsid w:val="0042259B"/>
    <w:rsid w:val="00422FD8"/>
    <w:rsid w:val="00423512"/>
    <w:rsid w:val="004242E2"/>
    <w:rsid w:val="00424947"/>
    <w:rsid w:val="00426010"/>
    <w:rsid w:val="0042607E"/>
    <w:rsid w:val="00430B26"/>
    <w:rsid w:val="00430DEF"/>
    <w:rsid w:val="00432CCA"/>
    <w:rsid w:val="00432E75"/>
    <w:rsid w:val="004330F5"/>
    <w:rsid w:val="0043478E"/>
    <w:rsid w:val="004364A2"/>
    <w:rsid w:val="004370B4"/>
    <w:rsid w:val="00442187"/>
    <w:rsid w:val="00442991"/>
    <w:rsid w:val="004431C8"/>
    <w:rsid w:val="00445013"/>
    <w:rsid w:val="004457AD"/>
    <w:rsid w:val="00445EB1"/>
    <w:rsid w:val="00446569"/>
    <w:rsid w:val="00446BBA"/>
    <w:rsid w:val="00447286"/>
    <w:rsid w:val="00447749"/>
    <w:rsid w:val="00447B13"/>
    <w:rsid w:val="00450B91"/>
    <w:rsid w:val="00451502"/>
    <w:rsid w:val="0045211C"/>
    <w:rsid w:val="00452889"/>
    <w:rsid w:val="004530F9"/>
    <w:rsid w:val="00453E0C"/>
    <w:rsid w:val="004540EE"/>
    <w:rsid w:val="00454CE2"/>
    <w:rsid w:val="00454FD1"/>
    <w:rsid w:val="00455FC1"/>
    <w:rsid w:val="00460F47"/>
    <w:rsid w:val="00460F57"/>
    <w:rsid w:val="004610F9"/>
    <w:rsid w:val="00462722"/>
    <w:rsid w:val="00462D04"/>
    <w:rsid w:val="0046318E"/>
    <w:rsid w:val="00463240"/>
    <w:rsid w:val="00464614"/>
    <w:rsid w:val="00465451"/>
    <w:rsid w:val="0046598B"/>
    <w:rsid w:val="00466E14"/>
    <w:rsid w:val="004674EB"/>
    <w:rsid w:val="004678EA"/>
    <w:rsid w:val="0047028D"/>
    <w:rsid w:val="00471118"/>
    <w:rsid w:val="004713FD"/>
    <w:rsid w:val="00471D22"/>
    <w:rsid w:val="00471E1F"/>
    <w:rsid w:val="00472541"/>
    <w:rsid w:val="004726CE"/>
    <w:rsid w:val="00472796"/>
    <w:rsid w:val="00472CC4"/>
    <w:rsid w:val="00473466"/>
    <w:rsid w:val="004735DB"/>
    <w:rsid w:val="00473FEF"/>
    <w:rsid w:val="00475BF8"/>
    <w:rsid w:val="00476873"/>
    <w:rsid w:val="00476E9D"/>
    <w:rsid w:val="00477045"/>
    <w:rsid w:val="00480719"/>
    <w:rsid w:val="00480CB7"/>
    <w:rsid w:val="00481186"/>
    <w:rsid w:val="00481715"/>
    <w:rsid w:val="00481EB8"/>
    <w:rsid w:val="0048218F"/>
    <w:rsid w:val="00482C98"/>
    <w:rsid w:val="0048324D"/>
    <w:rsid w:val="00483496"/>
    <w:rsid w:val="00483B9E"/>
    <w:rsid w:val="004840E3"/>
    <w:rsid w:val="0048434B"/>
    <w:rsid w:val="0048466F"/>
    <w:rsid w:val="0048563D"/>
    <w:rsid w:val="0048565B"/>
    <w:rsid w:val="004857B8"/>
    <w:rsid w:val="00485950"/>
    <w:rsid w:val="00487C0E"/>
    <w:rsid w:val="004900AA"/>
    <w:rsid w:val="0049072B"/>
    <w:rsid w:val="00490AF1"/>
    <w:rsid w:val="00490B27"/>
    <w:rsid w:val="0049101A"/>
    <w:rsid w:val="004919AE"/>
    <w:rsid w:val="00491FCC"/>
    <w:rsid w:val="0049200C"/>
    <w:rsid w:val="0049262F"/>
    <w:rsid w:val="00493C1C"/>
    <w:rsid w:val="00493CC6"/>
    <w:rsid w:val="0049465F"/>
    <w:rsid w:val="00494B37"/>
    <w:rsid w:val="004956A0"/>
    <w:rsid w:val="00496AA8"/>
    <w:rsid w:val="004977B6"/>
    <w:rsid w:val="00497C0E"/>
    <w:rsid w:val="004A1676"/>
    <w:rsid w:val="004A2417"/>
    <w:rsid w:val="004A279B"/>
    <w:rsid w:val="004A31C7"/>
    <w:rsid w:val="004A336F"/>
    <w:rsid w:val="004A3FA2"/>
    <w:rsid w:val="004A559B"/>
    <w:rsid w:val="004A66C6"/>
    <w:rsid w:val="004A6793"/>
    <w:rsid w:val="004A6C03"/>
    <w:rsid w:val="004A6F4B"/>
    <w:rsid w:val="004A7BF7"/>
    <w:rsid w:val="004B01C0"/>
    <w:rsid w:val="004B0F6E"/>
    <w:rsid w:val="004B0FA3"/>
    <w:rsid w:val="004B1964"/>
    <w:rsid w:val="004B2082"/>
    <w:rsid w:val="004B2DB1"/>
    <w:rsid w:val="004B35D8"/>
    <w:rsid w:val="004B47C9"/>
    <w:rsid w:val="004B4D1B"/>
    <w:rsid w:val="004B5371"/>
    <w:rsid w:val="004B55AA"/>
    <w:rsid w:val="004B5997"/>
    <w:rsid w:val="004B5F9F"/>
    <w:rsid w:val="004B6301"/>
    <w:rsid w:val="004B6729"/>
    <w:rsid w:val="004B688A"/>
    <w:rsid w:val="004B740D"/>
    <w:rsid w:val="004B7923"/>
    <w:rsid w:val="004C02E9"/>
    <w:rsid w:val="004C0490"/>
    <w:rsid w:val="004C055D"/>
    <w:rsid w:val="004C0F88"/>
    <w:rsid w:val="004C12AB"/>
    <w:rsid w:val="004C1317"/>
    <w:rsid w:val="004C1855"/>
    <w:rsid w:val="004C1D6B"/>
    <w:rsid w:val="004C2A0D"/>
    <w:rsid w:val="004C2FB2"/>
    <w:rsid w:val="004C385E"/>
    <w:rsid w:val="004C39BF"/>
    <w:rsid w:val="004C4281"/>
    <w:rsid w:val="004C43EF"/>
    <w:rsid w:val="004C4B60"/>
    <w:rsid w:val="004C5300"/>
    <w:rsid w:val="004C5341"/>
    <w:rsid w:val="004C5B45"/>
    <w:rsid w:val="004C6814"/>
    <w:rsid w:val="004C69C2"/>
    <w:rsid w:val="004C6BD3"/>
    <w:rsid w:val="004C7ED6"/>
    <w:rsid w:val="004D01E2"/>
    <w:rsid w:val="004D03F2"/>
    <w:rsid w:val="004D0D2B"/>
    <w:rsid w:val="004D0EAE"/>
    <w:rsid w:val="004D10D8"/>
    <w:rsid w:val="004D1616"/>
    <w:rsid w:val="004D1DE0"/>
    <w:rsid w:val="004D2689"/>
    <w:rsid w:val="004D3A05"/>
    <w:rsid w:val="004D431F"/>
    <w:rsid w:val="004D4BC3"/>
    <w:rsid w:val="004D4D4D"/>
    <w:rsid w:val="004D50F8"/>
    <w:rsid w:val="004D5B62"/>
    <w:rsid w:val="004D6B73"/>
    <w:rsid w:val="004D6C78"/>
    <w:rsid w:val="004D7826"/>
    <w:rsid w:val="004E03C6"/>
    <w:rsid w:val="004E1445"/>
    <w:rsid w:val="004E22E3"/>
    <w:rsid w:val="004E2A46"/>
    <w:rsid w:val="004E335B"/>
    <w:rsid w:val="004E3546"/>
    <w:rsid w:val="004E36A1"/>
    <w:rsid w:val="004E39BD"/>
    <w:rsid w:val="004E560D"/>
    <w:rsid w:val="004E5EFB"/>
    <w:rsid w:val="004E68EA"/>
    <w:rsid w:val="004E7D4E"/>
    <w:rsid w:val="004F0D4C"/>
    <w:rsid w:val="004F1495"/>
    <w:rsid w:val="004F4781"/>
    <w:rsid w:val="004F4D3B"/>
    <w:rsid w:val="004F7546"/>
    <w:rsid w:val="004F792A"/>
    <w:rsid w:val="0050071A"/>
    <w:rsid w:val="00501590"/>
    <w:rsid w:val="00501D73"/>
    <w:rsid w:val="00502B74"/>
    <w:rsid w:val="00502C7E"/>
    <w:rsid w:val="00503D14"/>
    <w:rsid w:val="00504388"/>
    <w:rsid w:val="005051D1"/>
    <w:rsid w:val="00505668"/>
    <w:rsid w:val="00505C7B"/>
    <w:rsid w:val="0050679B"/>
    <w:rsid w:val="0050763B"/>
    <w:rsid w:val="0050770A"/>
    <w:rsid w:val="005112AC"/>
    <w:rsid w:val="00511C56"/>
    <w:rsid w:val="00511F75"/>
    <w:rsid w:val="00512CCF"/>
    <w:rsid w:val="00512FDD"/>
    <w:rsid w:val="005135BB"/>
    <w:rsid w:val="00513BD5"/>
    <w:rsid w:val="00514FEE"/>
    <w:rsid w:val="00515379"/>
    <w:rsid w:val="005155D2"/>
    <w:rsid w:val="005155E3"/>
    <w:rsid w:val="005163B0"/>
    <w:rsid w:val="00516B4B"/>
    <w:rsid w:val="00516DF7"/>
    <w:rsid w:val="00516FAC"/>
    <w:rsid w:val="00517394"/>
    <w:rsid w:val="00517AFC"/>
    <w:rsid w:val="00517BAA"/>
    <w:rsid w:val="00520927"/>
    <w:rsid w:val="00520E8A"/>
    <w:rsid w:val="0052186D"/>
    <w:rsid w:val="005231C1"/>
    <w:rsid w:val="00523594"/>
    <w:rsid w:val="00523B98"/>
    <w:rsid w:val="00523FC3"/>
    <w:rsid w:val="005241CB"/>
    <w:rsid w:val="005244D5"/>
    <w:rsid w:val="005255C6"/>
    <w:rsid w:val="00525760"/>
    <w:rsid w:val="005267B6"/>
    <w:rsid w:val="00527532"/>
    <w:rsid w:val="00530943"/>
    <w:rsid w:val="00530C72"/>
    <w:rsid w:val="0053127A"/>
    <w:rsid w:val="00531682"/>
    <w:rsid w:val="00531ACE"/>
    <w:rsid w:val="00532061"/>
    <w:rsid w:val="00532A32"/>
    <w:rsid w:val="00532B90"/>
    <w:rsid w:val="005338AA"/>
    <w:rsid w:val="00534ECE"/>
    <w:rsid w:val="0053611A"/>
    <w:rsid w:val="00536E88"/>
    <w:rsid w:val="005406EF"/>
    <w:rsid w:val="00541498"/>
    <w:rsid w:val="0054164B"/>
    <w:rsid w:val="00541771"/>
    <w:rsid w:val="00541876"/>
    <w:rsid w:val="00541951"/>
    <w:rsid w:val="00542104"/>
    <w:rsid w:val="00542F4A"/>
    <w:rsid w:val="00543384"/>
    <w:rsid w:val="00543D57"/>
    <w:rsid w:val="0054404F"/>
    <w:rsid w:val="00544ABB"/>
    <w:rsid w:val="005451CF"/>
    <w:rsid w:val="005455BF"/>
    <w:rsid w:val="0054726C"/>
    <w:rsid w:val="0054777F"/>
    <w:rsid w:val="00547A21"/>
    <w:rsid w:val="00550237"/>
    <w:rsid w:val="0055050E"/>
    <w:rsid w:val="00550A04"/>
    <w:rsid w:val="00550C97"/>
    <w:rsid w:val="0055155F"/>
    <w:rsid w:val="005528B2"/>
    <w:rsid w:val="00552B33"/>
    <w:rsid w:val="00553173"/>
    <w:rsid w:val="005540C6"/>
    <w:rsid w:val="005543C9"/>
    <w:rsid w:val="00554A4C"/>
    <w:rsid w:val="00554C21"/>
    <w:rsid w:val="00554F6D"/>
    <w:rsid w:val="00556926"/>
    <w:rsid w:val="005571CF"/>
    <w:rsid w:val="00560138"/>
    <w:rsid w:val="005612E5"/>
    <w:rsid w:val="00561F67"/>
    <w:rsid w:val="00561FC2"/>
    <w:rsid w:val="00562ADB"/>
    <w:rsid w:val="00562B9A"/>
    <w:rsid w:val="00563461"/>
    <w:rsid w:val="00563886"/>
    <w:rsid w:val="00563923"/>
    <w:rsid w:val="00563E58"/>
    <w:rsid w:val="00564955"/>
    <w:rsid w:val="005656B9"/>
    <w:rsid w:val="00566134"/>
    <w:rsid w:val="00570266"/>
    <w:rsid w:val="005702D0"/>
    <w:rsid w:val="00571208"/>
    <w:rsid w:val="00573291"/>
    <w:rsid w:val="005736C2"/>
    <w:rsid w:val="005746A8"/>
    <w:rsid w:val="00574895"/>
    <w:rsid w:val="00575178"/>
    <w:rsid w:val="00576B77"/>
    <w:rsid w:val="00576D39"/>
    <w:rsid w:val="00580FCC"/>
    <w:rsid w:val="00581002"/>
    <w:rsid w:val="00581540"/>
    <w:rsid w:val="00581B53"/>
    <w:rsid w:val="005823D4"/>
    <w:rsid w:val="00582BD0"/>
    <w:rsid w:val="00583C7F"/>
    <w:rsid w:val="0058460F"/>
    <w:rsid w:val="005848DE"/>
    <w:rsid w:val="00584C7C"/>
    <w:rsid w:val="00584D1A"/>
    <w:rsid w:val="00584DB8"/>
    <w:rsid w:val="00586DBC"/>
    <w:rsid w:val="00586FBA"/>
    <w:rsid w:val="00590196"/>
    <w:rsid w:val="00590AB2"/>
    <w:rsid w:val="00591009"/>
    <w:rsid w:val="005912D4"/>
    <w:rsid w:val="005916B7"/>
    <w:rsid w:val="0059191A"/>
    <w:rsid w:val="005919B6"/>
    <w:rsid w:val="00592112"/>
    <w:rsid w:val="005927D2"/>
    <w:rsid w:val="00592ED2"/>
    <w:rsid w:val="005937C6"/>
    <w:rsid w:val="0059389D"/>
    <w:rsid w:val="005945E0"/>
    <w:rsid w:val="0059460B"/>
    <w:rsid w:val="005950E1"/>
    <w:rsid w:val="00595313"/>
    <w:rsid w:val="0059711B"/>
    <w:rsid w:val="00597E7B"/>
    <w:rsid w:val="005A045A"/>
    <w:rsid w:val="005A0EA1"/>
    <w:rsid w:val="005A2689"/>
    <w:rsid w:val="005A314E"/>
    <w:rsid w:val="005A38CD"/>
    <w:rsid w:val="005A3CE5"/>
    <w:rsid w:val="005A4246"/>
    <w:rsid w:val="005A7B00"/>
    <w:rsid w:val="005A7B24"/>
    <w:rsid w:val="005B1C40"/>
    <w:rsid w:val="005B2E8D"/>
    <w:rsid w:val="005B4AB9"/>
    <w:rsid w:val="005B56F6"/>
    <w:rsid w:val="005B5D0F"/>
    <w:rsid w:val="005B687F"/>
    <w:rsid w:val="005B698A"/>
    <w:rsid w:val="005B71CF"/>
    <w:rsid w:val="005B78EC"/>
    <w:rsid w:val="005C02D3"/>
    <w:rsid w:val="005C1339"/>
    <w:rsid w:val="005C18A6"/>
    <w:rsid w:val="005C2C21"/>
    <w:rsid w:val="005C4309"/>
    <w:rsid w:val="005C7B56"/>
    <w:rsid w:val="005D023C"/>
    <w:rsid w:val="005D0A03"/>
    <w:rsid w:val="005D0D22"/>
    <w:rsid w:val="005D2E7B"/>
    <w:rsid w:val="005D3505"/>
    <w:rsid w:val="005D4470"/>
    <w:rsid w:val="005D4548"/>
    <w:rsid w:val="005D5205"/>
    <w:rsid w:val="005D5586"/>
    <w:rsid w:val="005D64EE"/>
    <w:rsid w:val="005D68F3"/>
    <w:rsid w:val="005D6E97"/>
    <w:rsid w:val="005D7B5C"/>
    <w:rsid w:val="005E066D"/>
    <w:rsid w:val="005E1586"/>
    <w:rsid w:val="005E1B3B"/>
    <w:rsid w:val="005E1CF5"/>
    <w:rsid w:val="005E31E9"/>
    <w:rsid w:val="005E34B8"/>
    <w:rsid w:val="005E373A"/>
    <w:rsid w:val="005E3FA8"/>
    <w:rsid w:val="005E45BF"/>
    <w:rsid w:val="005E6AD1"/>
    <w:rsid w:val="005E6CAC"/>
    <w:rsid w:val="005F00A8"/>
    <w:rsid w:val="005F01C9"/>
    <w:rsid w:val="005F04FD"/>
    <w:rsid w:val="005F1D8C"/>
    <w:rsid w:val="005F1E05"/>
    <w:rsid w:val="005F229E"/>
    <w:rsid w:val="005F2746"/>
    <w:rsid w:val="005F3167"/>
    <w:rsid w:val="005F3707"/>
    <w:rsid w:val="005F645F"/>
    <w:rsid w:val="005F725C"/>
    <w:rsid w:val="005F7F4F"/>
    <w:rsid w:val="00600A11"/>
    <w:rsid w:val="00600D89"/>
    <w:rsid w:val="0060235F"/>
    <w:rsid w:val="0060285A"/>
    <w:rsid w:val="00602AB9"/>
    <w:rsid w:val="00605165"/>
    <w:rsid w:val="006056D8"/>
    <w:rsid w:val="00606937"/>
    <w:rsid w:val="006075D7"/>
    <w:rsid w:val="00610099"/>
    <w:rsid w:val="00610725"/>
    <w:rsid w:val="00610AD8"/>
    <w:rsid w:val="00612E00"/>
    <w:rsid w:val="00614095"/>
    <w:rsid w:val="00614B81"/>
    <w:rsid w:val="00614F37"/>
    <w:rsid w:val="00616640"/>
    <w:rsid w:val="00616DD6"/>
    <w:rsid w:val="00617315"/>
    <w:rsid w:val="00617594"/>
    <w:rsid w:val="00620269"/>
    <w:rsid w:val="00621F43"/>
    <w:rsid w:val="006228D0"/>
    <w:rsid w:val="00622BBD"/>
    <w:rsid w:val="0062350D"/>
    <w:rsid w:val="00624310"/>
    <w:rsid w:val="00625001"/>
    <w:rsid w:val="006258CD"/>
    <w:rsid w:val="00625BD8"/>
    <w:rsid w:val="006265EB"/>
    <w:rsid w:val="00627EE0"/>
    <w:rsid w:val="0063099E"/>
    <w:rsid w:val="00631B52"/>
    <w:rsid w:val="0063292C"/>
    <w:rsid w:val="0063296F"/>
    <w:rsid w:val="00633480"/>
    <w:rsid w:val="0063485C"/>
    <w:rsid w:val="00634B5A"/>
    <w:rsid w:val="006363DE"/>
    <w:rsid w:val="00636736"/>
    <w:rsid w:val="0063701B"/>
    <w:rsid w:val="006370CC"/>
    <w:rsid w:val="006370F1"/>
    <w:rsid w:val="006411E7"/>
    <w:rsid w:val="00641D8C"/>
    <w:rsid w:val="00642A09"/>
    <w:rsid w:val="00642A29"/>
    <w:rsid w:val="00642A84"/>
    <w:rsid w:val="00642CFA"/>
    <w:rsid w:val="00643653"/>
    <w:rsid w:val="00644FB2"/>
    <w:rsid w:val="00645538"/>
    <w:rsid w:val="0064598C"/>
    <w:rsid w:val="00645A9C"/>
    <w:rsid w:val="00645F63"/>
    <w:rsid w:val="00646604"/>
    <w:rsid w:val="0065111C"/>
    <w:rsid w:val="00651961"/>
    <w:rsid w:val="00651C17"/>
    <w:rsid w:val="00651DDF"/>
    <w:rsid w:val="006521DB"/>
    <w:rsid w:val="00652E3D"/>
    <w:rsid w:val="00653019"/>
    <w:rsid w:val="00653437"/>
    <w:rsid w:val="006534CB"/>
    <w:rsid w:val="0065400B"/>
    <w:rsid w:val="00654E16"/>
    <w:rsid w:val="0066002E"/>
    <w:rsid w:val="00660458"/>
    <w:rsid w:val="00661641"/>
    <w:rsid w:val="006622AE"/>
    <w:rsid w:val="00662391"/>
    <w:rsid w:val="0066375A"/>
    <w:rsid w:val="00665D1C"/>
    <w:rsid w:val="00665DAF"/>
    <w:rsid w:val="00665F7B"/>
    <w:rsid w:val="00666C2A"/>
    <w:rsid w:val="00666F86"/>
    <w:rsid w:val="00667AC6"/>
    <w:rsid w:val="00667EB7"/>
    <w:rsid w:val="00670EC2"/>
    <w:rsid w:val="00671518"/>
    <w:rsid w:val="006715FB"/>
    <w:rsid w:val="00671E2C"/>
    <w:rsid w:val="0067311E"/>
    <w:rsid w:val="00674377"/>
    <w:rsid w:val="00674E4C"/>
    <w:rsid w:val="0067540F"/>
    <w:rsid w:val="0067586D"/>
    <w:rsid w:val="0067653F"/>
    <w:rsid w:val="00676C3D"/>
    <w:rsid w:val="00676F18"/>
    <w:rsid w:val="006777CB"/>
    <w:rsid w:val="006778EC"/>
    <w:rsid w:val="00677FEF"/>
    <w:rsid w:val="006800D3"/>
    <w:rsid w:val="00680594"/>
    <w:rsid w:val="00681568"/>
    <w:rsid w:val="006818C8"/>
    <w:rsid w:val="0068221B"/>
    <w:rsid w:val="00682EA9"/>
    <w:rsid w:val="00683B76"/>
    <w:rsid w:val="00683F8E"/>
    <w:rsid w:val="0068426C"/>
    <w:rsid w:val="006853E3"/>
    <w:rsid w:val="0068573B"/>
    <w:rsid w:val="0068647A"/>
    <w:rsid w:val="00686A04"/>
    <w:rsid w:val="00686ECF"/>
    <w:rsid w:val="0068751B"/>
    <w:rsid w:val="00687F34"/>
    <w:rsid w:val="00690F28"/>
    <w:rsid w:val="0069268C"/>
    <w:rsid w:val="006927EF"/>
    <w:rsid w:val="00694A99"/>
    <w:rsid w:val="0069525D"/>
    <w:rsid w:val="00696794"/>
    <w:rsid w:val="00696B4B"/>
    <w:rsid w:val="00696C89"/>
    <w:rsid w:val="006971D5"/>
    <w:rsid w:val="00697F16"/>
    <w:rsid w:val="006A08F1"/>
    <w:rsid w:val="006A1424"/>
    <w:rsid w:val="006A19A9"/>
    <w:rsid w:val="006A2033"/>
    <w:rsid w:val="006A3951"/>
    <w:rsid w:val="006A41DC"/>
    <w:rsid w:val="006A4DE5"/>
    <w:rsid w:val="006A511B"/>
    <w:rsid w:val="006A5DD3"/>
    <w:rsid w:val="006A6570"/>
    <w:rsid w:val="006A659D"/>
    <w:rsid w:val="006A79CD"/>
    <w:rsid w:val="006B0EAB"/>
    <w:rsid w:val="006B12DF"/>
    <w:rsid w:val="006B147E"/>
    <w:rsid w:val="006B1B5C"/>
    <w:rsid w:val="006B1C5B"/>
    <w:rsid w:val="006B267A"/>
    <w:rsid w:val="006B332F"/>
    <w:rsid w:val="006B3336"/>
    <w:rsid w:val="006B355D"/>
    <w:rsid w:val="006B3A1F"/>
    <w:rsid w:val="006B4315"/>
    <w:rsid w:val="006B43BF"/>
    <w:rsid w:val="006B445A"/>
    <w:rsid w:val="006B4493"/>
    <w:rsid w:val="006B47F6"/>
    <w:rsid w:val="006B4961"/>
    <w:rsid w:val="006B4CFF"/>
    <w:rsid w:val="006B5FAE"/>
    <w:rsid w:val="006B6ACF"/>
    <w:rsid w:val="006B797F"/>
    <w:rsid w:val="006C07DD"/>
    <w:rsid w:val="006C090F"/>
    <w:rsid w:val="006C2691"/>
    <w:rsid w:val="006C3118"/>
    <w:rsid w:val="006C3494"/>
    <w:rsid w:val="006C3979"/>
    <w:rsid w:val="006C4411"/>
    <w:rsid w:val="006C4768"/>
    <w:rsid w:val="006C5C52"/>
    <w:rsid w:val="006C7F7C"/>
    <w:rsid w:val="006D0646"/>
    <w:rsid w:val="006D06A5"/>
    <w:rsid w:val="006D13CA"/>
    <w:rsid w:val="006D16C3"/>
    <w:rsid w:val="006D1D07"/>
    <w:rsid w:val="006D20E5"/>
    <w:rsid w:val="006D2399"/>
    <w:rsid w:val="006D2C1F"/>
    <w:rsid w:val="006D3165"/>
    <w:rsid w:val="006D35DF"/>
    <w:rsid w:val="006D3824"/>
    <w:rsid w:val="006D3B19"/>
    <w:rsid w:val="006D3BAC"/>
    <w:rsid w:val="006D4211"/>
    <w:rsid w:val="006D427E"/>
    <w:rsid w:val="006D45B7"/>
    <w:rsid w:val="006D45FD"/>
    <w:rsid w:val="006D48D4"/>
    <w:rsid w:val="006D512C"/>
    <w:rsid w:val="006D541D"/>
    <w:rsid w:val="006D5C1D"/>
    <w:rsid w:val="006D7009"/>
    <w:rsid w:val="006D7680"/>
    <w:rsid w:val="006E0B4A"/>
    <w:rsid w:val="006E10EB"/>
    <w:rsid w:val="006E117D"/>
    <w:rsid w:val="006E12C1"/>
    <w:rsid w:val="006E17C0"/>
    <w:rsid w:val="006E1840"/>
    <w:rsid w:val="006E20CD"/>
    <w:rsid w:val="006E260A"/>
    <w:rsid w:val="006E26DF"/>
    <w:rsid w:val="006E285F"/>
    <w:rsid w:val="006E333D"/>
    <w:rsid w:val="006E37C6"/>
    <w:rsid w:val="006E5CA2"/>
    <w:rsid w:val="006E6A43"/>
    <w:rsid w:val="006F0265"/>
    <w:rsid w:val="006F056A"/>
    <w:rsid w:val="006F1299"/>
    <w:rsid w:val="006F22FF"/>
    <w:rsid w:val="006F37F6"/>
    <w:rsid w:val="006F47E4"/>
    <w:rsid w:val="006F49B1"/>
    <w:rsid w:val="006F60E2"/>
    <w:rsid w:val="006F639B"/>
    <w:rsid w:val="006F74F2"/>
    <w:rsid w:val="006F7515"/>
    <w:rsid w:val="006F7AA9"/>
    <w:rsid w:val="006F7D7D"/>
    <w:rsid w:val="00700376"/>
    <w:rsid w:val="00700A86"/>
    <w:rsid w:val="0070103F"/>
    <w:rsid w:val="00701403"/>
    <w:rsid w:val="00701DDB"/>
    <w:rsid w:val="007025FD"/>
    <w:rsid w:val="007034BB"/>
    <w:rsid w:val="0070375C"/>
    <w:rsid w:val="00704219"/>
    <w:rsid w:val="00705D06"/>
    <w:rsid w:val="00706374"/>
    <w:rsid w:val="007066A0"/>
    <w:rsid w:val="00707D67"/>
    <w:rsid w:val="00710183"/>
    <w:rsid w:val="00710676"/>
    <w:rsid w:val="0071187E"/>
    <w:rsid w:val="0071187F"/>
    <w:rsid w:val="00712073"/>
    <w:rsid w:val="00712113"/>
    <w:rsid w:val="007136BE"/>
    <w:rsid w:val="00713E2A"/>
    <w:rsid w:val="00715970"/>
    <w:rsid w:val="00715A73"/>
    <w:rsid w:val="00716870"/>
    <w:rsid w:val="00717A2B"/>
    <w:rsid w:val="00717CD7"/>
    <w:rsid w:val="00717D06"/>
    <w:rsid w:val="0072002D"/>
    <w:rsid w:val="00720720"/>
    <w:rsid w:val="007207B3"/>
    <w:rsid w:val="00720906"/>
    <w:rsid w:val="00720A50"/>
    <w:rsid w:val="007210C4"/>
    <w:rsid w:val="00722146"/>
    <w:rsid w:val="00722C13"/>
    <w:rsid w:val="007236AC"/>
    <w:rsid w:val="00723AD8"/>
    <w:rsid w:val="00723F19"/>
    <w:rsid w:val="007269CF"/>
    <w:rsid w:val="007271CA"/>
    <w:rsid w:val="00727297"/>
    <w:rsid w:val="00730ECC"/>
    <w:rsid w:val="00731260"/>
    <w:rsid w:val="007316AA"/>
    <w:rsid w:val="0073175D"/>
    <w:rsid w:val="007319C5"/>
    <w:rsid w:val="00731B26"/>
    <w:rsid w:val="00732849"/>
    <w:rsid w:val="00733766"/>
    <w:rsid w:val="00733BDF"/>
    <w:rsid w:val="00733E30"/>
    <w:rsid w:val="007351D0"/>
    <w:rsid w:val="00735749"/>
    <w:rsid w:val="00736364"/>
    <w:rsid w:val="007377A6"/>
    <w:rsid w:val="007409DF"/>
    <w:rsid w:val="007410AA"/>
    <w:rsid w:val="00741D29"/>
    <w:rsid w:val="007432DA"/>
    <w:rsid w:val="00743FDE"/>
    <w:rsid w:val="0074457D"/>
    <w:rsid w:val="00744834"/>
    <w:rsid w:val="00744B38"/>
    <w:rsid w:val="00745195"/>
    <w:rsid w:val="0074552A"/>
    <w:rsid w:val="00745B5C"/>
    <w:rsid w:val="00745CD5"/>
    <w:rsid w:val="00746914"/>
    <w:rsid w:val="00747058"/>
    <w:rsid w:val="00750012"/>
    <w:rsid w:val="0075075C"/>
    <w:rsid w:val="00750B0E"/>
    <w:rsid w:val="007517CC"/>
    <w:rsid w:val="0075217C"/>
    <w:rsid w:val="0075307C"/>
    <w:rsid w:val="00753870"/>
    <w:rsid w:val="00755A5A"/>
    <w:rsid w:val="0075626B"/>
    <w:rsid w:val="0075679C"/>
    <w:rsid w:val="0075728B"/>
    <w:rsid w:val="0075795E"/>
    <w:rsid w:val="00757BAD"/>
    <w:rsid w:val="007602C2"/>
    <w:rsid w:val="00760EF6"/>
    <w:rsid w:val="00761975"/>
    <w:rsid w:val="0076405C"/>
    <w:rsid w:val="00764207"/>
    <w:rsid w:val="00764585"/>
    <w:rsid w:val="00764AF4"/>
    <w:rsid w:val="00764B33"/>
    <w:rsid w:val="007652C1"/>
    <w:rsid w:val="00765415"/>
    <w:rsid w:val="007656A2"/>
    <w:rsid w:val="007657C8"/>
    <w:rsid w:val="00766673"/>
    <w:rsid w:val="00766C25"/>
    <w:rsid w:val="007675FD"/>
    <w:rsid w:val="00767897"/>
    <w:rsid w:val="00767EC0"/>
    <w:rsid w:val="00770696"/>
    <w:rsid w:val="0077147D"/>
    <w:rsid w:val="007723EF"/>
    <w:rsid w:val="00772800"/>
    <w:rsid w:val="00774739"/>
    <w:rsid w:val="007762D7"/>
    <w:rsid w:val="007764DA"/>
    <w:rsid w:val="007768CB"/>
    <w:rsid w:val="007769B2"/>
    <w:rsid w:val="007772DA"/>
    <w:rsid w:val="00777644"/>
    <w:rsid w:val="00777F9B"/>
    <w:rsid w:val="00777FA8"/>
    <w:rsid w:val="0078034A"/>
    <w:rsid w:val="007804E9"/>
    <w:rsid w:val="00781B23"/>
    <w:rsid w:val="00782791"/>
    <w:rsid w:val="00782FB7"/>
    <w:rsid w:val="0078306F"/>
    <w:rsid w:val="007839A3"/>
    <w:rsid w:val="0078515F"/>
    <w:rsid w:val="00785378"/>
    <w:rsid w:val="007855C4"/>
    <w:rsid w:val="007871FA"/>
    <w:rsid w:val="00787CC9"/>
    <w:rsid w:val="00790878"/>
    <w:rsid w:val="007917D3"/>
    <w:rsid w:val="00791D74"/>
    <w:rsid w:val="00792222"/>
    <w:rsid w:val="00792CCA"/>
    <w:rsid w:val="00792F0B"/>
    <w:rsid w:val="007933FD"/>
    <w:rsid w:val="007946F4"/>
    <w:rsid w:val="00794814"/>
    <w:rsid w:val="00794EB7"/>
    <w:rsid w:val="007967AC"/>
    <w:rsid w:val="00797AB5"/>
    <w:rsid w:val="00797DB9"/>
    <w:rsid w:val="007A0EE5"/>
    <w:rsid w:val="007A1A04"/>
    <w:rsid w:val="007A339D"/>
    <w:rsid w:val="007A42C5"/>
    <w:rsid w:val="007A6116"/>
    <w:rsid w:val="007A72D5"/>
    <w:rsid w:val="007B0900"/>
    <w:rsid w:val="007B1F02"/>
    <w:rsid w:val="007B2F4C"/>
    <w:rsid w:val="007B31E0"/>
    <w:rsid w:val="007B3BCA"/>
    <w:rsid w:val="007B5914"/>
    <w:rsid w:val="007B59B9"/>
    <w:rsid w:val="007B5EA8"/>
    <w:rsid w:val="007B6705"/>
    <w:rsid w:val="007B76E4"/>
    <w:rsid w:val="007B7BD3"/>
    <w:rsid w:val="007C00D3"/>
    <w:rsid w:val="007C0259"/>
    <w:rsid w:val="007C0754"/>
    <w:rsid w:val="007C0BD2"/>
    <w:rsid w:val="007C0D9F"/>
    <w:rsid w:val="007C1136"/>
    <w:rsid w:val="007C2978"/>
    <w:rsid w:val="007C382E"/>
    <w:rsid w:val="007C4287"/>
    <w:rsid w:val="007C458E"/>
    <w:rsid w:val="007D02F2"/>
    <w:rsid w:val="007D053C"/>
    <w:rsid w:val="007D0E49"/>
    <w:rsid w:val="007D1698"/>
    <w:rsid w:val="007D2517"/>
    <w:rsid w:val="007D387A"/>
    <w:rsid w:val="007D4464"/>
    <w:rsid w:val="007D4E09"/>
    <w:rsid w:val="007D5D7D"/>
    <w:rsid w:val="007D60FD"/>
    <w:rsid w:val="007D7D6D"/>
    <w:rsid w:val="007D7DA5"/>
    <w:rsid w:val="007E0172"/>
    <w:rsid w:val="007E0189"/>
    <w:rsid w:val="007E03CA"/>
    <w:rsid w:val="007E0B38"/>
    <w:rsid w:val="007E11E0"/>
    <w:rsid w:val="007E1DB5"/>
    <w:rsid w:val="007E3448"/>
    <w:rsid w:val="007E49D1"/>
    <w:rsid w:val="007E58B0"/>
    <w:rsid w:val="007E58E0"/>
    <w:rsid w:val="007E68F7"/>
    <w:rsid w:val="007E749B"/>
    <w:rsid w:val="007E7C3A"/>
    <w:rsid w:val="007F0CE6"/>
    <w:rsid w:val="007F0D15"/>
    <w:rsid w:val="007F11AC"/>
    <w:rsid w:val="007F2690"/>
    <w:rsid w:val="007F2820"/>
    <w:rsid w:val="007F2873"/>
    <w:rsid w:val="007F2CAC"/>
    <w:rsid w:val="007F2FB5"/>
    <w:rsid w:val="007F4DEF"/>
    <w:rsid w:val="007F52A3"/>
    <w:rsid w:val="007F5519"/>
    <w:rsid w:val="007F6535"/>
    <w:rsid w:val="007F681B"/>
    <w:rsid w:val="007F74AA"/>
    <w:rsid w:val="008019FE"/>
    <w:rsid w:val="00801CDF"/>
    <w:rsid w:val="008027D4"/>
    <w:rsid w:val="00803707"/>
    <w:rsid w:val="00804380"/>
    <w:rsid w:val="00804791"/>
    <w:rsid w:val="00804B6B"/>
    <w:rsid w:val="0080577D"/>
    <w:rsid w:val="0080602B"/>
    <w:rsid w:val="0080637F"/>
    <w:rsid w:val="008064E5"/>
    <w:rsid w:val="00806CD7"/>
    <w:rsid w:val="008102C5"/>
    <w:rsid w:val="0081053E"/>
    <w:rsid w:val="008108CE"/>
    <w:rsid w:val="00810B68"/>
    <w:rsid w:val="00810BFA"/>
    <w:rsid w:val="00811205"/>
    <w:rsid w:val="00812945"/>
    <w:rsid w:val="00812BD5"/>
    <w:rsid w:val="0081322A"/>
    <w:rsid w:val="00813641"/>
    <w:rsid w:val="00814414"/>
    <w:rsid w:val="00814EC8"/>
    <w:rsid w:val="00815DB3"/>
    <w:rsid w:val="008164E0"/>
    <w:rsid w:val="008178B1"/>
    <w:rsid w:val="008212C3"/>
    <w:rsid w:val="008212E0"/>
    <w:rsid w:val="0082159A"/>
    <w:rsid w:val="00821E52"/>
    <w:rsid w:val="00821FA0"/>
    <w:rsid w:val="0082282C"/>
    <w:rsid w:val="00822C9C"/>
    <w:rsid w:val="008235BA"/>
    <w:rsid w:val="00824992"/>
    <w:rsid w:val="00826272"/>
    <w:rsid w:val="00826A86"/>
    <w:rsid w:val="0082726C"/>
    <w:rsid w:val="00830622"/>
    <w:rsid w:val="00830D12"/>
    <w:rsid w:val="00831F9E"/>
    <w:rsid w:val="0083306C"/>
    <w:rsid w:val="008334CA"/>
    <w:rsid w:val="008346EE"/>
    <w:rsid w:val="00834B63"/>
    <w:rsid w:val="0083529B"/>
    <w:rsid w:val="0083717B"/>
    <w:rsid w:val="008375CF"/>
    <w:rsid w:val="00837CEB"/>
    <w:rsid w:val="00837DD0"/>
    <w:rsid w:val="008404EC"/>
    <w:rsid w:val="00840576"/>
    <w:rsid w:val="00840DE6"/>
    <w:rsid w:val="008425F9"/>
    <w:rsid w:val="0084270B"/>
    <w:rsid w:val="00843F9A"/>
    <w:rsid w:val="008506CD"/>
    <w:rsid w:val="00850BE9"/>
    <w:rsid w:val="00851670"/>
    <w:rsid w:val="00851D67"/>
    <w:rsid w:val="00852A9C"/>
    <w:rsid w:val="008530C7"/>
    <w:rsid w:val="008539ED"/>
    <w:rsid w:val="00853D1E"/>
    <w:rsid w:val="00855AA7"/>
    <w:rsid w:val="00855C22"/>
    <w:rsid w:val="00856CF3"/>
    <w:rsid w:val="00860535"/>
    <w:rsid w:val="008608D9"/>
    <w:rsid w:val="00860C09"/>
    <w:rsid w:val="008616A3"/>
    <w:rsid w:val="00861B1E"/>
    <w:rsid w:val="00861BA4"/>
    <w:rsid w:val="008633F1"/>
    <w:rsid w:val="00863D04"/>
    <w:rsid w:val="00863DEF"/>
    <w:rsid w:val="00863F68"/>
    <w:rsid w:val="00864F97"/>
    <w:rsid w:val="00865014"/>
    <w:rsid w:val="00865191"/>
    <w:rsid w:val="00865E8F"/>
    <w:rsid w:val="00870006"/>
    <w:rsid w:val="00872EAC"/>
    <w:rsid w:val="008735D0"/>
    <w:rsid w:val="0087389C"/>
    <w:rsid w:val="00873D42"/>
    <w:rsid w:val="00874771"/>
    <w:rsid w:val="00876A20"/>
    <w:rsid w:val="00876C16"/>
    <w:rsid w:val="008778A5"/>
    <w:rsid w:val="00877B17"/>
    <w:rsid w:val="0088020C"/>
    <w:rsid w:val="00881555"/>
    <w:rsid w:val="00881B1B"/>
    <w:rsid w:val="00882834"/>
    <w:rsid w:val="00882CD6"/>
    <w:rsid w:val="008841F1"/>
    <w:rsid w:val="00885168"/>
    <w:rsid w:val="00885204"/>
    <w:rsid w:val="008852DD"/>
    <w:rsid w:val="00885CF8"/>
    <w:rsid w:val="008873D4"/>
    <w:rsid w:val="0088785C"/>
    <w:rsid w:val="0089155C"/>
    <w:rsid w:val="008917C3"/>
    <w:rsid w:val="00891921"/>
    <w:rsid w:val="00891A06"/>
    <w:rsid w:val="00891E92"/>
    <w:rsid w:val="00892170"/>
    <w:rsid w:val="008927B2"/>
    <w:rsid w:val="008930E9"/>
    <w:rsid w:val="00893943"/>
    <w:rsid w:val="008946D5"/>
    <w:rsid w:val="0089734C"/>
    <w:rsid w:val="00897F59"/>
    <w:rsid w:val="008A08E6"/>
    <w:rsid w:val="008A0E1F"/>
    <w:rsid w:val="008A1656"/>
    <w:rsid w:val="008A223E"/>
    <w:rsid w:val="008A27D1"/>
    <w:rsid w:val="008A2C54"/>
    <w:rsid w:val="008A452B"/>
    <w:rsid w:val="008A7DB8"/>
    <w:rsid w:val="008B0056"/>
    <w:rsid w:val="008B0E1E"/>
    <w:rsid w:val="008B183D"/>
    <w:rsid w:val="008B190F"/>
    <w:rsid w:val="008B2ADB"/>
    <w:rsid w:val="008B3932"/>
    <w:rsid w:val="008B4924"/>
    <w:rsid w:val="008B4EAF"/>
    <w:rsid w:val="008B54CA"/>
    <w:rsid w:val="008B58F8"/>
    <w:rsid w:val="008B5FA2"/>
    <w:rsid w:val="008B687A"/>
    <w:rsid w:val="008B6973"/>
    <w:rsid w:val="008B78C4"/>
    <w:rsid w:val="008B7BF3"/>
    <w:rsid w:val="008C08F8"/>
    <w:rsid w:val="008C128F"/>
    <w:rsid w:val="008C1932"/>
    <w:rsid w:val="008C1E33"/>
    <w:rsid w:val="008C1F57"/>
    <w:rsid w:val="008C203C"/>
    <w:rsid w:val="008C2659"/>
    <w:rsid w:val="008C2876"/>
    <w:rsid w:val="008C2893"/>
    <w:rsid w:val="008C2DD7"/>
    <w:rsid w:val="008C30E7"/>
    <w:rsid w:val="008C4096"/>
    <w:rsid w:val="008C476C"/>
    <w:rsid w:val="008C47D8"/>
    <w:rsid w:val="008C498F"/>
    <w:rsid w:val="008C4AC0"/>
    <w:rsid w:val="008C5234"/>
    <w:rsid w:val="008C69FF"/>
    <w:rsid w:val="008C6D14"/>
    <w:rsid w:val="008C7C1F"/>
    <w:rsid w:val="008D09D8"/>
    <w:rsid w:val="008D1ABD"/>
    <w:rsid w:val="008D20A2"/>
    <w:rsid w:val="008D240C"/>
    <w:rsid w:val="008D3E4B"/>
    <w:rsid w:val="008D4018"/>
    <w:rsid w:val="008D41F5"/>
    <w:rsid w:val="008D4CF4"/>
    <w:rsid w:val="008D520A"/>
    <w:rsid w:val="008D575F"/>
    <w:rsid w:val="008D5CDE"/>
    <w:rsid w:val="008E0039"/>
    <w:rsid w:val="008E05DE"/>
    <w:rsid w:val="008E1073"/>
    <w:rsid w:val="008E1F11"/>
    <w:rsid w:val="008E3152"/>
    <w:rsid w:val="008E3F30"/>
    <w:rsid w:val="008E425F"/>
    <w:rsid w:val="008E575F"/>
    <w:rsid w:val="008E6189"/>
    <w:rsid w:val="008E61D1"/>
    <w:rsid w:val="008E7C7E"/>
    <w:rsid w:val="008F112C"/>
    <w:rsid w:val="008F16E4"/>
    <w:rsid w:val="008F1BCD"/>
    <w:rsid w:val="008F2CDA"/>
    <w:rsid w:val="008F3B07"/>
    <w:rsid w:val="008F5316"/>
    <w:rsid w:val="008F6397"/>
    <w:rsid w:val="008F799D"/>
    <w:rsid w:val="00901379"/>
    <w:rsid w:val="00901A37"/>
    <w:rsid w:val="009039B9"/>
    <w:rsid w:val="0090535B"/>
    <w:rsid w:val="00905955"/>
    <w:rsid w:val="00905EAE"/>
    <w:rsid w:val="00906261"/>
    <w:rsid w:val="00906B45"/>
    <w:rsid w:val="00910DCB"/>
    <w:rsid w:val="00911188"/>
    <w:rsid w:val="00911B05"/>
    <w:rsid w:val="0091272C"/>
    <w:rsid w:val="00912E11"/>
    <w:rsid w:val="00914CAA"/>
    <w:rsid w:val="00915076"/>
    <w:rsid w:val="009151ED"/>
    <w:rsid w:val="00915319"/>
    <w:rsid w:val="009165E4"/>
    <w:rsid w:val="00917309"/>
    <w:rsid w:val="00917A9D"/>
    <w:rsid w:val="00920D44"/>
    <w:rsid w:val="00921770"/>
    <w:rsid w:val="00921A4C"/>
    <w:rsid w:val="00922177"/>
    <w:rsid w:val="009228F1"/>
    <w:rsid w:val="00922A46"/>
    <w:rsid w:val="00922A79"/>
    <w:rsid w:val="0092343E"/>
    <w:rsid w:val="00923C7C"/>
    <w:rsid w:val="009241CA"/>
    <w:rsid w:val="009254CA"/>
    <w:rsid w:val="009259E3"/>
    <w:rsid w:val="00926471"/>
    <w:rsid w:val="0092647D"/>
    <w:rsid w:val="009267D5"/>
    <w:rsid w:val="00930E55"/>
    <w:rsid w:val="00931C78"/>
    <w:rsid w:val="0093263B"/>
    <w:rsid w:val="00933A45"/>
    <w:rsid w:val="00933DFD"/>
    <w:rsid w:val="00934E1D"/>
    <w:rsid w:val="009359A0"/>
    <w:rsid w:val="00935BA5"/>
    <w:rsid w:val="00936296"/>
    <w:rsid w:val="009369DF"/>
    <w:rsid w:val="00936FF6"/>
    <w:rsid w:val="00937152"/>
    <w:rsid w:val="00937260"/>
    <w:rsid w:val="009402D7"/>
    <w:rsid w:val="0094030F"/>
    <w:rsid w:val="0094059D"/>
    <w:rsid w:val="00943419"/>
    <w:rsid w:val="00943498"/>
    <w:rsid w:val="00943B05"/>
    <w:rsid w:val="00944610"/>
    <w:rsid w:val="0094504E"/>
    <w:rsid w:val="0094568B"/>
    <w:rsid w:val="00945FAF"/>
    <w:rsid w:val="00946E9C"/>
    <w:rsid w:val="00947983"/>
    <w:rsid w:val="00947FE5"/>
    <w:rsid w:val="009500AC"/>
    <w:rsid w:val="00950861"/>
    <w:rsid w:val="00951318"/>
    <w:rsid w:val="00953AF1"/>
    <w:rsid w:val="00954050"/>
    <w:rsid w:val="0095438E"/>
    <w:rsid w:val="00954696"/>
    <w:rsid w:val="00956171"/>
    <w:rsid w:val="00960E7A"/>
    <w:rsid w:val="0096177F"/>
    <w:rsid w:val="00961A01"/>
    <w:rsid w:val="009628AB"/>
    <w:rsid w:val="00963260"/>
    <w:rsid w:val="00963B8B"/>
    <w:rsid w:val="00963CCF"/>
    <w:rsid w:val="00963D1F"/>
    <w:rsid w:val="009641A6"/>
    <w:rsid w:val="00966E52"/>
    <w:rsid w:val="009704BB"/>
    <w:rsid w:val="009717C8"/>
    <w:rsid w:val="0097182A"/>
    <w:rsid w:val="009724E5"/>
    <w:rsid w:val="00972845"/>
    <w:rsid w:val="00972D48"/>
    <w:rsid w:val="0097393E"/>
    <w:rsid w:val="00973B91"/>
    <w:rsid w:val="0097489F"/>
    <w:rsid w:val="0097592C"/>
    <w:rsid w:val="00976F66"/>
    <w:rsid w:val="00976FE2"/>
    <w:rsid w:val="0097792E"/>
    <w:rsid w:val="0097796F"/>
    <w:rsid w:val="00977C2A"/>
    <w:rsid w:val="00977F1F"/>
    <w:rsid w:val="00980422"/>
    <w:rsid w:val="00981E9B"/>
    <w:rsid w:val="00981F02"/>
    <w:rsid w:val="00982F2C"/>
    <w:rsid w:val="00983894"/>
    <w:rsid w:val="00983EAE"/>
    <w:rsid w:val="00984BD8"/>
    <w:rsid w:val="0098539A"/>
    <w:rsid w:val="009865B5"/>
    <w:rsid w:val="00986E70"/>
    <w:rsid w:val="0098743E"/>
    <w:rsid w:val="00990400"/>
    <w:rsid w:val="0099069E"/>
    <w:rsid w:val="00991AE4"/>
    <w:rsid w:val="00992EF1"/>
    <w:rsid w:val="00992FC0"/>
    <w:rsid w:val="009947A4"/>
    <w:rsid w:val="009950CE"/>
    <w:rsid w:val="009954D3"/>
    <w:rsid w:val="0099567D"/>
    <w:rsid w:val="00995906"/>
    <w:rsid w:val="00996A50"/>
    <w:rsid w:val="00996FD7"/>
    <w:rsid w:val="00997461"/>
    <w:rsid w:val="009974D5"/>
    <w:rsid w:val="009979B1"/>
    <w:rsid w:val="009A0669"/>
    <w:rsid w:val="009A0D01"/>
    <w:rsid w:val="009A1988"/>
    <w:rsid w:val="009A1A55"/>
    <w:rsid w:val="009A293C"/>
    <w:rsid w:val="009A2980"/>
    <w:rsid w:val="009A3231"/>
    <w:rsid w:val="009A407E"/>
    <w:rsid w:val="009A4379"/>
    <w:rsid w:val="009A473B"/>
    <w:rsid w:val="009A4D29"/>
    <w:rsid w:val="009A53F5"/>
    <w:rsid w:val="009A578E"/>
    <w:rsid w:val="009B1065"/>
    <w:rsid w:val="009B1F15"/>
    <w:rsid w:val="009B384C"/>
    <w:rsid w:val="009B4127"/>
    <w:rsid w:val="009B5723"/>
    <w:rsid w:val="009B5FF0"/>
    <w:rsid w:val="009B6037"/>
    <w:rsid w:val="009B6781"/>
    <w:rsid w:val="009B75F1"/>
    <w:rsid w:val="009C0270"/>
    <w:rsid w:val="009C03D9"/>
    <w:rsid w:val="009C2120"/>
    <w:rsid w:val="009C2316"/>
    <w:rsid w:val="009C3F2D"/>
    <w:rsid w:val="009C407E"/>
    <w:rsid w:val="009C4340"/>
    <w:rsid w:val="009C4BE0"/>
    <w:rsid w:val="009C4BF0"/>
    <w:rsid w:val="009C5E01"/>
    <w:rsid w:val="009C6092"/>
    <w:rsid w:val="009C66F9"/>
    <w:rsid w:val="009C6DEA"/>
    <w:rsid w:val="009C7190"/>
    <w:rsid w:val="009D30F6"/>
    <w:rsid w:val="009D6425"/>
    <w:rsid w:val="009D6F1A"/>
    <w:rsid w:val="009D70E2"/>
    <w:rsid w:val="009D72F6"/>
    <w:rsid w:val="009D7C48"/>
    <w:rsid w:val="009E0356"/>
    <w:rsid w:val="009E19C1"/>
    <w:rsid w:val="009E1A51"/>
    <w:rsid w:val="009E2261"/>
    <w:rsid w:val="009E2C13"/>
    <w:rsid w:val="009E3696"/>
    <w:rsid w:val="009E3F40"/>
    <w:rsid w:val="009E41B9"/>
    <w:rsid w:val="009E4BD0"/>
    <w:rsid w:val="009E5625"/>
    <w:rsid w:val="009E5925"/>
    <w:rsid w:val="009E5A34"/>
    <w:rsid w:val="009E5C0A"/>
    <w:rsid w:val="009E6D3F"/>
    <w:rsid w:val="009E7C6D"/>
    <w:rsid w:val="009F1C40"/>
    <w:rsid w:val="009F7C51"/>
    <w:rsid w:val="009F7E7D"/>
    <w:rsid w:val="00A01A45"/>
    <w:rsid w:val="00A02816"/>
    <w:rsid w:val="00A02AB1"/>
    <w:rsid w:val="00A02B1C"/>
    <w:rsid w:val="00A04D52"/>
    <w:rsid w:val="00A05C4E"/>
    <w:rsid w:val="00A07FC8"/>
    <w:rsid w:val="00A100F7"/>
    <w:rsid w:val="00A10CFE"/>
    <w:rsid w:val="00A10F5B"/>
    <w:rsid w:val="00A11481"/>
    <w:rsid w:val="00A11C24"/>
    <w:rsid w:val="00A12320"/>
    <w:rsid w:val="00A1293E"/>
    <w:rsid w:val="00A12C0B"/>
    <w:rsid w:val="00A13055"/>
    <w:rsid w:val="00A13AB8"/>
    <w:rsid w:val="00A13B6A"/>
    <w:rsid w:val="00A13F36"/>
    <w:rsid w:val="00A14FA8"/>
    <w:rsid w:val="00A15070"/>
    <w:rsid w:val="00A16E43"/>
    <w:rsid w:val="00A201D6"/>
    <w:rsid w:val="00A20EB0"/>
    <w:rsid w:val="00A21717"/>
    <w:rsid w:val="00A218B0"/>
    <w:rsid w:val="00A221F9"/>
    <w:rsid w:val="00A225BB"/>
    <w:rsid w:val="00A230C4"/>
    <w:rsid w:val="00A23749"/>
    <w:rsid w:val="00A23795"/>
    <w:rsid w:val="00A237FF"/>
    <w:rsid w:val="00A23C50"/>
    <w:rsid w:val="00A2472E"/>
    <w:rsid w:val="00A24D10"/>
    <w:rsid w:val="00A25371"/>
    <w:rsid w:val="00A254C9"/>
    <w:rsid w:val="00A25DFB"/>
    <w:rsid w:val="00A27B61"/>
    <w:rsid w:val="00A27D92"/>
    <w:rsid w:val="00A27E12"/>
    <w:rsid w:val="00A30077"/>
    <w:rsid w:val="00A30EC4"/>
    <w:rsid w:val="00A31D08"/>
    <w:rsid w:val="00A322FF"/>
    <w:rsid w:val="00A3399F"/>
    <w:rsid w:val="00A33BEC"/>
    <w:rsid w:val="00A34675"/>
    <w:rsid w:val="00A35FF3"/>
    <w:rsid w:val="00A363EE"/>
    <w:rsid w:val="00A36AA5"/>
    <w:rsid w:val="00A36B24"/>
    <w:rsid w:val="00A4054B"/>
    <w:rsid w:val="00A40573"/>
    <w:rsid w:val="00A4078A"/>
    <w:rsid w:val="00A4134F"/>
    <w:rsid w:val="00A41A4A"/>
    <w:rsid w:val="00A420CD"/>
    <w:rsid w:val="00A43F94"/>
    <w:rsid w:val="00A43FE6"/>
    <w:rsid w:val="00A44024"/>
    <w:rsid w:val="00A4472D"/>
    <w:rsid w:val="00A450BF"/>
    <w:rsid w:val="00A464F0"/>
    <w:rsid w:val="00A4786B"/>
    <w:rsid w:val="00A50615"/>
    <w:rsid w:val="00A5172B"/>
    <w:rsid w:val="00A546B9"/>
    <w:rsid w:val="00A549EC"/>
    <w:rsid w:val="00A54BD2"/>
    <w:rsid w:val="00A54DCB"/>
    <w:rsid w:val="00A5630F"/>
    <w:rsid w:val="00A566DA"/>
    <w:rsid w:val="00A56CE1"/>
    <w:rsid w:val="00A57488"/>
    <w:rsid w:val="00A5754C"/>
    <w:rsid w:val="00A60490"/>
    <w:rsid w:val="00A61C81"/>
    <w:rsid w:val="00A61D59"/>
    <w:rsid w:val="00A62949"/>
    <w:rsid w:val="00A63103"/>
    <w:rsid w:val="00A6333B"/>
    <w:rsid w:val="00A63B2F"/>
    <w:rsid w:val="00A64DEB"/>
    <w:rsid w:val="00A6534C"/>
    <w:rsid w:val="00A65E15"/>
    <w:rsid w:val="00A6707E"/>
    <w:rsid w:val="00A67765"/>
    <w:rsid w:val="00A701CB"/>
    <w:rsid w:val="00A70FF5"/>
    <w:rsid w:val="00A7155A"/>
    <w:rsid w:val="00A744A5"/>
    <w:rsid w:val="00A74570"/>
    <w:rsid w:val="00A74E48"/>
    <w:rsid w:val="00A757AA"/>
    <w:rsid w:val="00A75AFD"/>
    <w:rsid w:val="00A76267"/>
    <w:rsid w:val="00A7645E"/>
    <w:rsid w:val="00A76FEC"/>
    <w:rsid w:val="00A77549"/>
    <w:rsid w:val="00A77910"/>
    <w:rsid w:val="00A80B58"/>
    <w:rsid w:val="00A81034"/>
    <w:rsid w:val="00A8126B"/>
    <w:rsid w:val="00A814E0"/>
    <w:rsid w:val="00A81669"/>
    <w:rsid w:val="00A81E9B"/>
    <w:rsid w:val="00A8335E"/>
    <w:rsid w:val="00A854AA"/>
    <w:rsid w:val="00A854E0"/>
    <w:rsid w:val="00A8580D"/>
    <w:rsid w:val="00A85C5E"/>
    <w:rsid w:val="00A87F4A"/>
    <w:rsid w:val="00A90607"/>
    <w:rsid w:val="00A91F36"/>
    <w:rsid w:val="00A92267"/>
    <w:rsid w:val="00A926B7"/>
    <w:rsid w:val="00A92C0F"/>
    <w:rsid w:val="00A931E9"/>
    <w:rsid w:val="00A937C8"/>
    <w:rsid w:val="00A93B14"/>
    <w:rsid w:val="00A93FC9"/>
    <w:rsid w:val="00A95116"/>
    <w:rsid w:val="00A95489"/>
    <w:rsid w:val="00A954DE"/>
    <w:rsid w:val="00A957F4"/>
    <w:rsid w:val="00A9630C"/>
    <w:rsid w:val="00A96504"/>
    <w:rsid w:val="00A96E7F"/>
    <w:rsid w:val="00AA0BFF"/>
    <w:rsid w:val="00AA1988"/>
    <w:rsid w:val="00AA233A"/>
    <w:rsid w:val="00AA2667"/>
    <w:rsid w:val="00AA341F"/>
    <w:rsid w:val="00AA3F9E"/>
    <w:rsid w:val="00AA42BC"/>
    <w:rsid w:val="00AA4C4C"/>
    <w:rsid w:val="00AA6663"/>
    <w:rsid w:val="00AA7392"/>
    <w:rsid w:val="00AA74B3"/>
    <w:rsid w:val="00AA74F3"/>
    <w:rsid w:val="00AA7F0C"/>
    <w:rsid w:val="00AA7F58"/>
    <w:rsid w:val="00AB08BB"/>
    <w:rsid w:val="00AB1744"/>
    <w:rsid w:val="00AB21C2"/>
    <w:rsid w:val="00AB239F"/>
    <w:rsid w:val="00AB2ED1"/>
    <w:rsid w:val="00AB30E6"/>
    <w:rsid w:val="00AB4261"/>
    <w:rsid w:val="00AB4A84"/>
    <w:rsid w:val="00AB5CEB"/>
    <w:rsid w:val="00AB6301"/>
    <w:rsid w:val="00AB6EF6"/>
    <w:rsid w:val="00AB7552"/>
    <w:rsid w:val="00AC033B"/>
    <w:rsid w:val="00AC066D"/>
    <w:rsid w:val="00AC1738"/>
    <w:rsid w:val="00AC1EA0"/>
    <w:rsid w:val="00AC1F6A"/>
    <w:rsid w:val="00AC3D8F"/>
    <w:rsid w:val="00AC4590"/>
    <w:rsid w:val="00AC46A8"/>
    <w:rsid w:val="00AC4979"/>
    <w:rsid w:val="00AC49DB"/>
    <w:rsid w:val="00AC5494"/>
    <w:rsid w:val="00AC55A8"/>
    <w:rsid w:val="00AC5C8D"/>
    <w:rsid w:val="00AC5DE7"/>
    <w:rsid w:val="00AD0A89"/>
    <w:rsid w:val="00AD10DD"/>
    <w:rsid w:val="00AD142E"/>
    <w:rsid w:val="00AD1936"/>
    <w:rsid w:val="00AD2A67"/>
    <w:rsid w:val="00AD2C20"/>
    <w:rsid w:val="00AD3A41"/>
    <w:rsid w:val="00AD4199"/>
    <w:rsid w:val="00AD460A"/>
    <w:rsid w:val="00AD5E54"/>
    <w:rsid w:val="00AD6602"/>
    <w:rsid w:val="00AE2F3D"/>
    <w:rsid w:val="00AE3B0D"/>
    <w:rsid w:val="00AE4707"/>
    <w:rsid w:val="00AE492F"/>
    <w:rsid w:val="00AE50A1"/>
    <w:rsid w:val="00AE5221"/>
    <w:rsid w:val="00AE56B4"/>
    <w:rsid w:val="00AE623F"/>
    <w:rsid w:val="00AE6DB5"/>
    <w:rsid w:val="00AE703E"/>
    <w:rsid w:val="00AE728C"/>
    <w:rsid w:val="00AE7375"/>
    <w:rsid w:val="00AE7CDD"/>
    <w:rsid w:val="00AF03FB"/>
    <w:rsid w:val="00AF1515"/>
    <w:rsid w:val="00AF2080"/>
    <w:rsid w:val="00AF26D8"/>
    <w:rsid w:val="00AF34C6"/>
    <w:rsid w:val="00AF379B"/>
    <w:rsid w:val="00AF3D63"/>
    <w:rsid w:val="00AF44DF"/>
    <w:rsid w:val="00AF4C66"/>
    <w:rsid w:val="00AF4E70"/>
    <w:rsid w:val="00AF5C29"/>
    <w:rsid w:val="00AF6389"/>
    <w:rsid w:val="00AF6DBA"/>
    <w:rsid w:val="00AF7626"/>
    <w:rsid w:val="00AF7B43"/>
    <w:rsid w:val="00B01CA9"/>
    <w:rsid w:val="00B01D25"/>
    <w:rsid w:val="00B022D4"/>
    <w:rsid w:val="00B0337A"/>
    <w:rsid w:val="00B05E22"/>
    <w:rsid w:val="00B06E86"/>
    <w:rsid w:val="00B070A4"/>
    <w:rsid w:val="00B1078E"/>
    <w:rsid w:val="00B1196A"/>
    <w:rsid w:val="00B11FE4"/>
    <w:rsid w:val="00B122BD"/>
    <w:rsid w:val="00B127B8"/>
    <w:rsid w:val="00B12D7F"/>
    <w:rsid w:val="00B133FB"/>
    <w:rsid w:val="00B13E8F"/>
    <w:rsid w:val="00B147F2"/>
    <w:rsid w:val="00B149AC"/>
    <w:rsid w:val="00B14B60"/>
    <w:rsid w:val="00B151AA"/>
    <w:rsid w:val="00B153BF"/>
    <w:rsid w:val="00B177B5"/>
    <w:rsid w:val="00B17AE0"/>
    <w:rsid w:val="00B20643"/>
    <w:rsid w:val="00B2084D"/>
    <w:rsid w:val="00B20C61"/>
    <w:rsid w:val="00B20D21"/>
    <w:rsid w:val="00B215C9"/>
    <w:rsid w:val="00B219B0"/>
    <w:rsid w:val="00B21EBC"/>
    <w:rsid w:val="00B2310E"/>
    <w:rsid w:val="00B2349D"/>
    <w:rsid w:val="00B24516"/>
    <w:rsid w:val="00B24B21"/>
    <w:rsid w:val="00B2524B"/>
    <w:rsid w:val="00B25EE8"/>
    <w:rsid w:val="00B26690"/>
    <w:rsid w:val="00B26FD6"/>
    <w:rsid w:val="00B27599"/>
    <w:rsid w:val="00B27F2E"/>
    <w:rsid w:val="00B30376"/>
    <w:rsid w:val="00B3182E"/>
    <w:rsid w:val="00B32960"/>
    <w:rsid w:val="00B32B3F"/>
    <w:rsid w:val="00B334C4"/>
    <w:rsid w:val="00B336CB"/>
    <w:rsid w:val="00B34370"/>
    <w:rsid w:val="00B35027"/>
    <w:rsid w:val="00B35121"/>
    <w:rsid w:val="00B35124"/>
    <w:rsid w:val="00B36F5E"/>
    <w:rsid w:val="00B36FEB"/>
    <w:rsid w:val="00B370AC"/>
    <w:rsid w:val="00B37599"/>
    <w:rsid w:val="00B379AB"/>
    <w:rsid w:val="00B40295"/>
    <w:rsid w:val="00B4098A"/>
    <w:rsid w:val="00B41534"/>
    <w:rsid w:val="00B41717"/>
    <w:rsid w:val="00B437D8"/>
    <w:rsid w:val="00B44312"/>
    <w:rsid w:val="00B44514"/>
    <w:rsid w:val="00B448DE"/>
    <w:rsid w:val="00B44C00"/>
    <w:rsid w:val="00B45B1C"/>
    <w:rsid w:val="00B46C8A"/>
    <w:rsid w:val="00B47644"/>
    <w:rsid w:val="00B47973"/>
    <w:rsid w:val="00B503F6"/>
    <w:rsid w:val="00B516B9"/>
    <w:rsid w:val="00B51802"/>
    <w:rsid w:val="00B51E20"/>
    <w:rsid w:val="00B525C5"/>
    <w:rsid w:val="00B52F13"/>
    <w:rsid w:val="00B52FD9"/>
    <w:rsid w:val="00B53D46"/>
    <w:rsid w:val="00B55535"/>
    <w:rsid w:val="00B561B0"/>
    <w:rsid w:val="00B56331"/>
    <w:rsid w:val="00B56F69"/>
    <w:rsid w:val="00B570E1"/>
    <w:rsid w:val="00B57CED"/>
    <w:rsid w:val="00B60647"/>
    <w:rsid w:val="00B608DB"/>
    <w:rsid w:val="00B60E19"/>
    <w:rsid w:val="00B60EFF"/>
    <w:rsid w:val="00B617D9"/>
    <w:rsid w:val="00B61FC8"/>
    <w:rsid w:val="00B62188"/>
    <w:rsid w:val="00B627C4"/>
    <w:rsid w:val="00B62FEB"/>
    <w:rsid w:val="00B6316A"/>
    <w:rsid w:val="00B63AD2"/>
    <w:rsid w:val="00B644FD"/>
    <w:rsid w:val="00B64637"/>
    <w:rsid w:val="00B64D15"/>
    <w:rsid w:val="00B6501B"/>
    <w:rsid w:val="00B6552F"/>
    <w:rsid w:val="00B65BCA"/>
    <w:rsid w:val="00B66BBF"/>
    <w:rsid w:val="00B66C38"/>
    <w:rsid w:val="00B66F6F"/>
    <w:rsid w:val="00B670B5"/>
    <w:rsid w:val="00B7022A"/>
    <w:rsid w:val="00B70590"/>
    <w:rsid w:val="00B724F8"/>
    <w:rsid w:val="00B72CA1"/>
    <w:rsid w:val="00B737D6"/>
    <w:rsid w:val="00B740D1"/>
    <w:rsid w:val="00B74283"/>
    <w:rsid w:val="00B75B61"/>
    <w:rsid w:val="00B77594"/>
    <w:rsid w:val="00B77E4B"/>
    <w:rsid w:val="00B80078"/>
    <w:rsid w:val="00B804E8"/>
    <w:rsid w:val="00B80541"/>
    <w:rsid w:val="00B80AB8"/>
    <w:rsid w:val="00B81318"/>
    <w:rsid w:val="00B81A48"/>
    <w:rsid w:val="00B81AB2"/>
    <w:rsid w:val="00B81C37"/>
    <w:rsid w:val="00B81E64"/>
    <w:rsid w:val="00B82EB3"/>
    <w:rsid w:val="00B82FA1"/>
    <w:rsid w:val="00B8310C"/>
    <w:rsid w:val="00B83112"/>
    <w:rsid w:val="00B8350F"/>
    <w:rsid w:val="00B83D02"/>
    <w:rsid w:val="00B8445F"/>
    <w:rsid w:val="00B850D1"/>
    <w:rsid w:val="00B850D6"/>
    <w:rsid w:val="00B8582D"/>
    <w:rsid w:val="00B865FE"/>
    <w:rsid w:val="00B9074A"/>
    <w:rsid w:val="00B90ECE"/>
    <w:rsid w:val="00B9282C"/>
    <w:rsid w:val="00B92AD3"/>
    <w:rsid w:val="00B9388E"/>
    <w:rsid w:val="00B93E47"/>
    <w:rsid w:val="00B94235"/>
    <w:rsid w:val="00B95385"/>
    <w:rsid w:val="00B954EA"/>
    <w:rsid w:val="00B95D73"/>
    <w:rsid w:val="00BA056F"/>
    <w:rsid w:val="00BA2262"/>
    <w:rsid w:val="00BA41AE"/>
    <w:rsid w:val="00BA4510"/>
    <w:rsid w:val="00BA46D5"/>
    <w:rsid w:val="00BA4B5A"/>
    <w:rsid w:val="00BA5368"/>
    <w:rsid w:val="00BA6DCE"/>
    <w:rsid w:val="00BA7E87"/>
    <w:rsid w:val="00BB0AC0"/>
    <w:rsid w:val="00BB1111"/>
    <w:rsid w:val="00BB1168"/>
    <w:rsid w:val="00BB1366"/>
    <w:rsid w:val="00BB1397"/>
    <w:rsid w:val="00BB2FE1"/>
    <w:rsid w:val="00BB303B"/>
    <w:rsid w:val="00BB3C51"/>
    <w:rsid w:val="00BB3E99"/>
    <w:rsid w:val="00BB4D66"/>
    <w:rsid w:val="00BB52FF"/>
    <w:rsid w:val="00BB588A"/>
    <w:rsid w:val="00BB5F70"/>
    <w:rsid w:val="00BB65A4"/>
    <w:rsid w:val="00BB73ED"/>
    <w:rsid w:val="00BB74CC"/>
    <w:rsid w:val="00BB7541"/>
    <w:rsid w:val="00BB7A82"/>
    <w:rsid w:val="00BC0489"/>
    <w:rsid w:val="00BC0B05"/>
    <w:rsid w:val="00BC0EE2"/>
    <w:rsid w:val="00BC0F0D"/>
    <w:rsid w:val="00BC11AF"/>
    <w:rsid w:val="00BC4C9B"/>
    <w:rsid w:val="00BC550D"/>
    <w:rsid w:val="00BC5F19"/>
    <w:rsid w:val="00BC6B26"/>
    <w:rsid w:val="00BC737B"/>
    <w:rsid w:val="00BD1311"/>
    <w:rsid w:val="00BD1487"/>
    <w:rsid w:val="00BD25E5"/>
    <w:rsid w:val="00BD2ED4"/>
    <w:rsid w:val="00BD2EDA"/>
    <w:rsid w:val="00BD330D"/>
    <w:rsid w:val="00BD3F02"/>
    <w:rsid w:val="00BD45DE"/>
    <w:rsid w:val="00BD4BB7"/>
    <w:rsid w:val="00BD523B"/>
    <w:rsid w:val="00BD611F"/>
    <w:rsid w:val="00BD6277"/>
    <w:rsid w:val="00BD6694"/>
    <w:rsid w:val="00BD7B71"/>
    <w:rsid w:val="00BD7DFA"/>
    <w:rsid w:val="00BE176A"/>
    <w:rsid w:val="00BE230C"/>
    <w:rsid w:val="00BE2852"/>
    <w:rsid w:val="00BE2890"/>
    <w:rsid w:val="00BE3143"/>
    <w:rsid w:val="00BE4237"/>
    <w:rsid w:val="00BE64BE"/>
    <w:rsid w:val="00BE6CD8"/>
    <w:rsid w:val="00BE75AA"/>
    <w:rsid w:val="00BF085B"/>
    <w:rsid w:val="00BF1BF2"/>
    <w:rsid w:val="00BF201E"/>
    <w:rsid w:val="00BF28E3"/>
    <w:rsid w:val="00BF4792"/>
    <w:rsid w:val="00BF4AF7"/>
    <w:rsid w:val="00BF5CA0"/>
    <w:rsid w:val="00BF5F09"/>
    <w:rsid w:val="00BF6A5C"/>
    <w:rsid w:val="00BF6DD4"/>
    <w:rsid w:val="00BF70A0"/>
    <w:rsid w:val="00BF7C8B"/>
    <w:rsid w:val="00C00495"/>
    <w:rsid w:val="00C00B08"/>
    <w:rsid w:val="00C01227"/>
    <w:rsid w:val="00C02069"/>
    <w:rsid w:val="00C0291C"/>
    <w:rsid w:val="00C03454"/>
    <w:rsid w:val="00C041DB"/>
    <w:rsid w:val="00C04304"/>
    <w:rsid w:val="00C05A4B"/>
    <w:rsid w:val="00C0759C"/>
    <w:rsid w:val="00C076FA"/>
    <w:rsid w:val="00C07746"/>
    <w:rsid w:val="00C07A4E"/>
    <w:rsid w:val="00C10A74"/>
    <w:rsid w:val="00C11333"/>
    <w:rsid w:val="00C129FC"/>
    <w:rsid w:val="00C13885"/>
    <w:rsid w:val="00C144D4"/>
    <w:rsid w:val="00C147B6"/>
    <w:rsid w:val="00C148E8"/>
    <w:rsid w:val="00C162B5"/>
    <w:rsid w:val="00C16303"/>
    <w:rsid w:val="00C16559"/>
    <w:rsid w:val="00C16AC8"/>
    <w:rsid w:val="00C16CB6"/>
    <w:rsid w:val="00C174F7"/>
    <w:rsid w:val="00C17D00"/>
    <w:rsid w:val="00C2043C"/>
    <w:rsid w:val="00C20751"/>
    <w:rsid w:val="00C22009"/>
    <w:rsid w:val="00C221A0"/>
    <w:rsid w:val="00C22241"/>
    <w:rsid w:val="00C228F3"/>
    <w:rsid w:val="00C233E0"/>
    <w:rsid w:val="00C240AC"/>
    <w:rsid w:val="00C26020"/>
    <w:rsid w:val="00C2696D"/>
    <w:rsid w:val="00C26AD2"/>
    <w:rsid w:val="00C277D1"/>
    <w:rsid w:val="00C302B8"/>
    <w:rsid w:val="00C312DD"/>
    <w:rsid w:val="00C31B8B"/>
    <w:rsid w:val="00C3277B"/>
    <w:rsid w:val="00C331F3"/>
    <w:rsid w:val="00C33383"/>
    <w:rsid w:val="00C34EF4"/>
    <w:rsid w:val="00C35E71"/>
    <w:rsid w:val="00C36692"/>
    <w:rsid w:val="00C367D6"/>
    <w:rsid w:val="00C3683F"/>
    <w:rsid w:val="00C3690A"/>
    <w:rsid w:val="00C36BBF"/>
    <w:rsid w:val="00C40C3D"/>
    <w:rsid w:val="00C41160"/>
    <w:rsid w:val="00C42A7E"/>
    <w:rsid w:val="00C42F09"/>
    <w:rsid w:val="00C4364B"/>
    <w:rsid w:val="00C4456A"/>
    <w:rsid w:val="00C44AB1"/>
    <w:rsid w:val="00C44E95"/>
    <w:rsid w:val="00C45D26"/>
    <w:rsid w:val="00C4600A"/>
    <w:rsid w:val="00C46E2C"/>
    <w:rsid w:val="00C476BE"/>
    <w:rsid w:val="00C47926"/>
    <w:rsid w:val="00C5017F"/>
    <w:rsid w:val="00C50CD5"/>
    <w:rsid w:val="00C5138A"/>
    <w:rsid w:val="00C516DA"/>
    <w:rsid w:val="00C51AC3"/>
    <w:rsid w:val="00C52219"/>
    <w:rsid w:val="00C526E8"/>
    <w:rsid w:val="00C53B0B"/>
    <w:rsid w:val="00C5465E"/>
    <w:rsid w:val="00C554DF"/>
    <w:rsid w:val="00C56B01"/>
    <w:rsid w:val="00C57556"/>
    <w:rsid w:val="00C57763"/>
    <w:rsid w:val="00C57B6B"/>
    <w:rsid w:val="00C60A10"/>
    <w:rsid w:val="00C619DB"/>
    <w:rsid w:val="00C62356"/>
    <w:rsid w:val="00C623A7"/>
    <w:rsid w:val="00C62857"/>
    <w:rsid w:val="00C6290E"/>
    <w:rsid w:val="00C64208"/>
    <w:rsid w:val="00C65096"/>
    <w:rsid w:val="00C65730"/>
    <w:rsid w:val="00C65CA6"/>
    <w:rsid w:val="00C6723A"/>
    <w:rsid w:val="00C67696"/>
    <w:rsid w:val="00C67932"/>
    <w:rsid w:val="00C70215"/>
    <w:rsid w:val="00C72395"/>
    <w:rsid w:val="00C72D19"/>
    <w:rsid w:val="00C72DFF"/>
    <w:rsid w:val="00C7336D"/>
    <w:rsid w:val="00C73AE8"/>
    <w:rsid w:val="00C73D79"/>
    <w:rsid w:val="00C75093"/>
    <w:rsid w:val="00C754F0"/>
    <w:rsid w:val="00C75EB9"/>
    <w:rsid w:val="00C76143"/>
    <w:rsid w:val="00C762CE"/>
    <w:rsid w:val="00C80DCE"/>
    <w:rsid w:val="00C81C48"/>
    <w:rsid w:val="00C81CE2"/>
    <w:rsid w:val="00C81DA3"/>
    <w:rsid w:val="00C8257E"/>
    <w:rsid w:val="00C82D1D"/>
    <w:rsid w:val="00C82F59"/>
    <w:rsid w:val="00C83056"/>
    <w:rsid w:val="00C83846"/>
    <w:rsid w:val="00C83EE0"/>
    <w:rsid w:val="00C8517D"/>
    <w:rsid w:val="00C858FF"/>
    <w:rsid w:val="00C87CBF"/>
    <w:rsid w:val="00C90046"/>
    <w:rsid w:val="00C90A34"/>
    <w:rsid w:val="00C91BD6"/>
    <w:rsid w:val="00C93619"/>
    <w:rsid w:val="00C9403A"/>
    <w:rsid w:val="00C94554"/>
    <w:rsid w:val="00C946EF"/>
    <w:rsid w:val="00C94FAE"/>
    <w:rsid w:val="00C957F1"/>
    <w:rsid w:val="00C95AF4"/>
    <w:rsid w:val="00C9603A"/>
    <w:rsid w:val="00C96CDF"/>
    <w:rsid w:val="00C96D9B"/>
    <w:rsid w:val="00C96FC3"/>
    <w:rsid w:val="00C971D9"/>
    <w:rsid w:val="00CA031F"/>
    <w:rsid w:val="00CA0342"/>
    <w:rsid w:val="00CA0A21"/>
    <w:rsid w:val="00CA2060"/>
    <w:rsid w:val="00CA2785"/>
    <w:rsid w:val="00CA2D40"/>
    <w:rsid w:val="00CA323A"/>
    <w:rsid w:val="00CA4B18"/>
    <w:rsid w:val="00CA51C3"/>
    <w:rsid w:val="00CA6992"/>
    <w:rsid w:val="00CA6A3E"/>
    <w:rsid w:val="00CA7A57"/>
    <w:rsid w:val="00CA7CBB"/>
    <w:rsid w:val="00CB01EC"/>
    <w:rsid w:val="00CB0259"/>
    <w:rsid w:val="00CB1711"/>
    <w:rsid w:val="00CB24F9"/>
    <w:rsid w:val="00CB3DE1"/>
    <w:rsid w:val="00CB41B2"/>
    <w:rsid w:val="00CB4961"/>
    <w:rsid w:val="00CB4C6E"/>
    <w:rsid w:val="00CB50E6"/>
    <w:rsid w:val="00CB5294"/>
    <w:rsid w:val="00CB6158"/>
    <w:rsid w:val="00CB7201"/>
    <w:rsid w:val="00CB7884"/>
    <w:rsid w:val="00CC053C"/>
    <w:rsid w:val="00CC0B8D"/>
    <w:rsid w:val="00CC0CA6"/>
    <w:rsid w:val="00CC1139"/>
    <w:rsid w:val="00CC114F"/>
    <w:rsid w:val="00CC1380"/>
    <w:rsid w:val="00CC152E"/>
    <w:rsid w:val="00CC24FA"/>
    <w:rsid w:val="00CC25DE"/>
    <w:rsid w:val="00CC273C"/>
    <w:rsid w:val="00CC3DE4"/>
    <w:rsid w:val="00CC4CA5"/>
    <w:rsid w:val="00CC543D"/>
    <w:rsid w:val="00CC67C7"/>
    <w:rsid w:val="00CD196C"/>
    <w:rsid w:val="00CD22F4"/>
    <w:rsid w:val="00CD3B29"/>
    <w:rsid w:val="00CD455F"/>
    <w:rsid w:val="00CD537D"/>
    <w:rsid w:val="00CD5439"/>
    <w:rsid w:val="00CD6549"/>
    <w:rsid w:val="00CD67BC"/>
    <w:rsid w:val="00CD7400"/>
    <w:rsid w:val="00CD7DFB"/>
    <w:rsid w:val="00CE00FA"/>
    <w:rsid w:val="00CE015F"/>
    <w:rsid w:val="00CE0B50"/>
    <w:rsid w:val="00CE1492"/>
    <w:rsid w:val="00CE2E4F"/>
    <w:rsid w:val="00CE5D15"/>
    <w:rsid w:val="00CE6316"/>
    <w:rsid w:val="00CE6524"/>
    <w:rsid w:val="00CE67EF"/>
    <w:rsid w:val="00CE6C4E"/>
    <w:rsid w:val="00CE738B"/>
    <w:rsid w:val="00CE7C65"/>
    <w:rsid w:val="00CF08A6"/>
    <w:rsid w:val="00CF10BB"/>
    <w:rsid w:val="00CF161A"/>
    <w:rsid w:val="00CF225D"/>
    <w:rsid w:val="00CF26FB"/>
    <w:rsid w:val="00CF31D5"/>
    <w:rsid w:val="00CF3320"/>
    <w:rsid w:val="00CF45EC"/>
    <w:rsid w:val="00CF525D"/>
    <w:rsid w:val="00CF536D"/>
    <w:rsid w:val="00CF5B23"/>
    <w:rsid w:val="00CF5E53"/>
    <w:rsid w:val="00CF65C6"/>
    <w:rsid w:val="00CF686F"/>
    <w:rsid w:val="00CF7C2C"/>
    <w:rsid w:val="00D015E0"/>
    <w:rsid w:val="00D01AD1"/>
    <w:rsid w:val="00D01E19"/>
    <w:rsid w:val="00D0357D"/>
    <w:rsid w:val="00D045EE"/>
    <w:rsid w:val="00D04EA4"/>
    <w:rsid w:val="00D06668"/>
    <w:rsid w:val="00D06868"/>
    <w:rsid w:val="00D06F2F"/>
    <w:rsid w:val="00D0792B"/>
    <w:rsid w:val="00D103A6"/>
    <w:rsid w:val="00D107B3"/>
    <w:rsid w:val="00D109D4"/>
    <w:rsid w:val="00D11285"/>
    <w:rsid w:val="00D11C07"/>
    <w:rsid w:val="00D11E2E"/>
    <w:rsid w:val="00D120CE"/>
    <w:rsid w:val="00D12391"/>
    <w:rsid w:val="00D12809"/>
    <w:rsid w:val="00D12E73"/>
    <w:rsid w:val="00D12FC9"/>
    <w:rsid w:val="00D13A85"/>
    <w:rsid w:val="00D14472"/>
    <w:rsid w:val="00D156A1"/>
    <w:rsid w:val="00D16B03"/>
    <w:rsid w:val="00D202F1"/>
    <w:rsid w:val="00D21367"/>
    <w:rsid w:val="00D2173E"/>
    <w:rsid w:val="00D2175E"/>
    <w:rsid w:val="00D21FFA"/>
    <w:rsid w:val="00D2265D"/>
    <w:rsid w:val="00D227BA"/>
    <w:rsid w:val="00D228F4"/>
    <w:rsid w:val="00D22B35"/>
    <w:rsid w:val="00D22E69"/>
    <w:rsid w:val="00D2394B"/>
    <w:rsid w:val="00D23E07"/>
    <w:rsid w:val="00D23EF1"/>
    <w:rsid w:val="00D24A0D"/>
    <w:rsid w:val="00D2524C"/>
    <w:rsid w:val="00D25FD1"/>
    <w:rsid w:val="00D26AE9"/>
    <w:rsid w:val="00D26AEE"/>
    <w:rsid w:val="00D27E58"/>
    <w:rsid w:val="00D27FB3"/>
    <w:rsid w:val="00D305BE"/>
    <w:rsid w:val="00D31053"/>
    <w:rsid w:val="00D31BC4"/>
    <w:rsid w:val="00D32005"/>
    <w:rsid w:val="00D32024"/>
    <w:rsid w:val="00D3316C"/>
    <w:rsid w:val="00D34BB5"/>
    <w:rsid w:val="00D34C9F"/>
    <w:rsid w:val="00D35821"/>
    <w:rsid w:val="00D360E8"/>
    <w:rsid w:val="00D36695"/>
    <w:rsid w:val="00D36E08"/>
    <w:rsid w:val="00D40FA0"/>
    <w:rsid w:val="00D41F4D"/>
    <w:rsid w:val="00D4409F"/>
    <w:rsid w:val="00D44333"/>
    <w:rsid w:val="00D444FD"/>
    <w:rsid w:val="00D4551B"/>
    <w:rsid w:val="00D456E8"/>
    <w:rsid w:val="00D4583F"/>
    <w:rsid w:val="00D459AC"/>
    <w:rsid w:val="00D45CF7"/>
    <w:rsid w:val="00D46A6D"/>
    <w:rsid w:val="00D46EC6"/>
    <w:rsid w:val="00D470EB"/>
    <w:rsid w:val="00D4748A"/>
    <w:rsid w:val="00D47D0D"/>
    <w:rsid w:val="00D47ED5"/>
    <w:rsid w:val="00D50895"/>
    <w:rsid w:val="00D52268"/>
    <w:rsid w:val="00D539F8"/>
    <w:rsid w:val="00D53F9E"/>
    <w:rsid w:val="00D54168"/>
    <w:rsid w:val="00D5471B"/>
    <w:rsid w:val="00D54E3C"/>
    <w:rsid w:val="00D554A5"/>
    <w:rsid w:val="00D5587A"/>
    <w:rsid w:val="00D55961"/>
    <w:rsid w:val="00D55EE9"/>
    <w:rsid w:val="00D56365"/>
    <w:rsid w:val="00D56A20"/>
    <w:rsid w:val="00D56AC4"/>
    <w:rsid w:val="00D56CBE"/>
    <w:rsid w:val="00D57645"/>
    <w:rsid w:val="00D5798D"/>
    <w:rsid w:val="00D57B8D"/>
    <w:rsid w:val="00D60119"/>
    <w:rsid w:val="00D6174D"/>
    <w:rsid w:val="00D61FEC"/>
    <w:rsid w:val="00D62109"/>
    <w:rsid w:val="00D6219D"/>
    <w:rsid w:val="00D6260C"/>
    <w:rsid w:val="00D62E05"/>
    <w:rsid w:val="00D63FB6"/>
    <w:rsid w:val="00D64447"/>
    <w:rsid w:val="00D644E0"/>
    <w:rsid w:val="00D64947"/>
    <w:rsid w:val="00D6495A"/>
    <w:rsid w:val="00D6561C"/>
    <w:rsid w:val="00D65E0E"/>
    <w:rsid w:val="00D65F15"/>
    <w:rsid w:val="00D7110C"/>
    <w:rsid w:val="00D71C42"/>
    <w:rsid w:val="00D73586"/>
    <w:rsid w:val="00D740FD"/>
    <w:rsid w:val="00D74265"/>
    <w:rsid w:val="00D74975"/>
    <w:rsid w:val="00D74BA7"/>
    <w:rsid w:val="00D74DF1"/>
    <w:rsid w:val="00D75A01"/>
    <w:rsid w:val="00D762B3"/>
    <w:rsid w:val="00D76B09"/>
    <w:rsid w:val="00D8101E"/>
    <w:rsid w:val="00D8147F"/>
    <w:rsid w:val="00D820CD"/>
    <w:rsid w:val="00D828B8"/>
    <w:rsid w:val="00D84140"/>
    <w:rsid w:val="00D84AAC"/>
    <w:rsid w:val="00D85602"/>
    <w:rsid w:val="00D85647"/>
    <w:rsid w:val="00D90051"/>
    <w:rsid w:val="00D9047D"/>
    <w:rsid w:val="00D91723"/>
    <w:rsid w:val="00D91C5F"/>
    <w:rsid w:val="00D91DBE"/>
    <w:rsid w:val="00D9211E"/>
    <w:rsid w:val="00D92785"/>
    <w:rsid w:val="00D927D6"/>
    <w:rsid w:val="00D9356F"/>
    <w:rsid w:val="00D94AE5"/>
    <w:rsid w:val="00D94C1C"/>
    <w:rsid w:val="00D94C81"/>
    <w:rsid w:val="00D9674B"/>
    <w:rsid w:val="00D9723B"/>
    <w:rsid w:val="00D97314"/>
    <w:rsid w:val="00D979B2"/>
    <w:rsid w:val="00D97A58"/>
    <w:rsid w:val="00DA050E"/>
    <w:rsid w:val="00DA09E9"/>
    <w:rsid w:val="00DA18FC"/>
    <w:rsid w:val="00DA1930"/>
    <w:rsid w:val="00DA3AF1"/>
    <w:rsid w:val="00DA3F43"/>
    <w:rsid w:val="00DA4208"/>
    <w:rsid w:val="00DA4C51"/>
    <w:rsid w:val="00DA4E6D"/>
    <w:rsid w:val="00DA5D79"/>
    <w:rsid w:val="00DB0325"/>
    <w:rsid w:val="00DB0AE8"/>
    <w:rsid w:val="00DB1AA8"/>
    <w:rsid w:val="00DB39CC"/>
    <w:rsid w:val="00DB414B"/>
    <w:rsid w:val="00DB5538"/>
    <w:rsid w:val="00DB602F"/>
    <w:rsid w:val="00DB6376"/>
    <w:rsid w:val="00DB642E"/>
    <w:rsid w:val="00DB7DB2"/>
    <w:rsid w:val="00DC039A"/>
    <w:rsid w:val="00DC0DAB"/>
    <w:rsid w:val="00DC1919"/>
    <w:rsid w:val="00DC2CE7"/>
    <w:rsid w:val="00DC2E36"/>
    <w:rsid w:val="00DC2FD0"/>
    <w:rsid w:val="00DC34B1"/>
    <w:rsid w:val="00DC4029"/>
    <w:rsid w:val="00DC4375"/>
    <w:rsid w:val="00DC4460"/>
    <w:rsid w:val="00DC4490"/>
    <w:rsid w:val="00DC7081"/>
    <w:rsid w:val="00DD0CA9"/>
    <w:rsid w:val="00DD239E"/>
    <w:rsid w:val="00DD265E"/>
    <w:rsid w:val="00DD27EA"/>
    <w:rsid w:val="00DD281A"/>
    <w:rsid w:val="00DD2BE6"/>
    <w:rsid w:val="00DD2C9D"/>
    <w:rsid w:val="00DD40EC"/>
    <w:rsid w:val="00DD4F20"/>
    <w:rsid w:val="00DD61F3"/>
    <w:rsid w:val="00DD6565"/>
    <w:rsid w:val="00DD6C28"/>
    <w:rsid w:val="00DD6EA8"/>
    <w:rsid w:val="00DD78DF"/>
    <w:rsid w:val="00DD7EC6"/>
    <w:rsid w:val="00DE0694"/>
    <w:rsid w:val="00DE0980"/>
    <w:rsid w:val="00DE1111"/>
    <w:rsid w:val="00DE1A4B"/>
    <w:rsid w:val="00DE1C45"/>
    <w:rsid w:val="00DE1E3A"/>
    <w:rsid w:val="00DE2307"/>
    <w:rsid w:val="00DE3D91"/>
    <w:rsid w:val="00DE3E6B"/>
    <w:rsid w:val="00DE3FE6"/>
    <w:rsid w:val="00DE4505"/>
    <w:rsid w:val="00DE51FD"/>
    <w:rsid w:val="00DE7DAE"/>
    <w:rsid w:val="00DF00AC"/>
    <w:rsid w:val="00DF0F4E"/>
    <w:rsid w:val="00DF1132"/>
    <w:rsid w:val="00DF13C9"/>
    <w:rsid w:val="00DF1DC2"/>
    <w:rsid w:val="00DF1E96"/>
    <w:rsid w:val="00DF1FDF"/>
    <w:rsid w:val="00DF22D9"/>
    <w:rsid w:val="00DF29D9"/>
    <w:rsid w:val="00DF37C6"/>
    <w:rsid w:val="00DF51AD"/>
    <w:rsid w:val="00DF5BD0"/>
    <w:rsid w:val="00DF75A5"/>
    <w:rsid w:val="00E000B6"/>
    <w:rsid w:val="00E01057"/>
    <w:rsid w:val="00E028B6"/>
    <w:rsid w:val="00E02961"/>
    <w:rsid w:val="00E02A2C"/>
    <w:rsid w:val="00E02E5B"/>
    <w:rsid w:val="00E03A48"/>
    <w:rsid w:val="00E04FE4"/>
    <w:rsid w:val="00E05340"/>
    <w:rsid w:val="00E05552"/>
    <w:rsid w:val="00E05915"/>
    <w:rsid w:val="00E05E9D"/>
    <w:rsid w:val="00E0608F"/>
    <w:rsid w:val="00E060A3"/>
    <w:rsid w:val="00E065C0"/>
    <w:rsid w:val="00E06BA8"/>
    <w:rsid w:val="00E07255"/>
    <w:rsid w:val="00E108F4"/>
    <w:rsid w:val="00E11AE1"/>
    <w:rsid w:val="00E131BB"/>
    <w:rsid w:val="00E13940"/>
    <w:rsid w:val="00E145C3"/>
    <w:rsid w:val="00E160AB"/>
    <w:rsid w:val="00E166E9"/>
    <w:rsid w:val="00E169AB"/>
    <w:rsid w:val="00E16ECE"/>
    <w:rsid w:val="00E17661"/>
    <w:rsid w:val="00E178D4"/>
    <w:rsid w:val="00E203C1"/>
    <w:rsid w:val="00E23047"/>
    <w:rsid w:val="00E23DF7"/>
    <w:rsid w:val="00E2495E"/>
    <w:rsid w:val="00E24A18"/>
    <w:rsid w:val="00E24B2D"/>
    <w:rsid w:val="00E24E5E"/>
    <w:rsid w:val="00E25557"/>
    <w:rsid w:val="00E262DB"/>
    <w:rsid w:val="00E265C3"/>
    <w:rsid w:val="00E2730B"/>
    <w:rsid w:val="00E27696"/>
    <w:rsid w:val="00E2790A"/>
    <w:rsid w:val="00E3139A"/>
    <w:rsid w:val="00E3259F"/>
    <w:rsid w:val="00E33224"/>
    <w:rsid w:val="00E349DB"/>
    <w:rsid w:val="00E35B65"/>
    <w:rsid w:val="00E36937"/>
    <w:rsid w:val="00E369A6"/>
    <w:rsid w:val="00E37440"/>
    <w:rsid w:val="00E37A98"/>
    <w:rsid w:val="00E40BDB"/>
    <w:rsid w:val="00E41B46"/>
    <w:rsid w:val="00E41D06"/>
    <w:rsid w:val="00E42504"/>
    <w:rsid w:val="00E42929"/>
    <w:rsid w:val="00E42A24"/>
    <w:rsid w:val="00E42BE4"/>
    <w:rsid w:val="00E4310B"/>
    <w:rsid w:val="00E444AD"/>
    <w:rsid w:val="00E45A9C"/>
    <w:rsid w:val="00E464DA"/>
    <w:rsid w:val="00E46720"/>
    <w:rsid w:val="00E472F3"/>
    <w:rsid w:val="00E4796D"/>
    <w:rsid w:val="00E47977"/>
    <w:rsid w:val="00E50C7C"/>
    <w:rsid w:val="00E52E26"/>
    <w:rsid w:val="00E533F9"/>
    <w:rsid w:val="00E53782"/>
    <w:rsid w:val="00E53A12"/>
    <w:rsid w:val="00E5409F"/>
    <w:rsid w:val="00E54940"/>
    <w:rsid w:val="00E54DED"/>
    <w:rsid w:val="00E54F77"/>
    <w:rsid w:val="00E55611"/>
    <w:rsid w:val="00E556F6"/>
    <w:rsid w:val="00E5699D"/>
    <w:rsid w:val="00E6089A"/>
    <w:rsid w:val="00E611FD"/>
    <w:rsid w:val="00E6126E"/>
    <w:rsid w:val="00E61ED9"/>
    <w:rsid w:val="00E647C3"/>
    <w:rsid w:val="00E64A85"/>
    <w:rsid w:val="00E6512A"/>
    <w:rsid w:val="00E653E4"/>
    <w:rsid w:val="00E656E8"/>
    <w:rsid w:val="00E65ED9"/>
    <w:rsid w:val="00E6630C"/>
    <w:rsid w:val="00E67620"/>
    <w:rsid w:val="00E70631"/>
    <w:rsid w:val="00E713EA"/>
    <w:rsid w:val="00E73510"/>
    <w:rsid w:val="00E7389D"/>
    <w:rsid w:val="00E73A34"/>
    <w:rsid w:val="00E73DE5"/>
    <w:rsid w:val="00E73E34"/>
    <w:rsid w:val="00E7447D"/>
    <w:rsid w:val="00E74860"/>
    <w:rsid w:val="00E752CA"/>
    <w:rsid w:val="00E75D0C"/>
    <w:rsid w:val="00E75F8B"/>
    <w:rsid w:val="00E7650B"/>
    <w:rsid w:val="00E778DB"/>
    <w:rsid w:val="00E77A19"/>
    <w:rsid w:val="00E8052D"/>
    <w:rsid w:val="00E82AEE"/>
    <w:rsid w:val="00E842ED"/>
    <w:rsid w:val="00E84F3B"/>
    <w:rsid w:val="00E850CD"/>
    <w:rsid w:val="00E852DA"/>
    <w:rsid w:val="00E86170"/>
    <w:rsid w:val="00E86D17"/>
    <w:rsid w:val="00E86E07"/>
    <w:rsid w:val="00E8711D"/>
    <w:rsid w:val="00E87776"/>
    <w:rsid w:val="00E87DCB"/>
    <w:rsid w:val="00E87EDC"/>
    <w:rsid w:val="00E90495"/>
    <w:rsid w:val="00E91340"/>
    <w:rsid w:val="00E91D69"/>
    <w:rsid w:val="00E928DC"/>
    <w:rsid w:val="00E93738"/>
    <w:rsid w:val="00E93746"/>
    <w:rsid w:val="00E93AEB"/>
    <w:rsid w:val="00E94084"/>
    <w:rsid w:val="00E97FD3"/>
    <w:rsid w:val="00EA01D4"/>
    <w:rsid w:val="00EA0F2C"/>
    <w:rsid w:val="00EA16F9"/>
    <w:rsid w:val="00EA266C"/>
    <w:rsid w:val="00EA32C5"/>
    <w:rsid w:val="00EA3A6E"/>
    <w:rsid w:val="00EA4367"/>
    <w:rsid w:val="00EA564F"/>
    <w:rsid w:val="00EA5B9B"/>
    <w:rsid w:val="00EA6749"/>
    <w:rsid w:val="00EA7001"/>
    <w:rsid w:val="00EB1202"/>
    <w:rsid w:val="00EB1C95"/>
    <w:rsid w:val="00EB2A8C"/>
    <w:rsid w:val="00EB34ED"/>
    <w:rsid w:val="00EB62AD"/>
    <w:rsid w:val="00EB676A"/>
    <w:rsid w:val="00EC0C28"/>
    <w:rsid w:val="00EC0FB6"/>
    <w:rsid w:val="00EC1E68"/>
    <w:rsid w:val="00EC212B"/>
    <w:rsid w:val="00EC2686"/>
    <w:rsid w:val="00EC3FE8"/>
    <w:rsid w:val="00EC5568"/>
    <w:rsid w:val="00EC6AED"/>
    <w:rsid w:val="00EC7740"/>
    <w:rsid w:val="00ED01F1"/>
    <w:rsid w:val="00ED0C37"/>
    <w:rsid w:val="00ED2FDF"/>
    <w:rsid w:val="00ED415D"/>
    <w:rsid w:val="00ED43FD"/>
    <w:rsid w:val="00ED4C3C"/>
    <w:rsid w:val="00ED5311"/>
    <w:rsid w:val="00ED5A75"/>
    <w:rsid w:val="00ED5DFA"/>
    <w:rsid w:val="00ED611D"/>
    <w:rsid w:val="00ED7FEE"/>
    <w:rsid w:val="00EE0346"/>
    <w:rsid w:val="00EE0C5D"/>
    <w:rsid w:val="00EE102B"/>
    <w:rsid w:val="00EE12C8"/>
    <w:rsid w:val="00EE1410"/>
    <w:rsid w:val="00EE1C83"/>
    <w:rsid w:val="00EE1D19"/>
    <w:rsid w:val="00EE2A7A"/>
    <w:rsid w:val="00EE2F79"/>
    <w:rsid w:val="00EE3028"/>
    <w:rsid w:val="00EE3CDB"/>
    <w:rsid w:val="00EE4E94"/>
    <w:rsid w:val="00EE5365"/>
    <w:rsid w:val="00EE555B"/>
    <w:rsid w:val="00EE592F"/>
    <w:rsid w:val="00EE5983"/>
    <w:rsid w:val="00EE59A9"/>
    <w:rsid w:val="00EE6B6A"/>
    <w:rsid w:val="00EE6EDE"/>
    <w:rsid w:val="00EE7377"/>
    <w:rsid w:val="00EE7BF0"/>
    <w:rsid w:val="00EF027F"/>
    <w:rsid w:val="00EF15E4"/>
    <w:rsid w:val="00EF2323"/>
    <w:rsid w:val="00EF2776"/>
    <w:rsid w:val="00EF28C4"/>
    <w:rsid w:val="00EF2A9A"/>
    <w:rsid w:val="00EF33D4"/>
    <w:rsid w:val="00EF35C4"/>
    <w:rsid w:val="00EF3705"/>
    <w:rsid w:val="00EF42FC"/>
    <w:rsid w:val="00EF47BE"/>
    <w:rsid w:val="00EF4A82"/>
    <w:rsid w:val="00EF549C"/>
    <w:rsid w:val="00EF54FB"/>
    <w:rsid w:val="00EF5CC6"/>
    <w:rsid w:val="00EF66D7"/>
    <w:rsid w:val="00EF73DE"/>
    <w:rsid w:val="00F00452"/>
    <w:rsid w:val="00F00657"/>
    <w:rsid w:val="00F007A7"/>
    <w:rsid w:val="00F00B01"/>
    <w:rsid w:val="00F00C54"/>
    <w:rsid w:val="00F019C3"/>
    <w:rsid w:val="00F0262E"/>
    <w:rsid w:val="00F02711"/>
    <w:rsid w:val="00F02B51"/>
    <w:rsid w:val="00F02CE5"/>
    <w:rsid w:val="00F04C3A"/>
    <w:rsid w:val="00F061BA"/>
    <w:rsid w:val="00F06ED4"/>
    <w:rsid w:val="00F1006C"/>
    <w:rsid w:val="00F11BE0"/>
    <w:rsid w:val="00F12A4C"/>
    <w:rsid w:val="00F13C3A"/>
    <w:rsid w:val="00F13E76"/>
    <w:rsid w:val="00F149DF"/>
    <w:rsid w:val="00F150E3"/>
    <w:rsid w:val="00F15B4D"/>
    <w:rsid w:val="00F15EF9"/>
    <w:rsid w:val="00F1627B"/>
    <w:rsid w:val="00F16A8F"/>
    <w:rsid w:val="00F2104B"/>
    <w:rsid w:val="00F214E5"/>
    <w:rsid w:val="00F223E7"/>
    <w:rsid w:val="00F23AD2"/>
    <w:rsid w:val="00F2454C"/>
    <w:rsid w:val="00F25439"/>
    <w:rsid w:val="00F25A09"/>
    <w:rsid w:val="00F25F16"/>
    <w:rsid w:val="00F26629"/>
    <w:rsid w:val="00F27D97"/>
    <w:rsid w:val="00F27F77"/>
    <w:rsid w:val="00F30A2B"/>
    <w:rsid w:val="00F31AFC"/>
    <w:rsid w:val="00F31CAB"/>
    <w:rsid w:val="00F31DE2"/>
    <w:rsid w:val="00F3211F"/>
    <w:rsid w:val="00F3250B"/>
    <w:rsid w:val="00F331C8"/>
    <w:rsid w:val="00F331D0"/>
    <w:rsid w:val="00F33DFC"/>
    <w:rsid w:val="00F33F39"/>
    <w:rsid w:val="00F36BD3"/>
    <w:rsid w:val="00F36CA4"/>
    <w:rsid w:val="00F400BB"/>
    <w:rsid w:val="00F41001"/>
    <w:rsid w:val="00F41FA5"/>
    <w:rsid w:val="00F42521"/>
    <w:rsid w:val="00F42C71"/>
    <w:rsid w:val="00F42DF3"/>
    <w:rsid w:val="00F4342D"/>
    <w:rsid w:val="00F43CC9"/>
    <w:rsid w:val="00F44C74"/>
    <w:rsid w:val="00F45A7F"/>
    <w:rsid w:val="00F46EA4"/>
    <w:rsid w:val="00F46F9A"/>
    <w:rsid w:val="00F47AB3"/>
    <w:rsid w:val="00F47CA3"/>
    <w:rsid w:val="00F47E32"/>
    <w:rsid w:val="00F50A9A"/>
    <w:rsid w:val="00F50FC0"/>
    <w:rsid w:val="00F512F0"/>
    <w:rsid w:val="00F5149F"/>
    <w:rsid w:val="00F517B0"/>
    <w:rsid w:val="00F52206"/>
    <w:rsid w:val="00F52478"/>
    <w:rsid w:val="00F53EBC"/>
    <w:rsid w:val="00F550D3"/>
    <w:rsid w:val="00F56D65"/>
    <w:rsid w:val="00F57007"/>
    <w:rsid w:val="00F57142"/>
    <w:rsid w:val="00F5747E"/>
    <w:rsid w:val="00F57855"/>
    <w:rsid w:val="00F60688"/>
    <w:rsid w:val="00F60FDD"/>
    <w:rsid w:val="00F61D1B"/>
    <w:rsid w:val="00F6266D"/>
    <w:rsid w:val="00F62CAD"/>
    <w:rsid w:val="00F62D86"/>
    <w:rsid w:val="00F62EF6"/>
    <w:rsid w:val="00F651E9"/>
    <w:rsid w:val="00F65982"/>
    <w:rsid w:val="00F65D34"/>
    <w:rsid w:val="00F67039"/>
    <w:rsid w:val="00F705A2"/>
    <w:rsid w:val="00F71576"/>
    <w:rsid w:val="00F7246E"/>
    <w:rsid w:val="00F729B1"/>
    <w:rsid w:val="00F74B4D"/>
    <w:rsid w:val="00F756C7"/>
    <w:rsid w:val="00F759E4"/>
    <w:rsid w:val="00F75E0D"/>
    <w:rsid w:val="00F761E2"/>
    <w:rsid w:val="00F76DBF"/>
    <w:rsid w:val="00F77766"/>
    <w:rsid w:val="00F77E69"/>
    <w:rsid w:val="00F80C19"/>
    <w:rsid w:val="00F81176"/>
    <w:rsid w:val="00F81886"/>
    <w:rsid w:val="00F8211F"/>
    <w:rsid w:val="00F82420"/>
    <w:rsid w:val="00F82FF1"/>
    <w:rsid w:val="00F8392F"/>
    <w:rsid w:val="00F852A4"/>
    <w:rsid w:val="00F86763"/>
    <w:rsid w:val="00F87505"/>
    <w:rsid w:val="00F87819"/>
    <w:rsid w:val="00F87A75"/>
    <w:rsid w:val="00F90118"/>
    <w:rsid w:val="00F90401"/>
    <w:rsid w:val="00F918DB"/>
    <w:rsid w:val="00F91FD2"/>
    <w:rsid w:val="00F935E0"/>
    <w:rsid w:val="00F941B3"/>
    <w:rsid w:val="00F9424D"/>
    <w:rsid w:val="00F9708C"/>
    <w:rsid w:val="00F971DC"/>
    <w:rsid w:val="00FA003E"/>
    <w:rsid w:val="00FA01C2"/>
    <w:rsid w:val="00FA0AC4"/>
    <w:rsid w:val="00FA0C65"/>
    <w:rsid w:val="00FA14D5"/>
    <w:rsid w:val="00FA17BC"/>
    <w:rsid w:val="00FA2008"/>
    <w:rsid w:val="00FA213E"/>
    <w:rsid w:val="00FA2271"/>
    <w:rsid w:val="00FA3D0D"/>
    <w:rsid w:val="00FA3D50"/>
    <w:rsid w:val="00FA40A2"/>
    <w:rsid w:val="00FA5695"/>
    <w:rsid w:val="00FA5CF2"/>
    <w:rsid w:val="00FA6F08"/>
    <w:rsid w:val="00FA704D"/>
    <w:rsid w:val="00FA73CA"/>
    <w:rsid w:val="00FA74B0"/>
    <w:rsid w:val="00FA771D"/>
    <w:rsid w:val="00FA7721"/>
    <w:rsid w:val="00FB0FE3"/>
    <w:rsid w:val="00FB1D7D"/>
    <w:rsid w:val="00FB2AE6"/>
    <w:rsid w:val="00FB3394"/>
    <w:rsid w:val="00FB51A7"/>
    <w:rsid w:val="00FB5A39"/>
    <w:rsid w:val="00FB6575"/>
    <w:rsid w:val="00FB667F"/>
    <w:rsid w:val="00FB6CF4"/>
    <w:rsid w:val="00FB6D69"/>
    <w:rsid w:val="00FB7298"/>
    <w:rsid w:val="00FC03FE"/>
    <w:rsid w:val="00FC0B39"/>
    <w:rsid w:val="00FC0DA1"/>
    <w:rsid w:val="00FC2F9C"/>
    <w:rsid w:val="00FC307E"/>
    <w:rsid w:val="00FC3AE6"/>
    <w:rsid w:val="00FC3B32"/>
    <w:rsid w:val="00FC4035"/>
    <w:rsid w:val="00FC4F12"/>
    <w:rsid w:val="00FC6B5A"/>
    <w:rsid w:val="00FC6BAE"/>
    <w:rsid w:val="00FC7B00"/>
    <w:rsid w:val="00FD00F9"/>
    <w:rsid w:val="00FD0365"/>
    <w:rsid w:val="00FD0473"/>
    <w:rsid w:val="00FD0FCD"/>
    <w:rsid w:val="00FD2658"/>
    <w:rsid w:val="00FD32FC"/>
    <w:rsid w:val="00FD3B53"/>
    <w:rsid w:val="00FD4109"/>
    <w:rsid w:val="00FD425D"/>
    <w:rsid w:val="00FD5352"/>
    <w:rsid w:val="00FD68D0"/>
    <w:rsid w:val="00FD7C2A"/>
    <w:rsid w:val="00FD7D4E"/>
    <w:rsid w:val="00FE050D"/>
    <w:rsid w:val="00FE1776"/>
    <w:rsid w:val="00FE310B"/>
    <w:rsid w:val="00FE3DBC"/>
    <w:rsid w:val="00FE44C8"/>
    <w:rsid w:val="00FE61AA"/>
    <w:rsid w:val="00FE6204"/>
    <w:rsid w:val="00FE6E73"/>
    <w:rsid w:val="00FE6F37"/>
    <w:rsid w:val="00FE713C"/>
    <w:rsid w:val="00FF1F69"/>
    <w:rsid w:val="00FF20A0"/>
    <w:rsid w:val="00FF29CE"/>
    <w:rsid w:val="00FF2BA4"/>
    <w:rsid w:val="00FF2E7B"/>
    <w:rsid w:val="00FF4763"/>
    <w:rsid w:val="00FF48F7"/>
    <w:rsid w:val="00FF4B6E"/>
    <w:rsid w:val="00FF4EB0"/>
    <w:rsid w:val="00FF6009"/>
    <w:rsid w:val="00FF758A"/>
    <w:rsid w:val="00FF7785"/>
    <w:rsid w:val="01131AAC"/>
    <w:rsid w:val="012B6537"/>
    <w:rsid w:val="014A3BF7"/>
    <w:rsid w:val="014C36A9"/>
    <w:rsid w:val="015A390A"/>
    <w:rsid w:val="0178776D"/>
    <w:rsid w:val="01982396"/>
    <w:rsid w:val="01B2444C"/>
    <w:rsid w:val="01B867D0"/>
    <w:rsid w:val="01EF572E"/>
    <w:rsid w:val="02341FFC"/>
    <w:rsid w:val="024869EE"/>
    <w:rsid w:val="024B4749"/>
    <w:rsid w:val="02674D79"/>
    <w:rsid w:val="02780BB2"/>
    <w:rsid w:val="029A38EC"/>
    <w:rsid w:val="02F7206A"/>
    <w:rsid w:val="03031491"/>
    <w:rsid w:val="030A40B7"/>
    <w:rsid w:val="0343318B"/>
    <w:rsid w:val="03967C79"/>
    <w:rsid w:val="039B0223"/>
    <w:rsid w:val="03AD1939"/>
    <w:rsid w:val="03D90AEF"/>
    <w:rsid w:val="03E017D2"/>
    <w:rsid w:val="03FF58CB"/>
    <w:rsid w:val="042C658A"/>
    <w:rsid w:val="04460D88"/>
    <w:rsid w:val="04587FC5"/>
    <w:rsid w:val="04592836"/>
    <w:rsid w:val="046A709E"/>
    <w:rsid w:val="047A730F"/>
    <w:rsid w:val="04C976EE"/>
    <w:rsid w:val="04D22988"/>
    <w:rsid w:val="04E840AB"/>
    <w:rsid w:val="05000A20"/>
    <w:rsid w:val="051931EE"/>
    <w:rsid w:val="05216546"/>
    <w:rsid w:val="05293092"/>
    <w:rsid w:val="05340917"/>
    <w:rsid w:val="05435D62"/>
    <w:rsid w:val="05502CAC"/>
    <w:rsid w:val="056D67AE"/>
    <w:rsid w:val="05763297"/>
    <w:rsid w:val="0579256C"/>
    <w:rsid w:val="057E12A3"/>
    <w:rsid w:val="05921FD6"/>
    <w:rsid w:val="05B40D0D"/>
    <w:rsid w:val="05B840B3"/>
    <w:rsid w:val="05D50874"/>
    <w:rsid w:val="05D7060E"/>
    <w:rsid w:val="05D85A4C"/>
    <w:rsid w:val="063E15B4"/>
    <w:rsid w:val="064D2FEB"/>
    <w:rsid w:val="06643D64"/>
    <w:rsid w:val="06733A58"/>
    <w:rsid w:val="06856C24"/>
    <w:rsid w:val="068B5D75"/>
    <w:rsid w:val="06A00797"/>
    <w:rsid w:val="06AC1910"/>
    <w:rsid w:val="06EC4E93"/>
    <w:rsid w:val="06EF3636"/>
    <w:rsid w:val="06FA5DAC"/>
    <w:rsid w:val="070161DC"/>
    <w:rsid w:val="07317AF7"/>
    <w:rsid w:val="074958E1"/>
    <w:rsid w:val="07605850"/>
    <w:rsid w:val="07632F5E"/>
    <w:rsid w:val="07743D83"/>
    <w:rsid w:val="07903D17"/>
    <w:rsid w:val="07AA535A"/>
    <w:rsid w:val="07AA637F"/>
    <w:rsid w:val="07CB5CF1"/>
    <w:rsid w:val="07EC7625"/>
    <w:rsid w:val="07FF6407"/>
    <w:rsid w:val="081B47C0"/>
    <w:rsid w:val="08204893"/>
    <w:rsid w:val="08414F5F"/>
    <w:rsid w:val="084A4A0C"/>
    <w:rsid w:val="0851154A"/>
    <w:rsid w:val="08577A97"/>
    <w:rsid w:val="08E92ED7"/>
    <w:rsid w:val="090D266D"/>
    <w:rsid w:val="091818EB"/>
    <w:rsid w:val="091E38B9"/>
    <w:rsid w:val="092108C3"/>
    <w:rsid w:val="0938751B"/>
    <w:rsid w:val="09415BDA"/>
    <w:rsid w:val="096B7AAE"/>
    <w:rsid w:val="098D28F2"/>
    <w:rsid w:val="098D3FC3"/>
    <w:rsid w:val="09CE41A5"/>
    <w:rsid w:val="09D1170D"/>
    <w:rsid w:val="09D75426"/>
    <w:rsid w:val="09E10418"/>
    <w:rsid w:val="0A2D6C65"/>
    <w:rsid w:val="0A325F72"/>
    <w:rsid w:val="0A4D1DC2"/>
    <w:rsid w:val="0AA909AD"/>
    <w:rsid w:val="0AAD0A8C"/>
    <w:rsid w:val="0B0D3840"/>
    <w:rsid w:val="0B1E02DC"/>
    <w:rsid w:val="0B463D0B"/>
    <w:rsid w:val="0B71421F"/>
    <w:rsid w:val="0B7458C7"/>
    <w:rsid w:val="0B780599"/>
    <w:rsid w:val="0B875DBC"/>
    <w:rsid w:val="0B936E68"/>
    <w:rsid w:val="0BA35569"/>
    <w:rsid w:val="0BAE7DF2"/>
    <w:rsid w:val="0C09149D"/>
    <w:rsid w:val="0C2E4A92"/>
    <w:rsid w:val="0C417033"/>
    <w:rsid w:val="0C70594D"/>
    <w:rsid w:val="0CAA754D"/>
    <w:rsid w:val="0CC948F8"/>
    <w:rsid w:val="0CCE2B10"/>
    <w:rsid w:val="0CD23167"/>
    <w:rsid w:val="0CE330D8"/>
    <w:rsid w:val="0D046BDE"/>
    <w:rsid w:val="0D0E714B"/>
    <w:rsid w:val="0D1200EC"/>
    <w:rsid w:val="0D2E1EEC"/>
    <w:rsid w:val="0D68441F"/>
    <w:rsid w:val="0D745C9B"/>
    <w:rsid w:val="0D9D54C7"/>
    <w:rsid w:val="0DA46B13"/>
    <w:rsid w:val="0DD443F5"/>
    <w:rsid w:val="0DEC33DE"/>
    <w:rsid w:val="0E0013EF"/>
    <w:rsid w:val="0E2F10A8"/>
    <w:rsid w:val="0E4676B3"/>
    <w:rsid w:val="0E5D7050"/>
    <w:rsid w:val="0E5D7CE9"/>
    <w:rsid w:val="0EA96B41"/>
    <w:rsid w:val="0EB22127"/>
    <w:rsid w:val="0EBD553A"/>
    <w:rsid w:val="0EE91E83"/>
    <w:rsid w:val="0F3628EA"/>
    <w:rsid w:val="0F411888"/>
    <w:rsid w:val="0F4172E3"/>
    <w:rsid w:val="0F4C003C"/>
    <w:rsid w:val="0F8E544E"/>
    <w:rsid w:val="0FBF78A3"/>
    <w:rsid w:val="0FD52407"/>
    <w:rsid w:val="0FE658A4"/>
    <w:rsid w:val="0FF24CD9"/>
    <w:rsid w:val="0FF46693"/>
    <w:rsid w:val="0FFD5A37"/>
    <w:rsid w:val="10057008"/>
    <w:rsid w:val="102B0326"/>
    <w:rsid w:val="105470BD"/>
    <w:rsid w:val="10613224"/>
    <w:rsid w:val="107366A0"/>
    <w:rsid w:val="108C3C91"/>
    <w:rsid w:val="10B550EF"/>
    <w:rsid w:val="10EB7EA9"/>
    <w:rsid w:val="116F4196"/>
    <w:rsid w:val="119D20DA"/>
    <w:rsid w:val="11B22EFA"/>
    <w:rsid w:val="11B47BEA"/>
    <w:rsid w:val="11D8382E"/>
    <w:rsid w:val="11ED7009"/>
    <w:rsid w:val="11F9160C"/>
    <w:rsid w:val="121D5A0D"/>
    <w:rsid w:val="122D70AB"/>
    <w:rsid w:val="123B7DC2"/>
    <w:rsid w:val="12773049"/>
    <w:rsid w:val="12B26A30"/>
    <w:rsid w:val="12BE7183"/>
    <w:rsid w:val="12C144F7"/>
    <w:rsid w:val="12CF77DD"/>
    <w:rsid w:val="12F348B0"/>
    <w:rsid w:val="12F977BE"/>
    <w:rsid w:val="12FB137D"/>
    <w:rsid w:val="13217DBD"/>
    <w:rsid w:val="134D2796"/>
    <w:rsid w:val="135F11CF"/>
    <w:rsid w:val="136748DC"/>
    <w:rsid w:val="137324BC"/>
    <w:rsid w:val="13984F99"/>
    <w:rsid w:val="139D6804"/>
    <w:rsid w:val="13B54CDA"/>
    <w:rsid w:val="13B761CD"/>
    <w:rsid w:val="13C80E8F"/>
    <w:rsid w:val="13D13B54"/>
    <w:rsid w:val="13EB349A"/>
    <w:rsid w:val="13F652EF"/>
    <w:rsid w:val="141D612B"/>
    <w:rsid w:val="145766BC"/>
    <w:rsid w:val="146D564B"/>
    <w:rsid w:val="146D5E20"/>
    <w:rsid w:val="15194B44"/>
    <w:rsid w:val="15205A95"/>
    <w:rsid w:val="15220305"/>
    <w:rsid w:val="154439A5"/>
    <w:rsid w:val="154D265C"/>
    <w:rsid w:val="157B34E3"/>
    <w:rsid w:val="157B3E24"/>
    <w:rsid w:val="15B44D0D"/>
    <w:rsid w:val="15C9019F"/>
    <w:rsid w:val="15ED221D"/>
    <w:rsid w:val="160C2F52"/>
    <w:rsid w:val="16171715"/>
    <w:rsid w:val="162174C4"/>
    <w:rsid w:val="16281B76"/>
    <w:rsid w:val="163748F6"/>
    <w:rsid w:val="166B6B48"/>
    <w:rsid w:val="168D663D"/>
    <w:rsid w:val="169F1079"/>
    <w:rsid w:val="16B85A1E"/>
    <w:rsid w:val="16CC0888"/>
    <w:rsid w:val="16EB2510"/>
    <w:rsid w:val="16EE7BB1"/>
    <w:rsid w:val="16F9739A"/>
    <w:rsid w:val="171D16BB"/>
    <w:rsid w:val="175C5CBB"/>
    <w:rsid w:val="178D43B7"/>
    <w:rsid w:val="17B04CBD"/>
    <w:rsid w:val="182C4420"/>
    <w:rsid w:val="18653318"/>
    <w:rsid w:val="1870427A"/>
    <w:rsid w:val="187A34D0"/>
    <w:rsid w:val="1889120C"/>
    <w:rsid w:val="18D926AF"/>
    <w:rsid w:val="1902784D"/>
    <w:rsid w:val="191A5AD0"/>
    <w:rsid w:val="19413116"/>
    <w:rsid w:val="195948D7"/>
    <w:rsid w:val="195D3D8F"/>
    <w:rsid w:val="19667B91"/>
    <w:rsid w:val="197771C7"/>
    <w:rsid w:val="19867CEA"/>
    <w:rsid w:val="19A31525"/>
    <w:rsid w:val="19B57C47"/>
    <w:rsid w:val="19B77088"/>
    <w:rsid w:val="19F652AC"/>
    <w:rsid w:val="1A0C7847"/>
    <w:rsid w:val="1A587293"/>
    <w:rsid w:val="1A7171D0"/>
    <w:rsid w:val="1A7E070A"/>
    <w:rsid w:val="1A8F1EDD"/>
    <w:rsid w:val="1ABD7ECD"/>
    <w:rsid w:val="1AEC2242"/>
    <w:rsid w:val="1AF72F62"/>
    <w:rsid w:val="1B281EB2"/>
    <w:rsid w:val="1B2A34E3"/>
    <w:rsid w:val="1B572B75"/>
    <w:rsid w:val="1B8E15A9"/>
    <w:rsid w:val="1B90786C"/>
    <w:rsid w:val="1B9C4974"/>
    <w:rsid w:val="1BAA299A"/>
    <w:rsid w:val="1BD571B4"/>
    <w:rsid w:val="1C005830"/>
    <w:rsid w:val="1C006D7E"/>
    <w:rsid w:val="1C11092F"/>
    <w:rsid w:val="1C526BF5"/>
    <w:rsid w:val="1C752DA7"/>
    <w:rsid w:val="1C892785"/>
    <w:rsid w:val="1CB0190F"/>
    <w:rsid w:val="1CDE2FE6"/>
    <w:rsid w:val="1CEA229F"/>
    <w:rsid w:val="1D077978"/>
    <w:rsid w:val="1D20447A"/>
    <w:rsid w:val="1D267E8D"/>
    <w:rsid w:val="1D4853B6"/>
    <w:rsid w:val="1D554B87"/>
    <w:rsid w:val="1D8A3838"/>
    <w:rsid w:val="1DB776C7"/>
    <w:rsid w:val="1DC61769"/>
    <w:rsid w:val="1DD0124A"/>
    <w:rsid w:val="1DD24321"/>
    <w:rsid w:val="1E1F3D97"/>
    <w:rsid w:val="1E2332EC"/>
    <w:rsid w:val="1E2D788D"/>
    <w:rsid w:val="1E37518B"/>
    <w:rsid w:val="1E3A2EF3"/>
    <w:rsid w:val="1E815693"/>
    <w:rsid w:val="1E957DB3"/>
    <w:rsid w:val="1EF663C1"/>
    <w:rsid w:val="1EFD6571"/>
    <w:rsid w:val="1F115CAD"/>
    <w:rsid w:val="1F4204EA"/>
    <w:rsid w:val="1F564018"/>
    <w:rsid w:val="1F5F2F8B"/>
    <w:rsid w:val="1F6340B1"/>
    <w:rsid w:val="1F7F78E1"/>
    <w:rsid w:val="1F811E74"/>
    <w:rsid w:val="1F967D32"/>
    <w:rsid w:val="1FA40609"/>
    <w:rsid w:val="1FBB1F4B"/>
    <w:rsid w:val="200D3635"/>
    <w:rsid w:val="200F36F6"/>
    <w:rsid w:val="205A3751"/>
    <w:rsid w:val="207611F8"/>
    <w:rsid w:val="20997775"/>
    <w:rsid w:val="21192B28"/>
    <w:rsid w:val="21325F57"/>
    <w:rsid w:val="214C35D1"/>
    <w:rsid w:val="21543830"/>
    <w:rsid w:val="21655A05"/>
    <w:rsid w:val="216F4E0B"/>
    <w:rsid w:val="2174157D"/>
    <w:rsid w:val="218B09D9"/>
    <w:rsid w:val="218D5C1E"/>
    <w:rsid w:val="21954272"/>
    <w:rsid w:val="219F0D0C"/>
    <w:rsid w:val="219F659D"/>
    <w:rsid w:val="21A135E2"/>
    <w:rsid w:val="21A8172A"/>
    <w:rsid w:val="21B06102"/>
    <w:rsid w:val="21CB59C4"/>
    <w:rsid w:val="21E13931"/>
    <w:rsid w:val="21E82E3D"/>
    <w:rsid w:val="22130C01"/>
    <w:rsid w:val="22192627"/>
    <w:rsid w:val="221A4D10"/>
    <w:rsid w:val="22254105"/>
    <w:rsid w:val="22356D36"/>
    <w:rsid w:val="224F7633"/>
    <w:rsid w:val="22903F83"/>
    <w:rsid w:val="22BE4EE3"/>
    <w:rsid w:val="22CC2FB2"/>
    <w:rsid w:val="22CD0980"/>
    <w:rsid w:val="22DD3655"/>
    <w:rsid w:val="234342B3"/>
    <w:rsid w:val="236373FC"/>
    <w:rsid w:val="23656B8D"/>
    <w:rsid w:val="2369501D"/>
    <w:rsid w:val="238C6E29"/>
    <w:rsid w:val="23A764F5"/>
    <w:rsid w:val="23BB2C3D"/>
    <w:rsid w:val="23F01BBB"/>
    <w:rsid w:val="23FA5F54"/>
    <w:rsid w:val="241320BA"/>
    <w:rsid w:val="241D603F"/>
    <w:rsid w:val="244D053E"/>
    <w:rsid w:val="24771212"/>
    <w:rsid w:val="250F4092"/>
    <w:rsid w:val="258E2A68"/>
    <w:rsid w:val="259F5E95"/>
    <w:rsid w:val="25BC52C3"/>
    <w:rsid w:val="25C428AA"/>
    <w:rsid w:val="26171D1B"/>
    <w:rsid w:val="262C39AF"/>
    <w:rsid w:val="26415CA9"/>
    <w:rsid w:val="26574081"/>
    <w:rsid w:val="265C1440"/>
    <w:rsid w:val="268668CC"/>
    <w:rsid w:val="26903339"/>
    <w:rsid w:val="26A90B02"/>
    <w:rsid w:val="26B109B1"/>
    <w:rsid w:val="26C01A21"/>
    <w:rsid w:val="26F50A4B"/>
    <w:rsid w:val="27050626"/>
    <w:rsid w:val="274127CE"/>
    <w:rsid w:val="27533EE6"/>
    <w:rsid w:val="276738CB"/>
    <w:rsid w:val="276B5AB6"/>
    <w:rsid w:val="2779392B"/>
    <w:rsid w:val="27B077D3"/>
    <w:rsid w:val="27B21313"/>
    <w:rsid w:val="27CB2772"/>
    <w:rsid w:val="27CD72B9"/>
    <w:rsid w:val="27CE478D"/>
    <w:rsid w:val="27DF1C1D"/>
    <w:rsid w:val="27E728D9"/>
    <w:rsid w:val="280405B6"/>
    <w:rsid w:val="281A5136"/>
    <w:rsid w:val="28430D70"/>
    <w:rsid w:val="28561E29"/>
    <w:rsid w:val="28770D6F"/>
    <w:rsid w:val="287D256F"/>
    <w:rsid w:val="28961954"/>
    <w:rsid w:val="28BA5D21"/>
    <w:rsid w:val="28D32BAE"/>
    <w:rsid w:val="28D654CB"/>
    <w:rsid w:val="28F6785D"/>
    <w:rsid w:val="29043710"/>
    <w:rsid w:val="29072B1D"/>
    <w:rsid w:val="29447B62"/>
    <w:rsid w:val="294D2BB7"/>
    <w:rsid w:val="296611F2"/>
    <w:rsid w:val="296A19BB"/>
    <w:rsid w:val="2976439D"/>
    <w:rsid w:val="297D4623"/>
    <w:rsid w:val="29833ECF"/>
    <w:rsid w:val="29B90027"/>
    <w:rsid w:val="29C47FC5"/>
    <w:rsid w:val="29CD3AB3"/>
    <w:rsid w:val="2A1A4AE9"/>
    <w:rsid w:val="2A281660"/>
    <w:rsid w:val="2A3436CA"/>
    <w:rsid w:val="2A464D9E"/>
    <w:rsid w:val="2A7D72DF"/>
    <w:rsid w:val="2A832955"/>
    <w:rsid w:val="2A942564"/>
    <w:rsid w:val="2A9E3D98"/>
    <w:rsid w:val="2AA16038"/>
    <w:rsid w:val="2ADE5584"/>
    <w:rsid w:val="2AF12F8E"/>
    <w:rsid w:val="2B055305"/>
    <w:rsid w:val="2B346350"/>
    <w:rsid w:val="2B460F5C"/>
    <w:rsid w:val="2B520FEF"/>
    <w:rsid w:val="2B5337D2"/>
    <w:rsid w:val="2B546BB9"/>
    <w:rsid w:val="2B76697B"/>
    <w:rsid w:val="2BAD1D1D"/>
    <w:rsid w:val="2BF41DE3"/>
    <w:rsid w:val="2C244736"/>
    <w:rsid w:val="2C3333E9"/>
    <w:rsid w:val="2C8204DE"/>
    <w:rsid w:val="2C94705E"/>
    <w:rsid w:val="2CA27AAC"/>
    <w:rsid w:val="2CC55886"/>
    <w:rsid w:val="2CCF5612"/>
    <w:rsid w:val="2CFF01FD"/>
    <w:rsid w:val="2D49676D"/>
    <w:rsid w:val="2D510BFC"/>
    <w:rsid w:val="2D544B2D"/>
    <w:rsid w:val="2D576EE8"/>
    <w:rsid w:val="2D6B724F"/>
    <w:rsid w:val="2DA14DEC"/>
    <w:rsid w:val="2DD46E32"/>
    <w:rsid w:val="2DF742BE"/>
    <w:rsid w:val="2E3E0821"/>
    <w:rsid w:val="2E405916"/>
    <w:rsid w:val="2E8029B6"/>
    <w:rsid w:val="2E8D56BA"/>
    <w:rsid w:val="2EB700C2"/>
    <w:rsid w:val="2EFB49CC"/>
    <w:rsid w:val="2F16481F"/>
    <w:rsid w:val="2F19007D"/>
    <w:rsid w:val="2F397E65"/>
    <w:rsid w:val="2F3C7CDD"/>
    <w:rsid w:val="2F6A3E8D"/>
    <w:rsid w:val="2F8A6913"/>
    <w:rsid w:val="2F972DDE"/>
    <w:rsid w:val="2FA86931"/>
    <w:rsid w:val="2FD35ACA"/>
    <w:rsid w:val="2FF375F9"/>
    <w:rsid w:val="300B7736"/>
    <w:rsid w:val="300D58DF"/>
    <w:rsid w:val="30330A42"/>
    <w:rsid w:val="30344C97"/>
    <w:rsid w:val="30441FBC"/>
    <w:rsid w:val="305877D5"/>
    <w:rsid w:val="306B6744"/>
    <w:rsid w:val="30861653"/>
    <w:rsid w:val="30B62B05"/>
    <w:rsid w:val="30C870DC"/>
    <w:rsid w:val="30EB462F"/>
    <w:rsid w:val="31094164"/>
    <w:rsid w:val="3109673E"/>
    <w:rsid w:val="312B1738"/>
    <w:rsid w:val="313A50C2"/>
    <w:rsid w:val="31864C09"/>
    <w:rsid w:val="31A33986"/>
    <w:rsid w:val="31A362B8"/>
    <w:rsid w:val="31E935C2"/>
    <w:rsid w:val="320F1351"/>
    <w:rsid w:val="324D5DA0"/>
    <w:rsid w:val="32572EFF"/>
    <w:rsid w:val="326E4D42"/>
    <w:rsid w:val="32730DC8"/>
    <w:rsid w:val="32CB6C5A"/>
    <w:rsid w:val="32CD46FA"/>
    <w:rsid w:val="32F41490"/>
    <w:rsid w:val="33014DA0"/>
    <w:rsid w:val="33094A39"/>
    <w:rsid w:val="33510E6D"/>
    <w:rsid w:val="335C653A"/>
    <w:rsid w:val="336D6476"/>
    <w:rsid w:val="33953D95"/>
    <w:rsid w:val="33956A33"/>
    <w:rsid w:val="33B21D09"/>
    <w:rsid w:val="34070AFE"/>
    <w:rsid w:val="3408109D"/>
    <w:rsid w:val="340E21C5"/>
    <w:rsid w:val="34260C15"/>
    <w:rsid w:val="34335521"/>
    <w:rsid w:val="34463629"/>
    <w:rsid w:val="34482433"/>
    <w:rsid w:val="344B3E41"/>
    <w:rsid w:val="345740E7"/>
    <w:rsid w:val="349B3370"/>
    <w:rsid w:val="34A470A6"/>
    <w:rsid w:val="34A54061"/>
    <w:rsid w:val="34AC10D9"/>
    <w:rsid w:val="34B54432"/>
    <w:rsid w:val="34BE34A4"/>
    <w:rsid w:val="35215CB3"/>
    <w:rsid w:val="357C0AAC"/>
    <w:rsid w:val="35D27FC9"/>
    <w:rsid w:val="35F0120C"/>
    <w:rsid w:val="361231BE"/>
    <w:rsid w:val="36260527"/>
    <w:rsid w:val="36316167"/>
    <w:rsid w:val="363F4072"/>
    <w:rsid w:val="366A2984"/>
    <w:rsid w:val="367117D7"/>
    <w:rsid w:val="368563FF"/>
    <w:rsid w:val="36A05476"/>
    <w:rsid w:val="36B64210"/>
    <w:rsid w:val="36BF4643"/>
    <w:rsid w:val="36C73FA8"/>
    <w:rsid w:val="36CC3EC2"/>
    <w:rsid w:val="36D17BE7"/>
    <w:rsid w:val="36DD2771"/>
    <w:rsid w:val="37044CCB"/>
    <w:rsid w:val="373A68F7"/>
    <w:rsid w:val="374D6BA3"/>
    <w:rsid w:val="375234B0"/>
    <w:rsid w:val="376B399F"/>
    <w:rsid w:val="377A726D"/>
    <w:rsid w:val="378E67B6"/>
    <w:rsid w:val="378F733D"/>
    <w:rsid w:val="37A168D3"/>
    <w:rsid w:val="37B00EE0"/>
    <w:rsid w:val="37C006F4"/>
    <w:rsid w:val="37C53D05"/>
    <w:rsid w:val="37EA421E"/>
    <w:rsid w:val="380526FA"/>
    <w:rsid w:val="380A2732"/>
    <w:rsid w:val="380C392A"/>
    <w:rsid w:val="382B4821"/>
    <w:rsid w:val="38341061"/>
    <w:rsid w:val="38417E27"/>
    <w:rsid w:val="38492B3A"/>
    <w:rsid w:val="38617C6E"/>
    <w:rsid w:val="38725135"/>
    <w:rsid w:val="387C288A"/>
    <w:rsid w:val="3881161E"/>
    <w:rsid w:val="38974954"/>
    <w:rsid w:val="389A33CF"/>
    <w:rsid w:val="38E35FF9"/>
    <w:rsid w:val="39033117"/>
    <w:rsid w:val="390D5E24"/>
    <w:rsid w:val="391E24CB"/>
    <w:rsid w:val="393301E7"/>
    <w:rsid w:val="393922F2"/>
    <w:rsid w:val="395E061F"/>
    <w:rsid w:val="396A7FB0"/>
    <w:rsid w:val="39720062"/>
    <w:rsid w:val="397734C1"/>
    <w:rsid w:val="398A1B14"/>
    <w:rsid w:val="39CD7B42"/>
    <w:rsid w:val="39FF204B"/>
    <w:rsid w:val="3A527D3C"/>
    <w:rsid w:val="3A7E3C2D"/>
    <w:rsid w:val="3A883F05"/>
    <w:rsid w:val="3ABD6790"/>
    <w:rsid w:val="3ABE4D09"/>
    <w:rsid w:val="3ABF1A5C"/>
    <w:rsid w:val="3AC369C8"/>
    <w:rsid w:val="3AE029E9"/>
    <w:rsid w:val="3B004B40"/>
    <w:rsid w:val="3B004FBB"/>
    <w:rsid w:val="3B3103C4"/>
    <w:rsid w:val="3B6E1487"/>
    <w:rsid w:val="3B6F21EB"/>
    <w:rsid w:val="3BA410AC"/>
    <w:rsid w:val="3BA5079A"/>
    <w:rsid w:val="3BC02265"/>
    <w:rsid w:val="3BC52B2F"/>
    <w:rsid w:val="3BDA652C"/>
    <w:rsid w:val="3BEF4D91"/>
    <w:rsid w:val="3C011D0B"/>
    <w:rsid w:val="3C616601"/>
    <w:rsid w:val="3C762DC6"/>
    <w:rsid w:val="3C843F74"/>
    <w:rsid w:val="3CBE555D"/>
    <w:rsid w:val="3CD70F79"/>
    <w:rsid w:val="3CD83EA5"/>
    <w:rsid w:val="3CF24E34"/>
    <w:rsid w:val="3D002FAB"/>
    <w:rsid w:val="3D5448F9"/>
    <w:rsid w:val="3D684516"/>
    <w:rsid w:val="3E047BB9"/>
    <w:rsid w:val="3E3F1E7E"/>
    <w:rsid w:val="3E625336"/>
    <w:rsid w:val="3E7D2381"/>
    <w:rsid w:val="3EB46C58"/>
    <w:rsid w:val="3EBF40F3"/>
    <w:rsid w:val="3EF00151"/>
    <w:rsid w:val="3F066FCD"/>
    <w:rsid w:val="3F14769B"/>
    <w:rsid w:val="3F1731E8"/>
    <w:rsid w:val="3F302C3B"/>
    <w:rsid w:val="3F714705"/>
    <w:rsid w:val="3F963294"/>
    <w:rsid w:val="3FA441AC"/>
    <w:rsid w:val="3FBF428F"/>
    <w:rsid w:val="3FD9078F"/>
    <w:rsid w:val="3FE64C7F"/>
    <w:rsid w:val="403124EB"/>
    <w:rsid w:val="4076795C"/>
    <w:rsid w:val="407A6D80"/>
    <w:rsid w:val="40816158"/>
    <w:rsid w:val="40A24CA5"/>
    <w:rsid w:val="40A656F0"/>
    <w:rsid w:val="40A757DF"/>
    <w:rsid w:val="40C96B6F"/>
    <w:rsid w:val="412538F9"/>
    <w:rsid w:val="41666131"/>
    <w:rsid w:val="417733A2"/>
    <w:rsid w:val="41780CC1"/>
    <w:rsid w:val="41847EEA"/>
    <w:rsid w:val="41B50E5B"/>
    <w:rsid w:val="41B83698"/>
    <w:rsid w:val="41C558FF"/>
    <w:rsid w:val="41C90402"/>
    <w:rsid w:val="421A3B26"/>
    <w:rsid w:val="4220144D"/>
    <w:rsid w:val="42206EAE"/>
    <w:rsid w:val="422132DA"/>
    <w:rsid w:val="42474069"/>
    <w:rsid w:val="42521950"/>
    <w:rsid w:val="42622033"/>
    <w:rsid w:val="42716467"/>
    <w:rsid w:val="429352BD"/>
    <w:rsid w:val="42B3795B"/>
    <w:rsid w:val="42B707C9"/>
    <w:rsid w:val="42B80A4E"/>
    <w:rsid w:val="42D9578F"/>
    <w:rsid w:val="42E64210"/>
    <w:rsid w:val="43035FE1"/>
    <w:rsid w:val="43175A4E"/>
    <w:rsid w:val="431D7E27"/>
    <w:rsid w:val="433F75B6"/>
    <w:rsid w:val="436A7399"/>
    <w:rsid w:val="438A26A1"/>
    <w:rsid w:val="43A110A0"/>
    <w:rsid w:val="43C14E35"/>
    <w:rsid w:val="43C31F9B"/>
    <w:rsid w:val="441B07F3"/>
    <w:rsid w:val="44673BE2"/>
    <w:rsid w:val="44D54535"/>
    <w:rsid w:val="45036850"/>
    <w:rsid w:val="453127FF"/>
    <w:rsid w:val="4547393F"/>
    <w:rsid w:val="454D5E9D"/>
    <w:rsid w:val="455F497A"/>
    <w:rsid w:val="45600B99"/>
    <w:rsid w:val="456847AD"/>
    <w:rsid w:val="45D07B7F"/>
    <w:rsid w:val="45F8417E"/>
    <w:rsid w:val="45FA049B"/>
    <w:rsid w:val="45FC088E"/>
    <w:rsid w:val="4602710E"/>
    <w:rsid w:val="460C4B90"/>
    <w:rsid w:val="461D466E"/>
    <w:rsid w:val="46276812"/>
    <w:rsid w:val="462E2C48"/>
    <w:rsid w:val="464E6941"/>
    <w:rsid w:val="46667C39"/>
    <w:rsid w:val="467C3733"/>
    <w:rsid w:val="46A7509A"/>
    <w:rsid w:val="46C34C7B"/>
    <w:rsid w:val="46C54F7C"/>
    <w:rsid w:val="46ED719C"/>
    <w:rsid w:val="46F175DB"/>
    <w:rsid w:val="476B7CB0"/>
    <w:rsid w:val="476C0476"/>
    <w:rsid w:val="476F0B07"/>
    <w:rsid w:val="477A1123"/>
    <w:rsid w:val="47B606E9"/>
    <w:rsid w:val="481F6940"/>
    <w:rsid w:val="4846577F"/>
    <w:rsid w:val="48563E84"/>
    <w:rsid w:val="48793587"/>
    <w:rsid w:val="48A15769"/>
    <w:rsid w:val="48B618DF"/>
    <w:rsid w:val="48D04F3E"/>
    <w:rsid w:val="48D86506"/>
    <w:rsid w:val="49084C76"/>
    <w:rsid w:val="490C17ED"/>
    <w:rsid w:val="493E48DD"/>
    <w:rsid w:val="49582691"/>
    <w:rsid w:val="49627B61"/>
    <w:rsid w:val="49C061B7"/>
    <w:rsid w:val="49DA7029"/>
    <w:rsid w:val="49FD3978"/>
    <w:rsid w:val="4A1A5E29"/>
    <w:rsid w:val="4A2C59D5"/>
    <w:rsid w:val="4A724E06"/>
    <w:rsid w:val="4AA95C5E"/>
    <w:rsid w:val="4ACF30DD"/>
    <w:rsid w:val="4ADC2D1B"/>
    <w:rsid w:val="4ADF5734"/>
    <w:rsid w:val="4B111174"/>
    <w:rsid w:val="4B183AE9"/>
    <w:rsid w:val="4B1F1503"/>
    <w:rsid w:val="4B4E1A68"/>
    <w:rsid w:val="4B4E3EF8"/>
    <w:rsid w:val="4B6A5B30"/>
    <w:rsid w:val="4BB0504E"/>
    <w:rsid w:val="4BCD7F3B"/>
    <w:rsid w:val="4BDC24FB"/>
    <w:rsid w:val="4BE977EE"/>
    <w:rsid w:val="4C0F5F6E"/>
    <w:rsid w:val="4C1C66ED"/>
    <w:rsid w:val="4C1F53C5"/>
    <w:rsid w:val="4C2D252F"/>
    <w:rsid w:val="4C690C50"/>
    <w:rsid w:val="4C7F4E0A"/>
    <w:rsid w:val="4C941A38"/>
    <w:rsid w:val="4C97631D"/>
    <w:rsid w:val="4C9D0BDC"/>
    <w:rsid w:val="4CB439D5"/>
    <w:rsid w:val="4CD72F04"/>
    <w:rsid w:val="4CDF6F83"/>
    <w:rsid w:val="4CE532B6"/>
    <w:rsid w:val="4D303444"/>
    <w:rsid w:val="4D3856EB"/>
    <w:rsid w:val="4D3C439F"/>
    <w:rsid w:val="4DA126D7"/>
    <w:rsid w:val="4DBD3689"/>
    <w:rsid w:val="4DCB52D2"/>
    <w:rsid w:val="4DE93DA2"/>
    <w:rsid w:val="4DF30A06"/>
    <w:rsid w:val="4E102AE3"/>
    <w:rsid w:val="4E313C1C"/>
    <w:rsid w:val="4E577595"/>
    <w:rsid w:val="4E8D33F1"/>
    <w:rsid w:val="4EA02E3A"/>
    <w:rsid w:val="4EA13B99"/>
    <w:rsid w:val="4ECA0539"/>
    <w:rsid w:val="4ED67F7B"/>
    <w:rsid w:val="4F1A3065"/>
    <w:rsid w:val="4F521A89"/>
    <w:rsid w:val="4F5B5DE0"/>
    <w:rsid w:val="4F6350F3"/>
    <w:rsid w:val="4F994C90"/>
    <w:rsid w:val="4FBC47AB"/>
    <w:rsid w:val="4FC95CBA"/>
    <w:rsid w:val="4FD10127"/>
    <w:rsid w:val="4FD22A74"/>
    <w:rsid w:val="4FEC30D0"/>
    <w:rsid w:val="4FEC59DB"/>
    <w:rsid w:val="50074478"/>
    <w:rsid w:val="50230D87"/>
    <w:rsid w:val="50416725"/>
    <w:rsid w:val="505B154D"/>
    <w:rsid w:val="505F7DF5"/>
    <w:rsid w:val="509575D0"/>
    <w:rsid w:val="50C905F5"/>
    <w:rsid w:val="50D02FEA"/>
    <w:rsid w:val="50DE21C3"/>
    <w:rsid w:val="50E27F05"/>
    <w:rsid w:val="50EB3AC0"/>
    <w:rsid w:val="510B5B65"/>
    <w:rsid w:val="513E5918"/>
    <w:rsid w:val="51586419"/>
    <w:rsid w:val="517C3E6E"/>
    <w:rsid w:val="523B16A4"/>
    <w:rsid w:val="525C4501"/>
    <w:rsid w:val="52727066"/>
    <w:rsid w:val="52770F35"/>
    <w:rsid w:val="527B08DF"/>
    <w:rsid w:val="52F92D41"/>
    <w:rsid w:val="53777A26"/>
    <w:rsid w:val="537C72F1"/>
    <w:rsid w:val="53B217F7"/>
    <w:rsid w:val="53C35B87"/>
    <w:rsid w:val="53C805BC"/>
    <w:rsid w:val="53E4331D"/>
    <w:rsid w:val="540E2F43"/>
    <w:rsid w:val="54177022"/>
    <w:rsid w:val="543F741C"/>
    <w:rsid w:val="54454B26"/>
    <w:rsid w:val="54616F35"/>
    <w:rsid w:val="5474482F"/>
    <w:rsid w:val="54A572F4"/>
    <w:rsid w:val="54BC7146"/>
    <w:rsid w:val="54C952DE"/>
    <w:rsid w:val="5508025F"/>
    <w:rsid w:val="5519683B"/>
    <w:rsid w:val="5526012A"/>
    <w:rsid w:val="55333F6B"/>
    <w:rsid w:val="553C2FE9"/>
    <w:rsid w:val="55466588"/>
    <w:rsid w:val="55500302"/>
    <w:rsid w:val="55683C90"/>
    <w:rsid w:val="556F53C7"/>
    <w:rsid w:val="55B47019"/>
    <w:rsid w:val="55BC3F45"/>
    <w:rsid w:val="55C34E1C"/>
    <w:rsid w:val="55CF165D"/>
    <w:rsid w:val="561327FB"/>
    <w:rsid w:val="564D1C41"/>
    <w:rsid w:val="5652273E"/>
    <w:rsid w:val="566467D7"/>
    <w:rsid w:val="566E3297"/>
    <w:rsid w:val="56A362E7"/>
    <w:rsid w:val="56BA3CC7"/>
    <w:rsid w:val="56D36298"/>
    <w:rsid w:val="56DE01D8"/>
    <w:rsid w:val="570D55B0"/>
    <w:rsid w:val="575659B4"/>
    <w:rsid w:val="579528F7"/>
    <w:rsid w:val="57C40E8B"/>
    <w:rsid w:val="57E64C8A"/>
    <w:rsid w:val="582272EA"/>
    <w:rsid w:val="5826138A"/>
    <w:rsid w:val="583E1B75"/>
    <w:rsid w:val="585001BB"/>
    <w:rsid w:val="58727595"/>
    <w:rsid w:val="587E47C2"/>
    <w:rsid w:val="58F62B5E"/>
    <w:rsid w:val="59143270"/>
    <w:rsid w:val="59160BCA"/>
    <w:rsid w:val="593D6EE3"/>
    <w:rsid w:val="59566EBF"/>
    <w:rsid w:val="59AF00A3"/>
    <w:rsid w:val="59F7328A"/>
    <w:rsid w:val="5A844499"/>
    <w:rsid w:val="5AD04309"/>
    <w:rsid w:val="5AD5158E"/>
    <w:rsid w:val="5AD8580D"/>
    <w:rsid w:val="5B016575"/>
    <w:rsid w:val="5B022FE8"/>
    <w:rsid w:val="5B026BDF"/>
    <w:rsid w:val="5B397815"/>
    <w:rsid w:val="5B3B2ED4"/>
    <w:rsid w:val="5B4A54A2"/>
    <w:rsid w:val="5B4F43E9"/>
    <w:rsid w:val="5B6C68BE"/>
    <w:rsid w:val="5B900966"/>
    <w:rsid w:val="5BA704A1"/>
    <w:rsid w:val="5BB27356"/>
    <w:rsid w:val="5BF40953"/>
    <w:rsid w:val="5BFE0B9E"/>
    <w:rsid w:val="5C217A1F"/>
    <w:rsid w:val="5C2648F0"/>
    <w:rsid w:val="5C3007B3"/>
    <w:rsid w:val="5C377F43"/>
    <w:rsid w:val="5C423F4D"/>
    <w:rsid w:val="5C434225"/>
    <w:rsid w:val="5C536CC3"/>
    <w:rsid w:val="5C6531EF"/>
    <w:rsid w:val="5C6B52C3"/>
    <w:rsid w:val="5C791CAC"/>
    <w:rsid w:val="5C863F23"/>
    <w:rsid w:val="5C8D594F"/>
    <w:rsid w:val="5CA060E8"/>
    <w:rsid w:val="5CA12EC0"/>
    <w:rsid w:val="5CC401AE"/>
    <w:rsid w:val="5CD274B3"/>
    <w:rsid w:val="5CE90B29"/>
    <w:rsid w:val="5CF111A8"/>
    <w:rsid w:val="5CF47801"/>
    <w:rsid w:val="5D337B42"/>
    <w:rsid w:val="5D53095C"/>
    <w:rsid w:val="5D62217D"/>
    <w:rsid w:val="5D7362CC"/>
    <w:rsid w:val="5D8A03CC"/>
    <w:rsid w:val="5DA81CBC"/>
    <w:rsid w:val="5DB14F7B"/>
    <w:rsid w:val="5DD9443E"/>
    <w:rsid w:val="5DE34396"/>
    <w:rsid w:val="5DF86748"/>
    <w:rsid w:val="5E2C395D"/>
    <w:rsid w:val="5E2D7722"/>
    <w:rsid w:val="5E3251F8"/>
    <w:rsid w:val="5E3964FC"/>
    <w:rsid w:val="5E5771A2"/>
    <w:rsid w:val="5E7C2680"/>
    <w:rsid w:val="5ED36B35"/>
    <w:rsid w:val="5F421481"/>
    <w:rsid w:val="5F4741A6"/>
    <w:rsid w:val="5F691045"/>
    <w:rsid w:val="5F767970"/>
    <w:rsid w:val="5FA65BA3"/>
    <w:rsid w:val="5FAE103C"/>
    <w:rsid w:val="5FCD669B"/>
    <w:rsid w:val="5FF36B16"/>
    <w:rsid w:val="60430294"/>
    <w:rsid w:val="60444AC7"/>
    <w:rsid w:val="60597DFD"/>
    <w:rsid w:val="60604DC0"/>
    <w:rsid w:val="608A5FA1"/>
    <w:rsid w:val="608E263F"/>
    <w:rsid w:val="60A00773"/>
    <w:rsid w:val="60B0641E"/>
    <w:rsid w:val="60C95583"/>
    <w:rsid w:val="60CA60C3"/>
    <w:rsid w:val="60D23AE1"/>
    <w:rsid w:val="60E32438"/>
    <w:rsid w:val="60EE5796"/>
    <w:rsid w:val="612E3660"/>
    <w:rsid w:val="612F3E61"/>
    <w:rsid w:val="613F373E"/>
    <w:rsid w:val="617C580C"/>
    <w:rsid w:val="61833DE6"/>
    <w:rsid w:val="619458D5"/>
    <w:rsid w:val="61CF7530"/>
    <w:rsid w:val="61D306FC"/>
    <w:rsid w:val="61D429E5"/>
    <w:rsid w:val="61F6086C"/>
    <w:rsid w:val="61FD1A62"/>
    <w:rsid w:val="620A6474"/>
    <w:rsid w:val="620C63D4"/>
    <w:rsid w:val="620F042E"/>
    <w:rsid w:val="621E4B15"/>
    <w:rsid w:val="62575226"/>
    <w:rsid w:val="625E092A"/>
    <w:rsid w:val="62967504"/>
    <w:rsid w:val="62C2702C"/>
    <w:rsid w:val="62E1431E"/>
    <w:rsid w:val="630F02FA"/>
    <w:rsid w:val="630F6D62"/>
    <w:rsid w:val="63640EC1"/>
    <w:rsid w:val="6369618D"/>
    <w:rsid w:val="637D61BE"/>
    <w:rsid w:val="63806110"/>
    <w:rsid w:val="63AB3AFB"/>
    <w:rsid w:val="63B96378"/>
    <w:rsid w:val="63C6639B"/>
    <w:rsid w:val="63D73401"/>
    <w:rsid w:val="63DE12F2"/>
    <w:rsid w:val="64567E18"/>
    <w:rsid w:val="645C0563"/>
    <w:rsid w:val="64610F37"/>
    <w:rsid w:val="64C245D8"/>
    <w:rsid w:val="64CE3C75"/>
    <w:rsid w:val="64D279D7"/>
    <w:rsid w:val="65370F1C"/>
    <w:rsid w:val="65546136"/>
    <w:rsid w:val="65593A55"/>
    <w:rsid w:val="656269A7"/>
    <w:rsid w:val="65736011"/>
    <w:rsid w:val="65752ABC"/>
    <w:rsid w:val="658A287B"/>
    <w:rsid w:val="65A14F4F"/>
    <w:rsid w:val="65C014F8"/>
    <w:rsid w:val="65C24854"/>
    <w:rsid w:val="65D61945"/>
    <w:rsid w:val="65F86668"/>
    <w:rsid w:val="66030981"/>
    <w:rsid w:val="6618225B"/>
    <w:rsid w:val="6642013E"/>
    <w:rsid w:val="66426758"/>
    <w:rsid w:val="664D11B4"/>
    <w:rsid w:val="664D4231"/>
    <w:rsid w:val="6653275E"/>
    <w:rsid w:val="66731FB0"/>
    <w:rsid w:val="66777685"/>
    <w:rsid w:val="669B05E5"/>
    <w:rsid w:val="66A15D8E"/>
    <w:rsid w:val="66B22C0C"/>
    <w:rsid w:val="66ED6A15"/>
    <w:rsid w:val="67077276"/>
    <w:rsid w:val="670A1853"/>
    <w:rsid w:val="671B17EA"/>
    <w:rsid w:val="672A546D"/>
    <w:rsid w:val="67665619"/>
    <w:rsid w:val="67697270"/>
    <w:rsid w:val="67A11B51"/>
    <w:rsid w:val="67A67138"/>
    <w:rsid w:val="67DD2D7C"/>
    <w:rsid w:val="67EC4915"/>
    <w:rsid w:val="68054B2F"/>
    <w:rsid w:val="680B1BA7"/>
    <w:rsid w:val="68307BEC"/>
    <w:rsid w:val="68696E94"/>
    <w:rsid w:val="68775C3C"/>
    <w:rsid w:val="688377D7"/>
    <w:rsid w:val="68A604DB"/>
    <w:rsid w:val="68B60C47"/>
    <w:rsid w:val="68D90998"/>
    <w:rsid w:val="692D74F2"/>
    <w:rsid w:val="69681CBF"/>
    <w:rsid w:val="69882FAD"/>
    <w:rsid w:val="69BA0BD1"/>
    <w:rsid w:val="6A0E7DAC"/>
    <w:rsid w:val="6A117E7E"/>
    <w:rsid w:val="6A1342DB"/>
    <w:rsid w:val="6A2825B9"/>
    <w:rsid w:val="6A331B57"/>
    <w:rsid w:val="6AAE2B50"/>
    <w:rsid w:val="6AC77447"/>
    <w:rsid w:val="6ACC3A01"/>
    <w:rsid w:val="6B033E17"/>
    <w:rsid w:val="6B2D2511"/>
    <w:rsid w:val="6B48010E"/>
    <w:rsid w:val="6B4A6214"/>
    <w:rsid w:val="6B7307AA"/>
    <w:rsid w:val="6B80069C"/>
    <w:rsid w:val="6BA363CF"/>
    <w:rsid w:val="6BAF1320"/>
    <w:rsid w:val="6BB73CA1"/>
    <w:rsid w:val="6BCA3C21"/>
    <w:rsid w:val="6C004659"/>
    <w:rsid w:val="6C4B3763"/>
    <w:rsid w:val="6C5056FA"/>
    <w:rsid w:val="6C5302F3"/>
    <w:rsid w:val="6C5C0714"/>
    <w:rsid w:val="6C684E60"/>
    <w:rsid w:val="6C7664CD"/>
    <w:rsid w:val="6CAC32DE"/>
    <w:rsid w:val="6CAC5407"/>
    <w:rsid w:val="6CB60C0D"/>
    <w:rsid w:val="6CBA2324"/>
    <w:rsid w:val="6CCD031C"/>
    <w:rsid w:val="6CEF6B13"/>
    <w:rsid w:val="6D0801B4"/>
    <w:rsid w:val="6D1B25ED"/>
    <w:rsid w:val="6DBA3F15"/>
    <w:rsid w:val="6DCC0395"/>
    <w:rsid w:val="6DDD2833"/>
    <w:rsid w:val="6DE627B7"/>
    <w:rsid w:val="6DF53868"/>
    <w:rsid w:val="6E113801"/>
    <w:rsid w:val="6E184CAC"/>
    <w:rsid w:val="6E2746FD"/>
    <w:rsid w:val="6E2759DE"/>
    <w:rsid w:val="6E2A10AB"/>
    <w:rsid w:val="6E653559"/>
    <w:rsid w:val="6E775007"/>
    <w:rsid w:val="6E9D48D3"/>
    <w:rsid w:val="6EE47CDB"/>
    <w:rsid w:val="6EED3EEA"/>
    <w:rsid w:val="6EFD26C3"/>
    <w:rsid w:val="6F1C7221"/>
    <w:rsid w:val="6F223B52"/>
    <w:rsid w:val="6F4E05D1"/>
    <w:rsid w:val="6F891CC5"/>
    <w:rsid w:val="6F8A17AC"/>
    <w:rsid w:val="6FBD101E"/>
    <w:rsid w:val="6FD030F2"/>
    <w:rsid w:val="6FD233EC"/>
    <w:rsid w:val="6FD47C3E"/>
    <w:rsid w:val="6FED68CB"/>
    <w:rsid w:val="6FF0583D"/>
    <w:rsid w:val="700A7D26"/>
    <w:rsid w:val="701D5A00"/>
    <w:rsid w:val="707C06DE"/>
    <w:rsid w:val="70853FB1"/>
    <w:rsid w:val="708A6144"/>
    <w:rsid w:val="708F7F90"/>
    <w:rsid w:val="709657EB"/>
    <w:rsid w:val="70C75FFA"/>
    <w:rsid w:val="70D8759B"/>
    <w:rsid w:val="71272210"/>
    <w:rsid w:val="71294BE7"/>
    <w:rsid w:val="712D6E2B"/>
    <w:rsid w:val="716672D3"/>
    <w:rsid w:val="718A1515"/>
    <w:rsid w:val="719170B1"/>
    <w:rsid w:val="719A3BD0"/>
    <w:rsid w:val="71C93C56"/>
    <w:rsid w:val="71CA4371"/>
    <w:rsid w:val="71FE34FC"/>
    <w:rsid w:val="72147DB2"/>
    <w:rsid w:val="72231C02"/>
    <w:rsid w:val="724A09FC"/>
    <w:rsid w:val="726E3D6C"/>
    <w:rsid w:val="727F1BDA"/>
    <w:rsid w:val="72CE4DCC"/>
    <w:rsid w:val="732E702D"/>
    <w:rsid w:val="736B592B"/>
    <w:rsid w:val="739B540E"/>
    <w:rsid w:val="73AE1F97"/>
    <w:rsid w:val="73E52CB5"/>
    <w:rsid w:val="73E5357F"/>
    <w:rsid w:val="73F54A15"/>
    <w:rsid w:val="73F847C2"/>
    <w:rsid w:val="73FA127F"/>
    <w:rsid w:val="741125B3"/>
    <w:rsid w:val="741A02A7"/>
    <w:rsid w:val="7432702F"/>
    <w:rsid w:val="746740F9"/>
    <w:rsid w:val="748A1BC4"/>
    <w:rsid w:val="74E16CD6"/>
    <w:rsid w:val="74E22D45"/>
    <w:rsid w:val="74EF0B56"/>
    <w:rsid w:val="750D44F0"/>
    <w:rsid w:val="75243960"/>
    <w:rsid w:val="75400162"/>
    <w:rsid w:val="75527281"/>
    <w:rsid w:val="755F2667"/>
    <w:rsid w:val="755F3538"/>
    <w:rsid w:val="75934B86"/>
    <w:rsid w:val="76305DD0"/>
    <w:rsid w:val="766209D7"/>
    <w:rsid w:val="7664109D"/>
    <w:rsid w:val="76756C02"/>
    <w:rsid w:val="76AC4F69"/>
    <w:rsid w:val="76DA01C6"/>
    <w:rsid w:val="76DF3A66"/>
    <w:rsid w:val="771437FE"/>
    <w:rsid w:val="77375443"/>
    <w:rsid w:val="773F2FB0"/>
    <w:rsid w:val="77513F95"/>
    <w:rsid w:val="776132CB"/>
    <w:rsid w:val="779910D4"/>
    <w:rsid w:val="779A47E6"/>
    <w:rsid w:val="77BB6435"/>
    <w:rsid w:val="77CF26E1"/>
    <w:rsid w:val="77FA7F9D"/>
    <w:rsid w:val="78002694"/>
    <w:rsid w:val="780622D0"/>
    <w:rsid w:val="780C4E60"/>
    <w:rsid w:val="781A4A54"/>
    <w:rsid w:val="785F4E03"/>
    <w:rsid w:val="786D0927"/>
    <w:rsid w:val="788562BD"/>
    <w:rsid w:val="7893085F"/>
    <w:rsid w:val="789D0191"/>
    <w:rsid w:val="78A1448A"/>
    <w:rsid w:val="78A87CED"/>
    <w:rsid w:val="78AE46DF"/>
    <w:rsid w:val="78AF5A93"/>
    <w:rsid w:val="78BD5971"/>
    <w:rsid w:val="79010956"/>
    <w:rsid w:val="7933734E"/>
    <w:rsid w:val="79664654"/>
    <w:rsid w:val="79702169"/>
    <w:rsid w:val="797A68FB"/>
    <w:rsid w:val="798A7B34"/>
    <w:rsid w:val="79981CF6"/>
    <w:rsid w:val="79AC5CC2"/>
    <w:rsid w:val="79AC70E1"/>
    <w:rsid w:val="79B26149"/>
    <w:rsid w:val="79CE096C"/>
    <w:rsid w:val="79E05BDF"/>
    <w:rsid w:val="79F87ED2"/>
    <w:rsid w:val="7A0B7BCF"/>
    <w:rsid w:val="7AB965BC"/>
    <w:rsid w:val="7AFD3CF8"/>
    <w:rsid w:val="7B115C49"/>
    <w:rsid w:val="7B507295"/>
    <w:rsid w:val="7B6C0C66"/>
    <w:rsid w:val="7B721236"/>
    <w:rsid w:val="7BA5101F"/>
    <w:rsid w:val="7BAE1C22"/>
    <w:rsid w:val="7BB27C4D"/>
    <w:rsid w:val="7BD074DC"/>
    <w:rsid w:val="7BF7759C"/>
    <w:rsid w:val="7BF94A4F"/>
    <w:rsid w:val="7C403E38"/>
    <w:rsid w:val="7C5F1BD9"/>
    <w:rsid w:val="7C6B0E05"/>
    <w:rsid w:val="7C7A41A0"/>
    <w:rsid w:val="7CA16997"/>
    <w:rsid w:val="7CC0147B"/>
    <w:rsid w:val="7CD3732C"/>
    <w:rsid w:val="7CE8364D"/>
    <w:rsid w:val="7CF644C9"/>
    <w:rsid w:val="7D5A0A40"/>
    <w:rsid w:val="7D5D01D2"/>
    <w:rsid w:val="7D6E116D"/>
    <w:rsid w:val="7D7412EA"/>
    <w:rsid w:val="7DCD3448"/>
    <w:rsid w:val="7DFE303F"/>
    <w:rsid w:val="7E1532B6"/>
    <w:rsid w:val="7E2E5C88"/>
    <w:rsid w:val="7E336A5B"/>
    <w:rsid w:val="7E3D622C"/>
    <w:rsid w:val="7E844A8D"/>
    <w:rsid w:val="7E9628EE"/>
    <w:rsid w:val="7E985B08"/>
    <w:rsid w:val="7EA67F54"/>
    <w:rsid w:val="7EB95C18"/>
    <w:rsid w:val="7EE06128"/>
    <w:rsid w:val="7EE442D7"/>
    <w:rsid w:val="7EF23196"/>
    <w:rsid w:val="7F2257ED"/>
    <w:rsid w:val="7F345399"/>
    <w:rsid w:val="7F691DEE"/>
    <w:rsid w:val="7F9A343C"/>
    <w:rsid w:val="7FD12D6F"/>
    <w:rsid w:val="7FD25BFE"/>
    <w:rsid w:val="7FDA6EAB"/>
    <w:rsid w:val="7FE820C9"/>
    <w:rsid w:val="7FF85B50"/>
    <w:rsid w:val="7FFD3F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qFormat="1"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0" w:semiHidden="0" w:name="Strong"/>
    <w:lsdException w:qFormat="1" w:unhideWhenUsed="0" w:uiPriority="20" w:semiHidden="0" w:name="Emphasis"/>
    <w:lsdException w:qFormat="1" w:uiPriority="99" w:semiHidden="0" w:name="Document Map"/>
    <w:lsdException w:qFormat="1"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55"/>
    <w:qFormat/>
    <w:uiPriority w:val="9"/>
    <w:pPr>
      <w:keepNext/>
      <w:keepLines/>
      <w:spacing w:line="240" w:lineRule="auto"/>
      <w:jc w:val="center"/>
      <w:outlineLvl w:val="0"/>
    </w:pPr>
    <w:rPr>
      <w:rFonts w:eastAsia="仿宋"/>
      <w:b/>
      <w:color w:val="000000"/>
      <w:kern w:val="44"/>
      <w:sz w:val="36"/>
      <w:szCs w:val="44"/>
    </w:rPr>
  </w:style>
  <w:style w:type="paragraph" w:styleId="3">
    <w:name w:val="heading 2"/>
    <w:basedOn w:val="1"/>
    <w:next w:val="4"/>
    <w:link w:val="59"/>
    <w:qFormat/>
    <w:uiPriority w:val="9"/>
    <w:pPr>
      <w:keepNext/>
      <w:keepLines/>
      <w:spacing w:line="240" w:lineRule="auto"/>
      <w:outlineLvl w:val="1"/>
    </w:pPr>
    <w:rPr>
      <w:rFonts w:ascii="Calibri" w:hAnsi="Calibri" w:cs="Times New Roman"/>
      <w:b/>
      <w:bCs/>
      <w:sz w:val="32"/>
      <w:szCs w:val="32"/>
    </w:rPr>
  </w:style>
  <w:style w:type="paragraph" w:styleId="5">
    <w:name w:val="heading 3"/>
    <w:basedOn w:val="1"/>
    <w:next w:val="1"/>
    <w:link w:val="47"/>
    <w:qFormat/>
    <w:uiPriority w:val="9"/>
    <w:pPr>
      <w:keepNext/>
      <w:keepLines/>
      <w:spacing w:line="400" w:lineRule="atLeast"/>
      <w:jc w:val="center"/>
      <w:outlineLvl w:val="2"/>
    </w:pPr>
    <w:rPr>
      <w:b/>
      <w:bCs/>
      <w:sz w:val="32"/>
      <w:szCs w:val="32"/>
      <w:u w:val="double"/>
    </w:rPr>
  </w:style>
  <w:style w:type="paragraph" w:styleId="6">
    <w:name w:val="heading 4"/>
    <w:basedOn w:val="1"/>
    <w:next w:val="1"/>
    <w:link w:val="60"/>
    <w:qFormat/>
    <w:uiPriority w:val="0"/>
    <w:pPr>
      <w:keepNext/>
      <w:keepLines/>
      <w:spacing w:before="280" w:after="290" w:line="376" w:lineRule="atLeast"/>
      <w:outlineLvl w:val="3"/>
    </w:pPr>
    <w:rPr>
      <w:rFonts w:ascii="Calibri" w:hAnsi="Calibri" w:cs="Times New Roman"/>
      <w:b/>
      <w:bCs/>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ind w:firstLine="420"/>
    </w:pPr>
  </w:style>
  <w:style w:type="paragraph" w:styleId="7">
    <w:name w:val="Document Map"/>
    <w:basedOn w:val="1"/>
    <w:link w:val="69"/>
    <w:unhideWhenUsed/>
    <w:qFormat/>
    <w:uiPriority w:val="99"/>
    <w:rPr>
      <w:rFonts w:ascii="宋体" w:eastAsia="宋体"/>
      <w:sz w:val="18"/>
      <w:szCs w:val="18"/>
    </w:rPr>
  </w:style>
  <w:style w:type="paragraph" w:styleId="8">
    <w:name w:val="annotation text"/>
    <w:basedOn w:val="1"/>
    <w:link w:val="58"/>
    <w:unhideWhenUsed/>
    <w:qFormat/>
    <w:uiPriority w:val="99"/>
    <w:pPr>
      <w:jc w:val="left"/>
    </w:pPr>
  </w:style>
  <w:style w:type="paragraph" w:styleId="9">
    <w:name w:val="Body Text"/>
    <w:basedOn w:val="1"/>
    <w:link w:val="82"/>
    <w:semiHidden/>
    <w:unhideWhenUsed/>
    <w:qFormat/>
    <w:uiPriority w:val="99"/>
    <w:pPr>
      <w:spacing w:after="120"/>
    </w:pPr>
  </w:style>
  <w:style w:type="paragraph" w:styleId="10">
    <w:name w:val="Body Text Indent"/>
    <w:basedOn w:val="1"/>
    <w:qFormat/>
    <w:uiPriority w:val="0"/>
    <w:pPr>
      <w:ind w:left="900" w:firstLine="582" w:firstLineChars="182"/>
    </w:pPr>
    <w:rPr>
      <w:sz w:val="32"/>
      <w:szCs w:val="32"/>
    </w:rPr>
  </w:style>
  <w:style w:type="paragraph" w:styleId="11">
    <w:name w:val="List Continue"/>
    <w:basedOn w:val="1"/>
    <w:qFormat/>
    <w:uiPriority w:val="0"/>
    <w:pPr>
      <w:widowControl w:val="0"/>
      <w:spacing w:line="240" w:lineRule="auto"/>
      <w:ind w:left="420" w:leftChars="200"/>
    </w:pPr>
    <w:rPr>
      <w:rFonts w:ascii="宋体" w:hAnsi="宋体" w:eastAsia="宋体" w:cs="Symbol"/>
      <w:szCs w:val="21"/>
    </w:rPr>
  </w:style>
  <w:style w:type="paragraph" w:styleId="12">
    <w:name w:val="Plain Text"/>
    <w:basedOn w:val="1"/>
    <w:link w:val="81"/>
    <w:unhideWhenUsed/>
    <w:qFormat/>
    <w:uiPriority w:val="0"/>
    <w:rPr>
      <w:rFonts w:ascii="宋体" w:hAnsi="Courier New" w:cs="Times New Roman"/>
      <w:szCs w:val="21"/>
    </w:rPr>
  </w:style>
  <w:style w:type="paragraph" w:styleId="13">
    <w:name w:val="Date"/>
    <w:basedOn w:val="1"/>
    <w:next w:val="1"/>
    <w:link w:val="48"/>
    <w:unhideWhenUsed/>
    <w:qFormat/>
    <w:uiPriority w:val="99"/>
    <w:pPr>
      <w:ind w:left="100" w:leftChars="2500"/>
    </w:pPr>
  </w:style>
  <w:style w:type="paragraph" w:styleId="14">
    <w:name w:val="Body Text Indent 2"/>
    <w:basedOn w:val="1"/>
    <w:qFormat/>
    <w:uiPriority w:val="0"/>
    <w:pPr>
      <w:ind w:firstLine="432" w:firstLineChars="135"/>
    </w:pPr>
    <w:rPr>
      <w:sz w:val="32"/>
      <w:szCs w:val="32"/>
    </w:rPr>
  </w:style>
  <w:style w:type="paragraph" w:styleId="15">
    <w:name w:val="Balloon Text"/>
    <w:basedOn w:val="1"/>
    <w:link w:val="52"/>
    <w:unhideWhenUsed/>
    <w:qFormat/>
    <w:uiPriority w:val="99"/>
    <w:pPr>
      <w:spacing w:line="240" w:lineRule="auto"/>
    </w:pPr>
    <w:rPr>
      <w:sz w:val="18"/>
      <w:szCs w:val="18"/>
    </w:rPr>
  </w:style>
  <w:style w:type="paragraph" w:styleId="16">
    <w:name w:val="footer"/>
    <w:basedOn w:val="1"/>
    <w:link w:val="70"/>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17">
    <w:name w:val="header"/>
    <w:basedOn w:val="1"/>
    <w:link w:val="51"/>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18">
    <w:name w:val="toc 1"/>
    <w:basedOn w:val="1"/>
    <w:next w:val="1"/>
    <w:unhideWhenUsed/>
    <w:qFormat/>
    <w:uiPriority w:val="39"/>
  </w:style>
  <w:style w:type="paragraph" w:styleId="19">
    <w:name w:val="Body Text Indent 3"/>
    <w:basedOn w:val="1"/>
    <w:qFormat/>
    <w:uiPriority w:val="0"/>
    <w:pPr>
      <w:ind w:firstLine="538" w:firstLineChars="168"/>
    </w:pPr>
    <w:rPr>
      <w:sz w:val="32"/>
      <w:szCs w:val="32"/>
    </w:rPr>
  </w:style>
  <w:style w:type="paragraph" w:styleId="20">
    <w:name w:val="Body Text 2"/>
    <w:basedOn w:val="1"/>
    <w:unhideWhenUsed/>
    <w:qFormat/>
    <w:uiPriority w:val="99"/>
    <w:pPr>
      <w:spacing w:after="120" w:line="480" w:lineRule="auto"/>
    </w:pPr>
  </w:style>
  <w:style w:type="paragraph" w:styleId="21">
    <w:name w:val="HTML Preformatted"/>
    <w:basedOn w:val="1"/>
    <w:link w:val="7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2">
    <w:name w:val="Normal (Web)"/>
    <w:basedOn w:val="1"/>
    <w:unhideWhenUsed/>
    <w:qFormat/>
    <w:uiPriority w:val="0"/>
    <w:pPr>
      <w:spacing w:beforeAutospacing="1" w:afterAutospacing="1"/>
      <w:jc w:val="left"/>
    </w:pPr>
    <w:rPr>
      <w:rFonts w:cs="Times New Roman"/>
      <w:kern w:val="0"/>
      <w:sz w:val="24"/>
    </w:rPr>
  </w:style>
  <w:style w:type="paragraph" w:styleId="23">
    <w:name w:val="annotation subject"/>
    <w:basedOn w:val="8"/>
    <w:next w:val="8"/>
    <w:link w:val="62"/>
    <w:unhideWhenUsed/>
    <w:qFormat/>
    <w:uiPriority w:val="99"/>
    <w:rPr>
      <w:b/>
      <w:bCs/>
    </w:rPr>
  </w:style>
  <w:style w:type="paragraph" w:styleId="24">
    <w:name w:val="Body Text First Indent"/>
    <w:basedOn w:val="9"/>
    <w:link w:val="83"/>
    <w:unhideWhenUsed/>
    <w:qFormat/>
    <w:uiPriority w:val="99"/>
    <w:pPr>
      <w:spacing w:after="0" w:line="240" w:lineRule="auto"/>
      <w:ind w:firstLine="420" w:firstLineChars="100"/>
    </w:pPr>
    <w:rPr>
      <w:rFonts w:ascii="Times New Roman" w:hAnsi="Times New Roman" w:cs="Times New Roman"/>
      <w:sz w:val="18"/>
      <w:szCs w:val="18"/>
    </w:rPr>
  </w:style>
  <w:style w:type="table" w:styleId="26">
    <w:name w:val="Table Grid"/>
    <w:basedOn w:val="25"/>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20"/>
    <w:rPr>
      <w:b/>
      <w:bCs/>
    </w:rPr>
  </w:style>
  <w:style w:type="character" w:styleId="29">
    <w:name w:val="page number"/>
    <w:qFormat/>
    <w:uiPriority w:val="0"/>
    <w:rPr>
      <w:rFonts w:ascii="Times New Roman" w:hAnsi="Times New Roman" w:eastAsia="宋体" w:cs="Times New Roman"/>
    </w:rPr>
  </w:style>
  <w:style w:type="character" w:styleId="30">
    <w:name w:val="FollowedHyperlink"/>
    <w:basedOn w:val="27"/>
    <w:unhideWhenUsed/>
    <w:qFormat/>
    <w:uiPriority w:val="99"/>
    <w:rPr>
      <w:rFonts w:hint="eastAsia" w:ascii="宋体" w:hAnsi="宋体" w:eastAsia="宋体" w:cs="宋体"/>
      <w:color w:val="000000"/>
      <w:sz w:val="18"/>
      <w:szCs w:val="18"/>
      <w:u w:val="none"/>
    </w:rPr>
  </w:style>
  <w:style w:type="character" w:styleId="31">
    <w:name w:val="Emphasis"/>
    <w:basedOn w:val="27"/>
    <w:qFormat/>
    <w:uiPriority w:val="20"/>
    <w:rPr>
      <w:b/>
    </w:rPr>
  </w:style>
  <w:style w:type="character" w:styleId="32">
    <w:name w:val="HTML Definition"/>
    <w:basedOn w:val="27"/>
    <w:unhideWhenUsed/>
    <w:qFormat/>
    <w:uiPriority w:val="99"/>
  </w:style>
  <w:style w:type="character" w:styleId="33">
    <w:name w:val="HTML Typewriter"/>
    <w:basedOn w:val="27"/>
    <w:unhideWhenUsed/>
    <w:qFormat/>
    <w:uiPriority w:val="99"/>
    <w:rPr>
      <w:rFonts w:hint="default" w:ascii="monospace" w:hAnsi="monospace" w:eastAsia="monospace" w:cs="monospace"/>
      <w:sz w:val="20"/>
    </w:rPr>
  </w:style>
  <w:style w:type="character" w:styleId="34">
    <w:name w:val="HTML Acronym"/>
    <w:basedOn w:val="27"/>
    <w:unhideWhenUsed/>
    <w:qFormat/>
    <w:uiPriority w:val="99"/>
  </w:style>
  <w:style w:type="character" w:styleId="35">
    <w:name w:val="HTML Variable"/>
    <w:basedOn w:val="27"/>
    <w:unhideWhenUsed/>
    <w:qFormat/>
    <w:uiPriority w:val="99"/>
  </w:style>
  <w:style w:type="character" w:styleId="36">
    <w:name w:val="Hyperlink"/>
    <w:qFormat/>
    <w:uiPriority w:val="99"/>
    <w:rPr>
      <w:color w:val="000000"/>
      <w:sz w:val="18"/>
      <w:szCs w:val="18"/>
      <w:u w:val="none"/>
    </w:rPr>
  </w:style>
  <w:style w:type="character" w:styleId="37">
    <w:name w:val="HTML Code"/>
    <w:basedOn w:val="27"/>
    <w:unhideWhenUsed/>
    <w:qFormat/>
    <w:uiPriority w:val="99"/>
    <w:rPr>
      <w:rFonts w:ascii="monospace" w:hAnsi="monospace" w:eastAsia="monospace" w:cs="monospace"/>
      <w:sz w:val="20"/>
    </w:rPr>
  </w:style>
  <w:style w:type="character" w:styleId="38">
    <w:name w:val="annotation reference"/>
    <w:basedOn w:val="27"/>
    <w:unhideWhenUsed/>
    <w:qFormat/>
    <w:uiPriority w:val="99"/>
    <w:rPr>
      <w:sz w:val="21"/>
      <w:szCs w:val="21"/>
    </w:rPr>
  </w:style>
  <w:style w:type="character" w:styleId="39">
    <w:name w:val="HTML Cite"/>
    <w:basedOn w:val="27"/>
    <w:unhideWhenUsed/>
    <w:qFormat/>
    <w:uiPriority w:val="99"/>
  </w:style>
  <w:style w:type="character" w:styleId="40">
    <w:name w:val="HTML Keyboard"/>
    <w:basedOn w:val="27"/>
    <w:unhideWhenUsed/>
    <w:qFormat/>
    <w:uiPriority w:val="99"/>
    <w:rPr>
      <w:rFonts w:hint="default" w:ascii="monospace" w:hAnsi="monospace" w:eastAsia="monospace" w:cs="monospace"/>
      <w:sz w:val="20"/>
    </w:rPr>
  </w:style>
  <w:style w:type="character" w:styleId="41">
    <w:name w:val="HTML Sample"/>
    <w:basedOn w:val="27"/>
    <w:unhideWhenUsed/>
    <w:qFormat/>
    <w:uiPriority w:val="99"/>
    <w:rPr>
      <w:rFonts w:hint="default" w:ascii="monospace" w:hAnsi="monospace" w:eastAsia="monospace" w:cs="monospace"/>
    </w:rPr>
  </w:style>
  <w:style w:type="paragraph" w:customStyle="1" w:styleId="42">
    <w:name w:val="正文缩进1"/>
    <w:basedOn w:val="1"/>
    <w:qFormat/>
    <w:uiPriority w:val="0"/>
    <w:pPr>
      <w:widowControl w:val="0"/>
      <w:spacing w:line="324" w:lineRule="auto"/>
      <w:ind w:firstLine="420" w:firstLineChars="200"/>
    </w:pPr>
    <w:rPr>
      <w:rFonts w:ascii="Times New Roman" w:hAnsi="Times New Roman" w:eastAsia="宋体" w:cs="Times New Roman"/>
      <w:sz w:val="21"/>
      <w:szCs w:val="24"/>
    </w:rPr>
  </w:style>
  <w:style w:type="paragraph" w:customStyle="1" w:styleId="43">
    <w:name w:val="标准正文"/>
    <w:basedOn w:val="1"/>
    <w:qFormat/>
    <w:uiPriority w:val="0"/>
    <w:pPr>
      <w:ind w:firstLine="480"/>
      <w:jc w:val="left"/>
    </w:pPr>
    <w:rPr>
      <w:szCs w:val="24"/>
    </w:rPr>
  </w:style>
  <w:style w:type="paragraph" w:customStyle="1" w:styleId="44">
    <w:name w:val="样式 设计说明书第三级 + 首行缩进:  2 字符"/>
    <w:basedOn w:val="1"/>
    <w:qFormat/>
    <w:uiPriority w:val="0"/>
    <w:pPr>
      <w:keepNext/>
      <w:keepLines/>
      <w:spacing w:line="500" w:lineRule="exact"/>
      <w:ind w:firstLine="200" w:firstLineChars="200"/>
      <w:jc w:val="left"/>
      <w:outlineLvl w:val="2"/>
    </w:pPr>
    <w:rPr>
      <w:bCs/>
      <w:kern w:val="44"/>
      <w:szCs w:val="28"/>
    </w:rPr>
  </w:style>
  <w:style w:type="character" w:customStyle="1" w:styleId="45">
    <w:name w:val="qxdate"/>
    <w:basedOn w:val="27"/>
    <w:qFormat/>
    <w:uiPriority w:val="0"/>
    <w:rPr>
      <w:color w:val="333333"/>
      <w:sz w:val="18"/>
      <w:szCs w:val="18"/>
    </w:rPr>
  </w:style>
  <w:style w:type="character" w:customStyle="1" w:styleId="46">
    <w:name w:val="hover"/>
    <w:basedOn w:val="27"/>
    <w:qFormat/>
    <w:uiPriority w:val="0"/>
    <w:rPr>
      <w:shd w:val="clear" w:color="auto" w:fill="EEEEEE"/>
    </w:rPr>
  </w:style>
  <w:style w:type="character" w:customStyle="1" w:styleId="47">
    <w:name w:val="标题 3 Char"/>
    <w:basedOn w:val="27"/>
    <w:link w:val="5"/>
    <w:qFormat/>
    <w:uiPriority w:val="9"/>
    <w:rPr>
      <w:b/>
      <w:bCs/>
      <w:sz w:val="32"/>
      <w:szCs w:val="32"/>
      <w:u w:val="double"/>
    </w:rPr>
  </w:style>
  <w:style w:type="character" w:customStyle="1" w:styleId="48">
    <w:name w:val="日期 Char"/>
    <w:basedOn w:val="27"/>
    <w:link w:val="13"/>
    <w:semiHidden/>
    <w:qFormat/>
    <w:uiPriority w:val="99"/>
    <w:rPr>
      <w:rFonts w:ascii="Calibri Light" w:hAnsi="Calibri Light" w:eastAsia="华文仿宋"/>
      <w:sz w:val="28"/>
    </w:rPr>
  </w:style>
  <w:style w:type="character" w:customStyle="1" w:styleId="49">
    <w:name w:val="displayarti"/>
    <w:basedOn w:val="27"/>
    <w:qFormat/>
    <w:uiPriority w:val="0"/>
    <w:rPr>
      <w:color w:val="FFFFFF"/>
      <w:shd w:val="clear" w:color="auto" w:fill="A00000"/>
    </w:rPr>
  </w:style>
  <w:style w:type="character" w:customStyle="1" w:styleId="50">
    <w:name w:val="glyphicon"/>
    <w:basedOn w:val="27"/>
    <w:qFormat/>
    <w:uiPriority w:val="0"/>
  </w:style>
  <w:style w:type="character" w:customStyle="1" w:styleId="51">
    <w:name w:val="页眉 Char"/>
    <w:link w:val="17"/>
    <w:qFormat/>
    <w:uiPriority w:val="0"/>
    <w:rPr>
      <w:sz w:val="18"/>
    </w:rPr>
  </w:style>
  <w:style w:type="character" w:customStyle="1" w:styleId="52">
    <w:name w:val="批注框文本 Char"/>
    <w:basedOn w:val="27"/>
    <w:link w:val="15"/>
    <w:semiHidden/>
    <w:qFormat/>
    <w:uiPriority w:val="99"/>
    <w:rPr>
      <w:sz w:val="18"/>
      <w:szCs w:val="18"/>
    </w:rPr>
  </w:style>
  <w:style w:type="character" w:customStyle="1" w:styleId="53">
    <w:name w:val="redfilenumber"/>
    <w:basedOn w:val="27"/>
    <w:qFormat/>
    <w:uiPriority w:val="0"/>
    <w:rPr>
      <w:color w:val="BA2636"/>
      <w:sz w:val="18"/>
      <w:szCs w:val="18"/>
    </w:rPr>
  </w:style>
  <w:style w:type="character" w:customStyle="1" w:styleId="54">
    <w:name w:val="hour_am"/>
    <w:basedOn w:val="27"/>
    <w:qFormat/>
    <w:uiPriority w:val="0"/>
  </w:style>
  <w:style w:type="character" w:customStyle="1" w:styleId="55">
    <w:name w:val="标题 1 Char"/>
    <w:basedOn w:val="27"/>
    <w:link w:val="2"/>
    <w:qFormat/>
    <w:uiPriority w:val="0"/>
    <w:rPr>
      <w:rFonts w:eastAsia="仿宋" w:cs="Calibri Light"/>
      <w:b/>
      <w:color w:val="000000"/>
      <w:kern w:val="44"/>
      <w:sz w:val="36"/>
      <w:szCs w:val="44"/>
    </w:rPr>
  </w:style>
  <w:style w:type="character" w:customStyle="1" w:styleId="56">
    <w:name w:val="cfdate"/>
    <w:basedOn w:val="27"/>
    <w:qFormat/>
    <w:uiPriority w:val="0"/>
    <w:rPr>
      <w:color w:val="333333"/>
      <w:sz w:val="18"/>
      <w:szCs w:val="18"/>
    </w:rPr>
  </w:style>
  <w:style w:type="character" w:customStyle="1" w:styleId="57">
    <w:name w:val="hour_pm"/>
    <w:basedOn w:val="27"/>
    <w:qFormat/>
    <w:uiPriority w:val="0"/>
  </w:style>
  <w:style w:type="character" w:customStyle="1" w:styleId="58">
    <w:name w:val="批注文字 Char"/>
    <w:basedOn w:val="27"/>
    <w:link w:val="8"/>
    <w:qFormat/>
    <w:uiPriority w:val="99"/>
  </w:style>
  <w:style w:type="character" w:customStyle="1" w:styleId="59">
    <w:name w:val="标题 2 Char"/>
    <w:basedOn w:val="27"/>
    <w:link w:val="3"/>
    <w:qFormat/>
    <w:uiPriority w:val="9"/>
    <w:rPr>
      <w:rFonts w:ascii="Calibri" w:hAnsi="Calibri" w:eastAsia="华文仿宋" w:cs="Times New Roman"/>
      <w:b/>
      <w:bCs/>
      <w:sz w:val="32"/>
      <w:szCs w:val="32"/>
    </w:rPr>
  </w:style>
  <w:style w:type="character" w:customStyle="1" w:styleId="60">
    <w:name w:val="标题 4 Char"/>
    <w:basedOn w:val="27"/>
    <w:link w:val="6"/>
    <w:qFormat/>
    <w:uiPriority w:val="9"/>
    <w:rPr>
      <w:rFonts w:ascii="Calibri" w:hAnsi="Calibri" w:eastAsia="华文仿宋" w:cs="Times New Roman"/>
      <w:b/>
      <w:bCs/>
      <w:kern w:val="2"/>
      <w:sz w:val="28"/>
      <w:szCs w:val="28"/>
    </w:rPr>
  </w:style>
  <w:style w:type="character" w:customStyle="1" w:styleId="61">
    <w:name w:val="button"/>
    <w:basedOn w:val="27"/>
    <w:qFormat/>
    <w:uiPriority w:val="0"/>
  </w:style>
  <w:style w:type="character" w:customStyle="1" w:styleId="62">
    <w:name w:val="批注主题 Char"/>
    <w:basedOn w:val="58"/>
    <w:link w:val="23"/>
    <w:semiHidden/>
    <w:qFormat/>
    <w:uiPriority w:val="99"/>
    <w:rPr>
      <w:b/>
      <w:bCs/>
    </w:rPr>
  </w:style>
  <w:style w:type="character" w:customStyle="1" w:styleId="63">
    <w:name w:val="页眉 Char1"/>
    <w:basedOn w:val="27"/>
    <w:semiHidden/>
    <w:qFormat/>
    <w:uiPriority w:val="99"/>
    <w:rPr>
      <w:sz w:val="18"/>
      <w:szCs w:val="18"/>
    </w:rPr>
  </w:style>
  <w:style w:type="character" w:customStyle="1" w:styleId="64">
    <w:name w:val="redfilefwwh"/>
    <w:basedOn w:val="27"/>
    <w:qFormat/>
    <w:uiPriority w:val="0"/>
    <w:rPr>
      <w:color w:val="BA2636"/>
      <w:sz w:val="18"/>
      <w:szCs w:val="18"/>
    </w:rPr>
  </w:style>
  <w:style w:type="character" w:customStyle="1" w:styleId="65">
    <w:name w:val="占位符文本1"/>
    <w:basedOn w:val="27"/>
    <w:semiHidden/>
    <w:qFormat/>
    <w:uiPriority w:val="99"/>
    <w:rPr>
      <w:color w:val="808080"/>
    </w:rPr>
  </w:style>
  <w:style w:type="character" w:customStyle="1" w:styleId="66">
    <w:name w:val="页脚 Char1"/>
    <w:basedOn w:val="27"/>
    <w:semiHidden/>
    <w:qFormat/>
    <w:uiPriority w:val="99"/>
    <w:rPr>
      <w:sz w:val="18"/>
      <w:szCs w:val="18"/>
    </w:rPr>
  </w:style>
  <w:style w:type="character" w:customStyle="1" w:styleId="67">
    <w:name w:val="font31"/>
    <w:basedOn w:val="27"/>
    <w:qFormat/>
    <w:uiPriority w:val="0"/>
    <w:rPr>
      <w:rFonts w:hint="eastAsia" w:ascii="宋体" w:hAnsi="宋体" w:eastAsia="宋体" w:cs="宋体"/>
      <w:color w:val="000000"/>
      <w:sz w:val="12"/>
      <w:szCs w:val="12"/>
      <w:u w:val="none"/>
    </w:rPr>
  </w:style>
  <w:style w:type="character" w:customStyle="1" w:styleId="68">
    <w:name w:val="tmpztreemove_arrow"/>
    <w:basedOn w:val="27"/>
    <w:qFormat/>
    <w:uiPriority w:val="0"/>
    <w:rPr>
      <w:shd w:val="clear" w:color="auto" w:fill="FFFFFF"/>
    </w:rPr>
  </w:style>
  <w:style w:type="character" w:customStyle="1" w:styleId="69">
    <w:name w:val="文档结构图 Char"/>
    <w:basedOn w:val="27"/>
    <w:link w:val="7"/>
    <w:semiHidden/>
    <w:qFormat/>
    <w:uiPriority w:val="99"/>
    <w:rPr>
      <w:rFonts w:ascii="宋体" w:eastAsia="宋体"/>
      <w:sz w:val="18"/>
      <w:szCs w:val="18"/>
    </w:rPr>
  </w:style>
  <w:style w:type="character" w:customStyle="1" w:styleId="70">
    <w:name w:val="页脚 Char"/>
    <w:link w:val="16"/>
    <w:qFormat/>
    <w:uiPriority w:val="99"/>
    <w:rPr>
      <w:sz w:val="18"/>
    </w:rPr>
  </w:style>
  <w:style w:type="character" w:customStyle="1" w:styleId="71">
    <w:name w:val="gjfg"/>
    <w:basedOn w:val="27"/>
    <w:qFormat/>
    <w:uiPriority w:val="0"/>
  </w:style>
  <w:style w:type="character" w:customStyle="1" w:styleId="72">
    <w:name w:val="old"/>
    <w:basedOn w:val="27"/>
    <w:qFormat/>
    <w:uiPriority w:val="0"/>
    <w:rPr>
      <w:color w:val="999999"/>
    </w:rPr>
  </w:style>
  <w:style w:type="paragraph" w:customStyle="1" w:styleId="73">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74">
    <w:name w:val="标题 2（投标文件）"/>
    <w:basedOn w:val="3"/>
    <w:qFormat/>
    <w:uiPriority w:val="0"/>
    <w:pPr>
      <w:jc w:val="center"/>
    </w:pPr>
  </w:style>
  <w:style w:type="paragraph" w:customStyle="1" w:styleId="75">
    <w:name w:val="正文（缩进 2 字符）"/>
    <w:basedOn w:val="1"/>
    <w:qFormat/>
    <w:uiPriority w:val="0"/>
    <w:pPr>
      <w:ind w:firstLine="200" w:firstLineChars="200"/>
    </w:pPr>
  </w:style>
  <w:style w:type="paragraph" w:customStyle="1" w:styleId="76">
    <w:name w:val="正文（缩进 4 字符）"/>
    <w:basedOn w:val="1"/>
    <w:qFormat/>
    <w:uiPriority w:val="0"/>
    <w:pPr>
      <w:ind w:firstLine="1134" w:firstLineChars="400"/>
    </w:pPr>
  </w:style>
  <w:style w:type="paragraph" w:customStyle="1" w:styleId="77">
    <w:name w:val="标题 3（投标文件）"/>
    <w:basedOn w:val="5"/>
    <w:qFormat/>
    <w:uiPriority w:val="0"/>
    <w:pPr>
      <w:jc w:val="left"/>
    </w:pPr>
    <w:rPr>
      <w:u w:val="none"/>
    </w:rPr>
  </w:style>
  <w:style w:type="paragraph" w:customStyle="1" w:styleId="78">
    <w:name w:val="列出段落2"/>
    <w:basedOn w:val="1"/>
    <w:qFormat/>
    <w:uiPriority w:val="99"/>
    <w:pPr>
      <w:ind w:firstLine="420" w:firstLineChars="200"/>
    </w:pPr>
  </w:style>
  <w:style w:type="character" w:customStyle="1" w:styleId="79">
    <w:name w:val="HTML 预设格式 Char"/>
    <w:basedOn w:val="27"/>
    <w:link w:val="21"/>
    <w:qFormat/>
    <w:uiPriority w:val="0"/>
    <w:rPr>
      <w:rFonts w:ascii="Arial" w:hAnsi="Arial" w:eastAsia="华文仿宋" w:cs="Arial"/>
      <w:sz w:val="24"/>
      <w:szCs w:val="28"/>
    </w:rPr>
  </w:style>
  <w:style w:type="paragraph" w:customStyle="1" w:styleId="80">
    <w:name w:val="※正文（缩进4）"/>
    <w:basedOn w:val="1"/>
    <w:qFormat/>
    <w:uiPriority w:val="0"/>
    <w:pPr>
      <w:wordWrap w:val="0"/>
      <w:ind w:firstLine="400" w:firstLineChars="400"/>
    </w:pPr>
    <w:rPr>
      <w:rFonts w:cs="Times New Roman"/>
    </w:rPr>
  </w:style>
  <w:style w:type="character" w:customStyle="1" w:styleId="81">
    <w:name w:val="纯文本 Char"/>
    <w:basedOn w:val="27"/>
    <w:link w:val="12"/>
    <w:qFormat/>
    <w:uiPriority w:val="0"/>
    <w:rPr>
      <w:rFonts w:ascii="宋体" w:hAnsi="Courier New" w:eastAsia="华文仿宋"/>
      <w:kern w:val="2"/>
      <w:sz w:val="28"/>
      <w:szCs w:val="21"/>
    </w:rPr>
  </w:style>
  <w:style w:type="character" w:customStyle="1" w:styleId="82">
    <w:name w:val="正文文本 Char"/>
    <w:basedOn w:val="27"/>
    <w:link w:val="9"/>
    <w:semiHidden/>
    <w:qFormat/>
    <w:uiPriority w:val="99"/>
    <w:rPr>
      <w:rFonts w:ascii="Calibri Light" w:hAnsi="Calibri Light" w:eastAsia="华文仿宋" w:cs="Calibri Light"/>
      <w:kern w:val="2"/>
      <w:sz w:val="28"/>
      <w:szCs w:val="28"/>
    </w:rPr>
  </w:style>
  <w:style w:type="character" w:customStyle="1" w:styleId="83">
    <w:name w:val="正文首行缩进 Char"/>
    <w:basedOn w:val="82"/>
    <w:link w:val="24"/>
    <w:qFormat/>
    <w:uiPriority w:val="99"/>
    <w:rPr>
      <w:sz w:val="18"/>
      <w:szCs w:val="18"/>
    </w:rPr>
  </w:style>
  <w:style w:type="paragraph" w:styleId="84">
    <w:name w:val="List Paragraph"/>
    <w:basedOn w:val="1"/>
    <w:unhideWhenUsed/>
    <w:qFormat/>
    <w:uiPriority w:val="99"/>
    <w:pPr>
      <w:ind w:firstLine="420" w:firstLineChars="200"/>
    </w:pPr>
  </w:style>
  <w:style w:type="paragraph" w:customStyle="1" w:styleId="85">
    <w:name w:val="p0"/>
    <w:basedOn w:val="1"/>
    <w:qFormat/>
    <w:uiPriority w:val="0"/>
    <w:pPr>
      <w:spacing w:line="240" w:lineRule="auto"/>
    </w:pPr>
    <w:rPr>
      <w:rFonts w:ascii="Calibri" w:hAnsi="Calibri" w:eastAsia="宋体" w:cs="Times New Roman"/>
      <w:kern w:val="0"/>
      <w:sz w:val="21"/>
      <w:szCs w:val="20"/>
    </w:rPr>
  </w:style>
  <w:style w:type="paragraph" w:customStyle="1" w:styleId="86">
    <w:name w:val="列出段落3"/>
    <w:basedOn w:val="1"/>
    <w:qFormat/>
    <w:uiPriority w:val="0"/>
    <w:pPr>
      <w:ind w:firstLine="420" w:firstLineChars="200"/>
    </w:pPr>
    <w:rPr>
      <w:rFonts w:cs="Times New Roman"/>
    </w:rPr>
  </w:style>
  <w:style w:type="table" w:customStyle="1" w:styleId="87">
    <w:name w:val="Table Normal"/>
    <w:unhideWhenUsed/>
    <w:qFormat/>
    <w:uiPriority w:val="0"/>
    <w:tblPr>
      <w:tblCellMar>
        <w:top w:w="0" w:type="dxa"/>
        <w:left w:w="0" w:type="dxa"/>
        <w:bottom w:w="0" w:type="dxa"/>
        <w:right w:w="0" w:type="dxa"/>
      </w:tblCellMar>
    </w:tblPr>
  </w:style>
  <w:style w:type="character" w:customStyle="1" w:styleId="88">
    <w:name w:val="font21"/>
    <w:basedOn w:val="27"/>
    <w:qFormat/>
    <w:uiPriority w:val="0"/>
    <w:rPr>
      <w:rFonts w:hint="eastAsia" w:ascii="宋体" w:hAnsi="宋体" w:eastAsia="宋体" w:cs="宋体"/>
      <w:color w:val="000000"/>
      <w:sz w:val="20"/>
      <w:szCs w:val="20"/>
      <w:u w:val="none"/>
    </w:rPr>
  </w:style>
  <w:style w:type="paragraph" w:customStyle="1" w:styleId="89">
    <w:name w:val="Table Text"/>
    <w:basedOn w:val="1"/>
    <w:semiHidden/>
    <w:qFormat/>
    <w:uiPriority w:val="0"/>
    <w:rPr>
      <w:rFonts w:ascii="仿宋" w:hAnsi="仿宋" w:eastAsia="仿宋" w:cs="仿宋"/>
      <w:sz w:val="24"/>
      <w:szCs w:val="24"/>
      <w:lang w:val="en-US" w:eastAsia="en-US" w:bidi="ar-SA"/>
    </w:rPr>
  </w:style>
  <w:style w:type="character" w:customStyle="1" w:styleId="90">
    <w:name w:val="mini-outputtext1"/>
    <w:basedOn w:val="27"/>
    <w:qFormat/>
    <w:uiPriority w:val="0"/>
  </w:style>
  <w:style w:type="character" w:customStyle="1" w:styleId="91">
    <w:name w:val="font81"/>
    <w:basedOn w:val="27"/>
    <w:qFormat/>
    <w:uiPriority w:val="0"/>
    <w:rPr>
      <w:rFonts w:hint="eastAsia" w:ascii="黑体" w:hAnsi="宋体" w:eastAsia="黑体" w:cs="黑体"/>
      <w:color w:val="000000"/>
      <w:sz w:val="20"/>
      <w:szCs w:val="20"/>
      <w:u w:val="none"/>
    </w:rPr>
  </w:style>
  <w:style w:type="character" w:customStyle="1" w:styleId="92">
    <w:name w:val="font131"/>
    <w:basedOn w:val="27"/>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9" Type="http://schemas.openxmlformats.org/officeDocument/2006/relationships/image" Target="media/image80.png"/><Relationship Id="rId98" Type="http://schemas.openxmlformats.org/officeDocument/2006/relationships/image" Target="media/image79.png"/><Relationship Id="rId97" Type="http://schemas.openxmlformats.org/officeDocument/2006/relationships/image" Target="media/image78.png"/><Relationship Id="rId96" Type="http://schemas.openxmlformats.org/officeDocument/2006/relationships/image" Target="media/image77.png"/><Relationship Id="rId95" Type="http://schemas.openxmlformats.org/officeDocument/2006/relationships/image" Target="media/image76.png"/><Relationship Id="rId94" Type="http://schemas.openxmlformats.org/officeDocument/2006/relationships/image" Target="media/image75.png"/><Relationship Id="rId93" Type="http://schemas.openxmlformats.org/officeDocument/2006/relationships/image" Target="media/image74.png"/><Relationship Id="rId92" Type="http://schemas.openxmlformats.org/officeDocument/2006/relationships/image" Target="media/image73.png"/><Relationship Id="rId91" Type="http://schemas.openxmlformats.org/officeDocument/2006/relationships/image" Target="media/image72.png"/><Relationship Id="rId90" Type="http://schemas.openxmlformats.org/officeDocument/2006/relationships/image" Target="media/image71.png"/><Relationship Id="rId9" Type="http://schemas.openxmlformats.org/officeDocument/2006/relationships/footer" Target="footer3.xml"/><Relationship Id="rId89" Type="http://schemas.openxmlformats.org/officeDocument/2006/relationships/image" Target="media/image70.png"/><Relationship Id="rId88" Type="http://schemas.openxmlformats.org/officeDocument/2006/relationships/image" Target="media/image69.png"/><Relationship Id="rId87" Type="http://schemas.openxmlformats.org/officeDocument/2006/relationships/image" Target="media/image68.png"/><Relationship Id="rId86" Type="http://schemas.openxmlformats.org/officeDocument/2006/relationships/image" Target="media/image67.png"/><Relationship Id="rId85" Type="http://schemas.openxmlformats.org/officeDocument/2006/relationships/image" Target="media/image66.png"/><Relationship Id="rId84" Type="http://schemas.openxmlformats.org/officeDocument/2006/relationships/image" Target="media/image65.png"/><Relationship Id="rId83" Type="http://schemas.openxmlformats.org/officeDocument/2006/relationships/image" Target="media/image64.png"/><Relationship Id="rId82" Type="http://schemas.openxmlformats.org/officeDocument/2006/relationships/image" Target="media/image63.png"/><Relationship Id="rId81" Type="http://schemas.openxmlformats.org/officeDocument/2006/relationships/image" Target="media/image62.png"/><Relationship Id="rId80" Type="http://schemas.openxmlformats.org/officeDocument/2006/relationships/image" Target="media/image61.png"/><Relationship Id="rId8" Type="http://schemas.openxmlformats.org/officeDocument/2006/relationships/footer" Target="footer2.xml"/><Relationship Id="rId79" Type="http://schemas.openxmlformats.org/officeDocument/2006/relationships/image" Target="media/image60.png"/><Relationship Id="rId78" Type="http://schemas.openxmlformats.org/officeDocument/2006/relationships/image" Target="media/image59.png"/><Relationship Id="rId77" Type="http://schemas.openxmlformats.org/officeDocument/2006/relationships/image" Target="media/image58.png"/><Relationship Id="rId76" Type="http://schemas.openxmlformats.org/officeDocument/2006/relationships/image" Target="media/image57.png"/><Relationship Id="rId75" Type="http://schemas.openxmlformats.org/officeDocument/2006/relationships/image" Target="media/image56.png"/><Relationship Id="rId74" Type="http://schemas.openxmlformats.org/officeDocument/2006/relationships/image" Target="media/image55.png"/><Relationship Id="rId73" Type="http://schemas.openxmlformats.org/officeDocument/2006/relationships/image" Target="media/image54.png"/><Relationship Id="rId72" Type="http://schemas.openxmlformats.org/officeDocument/2006/relationships/image" Target="media/image53.png"/><Relationship Id="rId71" Type="http://schemas.openxmlformats.org/officeDocument/2006/relationships/image" Target="media/image52.png"/><Relationship Id="rId70" Type="http://schemas.openxmlformats.org/officeDocument/2006/relationships/image" Target="media/image51.png"/><Relationship Id="rId7" Type="http://schemas.openxmlformats.org/officeDocument/2006/relationships/footer" Target="footer1.xml"/><Relationship Id="rId69" Type="http://schemas.openxmlformats.org/officeDocument/2006/relationships/image" Target="media/image50.png"/><Relationship Id="rId68" Type="http://schemas.openxmlformats.org/officeDocument/2006/relationships/image" Target="media/image49.png"/><Relationship Id="rId67" Type="http://schemas.openxmlformats.org/officeDocument/2006/relationships/image" Target="media/image48.png"/><Relationship Id="rId66" Type="http://schemas.openxmlformats.org/officeDocument/2006/relationships/image" Target="media/image47.png"/><Relationship Id="rId65" Type="http://schemas.openxmlformats.org/officeDocument/2006/relationships/image" Target="media/image46.png"/><Relationship Id="rId64" Type="http://schemas.openxmlformats.org/officeDocument/2006/relationships/image" Target="media/image45.png"/><Relationship Id="rId63" Type="http://schemas.openxmlformats.org/officeDocument/2006/relationships/image" Target="media/image44.png"/><Relationship Id="rId62" Type="http://schemas.openxmlformats.org/officeDocument/2006/relationships/image" Target="media/image43.png"/><Relationship Id="rId61" Type="http://schemas.openxmlformats.org/officeDocument/2006/relationships/image" Target="media/image42.png"/><Relationship Id="rId60" Type="http://schemas.openxmlformats.org/officeDocument/2006/relationships/image" Target="media/image41.png"/><Relationship Id="rId6" Type="http://schemas.openxmlformats.org/officeDocument/2006/relationships/header" Target="header2.xml"/><Relationship Id="rId59" Type="http://schemas.openxmlformats.org/officeDocument/2006/relationships/image" Target="media/image40.png"/><Relationship Id="rId58" Type="http://schemas.openxmlformats.org/officeDocument/2006/relationships/image" Target="media/image39.png"/><Relationship Id="rId57" Type="http://schemas.openxmlformats.org/officeDocument/2006/relationships/image" Target="media/image38.png"/><Relationship Id="rId56" Type="http://schemas.openxmlformats.org/officeDocument/2006/relationships/image" Target="media/image37.png"/><Relationship Id="rId55" Type="http://schemas.openxmlformats.org/officeDocument/2006/relationships/image" Target="media/image36.png"/><Relationship Id="rId54" Type="http://schemas.openxmlformats.org/officeDocument/2006/relationships/image" Target="media/image35.png"/><Relationship Id="rId53" Type="http://schemas.openxmlformats.org/officeDocument/2006/relationships/image" Target="media/image34.png"/><Relationship Id="rId52" Type="http://schemas.openxmlformats.org/officeDocument/2006/relationships/image" Target="media/image33.png"/><Relationship Id="rId51" Type="http://schemas.openxmlformats.org/officeDocument/2006/relationships/image" Target="media/image32.png"/><Relationship Id="rId50" Type="http://schemas.openxmlformats.org/officeDocument/2006/relationships/image" Target="media/image31.png"/><Relationship Id="rId5" Type="http://schemas.openxmlformats.org/officeDocument/2006/relationships/header" Target="header1.xml"/><Relationship Id="rId49" Type="http://schemas.openxmlformats.org/officeDocument/2006/relationships/image" Target="media/image30.png"/><Relationship Id="rId48" Type="http://schemas.openxmlformats.org/officeDocument/2006/relationships/image" Target="media/image29.png"/><Relationship Id="rId47" Type="http://schemas.openxmlformats.org/officeDocument/2006/relationships/image" Target="media/image28.png"/><Relationship Id="rId46" Type="http://schemas.openxmlformats.org/officeDocument/2006/relationships/image" Target="media/image27.png"/><Relationship Id="rId45" Type="http://schemas.openxmlformats.org/officeDocument/2006/relationships/image" Target="media/image26.png"/><Relationship Id="rId44" Type="http://schemas.openxmlformats.org/officeDocument/2006/relationships/image" Target="media/image25.png"/><Relationship Id="rId43" Type="http://schemas.openxmlformats.org/officeDocument/2006/relationships/image" Target="media/image24.png"/><Relationship Id="rId42" Type="http://schemas.openxmlformats.org/officeDocument/2006/relationships/image" Target="media/image23.png"/><Relationship Id="rId41" Type="http://schemas.openxmlformats.org/officeDocument/2006/relationships/image" Target="media/image22.png"/><Relationship Id="rId40" Type="http://schemas.openxmlformats.org/officeDocument/2006/relationships/image" Target="media/image21.png"/><Relationship Id="rId4" Type="http://schemas.openxmlformats.org/officeDocument/2006/relationships/endnotes" Target="endnotes.xml"/><Relationship Id="rId39" Type="http://schemas.openxmlformats.org/officeDocument/2006/relationships/image" Target="media/image20.png"/><Relationship Id="rId38" Type="http://schemas.openxmlformats.org/officeDocument/2006/relationships/image" Target="media/image19.png"/><Relationship Id="rId37" Type="http://schemas.openxmlformats.org/officeDocument/2006/relationships/image" Target="media/image18.png"/><Relationship Id="rId36" Type="http://schemas.openxmlformats.org/officeDocument/2006/relationships/image" Target="media/image17.png"/><Relationship Id="rId35" Type="http://schemas.openxmlformats.org/officeDocument/2006/relationships/image" Target="media/image16.png"/><Relationship Id="rId34" Type="http://schemas.openxmlformats.org/officeDocument/2006/relationships/image" Target="media/image15.png"/><Relationship Id="rId33" Type="http://schemas.openxmlformats.org/officeDocument/2006/relationships/image" Target="media/image14.png"/><Relationship Id="rId32" Type="http://schemas.openxmlformats.org/officeDocument/2006/relationships/image" Target="media/image13.png"/><Relationship Id="rId31" Type="http://schemas.openxmlformats.org/officeDocument/2006/relationships/image" Target="media/image12.png"/><Relationship Id="rId30" Type="http://schemas.openxmlformats.org/officeDocument/2006/relationships/image" Target="media/image11.png"/><Relationship Id="rId3" Type="http://schemas.openxmlformats.org/officeDocument/2006/relationships/footnotes" Target="footnotes.xml"/><Relationship Id="rId29" Type="http://schemas.openxmlformats.org/officeDocument/2006/relationships/image" Target="media/image10.png"/><Relationship Id="rId28" Type="http://schemas.openxmlformats.org/officeDocument/2006/relationships/image" Target="media/image9.png"/><Relationship Id="rId27" Type="http://schemas.openxmlformats.org/officeDocument/2006/relationships/image" Target="media/image8.png"/><Relationship Id="rId26" Type="http://schemas.openxmlformats.org/officeDocument/2006/relationships/image" Target="media/image7.png"/><Relationship Id="rId25" Type="http://schemas.openxmlformats.org/officeDocument/2006/relationships/image" Target="media/image6.png"/><Relationship Id="rId24" Type="http://schemas.openxmlformats.org/officeDocument/2006/relationships/image" Target="media/image5.png"/><Relationship Id="rId23" Type="http://schemas.openxmlformats.org/officeDocument/2006/relationships/image" Target="media/image4.png"/><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2" Type="http://schemas.openxmlformats.org/officeDocument/2006/relationships/fontTable" Target="fontTable.xml"/><Relationship Id="rId121" Type="http://schemas.openxmlformats.org/officeDocument/2006/relationships/numbering" Target="numbering.xml"/><Relationship Id="rId120" Type="http://schemas.openxmlformats.org/officeDocument/2006/relationships/customXml" Target="../customXml/item1.xml"/><Relationship Id="rId12" Type="http://schemas.openxmlformats.org/officeDocument/2006/relationships/header" Target="header5.xml"/><Relationship Id="rId119" Type="http://schemas.openxmlformats.org/officeDocument/2006/relationships/image" Target="media/image100.jpeg"/><Relationship Id="rId118" Type="http://schemas.openxmlformats.org/officeDocument/2006/relationships/image" Target="media/image99.png"/><Relationship Id="rId117" Type="http://schemas.openxmlformats.org/officeDocument/2006/relationships/image" Target="media/image98.png"/><Relationship Id="rId116" Type="http://schemas.openxmlformats.org/officeDocument/2006/relationships/image" Target="media/image97.png"/><Relationship Id="rId115" Type="http://schemas.openxmlformats.org/officeDocument/2006/relationships/image" Target="media/image96.png"/><Relationship Id="rId114" Type="http://schemas.openxmlformats.org/officeDocument/2006/relationships/image" Target="media/image95.png"/><Relationship Id="rId113" Type="http://schemas.openxmlformats.org/officeDocument/2006/relationships/image" Target="media/image94.png"/><Relationship Id="rId112" Type="http://schemas.openxmlformats.org/officeDocument/2006/relationships/image" Target="media/image93.png"/><Relationship Id="rId111" Type="http://schemas.openxmlformats.org/officeDocument/2006/relationships/image" Target="media/image92.png"/><Relationship Id="rId110" Type="http://schemas.openxmlformats.org/officeDocument/2006/relationships/image" Target="media/image91.png"/><Relationship Id="rId11" Type="http://schemas.openxmlformats.org/officeDocument/2006/relationships/header" Target="header4.xml"/><Relationship Id="rId109" Type="http://schemas.openxmlformats.org/officeDocument/2006/relationships/image" Target="media/image90.png"/><Relationship Id="rId108" Type="http://schemas.openxmlformats.org/officeDocument/2006/relationships/image" Target="media/image89.png"/><Relationship Id="rId107" Type="http://schemas.openxmlformats.org/officeDocument/2006/relationships/image" Target="media/image88.png"/><Relationship Id="rId106" Type="http://schemas.openxmlformats.org/officeDocument/2006/relationships/image" Target="media/image87.png"/><Relationship Id="rId105" Type="http://schemas.openxmlformats.org/officeDocument/2006/relationships/image" Target="media/image86.png"/><Relationship Id="rId104" Type="http://schemas.openxmlformats.org/officeDocument/2006/relationships/image" Target="media/image85.png"/><Relationship Id="rId103" Type="http://schemas.openxmlformats.org/officeDocument/2006/relationships/image" Target="media/image84.png"/><Relationship Id="rId102" Type="http://schemas.openxmlformats.org/officeDocument/2006/relationships/image" Target="media/image83.png"/><Relationship Id="rId101" Type="http://schemas.openxmlformats.org/officeDocument/2006/relationships/image" Target="media/image82.png"/><Relationship Id="rId100" Type="http://schemas.openxmlformats.org/officeDocument/2006/relationships/image" Target="media/image81.png"/><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xczx</Company>
  <Pages>127</Pages>
  <Words>24081</Words>
  <Characters>25669</Characters>
  <Lines>351</Lines>
  <Paragraphs>99</Paragraphs>
  <TotalTime>9</TotalTime>
  <ScaleCrop>false</ScaleCrop>
  <LinksUpToDate>false</LinksUpToDate>
  <CharactersWithSpaces>25863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2022-05-13T10:35:00Z</dcterms:created>
  <dc:creator>lenovo</dc:creator>
  <cp:lastModifiedBy>隐宇随</cp:lastModifiedBy>
  <cp:lastPrinted>2026-05-12T00:42:00Z</cp:lastPrinted>
  <dcterms:modified xsi:type="dcterms:W3CDTF">2026-06-17T01:37:35Z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B017CA0B4DD04975A120DD125539B401_13</vt:lpwstr>
  </property>
  <property fmtid="{D5CDD505-2E9C-101B-9397-08002B2CF9AE}" pid="4" name="KSOTemplateDocerSaveRecord">
    <vt:lpwstr>eyJoZGlkIjoiMzVmNWVlNmNmYmJhZTg1NDY2MjI3ZmRiNDdiYTMwZmEiLCJ1c2VySWQiOiI3MDI0ODcwMzcifQ==</vt:lpwstr>
  </property>
</Properties>
</file>