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版本号：SXZCZB2026-ZCCS-0611.6BJ120260618001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2026年陕西网络文明大会(二次)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SXZCZB2026-ZCCS-0611.6BJ1</w:t>
      </w:r>
      <w:r>
        <w:br/>
      </w:r>
      <w:r>
        <w:br/>
      </w:r>
      <w:r>
        <w:br/>
      </w:r>
    </w:p>
    <w:p>
      <w:pPr>
        <w:pStyle w:val="null3"/>
        <w:jc w:val="center"/>
        <w:outlineLvl w:val="2"/>
      </w:pPr>
      <w:r>
        <w:rPr>
          <w:rFonts w:ascii="仿宋_GB2312" w:hAnsi="仿宋_GB2312" w:cs="仿宋_GB2312" w:eastAsia="仿宋_GB2312"/>
          <w:sz w:val="28"/>
          <w:b/>
        </w:rPr>
        <w:t>中共西安市委网络安全和信息化委员会办公室</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中共西安市委网络安全和信息化委员会办公室</w:t>
      </w:r>
      <w:r>
        <w:rPr>
          <w:rFonts w:ascii="仿宋_GB2312" w:hAnsi="仿宋_GB2312" w:cs="仿宋_GB2312" w:eastAsia="仿宋_GB2312"/>
        </w:rPr>
        <w:t>委托，拟对</w:t>
      </w:r>
      <w:r>
        <w:rPr>
          <w:rFonts w:ascii="仿宋_GB2312" w:hAnsi="仿宋_GB2312" w:cs="仿宋_GB2312" w:eastAsia="仿宋_GB2312"/>
        </w:rPr>
        <w:t>2026年陕西网络文明大会(二次)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SXZCZB2026-ZCCS-0611.6BJ1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2026年陕西网络文明大会(二次)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2026年陕西网络文明大会(二次)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采购包1（AI赋能网信发展专题活动）：属于专门面向中小企业采购。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法定代表人委托书：授权代表参加谈判的，提供法定代表人授权书（附法定代表人、被授权人身份证复印件），授权代表提供在投标单位缴纳的社保记录（近6个月内任意一个月）；法定代表人直接参加谈判的，须提供法定代表人身份证明及身份证复印件）；</w:t>
      </w:r>
    </w:p>
    <w:p>
      <w:pPr>
        <w:pStyle w:val="null3"/>
      </w:pPr>
      <w:r>
        <w:rPr>
          <w:rFonts w:ascii="仿宋_GB2312" w:hAnsi="仿宋_GB2312" w:cs="仿宋_GB2312" w:eastAsia="仿宋_GB2312"/>
        </w:rPr>
        <w:t>3、财务审计报告或资信证明：提供递交谈判响应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谈判响应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4、税收缴纳证明：提供谈判响应文件截止日前近六个月内任意一个月的纳税证明或完税证明（任意税种），依法免税的单位应提供相关证明材料；</w:t>
      </w:r>
    </w:p>
    <w:p>
      <w:pPr>
        <w:pStyle w:val="null3"/>
      </w:pPr>
      <w:r>
        <w:rPr>
          <w:rFonts w:ascii="仿宋_GB2312" w:hAnsi="仿宋_GB2312" w:cs="仿宋_GB2312" w:eastAsia="仿宋_GB2312"/>
        </w:rPr>
        <w:t>5、社会保障资金缴纳证明：提供谈判响应文件截止日前近六个月内任意一个月的社会保障资金缴存单据或社保机构开具的社会保险参保缴费情况证明，依法不需要缴纳社会保障资金的单位应提供相关证明材料；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7、无重大违法声明：参加政府采购活动前3年内，在经营活动中没有重大违法记录的书面声明；</w:t>
      </w:r>
    </w:p>
    <w:p>
      <w:pPr>
        <w:pStyle w:val="null3"/>
      </w:pPr>
      <w:r>
        <w:rPr>
          <w:rFonts w:ascii="仿宋_GB2312" w:hAnsi="仿宋_GB2312" w:cs="仿宋_GB2312" w:eastAsia="仿宋_GB2312"/>
        </w:rPr>
        <w:t>8、专业技术能力承诺：提供具有履行合同所必需的设备和专业技术能力的承诺函；</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10、本合同包为专门面向中小企业采购：提供中小企业声明函或监狱企业的证明文件或残疾人福利性单位声明函；</w:t>
      </w:r>
    </w:p>
    <w:p>
      <w:pPr>
        <w:pStyle w:val="null3"/>
      </w:pPr>
      <w:r>
        <w:rPr>
          <w:rFonts w:ascii="仿宋_GB2312" w:hAnsi="仿宋_GB2312" w:cs="仿宋_GB2312" w:eastAsia="仿宋_GB2312"/>
        </w:rPr>
        <w:t>11、非联合体谈判：本项目不接受联合体谈判（需提供承诺书）。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只需校验证书及签章的有效性后，即可按照系统操作要求进行身份信息绑定、权限设置和系统操作；未办理互认的证书及签章的供应商，应当按要求办理互认的证书及签章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（三）供应商应当自行准备适应电子化采购所需的计算机终端、软硬件及网络环境，承担因准备不足产生的不利后果。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ind w:firstLine="480"/>
        <w:jc w:val="left"/>
      </w:pPr>
      <w:r>
        <w:rPr>
          <w:rFonts w:ascii="仿宋_GB2312" w:hAnsi="仿宋_GB2312" w:cs="仿宋_GB2312" w:eastAsia="仿宋_GB2312"/>
        </w:rPr>
        <w:t xml:space="preserve"> 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中共西安市委网络安全和信息化委员会办公室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刘晓航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67092939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产品属于节能产品政府采购品目清单中应强制采购的产品范围，供应商应当按照第七章强制、优先采购产品承诺函格式进行承诺，否则作无效响应处理。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产品属于环境标志产品政府采购品目清单中应优先采购的产品范围，供应商可根据第七章强制、优先采购产品承诺函格式要求承诺提供经认证的节能、环境标志产品。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谈判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参照国家计委颁布《招标代理服务收费管理暂行办法》(计价格[2002]1980号)和国家发展和改革委员会办公厅颁发的《关于招标代理服务收费有关问题的通知》(发改办价格[2003]857号)文件规定执行，不足6000元按6000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成交通知书领取</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 xml:space="preserve"> 二、本竞争性谈判文件的最终解释权由</w:t>
      </w:r>
      <w:r>
        <w:rPr>
          <w:rFonts w:ascii="仿宋_GB2312" w:hAnsi="仿宋_GB2312" w:cs="仿宋_GB2312" w:eastAsia="仿宋_GB2312"/>
        </w:rPr>
        <w:t>中共西安市委网络安全和信息化委员会办公室</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中共西安市委网络安全和信息化委员会办公室</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中共西安市委网络安全和信息化委员会办公室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陕西至诚项目管理集团有限公司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四、构成本谈判文件的各组成部分，未经采购人书面同意，供应商不得擅自复印或用于非本谈判项目所需的其他目的。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pPr>
      <w:r>
        <w:rPr>
          <w:rFonts w:ascii="仿宋_GB2312" w:hAnsi="仿宋_GB2312" w:cs="仿宋_GB2312" w:eastAsia="仿宋_GB2312"/>
        </w:rPr>
        <w:t xml:space="preserve"> 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一、供应商的报价是供应商响应谈判项目要求的全部工作内容的价格体现，包括供应商完成本项目所需的一切费用。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2.4.8响应文件有效期</w:t>
      </w:r>
    </w:p>
    <w:p>
      <w:pPr>
        <w:pStyle w:val="null3"/>
        <w:ind w:firstLine="480"/>
      </w:pPr>
      <w:r>
        <w:rPr>
          <w:rFonts w:ascii="仿宋_GB2312" w:hAnsi="仿宋_GB2312" w:cs="仿宋_GB2312" w:eastAsia="仿宋_GB2312"/>
        </w:rPr>
        <w:t>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（1）参加采购活动前3年内与供应商存在劳动关系；</w:t>
      </w:r>
    </w:p>
    <w:p>
      <w:pPr>
        <w:pStyle w:val="null3"/>
        <w:ind w:firstLine="480"/>
      </w:pPr>
      <w:r>
        <w:rPr>
          <w:rFonts w:ascii="仿宋_GB2312" w:hAnsi="仿宋_GB2312" w:cs="仿宋_GB2312" w:eastAsia="仿宋_GB2312"/>
        </w:rPr>
        <w:t>（2）参加采购活动前3年内担任供应商的董事、监事；</w:t>
      </w:r>
    </w:p>
    <w:p>
      <w:pPr>
        <w:pStyle w:val="null3"/>
        <w:ind w:firstLine="480"/>
      </w:pPr>
      <w:r>
        <w:rPr>
          <w:rFonts w:ascii="仿宋_GB2312" w:hAnsi="仿宋_GB2312" w:cs="仿宋_GB2312" w:eastAsia="仿宋_GB2312"/>
        </w:rPr>
        <w:t>（3）参加采购活动前3年内是供应商的控股股东或者实际控制人；</w:t>
      </w:r>
    </w:p>
    <w:p>
      <w:pPr>
        <w:pStyle w:val="null3"/>
        <w:ind w:firstLine="480"/>
      </w:pPr>
      <w:r>
        <w:rPr>
          <w:rFonts w:ascii="仿宋_GB2312" w:hAnsi="仿宋_GB2312" w:cs="仿宋_GB2312" w:eastAsia="仿宋_GB2312"/>
        </w:rPr>
        <w:t>（4）与供应商的法定代表人或者负责人有夫妻、直系血亲、三代以内旁系血亲或者近姻亲关系；</w:t>
      </w:r>
    </w:p>
    <w:p>
      <w:pPr>
        <w:pStyle w:val="null3"/>
        <w:ind w:firstLine="480"/>
      </w:pPr>
      <w:r>
        <w:rPr>
          <w:rFonts w:ascii="仿宋_GB2312" w:hAnsi="仿宋_GB2312" w:cs="仿宋_GB2312" w:eastAsia="仿宋_GB2312"/>
        </w:rPr>
        <w:t>（5）与供应商有其他可能影响政府采购活动公平、公正进行的关系。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w:t>
      </w:r>
    </w:p>
    <w:p>
      <w:pPr>
        <w:pStyle w:val="null3"/>
      </w:pPr>
      <w:r>
        <w:rPr>
          <w:rFonts w:ascii="仿宋_GB2312" w:hAnsi="仿宋_GB2312" w:cs="仿宋_GB2312" w:eastAsia="仿宋_GB2312"/>
        </w:rPr>
        <w:t>联系电话：15691660815</w:t>
      </w:r>
    </w:p>
    <w:p>
      <w:pPr>
        <w:pStyle w:val="null3"/>
      </w:pPr>
      <w:r>
        <w:rPr>
          <w:rFonts w:ascii="仿宋_GB2312" w:hAnsi="仿宋_GB2312" w:cs="仿宋_GB2312" w:eastAsia="仿宋_GB2312"/>
        </w:rPr>
        <w:t>地址：陕西省西安市经济技术开发区未央路171-1号银池道拉斯财富中心21楼03室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2026陕西网络文明大会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w:t>
      </w:r>
    </w:p>
    <w:p>
      <w:pPr>
        <w:pStyle w:val="null3"/>
      </w:pPr>
      <w:r>
        <w:rPr>
          <w:rFonts w:ascii="仿宋_GB2312" w:hAnsi="仿宋_GB2312" w:cs="仿宋_GB2312" w:eastAsia="仿宋_GB2312"/>
        </w:rPr>
        <w:t>采购包最高限价（元）: 110,000.00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AI赋能网信发展专题活动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标的名称：AI赋能网信发展专题活动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ind w:firstLine="480"/>
              <w:jc w:val="left"/>
            </w:pPr>
            <w:r>
              <w:rPr>
                <w:rFonts w:ascii="仿宋_GB2312" w:hAnsi="仿宋_GB2312" w:cs="仿宋_GB2312" w:eastAsia="仿宋_GB2312"/>
                <w:sz w:val="24"/>
              </w:rPr>
              <w:t>供应商具有线下活动的策划和执行能力；策划方案需严格契合</w:t>
            </w:r>
            <w:r>
              <w:rPr>
                <w:rFonts w:ascii="仿宋_GB2312" w:hAnsi="仿宋_GB2312" w:cs="仿宋_GB2312" w:eastAsia="仿宋_GB2312"/>
                <w:sz w:val="24"/>
              </w:rPr>
              <w:t>AI赋能网信发展主题，且具体可行；项目涵盖会务统筹、场地布置、氛围营造、物料制作、嘉宾组织、现场执行、设备租赁、会务保障等全流程服务；做好宣传推广。</w:t>
            </w:r>
          </w:p>
          <w:p>
            <w:pPr>
              <w:pStyle w:val="null3"/>
              <w:spacing w:before="105" w:after="105"/>
              <w:ind w:firstLine="482"/>
              <w:jc w:val="left"/>
            </w:pPr>
            <w:r>
              <w:rPr>
                <w:rFonts w:ascii="仿宋_GB2312" w:hAnsi="仿宋_GB2312" w:cs="仿宋_GB2312" w:eastAsia="仿宋_GB2312"/>
                <w:sz w:val="24"/>
                <w:b/>
              </w:rPr>
              <w:t>AI赋能网络文明建设分论坛活动。</w:t>
            </w:r>
            <w:r>
              <w:rPr>
                <w:rFonts w:ascii="仿宋_GB2312" w:hAnsi="仿宋_GB2312" w:cs="仿宋_GB2312" w:eastAsia="仿宋_GB2312"/>
                <w:sz w:val="24"/>
              </w:rPr>
              <w:t>搭建高校、企业、媒体等产学研用交流平台，推动</w:t>
            </w:r>
            <w:r>
              <w:rPr>
                <w:rFonts w:ascii="仿宋_GB2312" w:hAnsi="仿宋_GB2312" w:cs="仿宋_GB2312" w:eastAsia="仿宋_GB2312"/>
                <w:sz w:val="24"/>
              </w:rPr>
              <w:t>AI技术与网络文明建设深度融合，传播AI向善、技术赋能正能量内容的核心理念，总结陕西AI+网络文明建设的实践成果，形成可复制的行业发展路径，营造积极健康、正能量充沛的网络氛围。</w:t>
            </w:r>
          </w:p>
          <w:p>
            <w:pPr>
              <w:pStyle w:val="null3"/>
              <w:spacing w:before="105" w:after="105"/>
              <w:ind w:firstLine="482"/>
              <w:jc w:val="left"/>
            </w:pPr>
            <w:r>
              <w:rPr>
                <w:rFonts w:ascii="仿宋_GB2312" w:hAnsi="仿宋_GB2312" w:cs="仿宋_GB2312" w:eastAsia="仿宋_GB2312"/>
                <w:sz w:val="24"/>
                <w:b/>
              </w:rPr>
              <w:t>时间：</w:t>
            </w:r>
            <w:r>
              <w:rPr>
                <w:rFonts w:ascii="仿宋_GB2312" w:hAnsi="仿宋_GB2312" w:cs="仿宋_GB2312" w:eastAsia="仿宋_GB2312"/>
                <w:sz w:val="24"/>
              </w:rPr>
              <w:t>6月30日(星期二)下午14:30（暂定）</w:t>
            </w:r>
          </w:p>
          <w:p>
            <w:pPr>
              <w:pStyle w:val="null3"/>
              <w:spacing w:before="105" w:after="105"/>
              <w:ind w:firstLine="482"/>
              <w:jc w:val="left"/>
            </w:pPr>
            <w:r>
              <w:rPr>
                <w:rFonts w:ascii="仿宋_GB2312" w:hAnsi="仿宋_GB2312" w:cs="仿宋_GB2312" w:eastAsia="仿宋_GB2312"/>
                <w:sz w:val="24"/>
                <w:b/>
              </w:rPr>
              <w:t>地点：</w:t>
            </w:r>
            <w:r>
              <w:rPr>
                <w:rFonts w:ascii="仿宋_GB2312" w:hAnsi="仿宋_GB2312" w:cs="仿宋_GB2312" w:eastAsia="仿宋_GB2312"/>
                <w:sz w:val="24"/>
              </w:rPr>
              <w:t>西安交通大学逸夫科学馆国际会议中心</w:t>
            </w:r>
          </w:p>
          <w:p>
            <w:pPr>
              <w:pStyle w:val="null3"/>
              <w:spacing w:before="105" w:after="105"/>
              <w:ind w:firstLine="482"/>
              <w:jc w:val="left"/>
            </w:pPr>
            <w:r>
              <w:rPr>
                <w:rFonts w:ascii="仿宋_GB2312" w:hAnsi="仿宋_GB2312" w:cs="仿宋_GB2312" w:eastAsia="仿宋_GB2312"/>
                <w:sz w:val="24"/>
                <w:b/>
              </w:rPr>
              <w:t>主办单位：</w:t>
            </w:r>
            <w:r>
              <w:rPr>
                <w:rFonts w:ascii="仿宋_GB2312" w:hAnsi="仿宋_GB2312" w:cs="仿宋_GB2312" w:eastAsia="仿宋_GB2312"/>
                <w:sz w:val="24"/>
              </w:rPr>
              <w:t>省委网信办、省科技厅</w:t>
            </w:r>
          </w:p>
          <w:p>
            <w:pPr>
              <w:pStyle w:val="null3"/>
              <w:spacing w:before="105" w:after="105"/>
              <w:ind w:firstLine="482"/>
              <w:jc w:val="left"/>
            </w:pPr>
            <w:r>
              <w:rPr>
                <w:rFonts w:ascii="仿宋_GB2312" w:hAnsi="仿宋_GB2312" w:cs="仿宋_GB2312" w:eastAsia="仿宋_GB2312"/>
                <w:sz w:val="24"/>
                <w:b/>
              </w:rPr>
              <w:t>承办单位：</w:t>
            </w:r>
            <w:r>
              <w:rPr>
                <w:rFonts w:ascii="仿宋_GB2312" w:hAnsi="仿宋_GB2312" w:cs="仿宋_GB2312" w:eastAsia="仿宋_GB2312"/>
                <w:sz w:val="24"/>
              </w:rPr>
              <w:t>西安市委网信办、西安市科技局</w:t>
            </w:r>
          </w:p>
          <w:p>
            <w:pPr>
              <w:pStyle w:val="null3"/>
              <w:spacing w:before="105" w:after="105"/>
              <w:ind w:firstLine="482"/>
              <w:jc w:val="left"/>
            </w:pPr>
            <w:r>
              <w:rPr>
                <w:rFonts w:ascii="仿宋_GB2312" w:hAnsi="仿宋_GB2312" w:cs="仿宋_GB2312" w:eastAsia="仿宋_GB2312"/>
                <w:sz w:val="24"/>
                <w:b/>
              </w:rPr>
              <w:t>议程：</w:t>
            </w:r>
            <w:r>
              <w:rPr>
                <w:rFonts w:ascii="仿宋_GB2312" w:hAnsi="仿宋_GB2312" w:cs="仿宋_GB2312" w:eastAsia="仿宋_GB2312"/>
                <w:sz w:val="24"/>
                <w:color w:val="000000"/>
              </w:rPr>
              <w:t>（约</w:t>
            </w:r>
            <w:r>
              <w:rPr>
                <w:rFonts w:ascii="仿宋_GB2312" w:hAnsi="仿宋_GB2312" w:cs="仿宋_GB2312" w:eastAsia="仿宋_GB2312"/>
                <w:sz w:val="24"/>
                <w:color w:val="000000"/>
              </w:rPr>
              <w:t>2个半小时）</w:t>
            </w:r>
          </w:p>
          <w:p>
            <w:pPr>
              <w:pStyle w:val="null3"/>
              <w:spacing w:before="105" w:after="105"/>
              <w:ind w:firstLine="480"/>
              <w:jc w:val="left"/>
            </w:pPr>
            <w:r>
              <w:rPr>
                <w:rFonts w:ascii="仿宋_GB2312" w:hAnsi="仿宋_GB2312" w:cs="仿宋_GB2312" w:eastAsia="仿宋_GB2312"/>
                <w:sz w:val="24"/>
              </w:rPr>
              <w:t>（</w:t>
            </w:r>
            <w:r>
              <w:rPr>
                <w:rFonts w:ascii="仿宋_GB2312" w:hAnsi="仿宋_GB2312" w:cs="仿宋_GB2312" w:eastAsia="仿宋_GB2312"/>
                <w:sz w:val="24"/>
              </w:rPr>
              <w:t>1）开场，介绍到场领导及嘉宾</w:t>
            </w:r>
          </w:p>
          <w:p>
            <w:pPr>
              <w:pStyle w:val="null3"/>
              <w:spacing w:before="105" w:after="105"/>
              <w:ind w:firstLine="480"/>
              <w:jc w:val="left"/>
            </w:pPr>
            <w:r>
              <w:rPr>
                <w:rFonts w:ascii="仿宋_GB2312" w:hAnsi="仿宋_GB2312" w:cs="仿宋_GB2312" w:eastAsia="仿宋_GB2312"/>
                <w:sz w:val="24"/>
              </w:rPr>
              <w:t>（</w:t>
            </w:r>
            <w:r>
              <w:rPr>
                <w:rFonts w:ascii="仿宋_GB2312" w:hAnsi="仿宋_GB2312" w:cs="仿宋_GB2312" w:eastAsia="仿宋_GB2312"/>
                <w:sz w:val="24"/>
              </w:rPr>
              <w:t>2）领导致辞</w:t>
            </w:r>
          </w:p>
          <w:p>
            <w:pPr>
              <w:pStyle w:val="null3"/>
              <w:spacing w:before="105" w:after="105"/>
              <w:ind w:firstLine="480"/>
              <w:jc w:val="left"/>
            </w:pPr>
            <w:r>
              <w:rPr>
                <w:rFonts w:ascii="仿宋_GB2312" w:hAnsi="仿宋_GB2312" w:cs="仿宋_GB2312" w:eastAsia="仿宋_GB2312"/>
                <w:sz w:val="24"/>
              </w:rPr>
              <w:t>（</w:t>
            </w:r>
            <w:r>
              <w:rPr>
                <w:rFonts w:ascii="仿宋_GB2312" w:hAnsi="仿宋_GB2312" w:cs="仿宋_GB2312" w:eastAsia="仿宋_GB2312"/>
                <w:sz w:val="24"/>
              </w:rPr>
              <w:t>3）主题分享：不少于6人，AI领域优秀企业家及专家学者代表，围绕AI与网络文明进行主题演讲、圆桌对话。</w:t>
            </w:r>
          </w:p>
          <w:p>
            <w:pPr>
              <w:pStyle w:val="null3"/>
              <w:spacing w:before="105" w:after="105"/>
              <w:ind w:firstLine="480"/>
              <w:jc w:val="left"/>
            </w:pPr>
            <w:r>
              <w:rPr>
                <w:rFonts w:ascii="仿宋_GB2312" w:hAnsi="仿宋_GB2312" w:cs="仿宋_GB2312" w:eastAsia="仿宋_GB2312"/>
                <w:sz w:val="24"/>
              </w:rPr>
              <w:t>（</w:t>
            </w:r>
            <w:r>
              <w:rPr>
                <w:rFonts w:ascii="仿宋_GB2312" w:hAnsi="仿宋_GB2312" w:cs="仿宋_GB2312" w:eastAsia="仿宋_GB2312"/>
                <w:sz w:val="24"/>
              </w:rPr>
              <w:t>4）穿插节目表演：1个，体现AI特点</w:t>
            </w:r>
          </w:p>
          <w:p>
            <w:pPr>
              <w:pStyle w:val="null3"/>
              <w:spacing w:before="105" w:after="105"/>
              <w:ind w:firstLine="480"/>
              <w:jc w:val="left"/>
            </w:pPr>
            <w:r>
              <w:rPr>
                <w:rFonts w:ascii="仿宋_GB2312" w:hAnsi="仿宋_GB2312" w:cs="仿宋_GB2312" w:eastAsia="仿宋_GB2312"/>
                <w:sz w:val="24"/>
              </w:rPr>
              <w:t>（</w:t>
            </w:r>
            <w:r>
              <w:rPr>
                <w:rFonts w:ascii="仿宋_GB2312" w:hAnsi="仿宋_GB2312" w:cs="仿宋_GB2312" w:eastAsia="仿宋_GB2312"/>
                <w:sz w:val="24"/>
              </w:rPr>
              <w:t>5）发出相关倡议。</w:t>
            </w:r>
          </w:p>
          <w:p>
            <w:pPr>
              <w:pStyle w:val="null3"/>
            </w:pPr>
            <w:r>
              <w:rPr>
                <w:rFonts w:ascii="仿宋_GB2312" w:hAnsi="仿宋_GB2312" w:cs="仿宋_GB2312" w:eastAsia="仿宋_GB2312"/>
                <w:sz w:val="24"/>
              </w:rPr>
              <w:t>每场专题活动参与人数</w:t>
            </w:r>
            <w:r>
              <w:rPr>
                <w:rFonts w:ascii="仿宋_GB2312" w:hAnsi="仿宋_GB2312" w:cs="仿宋_GB2312" w:eastAsia="仿宋_GB2312"/>
                <w:sz w:val="24"/>
              </w:rPr>
              <w:t>100-200人，结合主题方向，邀请相关人群共同参与。线下活动形式包括且不限于主旨演讲、案例分享、圆桌论坛、节目展演、场内互动等形式，线上宣传活动包括且不限于主题海报、图文稿件、短视频、同步直播等。</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3.2.5服务内容其他要求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自合同签订之日起至2026年06月30日止（具体以甲方通知为准）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满足国家标准、行业标准及采购人要求。 验收依据：经济合同、国家相关的标准和规范。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jc w:val="left"/>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预付款，合同签订且供应商开具增值税正式发票后，达到付款条件起10个工作日内，支付合同总金额的50.0%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进度款，合作结束后供应商提供结案报告，经市委网信办验收合格出具验收报告和绩效目标表后，达到付款条件起30个工作日内，支付合同总金额的50.0%</w:t>
      </w:r>
    </w:p>
    <w:p>
      <w:pPr>
        <w:pStyle w:val="null3"/>
        <w:jc w:val="left"/>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按《中华人民共和国民法典》中的相关条款执行。 2.乙方未按协议要求提供服务或服务质量不能满足协议要求的，甲方应当将供应商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中华人民共和国政府采购法》及相关法律法规对乙方的违法行为进行相应的处罚。 3.由于不可抗力因素造成无法按照原计划提供服务，双方互不追究违约责任。 4.如有异议另行协商。</w:t>
      </w:r>
    </w:p>
    <w:p>
      <w:pPr>
        <w:pStyle w:val="null3"/>
        <w:outlineLvl w:val="3"/>
      </w:pPr>
      <w:r>
        <w:rPr>
          <w:rFonts w:ascii="仿宋_GB2312" w:hAnsi="仿宋_GB2312" w:cs="仿宋_GB2312" w:eastAsia="仿宋_GB2312"/>
          <w:sz w:val="24"/>
          <w:b/>
        </w:rPr>
        <w:t>3.4 其它要求</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法定代表人委托书</w:t>
            </w:r>
          </w:p>
        </w:tc>
        <w:tc>
          <w:tcPr>
            <w:tcW w:type="dxa" w:w="3322"/>
          </w:tcPr>
          <w:p>
            <w:pPr>
              <w:pStyle w:val="null3"/>
            </w:pPr>
            <w:r>
              <w:rPr>
                <w:rFonts w:ascii="仿宋_GB2312" w:hAnsi="仿宋_GB2312" w:cs="仿宋_GB2312" w:eastAsia="仿宋_GB2312"/>
              </w:rPr>
              <w:t>授权代表参加谈判的，提供法定代表人授权书（附法定代表人、被授权人身份证复印件），授权代表提供在投标单位缴纳的社保记录（近6个月内任意一个月）；法定代表人直接参加谈判的，须提供法定代表人身份证明及身份证复印件）；</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递交谈判响应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谈判响应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提供谈判响应文件截止日前近六个月内任意一个月的纳税证明或完税证明（任意税种），依法免税的单位应提供相关证明材料；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提供谈判响应文件截止日前近六个月内任意一个月的社会保障资金缴存单据或社保机构开具的社会保险参保缴费情况证明，依法不需要缴纳社会保障资金的单位应提供相关证明材料；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本合同包为专门面向中小企业采购</w:t>
            </w:r>
          </w:p>
        </w:tc>
        <w:tc>
          <w:tcPr>
            <w:tcW w:type="dxa" w:w="3322"/>
          </w:tcPr>
          <w:p>
            <w:pPr>
              <w:pStyle w:val="null3"/>
            </w:pPr>
            <w:r>
              <w:rPr>
                <w:rFonts w:ascii="仿宋_GB2312" w:hAnsi="仿宋_GB2312" w:cs="仿宋_GB2312" w:eastAsia="仿宋_GB2312"/>
              </w:rPr>
              <w:t>提供中小企业声明函或监狱企业的证明文件或残疾人福利性单位声明函；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非联合体谈判</w:t>
            </w:r>
          </w:p>
        </w:tc>
        <w:tc>
          <w:tcPr>
            <w:tcW w:type="dxa" w:w="3322"/>
          </w:tcPr>
          <w:p>
            <w:pPr>
              <w:pStyle w:val="null3"/>
            </w:pPr>
            <w:r>
              <w:rPr>
                <w:rFonts w:ascii="仿宋_GB2312" w:hAnsi="仿宋_GB2312" w:cs="仿宋_GB2312" w:eastAsia="仿宋_GB2312"/>
              </w:rPr>
              <w:t>本项目不接受联合体谈判（需提供承诺书）。</w:t>
            </w:r>
          </w:p>
        </w:tc>
        <w:tc>
          <w:tcPr>
            <w:tcW w:type="dxa" w:w="1661"/>
          </w:tcPr>
          <w:p>
            <w:pPr>
              <w:pStyle w:val="null3"/>
            </w:pPr>
            <w:r>
              <w:rPr>
                <w:rFonts w:ascii="仿宋_GB2312" w:hAnsi="仿宋_GB2312" w:cs="仿宋_GB2312" w:eastAsia="仿宋_GB2312"/>
              </w:rPr>
              <w:t>1特定资格证明文件.docx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jc w:val="left"/>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（二）审查供应商响应文件是否满足谈判文件要求，并作出公正评价；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（五）起草谈判报告并进行签署；</w:t>
      </w:r>
    </w:p>
    <w:p>
      <w:pPr>
        <w:pStyle w:val="null3"/>
        <w:ind w:firstLine="480"/>
      </w:pPr>
      <w:r>
        <w:rPr>
          <w:rFonts w:ascii="仿宋_GB2312" w:hAnsi="仿宋_GB2312" w:cs="仿宋_GB2312" w:eastAsia="仿宋_GB2312"/>
        </w:rPr>
        <w:t>（六）向采购人、代理机构、财政部门或者其他监督部门报告非法干预评审工作的行为；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出现上述应当停止评审情形的，谈判小组应当通过项目电子化交易系统向采购组织单位提交相关说明材料，说明停止评审的情形和具体理由。</w:t>
      </w:r>
    </w:p>
    <w:p>
      <w:pPr>
        <w:pStyle w:val="null3"/>
        <w:ind w:firstLine="480"/>
        <w:jc w:val="left"/>
      </w:pPr>
      <w:r>
        <w:rPr>
          <w:rFonts w:ascii="仿宋_GB2312" w:hAnsi="仿宋_GB2312" w:cs="仿宋_GB2312" w:eastAsia="仿宋_GB2312"/>
        </w:rPr>
        <w:t>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竞争性谈判响应文件的完整性</w:t>
            </w:r>
          </w:p>
        </w:tc>
        <w:tc>
          <w:tcPr>
            <w:tcW w:type="dxa" w:w="3322"/>
          </w:tcPr>
          <w:p>
            <w:pPr>
              <w:pStyle w:val="null3"/>
            </w:pPr>
            <w:r>
              <w:rPr>
                <w:rFonts w:ascii="仿宋_GB2312" w:hAnsi="仿宋_GB2312" w:cs="仿宋_GB2312" w:eastAsia="仿宋_GB2312"/>
              </w:rPr>
              <w:t>竞争性谈判响应文件构成是否有重大缺项，是否按照竞争性谈判文件要求的格式编写竞争性谈判响应文件；</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6分项报价表.docx 4服务要求及商务要求偏离表.docx 标的清单 5其他.docx 响应函 1特定资格证明文件.docx 监狱企业的证明文件 3服务方案.docx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竞争性谈判响应文件的有效性</w:t>
            </w:r>
          </w:p>
        </w:tc>
        <w:tc>
          <w:tcPr>
            <w:tcW w:type="dxa" w:w="3322"/>
          </w:tcPr>
          <w:p>
            <w:pPr>
              <w:pStyle w:val="null3"/>
            </w:pPr>
            <w:r>
              <w:rPr>
                <w:rFonts w:ascii="仿宋_GB2312" w:hAnsi="仿宋_GB2312" w:cs="仿宋_GB2312" w:eastAsia="仿宋_GB2312"/>
              </w:rPr>
              <w:t>竞争性谈判响应文件的签署、加盖印章是否合格、有效；提供的各种证明文件、数据、资料是否真实、有效；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6分项报价表.docx 4服务要求及商务要求偏离表.docx 标的清单 5其他.docx 响应函 1特定资格证明文件.docx 监狱企业的证明文件 3服务方案.docx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竞争性谈判响应文件的响应性</w:t>
            </w:r>
          </w:p>
        </w:tc>
        <w:tc>
          <w:tcPr>
            <w:tcW w:type="dxa" w:w="3322"/>
          </w:tcPr>
          <w:p>
            <w:pPr>
              <w:pStyle w:val="null3"/>
            </w:pPr>
            <w:r>
              <w:rPr>
                <w:rFonts w:ascii="仿宋_GB2312" w:hAnsi="仿宋_GB2312" w:cs="仿宋_GB2312" w:eastAsia="仿宋_GB2312"/>
              </w:rPr>
              <w:t>谈判有效期是否符合竞争性谈判文件要求；是否满足本次谈判的特殊要求；谈判方案是否有重大缺漏项；谈判商务响应条款是否有重大偏离；</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6分项报价表.docx 4服务要求及商务要求偏离表.docx 标的清单 5其他.docx 响应函 1特定资格证明文件.docx 监狱企业的证明文件 3服务方案.docx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jc w:val="left"/>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6.3.10谈判异议处理规则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详见附件：3服务方案.docx</w:t>
      </w:r>
    </w:p>
    <w:p>
      <w:pPr>
        <w:pStyle w:val="null3"/>
        <w:ind w:firstLine="960"/>
      </w:pPr>
      <w:r>
        <w:rPr>
          <w:rFonts w:ascii="仿宋_GB2312" w:hAnsi="仿宋_GB2312" w:cs="仿宋_GB2312" w:eastAsia="仿宋_GB2312"/>
        </w:rPr>
        <w:t>详见附件：4服务要求及商务要求偏离表.docx</w:t>
      </w:r>
    </w:p>
    <w:p>
      <w:pPr>
        <w:pStyle w:val="null3"/>
        <w:ind w:firstLine="960"/>
      </w:pPr>
      <w:r>
        <w:rPr>
          <w:rFonts w:ascii="仿宋_GB2312" w:hAnsi="仿宋_GB2312" w:cs="仿宋_GB2312" w:eastAsia="仿宋_GB2312"/>
        </w:rPr>
        <w:t>详见附件：5其他.docx</w:t>
      </w:r>
    </w:p>
    <w:p>
      <w:pPr>
        <w:pStyle w:val="null3"/>
        <w:ind w:firstLine="960"/>
      </w:pPr>
      <w:r>
        <w:rPr>
          <w:rFonts w:ascii="仿宋_GB2312" w:hAnsi="仿宋_GB2312" w:cs="仿宋_GB2312" w:eastAsia="仿宋_GB2312"/>
        </w:rPr>
        <w:t>详见附件：6分项报价表.docx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