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版本号：HWHZ-202602820260519001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汉台区人民法院审判法庭改扩建项目工程设计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HWHZ-2026028</w:t>
      </w:r>
      <w:r>
        <w:br/>
      </w:r>
      <w:r>
        <w:br/>
      </w:r>
      <w:r>
        <w:br/>
      </w:r>
    </w:p>
    <w:p>
      <w:pPr>
        <w:pStyle w:val="null3"/>
        <w:jc w:val="center"/>
        <w:outlineLvl w:val="2"/>
      </w:pPr>
      <w:r>
        <w:rPr>
          <w:rFonts w:ascii="仿宋_GB2312" w:hAnsi="仿宋_GB2312" w:cs="仿宋_GB2312" w:eastAsia="仿宋_GB2312"/>
          <w:sz w:val="28"/>
          <w:b/>
        </w:rPr>
        <w:t>汉中市汉台区人民法院</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汉中市汉台区人民法院</w:t>
      </w:r>
      <w:r>
        <w:rPr>
          <w:rFonts w:ascii="仿宋_GB2312" w:hAnsi="仿宋_GB2312" w:cs="仿宋_GB2312" w:eastAsia="仿宋_GB2312"/>
        </w:rPr>
        <w:t>委托，拟对</w:t>
      </w:r>
      <w:r>
        <w:rPr>
          <w:rFonts w:ascii="仿宋_GB2312" w:hAnsi="仿宋_GB2312" w:cs="仿宋_GB2312" w:eastAsia="仿宋_GB2312"/>
        </w:rPr>
        <w:t>汉台区人民法院审判法庭改扩建项目工程设计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HWHZ-2026028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汉台区人民法院审判法庭改扩建项目工程设计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台区人民法院审判法庭改扩建项目，主要建设内容为拆除原有建筑，新建一栋框架结构审判法庭楼，总建筑面积6265平方米：其中地上5层（局部六层）、建筑面积5087.2平方米，地下1层、建筑面积1177.8平方米。包括建设诉讼服务中心1个、审判法庭28个（小法庭27个、大法庭1个）、立案接待室 1个、信访调解室 1个、诉讼调解室 18个，配套建设绿化、道路、给排水等室外附属工程。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采购包1（汉台区人民法院审判法庭改扩建项目工程设计）：属于专门面向小微企业采购。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单位负责人授权书及被授权人身份证：供应商应授权合法的人员参加投标，其中法定代表人直接参加的，须出具身份证，并与营业执照上信息一致；被授权代表参加的，须出具法定代表人授权书及被授权人身份证；（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企业资质：供应商须具有建设行政主管部门核发的工程设计综合级资质或建筑行业设计乙级或建筑行业（建筑工程）乙级及以上资质；供应商需在项目电子化交易系统中按要求上传相应证明文件并进行电子签章。</w:t>
      </w:r>
    </w:p>
    <w:p>
      <w:pPr>
        <w:pStyle w:val="null3"/>
      </w:pPr>
      <w:r>
        <w:rPr>
          <w:rFonts w:ascii="仿宋_GB2312" w:hAnsi="仿宋_GB2312" w:cs="仿宋_GB2312" w:eastAsia="仿宋_GB2312"/>
        </w:rPr>
        <w:t>5、拟派设计负责人：拟派设计负责人须具备国家二级及以上注册建筑师执业资格，且在本单位注册；供应商需在项目电子化交易系统中按要求上传相应证明文件并进行电子签章。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汉中市汉台区南一环路东段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偶洋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0916-2522933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刘景丽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采购包1：939,100.00元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 0110 0666 0000 0600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汉中市汉台区人民法院</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汉中市汉台区人民法院</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以国家、行业相关规定及甲方要求为准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联系人：刘景丽</w:t>
      </w:r>
    </w:p>
    <w:p>
      <w:pPr>
        <w:pStyle w:val="null3"/>
      </w:pPr>
      <w:r>
        <w:rPr>
          <w:rFonts w:ascii="仿宋_GB2312" w:hAnsi="仿宋_GB2312" w:cs="仿宋_GB2312" w:eastAsia="仿宋_GB2312"/>
        </w:rPr>
        <w:t>联系电话： 0916-2702818</w:t>
      </w:r>
    </w:p>
    <w:p>
      <w:pPr>
        <w:pStyle w:val="null3"/>
      </w:pPr>
      <w:r>
        <w:rPr>
          <w:rFonts w:ascii="仿宋_GB2312" w:hAnsi="仿宋_GB2312" w:cs="仿宋_GB2312" w:eastAsia="仿宋_GB2312"/>
        </w:rPr>
        <w:t>地址： 0916-2702818</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汉台区人民法院审判法庭改扩建项目，主要建设内容为拆除原有建筑，新建一栋框架结构审判法庭楼，总建筑面积6265平方米：其中地上5层（局部六层）、建筑面积5087.2平方 米，地下1层、建筑面积1177.8平方米。包括建设诉讼服务中心1个、审判法庭28个（小法庭27个、大法庭1个）、立案接待室 1个、信访调解室 1个、诉讼调解室 18个，配套建设绿化、道路、给排水等室外附属工程。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939,100.00</w:t>
      </w:r>
    </w:p>
    <w:p>
      <w:pPr>
        <w:pStyle w:val="null3"/>
      </w:pPr>
      <w:r>
        <w:rPr>
          <w:rFonts w:ascii="仿宋_GB2312" w:hAnsi="仿宋_GB2312" w:cs="仿宋_GB2312" w:eastAsia="仿宋_GB2312"/>
        </w:rPr>
        <w:t>采购包最高限价（元）: 939,100.00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汉台区人民法院审判法庭改扩建项目工程设计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939,100.00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标的名称：汉台区人民法院审判法庭改扩建项目工程设计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1、包括总平面规划、建筑单体方案设计、施工图设计、室内外配套、综合管网布线等施工图设计及配套服务。</w:t>
            </w:r>
          </w:p>
          <w:p>
            <w:pPr>
              <w:pStyle w:val="null3"/>
            </w:pPr>
            <w:r>
              <w:rPr>
                <w:rFonts w:ascii="仿宋_GB2312" w:hAnsi="仿宋_GB2312" w:cs="仿宋_GB2312" w:eastAsia="仿宋_GB2312"/>
                <w:sz w:val="21"/>
              </w:rPr>
              <w:t>2、设计要求：</w:t>
            </w:r>
            <w:r>
              <w:rPr>
                <w:rFonts w:ascii="仿宋_GB2312" w:hAnsi="仿宋_GB2312" w:cs="仿宋_GB2312" w:eastAsia="仿宋_GB2312"/>
                <w:sz w:val="21"/>
                <w:b/>
              </w:rPr>
              <w:t>详见设计任务书。</w:t>
            </w:r>
          </w:p>
          <w:p>
            <w:pPr>
              <w:pStyle w:val="null3"/>
            </w:pPr>
            <w:r>
              <w:rPr>
                <w:rFonts w:ascii="仿宋_GB2312" w:hAnsi="仿宋_GB2312" w:cs="仿宋_GB2312" w:eastAsia="仿宋_GB2312"/>
                <w:sz w:val="21"/>
              </w:rPr>
              <w:t>3、质量标准：符合国家及行业现行设计规范标准、并上报有关部门评审合格或备案通过。</w:t>
            </w:r>
          </w:p>
          <w:p>
            <w:pPr>
              <w:pStyle w:val="null3"/>
              <w:jc w:val="both"/>
            </w:pPr>
            <w:r>
              <w:rPr>
                <w:rFonts w:ascii="仿宋_GB2312" w:hAnsi="仿宋_GB2312" w:cs="仿宋_GB2312" w:eastAsia="仿宋_GB2312"/>
                <w:sz w:val="21"/>
              </w:rPr>
              <w:t>4、设计范围：方案设计、施工图设计及相关服务等，包括完成本项目所需的全部配套服务。</w:t>
            </w:r>
          </w:p>
          <w:p>
            <w:pPr>
              <w:pStyle w:val="null3"/>
              <w:jc w:val="both"/>
            </w:pPr>
            <w:r>
              <w:rPr>
                <w:rFonts w:ascii="仿宋_GB2312" w:hAnsi="仿宋_GB2312" w:cs="仿宋_GB2312" w:eastAsia="仿宋_GB2312"/>
                <w:sz w:val="21"/>
              </w:rPr>
              <w:t>5、成果提交要求</w:t>
            </w:r>
          </w:p>
          <w:p>
            <w:pPr>
              <w:pStyle w:val="null3"/>
              <w:spacing w:before="90"/>
              <w:ind w:right="300"/>
              <w:jc w:val="both"/>
            </w:pPr>
            <w:r>
              <w:rPr>
                <w:rFonts w:ascii="仿宋_GB2312" w:hAnsi="仿宋_GB2312" w:cs="仿宋_GB2312" w:eastAsia="仿宋_GB2312"/>
                <w:sz w:val="21"/>
              </w:rPr>
              <w:t>5.1成果文件包括但不限于方案设计、施工图设计及配套服务等相关内容。因项目建设需要设计调整等造成工作量增加及服务期限延长的，合同价款不予调整。</w:t>
            </w:r>
          </w:p>
          <w:p>
            <w:pPr>
              <w:pStyle w:val="null3"/>
              <w:jc w:val="both"/>
            </w:pPr>
            <w:r>
              <w:rPr>
                <w:rFonts w:ascii="仿宋_GB2312" w:hAnsi="仿宋_GB2312" w:cs="仿宋_GB2312" w:eastAsia="仿宋_GB2312"/>
                <w:sz w:val="21"/>
              </w:rPr>
              <w:t>5.2成果提交时间节点：方案设计文件提交时间，自合同签订后20日历天；初步设计文件提交时间，自自方案设计通过主管部门评审后20日历天；施工图设计文件提交时间，自初步设计通过主管部门评审后30日历天。</w:t>
            </w:r>
          </w:p>
          <w:p>
            <w:pPr>
              <w:pStyle w:val="null3"/>
              <w:jc w:val="both"/>
            </w:pPr>
            <w:r>
              <w:rPr>
                <w:rFonts w:ascii="仿宋_GB2312" w:hAnsi="仿宋_GB2312" w:cs="仿宋_GB2312" w:eastAsia="仿宋_GB2312"/>
                <w:sz w:val="21"/>
              </w:rPr>
              <w:t>6、供应商应协助采购人与发改、审批、规划、住建等部门进行沟通协调，并配合采购人完成相关手续报批、报建及代采购人完成相关申请资料的填写等工作。</w:t>
            </w:r>
          </w:p>
          <w:p>
            <w:pPr>
              <w:pStyle w:val="null3"/>
              <w:jc w:val="both"/>
            </w:pPr>
            <w:r>
              <w:rPr>
                <w:rFonts w:ascii="仿宋_GB2312" w:hAnsi="仿宋_GB2312" w:cs="仿宋_GB2312" w:eastAsia="仿宋_GB2312"/>
                <w:sz w:val="21"/>
              </w:rPr>
              <w:t>7、施工图应配合经审图机构及相关部门审核工作，并根据审查意见及时补充、修改设计文件。</w:t>
            </w:r>
          </w:p>
          <w:p>
            <w:pPr>
              <w:pStyle w:val="null3"/>
              <w:jc w:val="both"/>
            </w:pPr>
            <w:r>
              <w:rPr>
                <w:rFonts w:ascii="仿宋_GB2312" w:hAnsi="仿宋_GB2312" w:cs="仿宋_GB2312" w:eastAsia="仿宋_GB2312"/>
                <w:sz w:val="21"/>
              </w:rPr>
              <w:t>8、完成本项目所需或采购人要求的其他服务事项，包括但不限于：</w:t>
            </w:r>
          </w:p>
          <w:p>
            <w:pPr>
              <w:pStyle w:val="null3"/>
              <w:jc w:val="both"/>
            </w:pPr>
            <w:r>
              <w:rPr>
                <w:rFonts w:ascii="仿宋_GB2312" w:hAnsi="仿宋_GB2312" w:cs="仿宋_GB2312" w:eastAsia="仿宋_GB2312"/>
                <w:sz w:val="21"/>
              </w:rPr>
              <w:t>8.1施工配合（配套）服务；</w:t>
            </w:r>
          </w:p>
          <w:p>
            <w:pPr>
              <w:pStyle w:val="null3"/>
              <w:jc w:val="both"/>
            </w:pPr>
            <w:r>
              <w:rPr>
                <w:rFonts w:ascii="仿宋_GB2312" w:hAnsi="仿宋_GB2312" w:cs="仿宋_GB2312" w:eastAsia="仿宋_GB2312"/>
                <w:sz w:val="21"/>
              </w:rPr>
              <w:t>8.2 在项目实施过程中需要设计方配合的，主要设计人员须按采购人要求无条件响应并提供服务，所产生的一切费用由供应商自行承担。</w:t>
            </w:r>
          </w:p>
          <w:p>
            <w:pPr>
              <w:pStyle w:val="null3"/>
            </w:pPr>
            <w:r>
              <w:rPr>
                <w:rFonts w:ascii="仿宋_GB2312" w:hAnsi="仿宋_GB2312" w:cs="仿宋_GB2312" w:eastAsia="仿宋_GB2312"/>
                <w:sz w:val="21"/>
              </w:rPr>
              <w:t>9、供应商必须自行完成本项目所需的设计服务，严禁转包、分包，拟派设计负责人应在服务周期内保持稳定。</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设计任务书（以下为最低要求，最终以主管部门审定内容为准）</w:t>
            </w:r>
          </w:p>
          <w:p>
            <w:pPr>
              <w:pStyle w:val="null3"/>
            </w:pPr>
            <w:r>
              <w:rPr>
                <w:rFonts w:ascii="仿宋_GB2312" w:hAnsi="仿宋_GB2312" w:cs="仿宋_GB2312" w:eastAsia="仿宋_GB2312"/>
                <w:sz w:val="21"/>
              </w:rPr>
              <w:t>一、项目概况</w:t>
            </w:r>
          </w:p>
          <w:p>
            <w:pPr>
              <w:pStyle w:val="null3"/>
            </w:pPr>
            <w:r>
              <w:rPr>
                <w:rFonts w:ascii="仿宋_GB2312" w:hAnsi="仿宋_GB2312" w:cs="仿宋_GB2312" w:eastAsia="仿宋_GB2312"/>
                <w:sz w:val="21"/>
              </w:rPr>
              <w:t>1、项目名称：汉台区人民法院审判法庭改扩建项目</w:t>
            </w:r>
          </w:p>
          <w:p>
            <w:pPr>
              <w:pStyle w:val="null3"/>
            </w:pPr>
            <w:r>
              <w:rPr>
                <w:rFonts w:ascii="仿宋_GB2312" w:hAnsi="仿宋_GB2312" w:cs="仿宋_GB2312" w:eastAsia="仿宋_GB2312"/>
                <w:sz w:val="21"/>
              </w:rPr>
              <w:t>2、地理位置：该项目位于汉中市汉台区南一环路东段，汉中市汉台区人民法院院内，原机关办公楼东侧。东临王仁桥巷，北临南一环路，南侧为汉中市汉台区人民法院家属楼，西侧为汉中市汉台区人民法院办公楼。</w:t>
            </w:r>
          </w:p>
          <w:p>
            <w:pPr>
              <w:pStyle w:val="null3"/>
            </w:pPr>
            <w:r>
              <w:rPr>
                <w:rFonts w:ascii="仿宋_GB2312" w:hAnsi="仿宋_GB2312" w:cs="仿宋_GB2312" w:eastAsia="仿宋_GB2312"/>
                <w:sz w:val="21"/>
              </w:rPr>
              <w:t>3、项目性质：改扩建</w:t>
            </w:r>
          </w:p>
          <w:p>
            <w:pPr>
              <w:pStyle w:val="null3"/>
            </w:pPr>
            <w:r>
              <w:rPr>
                <w:rFonts w:ascii="仿宋_GB2312" w:hAnsi="仿宋_GB2312" w:cs="仿宋_GB2312" w:eastAsia="仿宋_GB2312"/>
                <w:sz w:val="21"/>
              </w:rPr>
              <w:t>二、建筑设计要求：</w:t>
            </w:r>
          </w:p>
          <w:p>
            <w:pPr>
              <w:pStyle w:val="null3"/>
            </w:pPr>
            <w:r>
              <w:rPr>
                <w:rFonts w:ascii="仿宋_GB2312" w:hAnsi="仿宋_GB2312" w:cs="仿宋_GB2312" w:eastAsia="仿宋_GB2312"/>
                <w:sz w:val="21"/>
              </w:rPr>
              <w:t>（一）建筑设计要求：</w:t>
            </w:r>
          </w:p>
          <w:p>
            <w:pPr>
              <w:pStyle w:val="null3"/>
            </w:pPr>
            <w:r>
              <w:rPr>
                <w:rFonts w:ascii="仿宋_GB2312" w:hAnsi="仿宋_GB2312" w:cs="仿宋_GB2312" w:eastAsia="仿宋_GB2312"/>
                <w:sz w:val="21"/>
              </w:rPr>
              <w:t>1、总建筑面积不超6265平方米，地面不超6层，地下不超1层，建筑高度不超24米，新建建筑与原有办公楼贴邻建设；</w:t>
            </w:r>
          </w:p>
          <w:p>
            <w:pPr>
              <w:pStyle w:val="null3"/>
            </w:pPr>
            <w:r>
              <w:rPr>
                <w:rFonts w:ascii="仿宋_GB2312" w:hAnsi="仿宋_GB2312" w:cs="仿宋_GB2312" w:eastAsia="仿宋_GB2312"/>
                <w:sz w:val="21"/>
              </w:rPr>
              <w:t>2、建筑风格采用现代风格，建筑外立面饰面材料可采用外墙真石漆、石材、铝单板等。</w:t>
            </w:r>
          </w:p>
          <w:p>
            <w:pPr>
              <w:pStyle w:val="null3"/>
            </w:pPr>
            <w:r>
              <w:rPr>
                <w:rFonts w:ascii="仿宋_GB2312" w:hAnsi="仿宋_GB2312" w:cs="仿宋_GB2312" w:eastAsia="仿宋_GB2312"/>
                <w:sz w:val="21"/>
              </w:rPr>
              <w:t>3、负一层设汽车库及设备房。</w:t>
            </w:r>
          </w:p>
          <w:p>
            <w:pPr>
              <w:pStyle w:val="null3"/>
            </w:pPr>
            <w:r>
              <w:rPr>
                <w:rFonts w:ascii="仿宋_GB2312" w:hAnsi="仿宋_GB2312" w:cs="仿宋_GB2312" w:eastAsia="仿宋_GB2312"/>
                <w:sz w:val="21"/>
              </w:rPr>
              <w:t>4、一层设汽车库及设备房，保证已建办公楼前院与后院的停车流线连通。</w:t>
            </w:r>
          </w:p>
          <w:p>
            <w:pPr>
              <w:pStyle w:val="null3"/>
            </w:pPr>
            <w:r>
              <w:rPr>
                <w:rFonts w:ascii="仿宋_GB2312" w:hAnsi="仿宋_GB2312" w:cs="仿宋_GB2312" w:eastAsia="仿宋_GB2312"/>
                <w:sz w:val="21"/>
              </w:rPr>
              <w:t>5、二层设诉讼服务中心办事窗口、第三方服务窗口、监控室及警务室、可设少量小法庭及配套办公室，入口处设安检系统。</w:t>
            </w:r>
          </w:p>
          <w:p>
            <w:pPr>
              <w:pStyle w:val="null3"/>
            </w:pPr>
            <w:r>
              <w:rPr>
                <w:rFonts w:ascii="仿宋_GB2312" w:hAnsi="仿宋_GB2312" w:cs="仿宋_GB2312" w:eastAsia="仿宋_GB2312"/>
                <w:sz w:val="21"/>
              </w:rPr>
              <w:t>6、三四层设小法庭及调解接待室，小法庭数量共计不少于27间（含二层小法庭），每间面积不小于36平方米；调解接待室共计不少于18间，每间面积不小于9平方米。</w:t>
            </w:r>
          </w:p>
          <w:p>
            <w:pPr>
              <w:pStyle w:val="null3"/>
            </w:pPr>
            <w:r>
              <w:rPr>
                <w:rFonts w:ascii="仿宋_GB2312" w:hAnsi="仿宋_GB2312" w:cs="仿宋_GB2312" w:eastAsia="仿宋_GB2312"/>
                <w:sz w:val="21"/>
              </w:rPr>
              <w:t>7、五层设大法庭1间及羁押室1处，大法庭面积为400平方米左右。</w:t>
            </w:r>
          </w:p>
          <w:p>
            <w:pPr>
              <w:pStyle w:val="null3"/>
            </w:pPr>
            <w:r>
              <w:rPr>
                <w:rFonts w:ascii="仿宋_GB2312" w:hAnsi="仿宋_GB2312" w:cs="仿宋_GB2312" w:eastAsia="仿宋_GB2312"/>
                <w:sz w:val="21"/>
              </w:rPr>
              <w:t>8、层高要求：负一层3.8米；一层3.8米；二层5.4米；三四层3.8米；五层大法庭部分6.0米，其他部分3.8米；六层3.8米。</w:t>
            </w:r>
          </w:p>
          <w:p>
            <w:pPr>
              <w:pStyle w:val="null3"/>
            </w:pPr>
            <w:r>
              <w:rPr>
                <w:rFonts w:ascii="仿宋_GB2312" w:hAnsi="仿宋_GB2312" w:cs="仿宋_GB2312" w:eastAsia="仿宋_GB2312"/>
                <w:sz w:val="21"/>
              </w:rPr>
              <w:t>9、本次新建部分的设备系统仅满足新建部分的使用。</w:t>
            </w:r>
          </w:p>
          <w:p>
            <w:pPr>
              <w:pStyle w:val="null3"/>
            </w:pPr>
            <w:r>
              <w:rPr>
                <w:rFonts w:ascii="仿宋_GB2312" w:hAnsi="仿宋_GB2312" w:cs="仿宋_GB2312" w:eastAsia="仿宋_GB2312"/>
                <w:sz w:val="21"/>
              </w:rPr>
              <w:t>10、本项目不设枪械室、警械室。</w:t>
            </w:r>
          </w:p>
          <w:p>
            <w:pPr>
              <w:pStyle w:val="null3"/>
            </w:pPr>
            <w:r>
              <w:rPr>
                <w:rFonts w:ascii="仿宋_GB2312" w:hAnsi="仿宋_GB2312" w:cs="仿宋_GB2312" w:eastAsia="仿宋_GB2312"/>
                <w:sz w:val="21"/>
              </w:rPr>
              <w:t>（二）结构设计要求：</w:t>
            </w:r>
          </w:p>
          <w:p>
            <w:pPr>
              <w:pStyle w:val="null3"/>
            </w:pPr>
            <w:r>
              <w:rPr>
                <w:rFonts w:ascii="仿宋_GB2312" w:hAnsi="仿宋_GB2312" w:cs="仿宋_GB2312" w:eastAsia="仿宋_GB2312"/>
                <w:sz w:val="21"/>
              </w:rPr>
              <w:t>1、结构形式采用混凝土框架结构。</w:t>
            </w:r>
          </w:p>
          <w:p>
            <w:pPr>
              <w:pStyle w:val="null3"/>
            </w:pPr>
            <w:r>
              <w:rPr>
                <w:rFonts w:ascii="仿宋_GB2312" w:hAnsi="仿宋_GB2312" w:cs="仿宋_GB2312" w:eastAsia="仿宋_GB2312"/>
                <w:sz w:val="21"/>
              </w:rPr>
              <w:t>（三）给排水设计要求：</w:t>
            </w:r>
          </w:p>
          <w:p>
            <w:pPr>
              <w:pStyle w:val="null3"/>
            </w:pPr>
            <w:r>
              <w:rPr>
                <w:rFonts w:ascii="仿宋_GB2312" w:hAnsi="仿宋_GB2312" w:cs="仿宋_GB2312" w:eastAsia="仿宋_GB2312"/>
                <w:sz w:val="21"/>
              </w:rPr>
              <w:t>1、本项目雨水、污水均排向南一环路。</w:t>
            </w:r>
          </w:p>
          <w:p>
            <w:pPr>
              <w:pStyle w:val="null3"/>
            </w:pPr>
            <w:r>
              <w:rPr>
                <w:rFonts w:ascii="仿宋_GB2312" w:hAnsi="仿宋_GB2312" w:cs="仿宋_GB2312" w:eastAsia="仿宋_GB2312"/>
                <w:sz w:val="21"/>
              </w:rPr>
              <w:t>2、本项目不设生活水泵房及生活水箱间，市政水压、水量能满足本工程使用。</w:t>
            </w:r>
          </w:p>
          <w:p>
            <w:pPr>
              <w:pStyle w:val="null3"/>
            </w:pPr>
            <w:r>
              <w:rPr>
                <w:rFonts w:ascii="仿宋_GB2312" w:hAnsi="仿宋_GB2312" w:cs="仿宋_GB2312" w:eastAsia="仿宋_GB2312"/>
                <w:sz w:val="21"/>
              </w:rPr>
              <w:t>3、除无障碍卫生间外，其他卫生间均采用蹲便。</w:t>
            </w:r>
          </w:p>
          <w:p>
            <w:pPr>
              <w:pStyle w:val="null3"/>
            </w:pPr>
            <w:r>
              <w:rPr>
                <w:rFonts w:ascii="仿宋_GB2312" w:hAnsi="仿宋_GB2312" w:cs="仿宋_GB2312" w:eastAsia="仿宋_GB2312"/>
                <w:sz w:val="21"/>
              </w:rPr>
              <w:t>（四）暖通设计要求：</w:t>
            </w:r>
          </w:p>
          <w:p>
            <w:pPr>
              <w:pStyle w:val="null3"/>
            </w:pPr>
            <w:r>
              <w:rPr>
                <w:rFonts w:ascii="仿宋_GB2312" w:hAnsi="仿宋_GB2312" w:cs="仿宋_GB2312" w:eastAsia="仿宋_GB2312"/>
                <w:sz w:val="21"/>
              </w:rPr>
              <w:t>1、本项目不设地暖，采用多联机空调系统。</w:t>
            </w:r>
          </w:p>
          <w:p>
            <w:pPr>
              <w:pStyle w:val="null3"/>
            </w:pPr>
            <w:r>
              <w:rPr>
                <w:rFonts w:ascii="仿宋_GB2312" w:hAnsi="仿宋_GB2312" w:cs="仿宋_GB2312" w:eastAsia="仿宋_GB2312"/>
                <w:sz w:val="21"/>
              </w:rPr>
              <w:t>（五）电气设计要求：</w:t>
            </w:r>
          </w:p>
          <w:p>
            <w:pPr>
              <w:pStyle w:val="null3"/>
            </w:pPr>
            <w:r>
              <w:rPr>
                <w:rFonts w:ascii="仿宋_GB2312" w:hAnsi="仿宋_GB2312" w:cs="仿宋_GB2312" w:eastAsia="仿宋_GB2312"/>
                <w:sz w:val="21"/>
              </w:rPr>
              <w:t>1、用电负荷在计算值的基础上适当提高。</w:t>
            </w:r>
          </w:p>
          <w:p>
            <w:pPr>
              <w:pStyle w:val="null3"/>
            </w:pPr>
            <w:r>
              <w:rPr>
                <w:rFonts w:ascii="仿宋_GB2312" w:hAnsi="仿宋_GB2312" w:cs="仿宋_GB2312" w:eastAsia="仿宋_GB2312"/>
                <w:sz w:val="21"/>
              </w:rPr>
              <w:t>（六）其他设计要求</w:t>
            </w:r>
          </w:p>
          <w:p>
            <w:pPr>
              <w:pStyle w:val="null3"/>
            </w:pPr>
            <w:r>
              <w:rPr>
                <w:rFonts w:ascii="仿宋_GB2312" w:hAnsi="仿宋_GB2312" w:cs="仿宋_GB2312" w:eastAsia="仿宋_GB2312"/>
                <w:sz w:val="21"/>
              </w:rPr>
              <w:t>1、绿建按一星设计。</w:t>
            </w:r>
          </w:p>
          <w:p>
            <w:pPr>
              <w:pStyle w:val="null3"/>
            </w:pPr>
            <w:r>
              <w:rPr>
                <w:rFonts w:ascii="仿宋_GB2312" w:hAnsi="仿宋_GB2312" w:cs="仿宋_GB2312" w:eastAsia="仿宋_GB2312"/>
                <w:sz w:val="21"/>
              </w:rPr>
              <w:t>2、装配率不小于35%。</w:t>
            </w:r>
          </w:p>
          <w:p>
            <w:pPr>
              <w:pStyle w:val="null3"/>
            </w:pPr>
            <w:r>
              <w:rPr>
                <w:rFonts w:ascii="仿宋_GB2312" w:hAnsi="仿宋_GB2312" w:cs="仿宋_GB2312" w:eastAsia="仿宋_GB2312"/>
                <w:sz w:val="21"/>
              </w:rPr>
              <w:t>3、本项目不设人防，人防异地建设。</w:t>
            </w:r>
          </w:p>
          <w:p>
            <w:pPr>
              <w:pStyle w:val="null3"/>
            </w:pPr>
            <w:r>
              <w:rPr>
                <w:rFonts w:ascii="仿宋_GB2312" w:hAnsi="仿宋_GB2312" w:cs="仿宋_GB2312" w:eastAsia="仿宋_GB2312"/>
                <w:sz w:val="21"/>
              </w:rPr>
              <w:t>三、建筑方案设计成果要求</w:t>
            </w:r>
          </w:p>
          <w:p>
            <w:pPr>
              <w:pStyle w:val="null3"/>
            </w:pPr>
            <w:r>
              <w:rPr>
                <w:rFonts w:ascii="仿宋_GB2312" w:hAnsi="仿宋_GB2312" w:cs="仿宋_GB2312" w:eastAsia="仿宋_GB2312"/>
                <w:sz w:val="21"/>
              </w:rPr>
              <w:t>1、建筑方案设计深度需满足国家建设部《建筑工程设计文件编制深度规定》的相关要求。</w:t>
            </w:r>
          </w:p>
          <w:p>
            <w:pPr>
              <w:pStyle w:val="null3"/>
            </w:pPr>
            <w:r>
              <w:rPr>
                <w:rFonts w:ascii="仿宋_GB2312" w:hAnsi="仿宋_GB2312" w:cs="仿宋_GB2312" w:eastAsia="仿宋_GB2312"/>
                <w:sz w:val="21"/>
              </w:rPr>
              <w:t>2、图纸内容包括：设计说明及经济技术指标、区位图、现状分析图、总体鸟瞰图、主要立面透视图、总体规划平面图、各层平面图、立面图、剖面图。</w:t>
            </w:r>
          </w:p>
          <w:p>
            <w:pPr>
              <w:pStyle w:val="null3"/>
            </w:pPr>
            <w:r>
              <w:rPr>
                <w:rFonts w:ascii="仿宋_GB2312" w:hAnsi="仿宋_GB2312" w:cs="仿宋_GB2312" w:eastAsia="仿宋_GB2312"/>
                <w:sz w:val="21"/>
              </w:rPr>
              <w:t>3、纸质方案文本4份，电子版文件1份；具体数量以项目实际需要为准。</w:t>
            </w:r>
          </w:p>
          <w:p>
            <w:pPr>
              <w:pStyle w:val="null3"/>
            </w:pPr>
            <w:r>
              <w:rPr>
                <w:rFonts w:ascii="仿宋_GB2312" w:hAnsi="仿宋_GB2312" w:cs="仿宋_GB2312" w:eastAsia="仿宋_GB2312"/>
                <w:sz w:val="21"/>
              </w:rPr>
              <w:t>四、建筑初步设计成果要求</w:t>
            </w:r>
          </w:p>
          <w:p>
            <w:pPr>
              <w:pStyle w:val="null3"/>
            </w:pPr>
            <w:r>
              <w:rPr>
                <w:rFonts w:ascii="仿宋_GB2312" w:hAnsi="仿宋_GB2312" w:cs="仿宋_GB2312" w:eastAsia="仿宋_GB2312"/>
                <w:sz w:val="21"/>
              </w:rPr>
              <w:t>1、建筑初步设计深度需满足国家建设部《建筑工程设计文件编制深度规定》的相关要求。</w:t>
            </w:r>
          </w:p>
          <w:p>
            <w:pPr>
              <w:pStyle w:val="null3"/>
            </w:pPr>
            <w:r>
              <w:rPr>
                <w:rFonts w:ascii="仿宋_GB2312" w:hAnsi="仿宋_GB2312" w:cs="仿宋_GB2312" w:eastAsia="仿宋_GB2312"/>
                <w:sz w:val="21"/>
              </w:rPr>
              <w:t>2、通过初步设计评审。</w:t>
            </w:r>
          </w:p>
          <w:p>
            <w:pPr>
              <w:pStyle w:val="null3"/>
            </w:pPr>
            <w:r>
              <w:rPr>
                <w:rFonts w:ascii="仿宋_GB2312" w:hAnsi="仿宋_GB2312" w:cs="仿宋_GB2312" w:eastAsia="仿宋_GB2312"/>
                <w:sz w:val="21"/>
              </w:rPr>
              <w:t>3、初步设计纸质文件4份，电子版文件1份。</w:t>
            </w:r>
            <w:r>
              <w:rPr>
                <w:rFonts w:ascii="仿宋_GB2312" w:hAnsi="仿宋_GB2312" w:cs="仿宋_GB2312" w:eastAsia="仿宋_GB2312"/>
                <w:sz w:val="21"/>
              </w:rPr>
              <w:t>具体数量以项目实际需要为准。</w:t>
            </w:r>
          </w:p>
          <w:p>
            <w:pPr>
              <w:pStyle w:val="null3"/>
            </w:pPr>
            <w:r>
              <w:rPr>
                <w:rFonts w:ascii="仿宋_GB2312" w:hAnsi="仿宋_GB2312" w:cs="仿宋_GB2312" w:eastAsia="仿宋_GB2312"/>
                <w:sz w:val="21"/>
              </w:rPr>
              <w:t>五、建筑施工图设计成果要求</w:t>
            </w:r>
          </w:p>
          <w:p>
            <w:pPr>
              <w:pStyle w:val="null3"/>
            </w:pPr>
            <w:r>
              <w:rPr>
                <w:rFonts w:ascii="仿宋_GB2312" w:hAnsi="仿宋_GB2312" w:cs="仿宋_GB2312" w:eastAsia="仿宋_GB2312"/>
                <w:sz w:val="21"/>
              </w:rPr>
              <w:t>1、建筑施工图设计深度需满足国家建设部《建筑工程设计文件编制深度规定》的相关要求。</w:t>
            </w:r>
          </w:p>
          <w:p>
            <w:pPr>
              <w:pStyle w:val="null3"/>
            </w:pPr>
            <w:r>
              <w:rPr>
                <w:rFonts w:ascii="仿宋_GB2312" w:hAnsi="仿宋_GB2312" w:cs="仿宋_GB2312" w:eastAsia="仿宋_GB2312"/>
                <w:sz w:val="21"/>
              </w:rPr>
              <w:t>2、通过审图审查。</w:t>
            </w:r>
          </w:p>
          <w:p>
            <w:pPr>
              <w:pStyle w:val="null3"/>
            </w:pPr>
            <w:r>
              <w:rPr>
                <w:rFonts w:ascii="仿宋_GB2312" w:hAnsi="仿宋_GB2312" w:cs="仿宋_GB2312" w:eastAsia="仿宋_GB2312"/>
                <w:sz w:val="21"/>
              </w:rPr>
              <w:t>3、各专业纸质图纸及相关计算书8份，电子版文件1份。</w:t>
            </w:r>
            <w:r>
              <w:rPr>
                <w:rFonts w:ascii="仿宋_GB2312" w:hAnsi="仿宋_GB2312" w:cs="仿宋_GB2312" w:eastAsia="仿宋_GB2312"/>
                <w:sz w:val="21"/>
              </w:rPr>
              <w:t>具体数量以项目实际需要为准。</w:t>
            </w:r>
          </w:p>
          <w:p>
            <w:pPr>
              <w:pStyle w:val="null3"/>
            </w:pPr>
            <w:r>
              <w:rPr>
                <w:rFonts w:ascii="仿宋_GB2312" w:hAnsi="仿宋_GB2312" w:cs="仿宋_GB2312" w:eastAsia="仿宋_GB2312"/>
                <w:sz w:val="21"/>
              </w:rPr>
              <w:t>六、景观设计专项要求</w:t>
            </w:r>
          </w:p>
          <w:p>
            <w:pPr>
              <w:pStyle w:val="null3"/>
            </w:pPr>
            <w:r>
              <w:rPr>
                <w:rFonts w:ascii="仿宋_GB2312" w:hAnsi="仿宋_GB2312" w:cs="仿宋_GB2312" w:eastAsia="仿宋_GB2312"/>
                <w:sz w:val="21"/>
              </w:rPr>
              <w:t>（一）设计依据</w:t>
            </w:r>
          </w:p>
          <w:p>
            <w:pPr>
              <w:pStyle w:val="null3"/>
            </w:pPr>
            <w:r>
              <w:rPr>
                <w:rFonts w:ascii="仿宋_GB2312" w:hAnsi="仿宋_GB2312" w:cs="仿宋_GB2312" w:eastAsia="仿宋_GB2312"/>
                <w:sz w:val="21"/>
              </w:rPr>
              <w:t>与可研报告、总平面、建筑方案一致，符合汉中市规划、消防、绿化、海绵城市要求。</w:t>
            </w:r>
          </w:p>
          <w:p>
            <w:pPr>
              <w:pStyle w:val="null3"/>
            </w:pPr>
            <w:r>
              <w:rPr>
                <w:rFonts w:ascii="仿宋_GB2312" w:hAnsi="仿宋_GB2312" w:cs="仿宋_GB2312" w:eastAsia="仿宋_GB2312"/>
                <w:sz w:val="21"/>
              </w:rPr>
              <w:t>执行《无障碍设计规范》《城市道路和建筑物无障碍设计规范》。</w:t>
            </w:r>
          </w:p>
          <w:p>
            <w:pPr>
              <w:pStyle w:val="null3"/>
            </w:pPr>
            <w:r>
              <w:rPr>
                <w:rFonts w:ascii="仿宋_GB2312" w:hAnsi="仿宋_GB2312" w:cs="仿宋_GB2312" w:eastAsia="仿宋_GB2312"/>
                <w:sz w:val="21"/>
              </w:rPr>
              <w:t>（二）总体原则</w:t>
            </w:r>
          </w:p>
          <w:p>
            <w:pPr>
              <w:pStyle w:val="null3"/>
            </w:pPr>
            <w:r>
              <w:rPr>
                <w:rFonts w:ascii="仿宋_GB2312" w:hAnsi="仿宋_GB2312" w:cs="仿宋_GB2312" w:eastAsia="仿宋_GB2312"/>
                <w:sz w:val="21"/>
              </w:rPr>
              <w:t>现代简约、庄重肃穆，与建筑风格统一，满足法院司法形象与便民使用。</w:t>
            </w:r>
          </w:p>
          <w:p>
            <w:pPr>
              <w:pStyle w:val="null3"/>
            </w:pPr>
            <w:r>
              <w:rPr>
                <w:rFonts w:ascii="仿宋_GB2312" w:hAnsi="仿宋_GB2312" w:cs="仿宋_GB2312" w:eastAsia="仿宋_GB2312"/>
                <w:sz w:val="21"/>
              </w:rPr>
              <w:t>以硬质铺装 + 简洁绿化为主，不搞复杂景观，便于管理、安全整洁。</w:t>
            </w:r>
          </w:p>
          <w:p>
            <w:pPr>
              <w:pStyle w:val="null3"/>
            </w:pPr>
            <w:r>
              <w:rPr>
                <w:rFonts w:ascii="仿宋_GB2312" w:hAnsi="仿宋_GB2312" w:cs="仿宋_GB2312" w:eastAsia="仿宋_GB2312"/>
                <w:sz w:val="21"/>
              </w:rPr>
              <w:t>（三）规模与内容</w:t>
            </w:r>
          </w:p>
          <w:p>
            <w:pPr>
              <w:pStyle w:val="null3"/>
            </w:pPr>
            <w:r>
              <w:rPr>
                <w:rFonts w:ascii="仿宋_GB2312" w:hAnsi="仿宋_GB2312" w:cs="仿宋_GB2312" w:eastAsia="仿宋_GB2312"/>
                <w:sz w:val="21"/>
              </w:rPr>
              <w:t>绿化面积约600㎡，以乡土适生植物为主，以灌木、草坪为主，不种高大乔木。</w:t>
            </w:r>
          </w:p>
          <w:p>
            <w:pPr>
              <w:pStyle w:val="null3"/>
            </w:pPr>
            <w:r>
              <w:rPr>
                <w:rFonts w:ascii="仿宋_GB2312" w:hAnsi="仿宋_GB2312" w:cs="仿宋_GB2312" w:eastAsia="仿宋_GB2312"/>
                <w:sz w:val="21"/>
              </w:rPr>
              <w:t>硬化场地与道路约1800㎡，满足通行、消防、停车、安防要求。</w:t>
            </w:r>
          </w:p>
          <w:p>
            <w:pPr>
              <w:pStyle w:val="null3"/>
            </w:pPr>
            <w:r>
              <w:rPr>
                <w:rFonts w:ascii="仿宋_GB2312" w:hAnsi="仿宋_GB2312" w:cs="仿宋_GB2312" w:eastAsia="仿宋_GB2312"/>
                <w:sz w:val="21"/>
              </w:rPr>
              <w:t>完善雨水排放、室外管网、标识、照明、安防监控配套。</w:t>
            </w:r>
          </w:p>
          <w:p>
            <w:pPr>
              <w:pStyle w:val="null3"/>
            </w:pPr>
            <w:r>
              <w:rPr>
                <w:rFonts w:ascii="仿宋_GB2312" w:hAnsi="仿宋_GB2312" w:cs="仿宋_GB2312" w:eastAsia="仿宋_GB2312"/>
                <w:sz w:val="21"/>
              </w:rPr>
              <w:t>（四）交通与流线</w:t>
            </w:r>
          </w:p>
          <w:p>
            <w:pPr>
              <w:pStyle w:val="null3"/>
            </w:pPr>
            <w:r>
              <w:rPr>
                <w:rFonts w:ascii="仿宋_GB2312" w:hAnsi="仿宋_GB2312" w:cs="仿宋_GB2312" w:eastAsia="仿宋_GB2312"/>
                <w:sz w:val="21"/>
              </w:rPr>
              <w:t>人车分流，审判流线、诉讼人流、羁押流线、消防流线清晰隔离。</w:t>
            </w:r>
          </w:p>
          <w:p>
            <w:pPr>
              <w:pStyle w:val="null3"/>
            </w:pPr>
            <w:r>
              <w:rPr>
                <w:rFonts w:ascii="仿宋_GB2312" w:hAnsi="仿宋_GB2312" w:cs="仿宋_GB2312" w:eastAsia="仿宋_GB2312"/>
                <w:sz w:val="21"/>
              </w:rPr>
              <w:t>保证前后院停车连通，应急出入口顺畅。</w:t>
            </w:r>
          </w:p>
          <w:p>
            <w:pPr>
              <w:pStyle w:val="null3"/>
            </w:pPr>
            <w:r>
              <w:rPr>
                <w:rFonts w:ascii="仿宋_GB2312" w:hAnsi="仿宋_GB2312" w:cs="仿宋_GB2312" w:eastAsia="仿宋_GB2312"/>
                <w:sz w:val="21"/>
              </w:rPr>
              <w:t>（五）海绵与环保</w:t>
            </w:r>
          </w:p>
          <w:p>
            <w:pPr>
              <w:pStyle w:val="null3"/>
            </w:pPr>
            <w:r>
              <w:rPr>
                <w:rFonts w:ascii="仿宋_GB2312" w:hAnsi="仿宋_GB2312" w:cs="仿宋_GB2312" w:eastAsia="仿宋_GB2312"/>
                <w:sz w:val="21"/>
              </w:rPr>
              <w:t>雨水按规划排入南一环路市政管网，采用透水铺装、简易雨水花园。</w:t>
            </w:r>
          </w:p>
          <w:p>
            <w:pPr>
              <w:pStyle w:val="null3"/>
            </w:pPr>
            <w:r>
              <w:rPr>
                <w:rFonts w:ascii="仿宋_GB2312" w:hAnsi="仿宋_GB2312" w:cs="仿宋_GB2312" w:eastAsia="仿宋_GB2312"/>
                <w:sz w:val="21"/>
              </w:rPr>
              <w:t>绿建一星标准，节能、节水、降噪。</w:t>
            </w:r>
          </w:p>
          <w:p>
            <w:pPr>
              <w:pStyle w:val="null3"/>
            </w:pPr>
            <w:r>
              <w:rPr>
                <w:rFonts w:ascii="仿宋_GB2312" w:hAnsi="仿宋_GB2312" w:cs="仿宋_GB2312" w:eastAsia="仿宋_GB2312"/>
                <w:sz w:val="21"/>
              </w:rPr>
              <w:t>（六）成果要求</w:t>
            </w:r>
          </w:p>
          <w:p>
            <w:pPr>
              <w:pStyle w:val="null3"/>
            </w:pPr>
            <w:r>
              <w:rPr>
                <w:rFonts w:ascii="仿宋_GB2312" w:hAnsi="仿宋_GB2312" w:cs="仿宋_GB2312" w:eastAsia="仿宋_GB2312"/>
                <w:sz w:val="21"/>
              </w:rPr>
              <w:t>景观总平面图、竖向设计、植物配置、铺装详图、照明与安防点位图。</w:t>
            </w:r>
          </w:p>
          <w:p>
            <w:pPr>
              <w:pStyle w:val="null3"/>
            </w:pPr>
            <w:r>
              <w:rPr>
                <w:rFonts w:ascii="仿宋_GB2312" w:hAnsi="仿宋_GB2312" w:cs="仿宋_GB2312" w:eastAsia="仿宋_GB2312"/>
                <w:sz w:val="21"/>
              </w:rPr>
              <w:t>七、室内装修专项要求</w:t>
            </w:r>
          </w:p>
          <w:p>
            <w:pPr>
              <w:pStyle w:val="null3"/>
            </w:pPr>
            <w:r>
              <w:rPr>
                <w:rFonts w:ascii="仿宋_GB2312" w:hAnsi="仿宋_GB2312" w:cs="仿宋_GB2312" w:eastAsia="仿宋_GB2312"/>
                <w:sz w:val="21"/>
              </w:rPr>
              <w:t>（一）设计依据</w:t>
            </w:r>
          </w:p>
          <w:p>
            <w:pPr>
              <w:pStyle w:val="null3"/>
            </w:pPr>
            <w:r>
              <w:rPr>
                <w:rFonts w:ascii="仿宋_GB2312" w:hAnsi="仿宋_GB2312" w:cs="仿宋_GB2312" w:eastAsia="仿宋_GB2312"/>
                <w:sz w:val="21"/>
              </w:rPr>
              <w:t>符合《人民法院法庭建设标准》《党政机关办公用房建设标准》。</w:t>
            </w:r>
          </w:p>
          <w:p>
            <w:pPr>
              <w:pStyle w:val="null3"/>
            </w:pPr>
            <w:r>
              <w:rPr>
                <w:rFonts w:ascii="仿宋_GB2312" w:hAnsi="仿宋_GB2312" w:cs="仿宋_GB2312" w:eastAsia="仿宋_GB2312"/>
                <w:sz w:val="21"/>
              </w:rPr>
              <w:t>与可研、建筑功能、面积、层高完全匹配。</w:t>
            </w:r>
          </w:p>
          <w:p>
            <w:pPr>
              <w:pStyle w:val="null3"/>
            </w:pPr>
            <w:r>
              <w:rPr>
                <w:rFonts w:ascii="仿宋_GB2312" w:hAnsi="仿宋_GB2312" w:cs="仿宋_GB2312" w:eastAsia="仿宋_GB2312"/>
                <w:sz w:val="21"/>
              </w:rPr>
              <w:t>（二）总体原则</w:t>
            </w:r>
          </w:p>
          <w:p>
            <w:pPr>
              <w:pStyle w:val="null3"/>
            </w:pPr>
            <w:r>
              <w:rPr>
                <w:rFonts w:ascii="仿宋_GB2312" w:hAnsi="仿宋_GB2312" w:cs="仿宋_GB2312" w:eastAsia="仿宋_GB2312"/>
                <w:sz w:val="21"/>
              </w:rPr>
              <w:t>简洁实用、庄重规范、安全环保，不超标准、不超概算。</w:t>
            </w:r>
          </w:p>
          <w:p>
            <w:pPr>
              <w:pStyle w:val="null3"/>
            </w:pPr>
            <w:r>
              <w:rPr>
                <w:rFonts w:ascii="仿宋_GB2312" w:hAnsi="仿宋_GB2312" w:cs="仿宋_GB2312" w:eastAsia="仿宋_GB2312"/>
                <w:sz w:val="21"/>
              </w:rPr>
              <w:t>材料耐久易清洁，满足司法用房防火、隔声、安防、保密要求。</w:t>
            </w:r>
          </w:p>
          <w:p>
            <w:pPr>
              <w:pStyle w:val="null3"/>
            </w:pPr>
            <w:r>
              <w:rPr>
                <w:rFonts w:ascii="仿宋_GB2312" w:hAnsi="仿宋_GB2312" w:cs="仿宋_GB2312" w:eastAsia="仿宋_GB2312"/>
                <w:sz w:val="21"/>
              </w:rPr>
              <w:t>（三）功能空间装修标准</w:t>
            </w:r>
          </w:p>
          <w:p>
            <w:pPr>
              <w:pStyle w:val="null3"/>
            </w:pPr>
            <w:r>
              <w:rPr>
                <w:rFonts w:ascii="仿宋_GB2312" w:hAnsi="仿宋_GB2312" w:cs="仿宋_GB2312" w:eastAsia="仿宋_GB2312"/>
                <w:sz w:val="21"/>
              </w:rPr>
              <w:t>诉讼服务中心（二层）：明亮通透，便民导向，标准化窗口柜台，防火阻燃材料。</w:t>
            </w:r>
          </w:p>
          <w:p>
            <w:pPr>
              <w:pStyle w:val="null3"/>
            </w:pPr>
            <w:r>
              <w:rPr>
                <w:rFonts w:ascii="仿宋_GB2312" w:hAnsi="仿宋_GB2312" w:cs="仿宋_GB2312" w:eastAsia="仿宋_GB2312"/>
                <w:sz w:val="21"/>
              </w:rPr>
              <w:t>法庭（27 间小法庭 + 1 间大法庭）：庄严肃穆，隔声达标，庭审专用墙面、地台、栏杆、审判台标准做法。</w:t>
            </w:r>
          </w:p>
          <w:p>
            <w:pPr>
              <w:pStyle w:val="null3"/>
            </w:pPr>
            <w:r>
              <w:rPr>
                <w:rFonts w:ascii="仿宋_GB2312" w:hAnsi="仿宋_GB2312" w:cs="仿宋_GB2312" w:eastAsia="仿宋_GB2312"/>
                <w:sz w:val="21"/>
              </w:rPr>
              <w:t>调解室 / 接待室（18 间）：简约亲和，隔音良好，便于沟通。</w:t>
            </w:r>
          </w:p>
          <w:p>
            <w:pPr>
              <w:pStyle w:val="null3"/>
            </w:pPr>
            <w:r>
              <w:rPr>
                <w:rFonts w:ascii="仿宋_GB2312" w:hAnsi="仿宋_GB2312" w:cs="仿宋_GB2312" w:eastAsia="仿宋_GB2312"/>
                <w:sz w:val="21"/>
              </w:rPr>
              <w:t>羁押室（五层）：安防防撞、防逃脱、防自伤，软包与监控到位。</w:t>
            </w:r>
          </w:p>
          <w:p>
            <w:pPr>
              <w:pStyle w:val="null3"/>
            </w:pPr>
            <w:r>
              <w:rPr>
                <w:rFonts w:ascii="仿宋_GB2312" w:hAnsi="仿宋_GB2312" w:cs="仿宋_GB2312" w:eastAsia="仿宋_GB2312"/>
                <w:sz w:val="21"/>
              </w:rPr>
              <w:t>走廊 / 楼梯 / 卫生间：防滑耐磨、易保洁，无障碍到位，卫生间除无障碍间外均为蹲便。</w:t>
            </w:r>
          </w:p>
          <w:p>
            <w:pPr>
              <w:pStyle w:val="null3"/>
            </w:pPr>
            <w:r>
              <w:rPr>
                <w:rFonts w:ascii="仿宋_GB2312" w:hAnsi="仿宋_GB2312" w:cs="仿宋_GB2312" w:eastAsia="仿宋_GB2312"/>
                <w:sz w:val="21"/>
              </w:rPr>
              <w:t>机房 / 设备间 / 车库：防尘、耐磨、防火，满足设备与通风要求。</w:t>
            </w:r>
          </w:p>
          <w:p>
            <w:pPr>
              <w:pStyle w:val="null3"/>
            </w:pPr>
            <w:r>
              <w:rPr>
                <w:rFonts w:ascii="仿宋_GB2312" w:hAnsi="仿宋_GB2312" w:cs="仿宋_GB2312" w:eastAsia="仿宋_GB2312"/>
                <w:sz w:val="21"/>
              </w:rPr>
              <w:t>（四）技术指标</w:t>
            </w:r>
          </w:p>
          <w:p>
            <w:pPr>
              <w:pStyle w:val="null3"/>
            </w:pPr>
            <w:r>
              <w:rPr>
                <w:rFonts w:ascii="仿宋_GB2312" w:hAnsi="仿宋_GB2312" w:cs="仿宋_GB2312" w:eastAsia="仿宋_GB2312"/>
              </w:rPr>
              <w:t xml:space="preserve">    </w:t>
            </w:r>
            <w:r>
              <w:rPr>
                <w:rFonts w:ascii="仿宋_GB2312" w:hAnsi="仿宋_GB2312" w:cs="仿宋_GB2312" w:eastAsia="仿宋_GB2312"/>
                <w:sz w:val="21"/>
              </w:rPr>
              <w:t>绿建一星，装配率≥35%，室内环保达标。</w:t>
            </w:r>
          </w:p>
          <w:p>
            <w:pPr>
              <w:pStyle w:val="null3"/>
            </w:pPr>
            <w:r>
              <w:rPr>
                <w:rFonts w:ascii="仿宋_GB2312" w:hAnsi="仿宋_GB2312" w:cs="仿宋_GB2312" w:eastAsia="仿宋_GB2312"/>
                <w:sz w:val="21"/>
              </w:rPr>
              <w:t>（五）机电与装修配合</w:t>
            </w:r>
          </w:p>
          <w:p>
            <w:pPr>
              <w:pStyle w:val="null3"/>
            </w:pPr>
            <w:r>
              <w:rPr>
                <w:rFonts w:ascii="仿宋_GB2312" w:hAnsi="仿宋_GB2312" w:cs="仿宋_GB2312" w:eastAsia="仿宋_GB2312"/>
                <w:sz w:val="21"/>
              </w:rPr>
              <w:t>多联机空调、消防、弱电、安防、照明、应急指示与装修一体化收口。</w:t>
            </w:r>
          </w:p>
          <w:p>
            <w:pPr>
              <w:pStyle w:val="null3"/>
            </w:pPr>
            <w:r>
              <w:rPr>
                <w:rFonts w:ascii="仿宋_GB2312" w:hAnsi="仿宋_GB2312" w:cs="仿宋_GB2312" w:eastAsia="仿宋_GB2312"/>
                <w:sz w:val="21"/>
              </w:rPr>
              <w:t>法庭、诉讼大厅、羁押区安防与音视频点位预埋到位。</w:t>
            </w:r>
          </w:p>
          <w:p>
            <w:pPr>
              <w:pStyle w:val="null3"/>
            </w:pPr>
            <w:r>
              <w:rPr>
                <w:rFonts w:ascii="仿宋_GB2312" w:hAnsi="仿宋_GB2312" w:cs="仿宋_GB2312" w:eastAsia="仿宋_GB2312"/>
                <w:sz w:val="21"/>
              </w:rPr>
              <w:t>（六）成果要求</w:t>
            </w:r>
          </w:p>
          <w:p>
            <w:pPr>
              <w:pStyle w:val="null3"/>
            </w:pPr>
            <w:r>
              <w:rPr>
                <w:rFonts w:ascii="仿宋_GB2312" w:hAnsi="仿宋_GB2312" w:cs="仿宋_GB2312" w:eastAsia="仿宋_GB2312"/>
                <w:sz w:val="21"/>
              </w:rPr>
              <w:t xml:space="preserve">   各层平面布置、天花、地面、立面、节点详图、材料表、灯具点位、安防点位。</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拟派设计负责人满足资格条件要求，配备其他人员满足项目履约需要。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设施设备以项目履约实际需要为准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乙方提供服务质量及服务进度，满足采购人要求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自合同签订至项目竣工验收，供应商完成全部服务，并完成资料汇总移交。</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1、乙方交付纸质版成果及电子版成果。 2、乙方交付成果符合国家、行业规定及采购人要求。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15.00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方案设计成果提交，并经审核完成后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建筑单体施工图设计提交，经审核完成后并通过施工图审查</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35.00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室内外配套工程（室外景观及室内精装修专项设计）提交，并经审核完成后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5、</w:t>
      </w:r>
      <w:r>
        <w:rPr>
          <w:rFonts w:ascii="仿宋_GB2312" w:hAnsi="仿宋_GB2312" w:cs="仿宋_GB2312" w:eastAsia="仿宋_GB2312"/>
        </w:rPr>
        <w:t xml:space="preserve"> 付款条件说明： </w:t>
      </w:r>
      <w:r>
        <w:rPr>
          <w:rFonts w:ascii="仿宋_GB2312" w:hAnsi="仿宋_GB2312" w:cs="仿宋_GB2312" w:eastAsia="仿宋_GB2312"/>
        </w:rPr>
        <w:t>配合工程设计技术交底、工程施工、竣工验收后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双方出现违约协商失败的，双方均可在甲方所在地进行诉讼。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1、合同履约过程中发生的专家评审、论证、报批程序等所需费用均包含在投标报价中。 2、项目建设期内，乙方提供配套服务必须满足采购单位要求及项目建设需求，否则采购单位有权扣减其合同款项；情节严重的，采购单位有权单方面终止合同，相关违约责任由乙方自行承担。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特定资格要求1--主体资格-响应格式.docx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w:t>
            </w:r>
          </w:p>
        </w:tc>
        <w:tc>
          <w:tcPr>
            <w:tcW w:type="dxa" w:w="3322"/>
          </w:tcPr>
          <w:p>
            <w:pPr>
              <w:pStyle w:val="null3"/>
            </w:pPr>
            <w:r>
              <w:rPr>
                <w:rFonts w:ascii="仿宋_GB2312" w:hAnsi="仿宋_GB2312" w:cs="仿宋_GB2312" w:eastAsia="仿宋_GB2312"/>
              </w:rPr>
              <w:t>供应商应授权合法的人员参加投标，其中法定代表人直接参加的，须出具身份证，并与营业执照上信息一致；被授权代表参加的，须出具法定代表人授权书及被授权人身份证；（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特定资格要求2--法人身份证明、授权委托书-响应格式.docx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w:t>
            </w:r>
          </w:p>
        </w:tc>
        <w:tc>
          <w:tcPr>
            <w:tcW w:type="dxa" w:w="3322"/>
          </w:tcPr>
          <w:p>
            <w:pPr>
              <w:pStyle w:val="null3"/>
            </w:pPr>
            <w:r>
              <w:rPr>
                <w:rFonts w:ascii="仿宋_GB2312" w:hAnsi="仿宋_GB2312" w:cs="仿宋_GB2312" w:eastAsia="仿宋_GB2312"/>
              </w:rPr>
              <w:t>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特定资格要求3--汉中市政府采购供应商资格承诺函-响应格式.docx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供应商须具有建设行政主管部门核发的工程设计综合级资质或建筑行业设计乙级或建筑行业（建筑工程）乙级及以上资质；供应商需在项目电子化交易系统中按要求上传相应证明文件并进行电子签章。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特定资格要求4--企业资质-响应格式.docx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拟派设计负责人</w:t>
            </w:r>
          </w:p>
        </w:tc>
        <w:tc>
          <w:tcPr>
            <w:tcW w:type="dxa" w:w="3322"/>
          </w:tcPr>
          <w:p>
            <w:pPr>
              <w:pStyle w:val="null3"/>
            </w:pPr>
            <w:r>
              <w:rPr>
                <w:rFonts w:ascii="仿宋_GB2312" w:hAnsi="仿宋_GB2312" w:cs="仿宋_GB2312" w:eastAsia="仿宋_GB2312"/>
              </w:rPr>
              <w:t>拟派设计负责人须具备国家二级及以上注册建筑师执业资格，且在本单位注册；供应商需在项目电子化交易系统中按要求上传相应证明文件并进行电子签章。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特定资格要求5--拟派设计负责人-响应格式.docx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投标文件格式、盖章、签署、投标商务响应、投标技术响应等符合性审查</w:t>
            </w:r>
          </w:p>
        </w:tc>
        <w:tc>
          <w:tcPr>
            <w:tcW w:type="dxa" w:w="3322"/>
          </w:tcPr>
          <w:p>
            <w:pPr>
              <w:pStyle w:val="null3"/>
            </w:pPr>
            <w:r>
              <w:rPr>
                <w:rFonts w:ascii="仿宋_GB2312" w:hAnsi="仿宋_GB2312" w:cs="仿宋_GB2312" w:eastAsia="仿宋_GB2312"/>
              </w:rPr>
              <w:t>投标文件格式、盖章、签署、投标商务响应、投标技术响应等符合招标文件要求，无重大缺漏项或重大负偏离</w:t>
            </w:r>
          </w:p>
        </w:tc>
        <w:tc>
          <w:tcPr>
            <w:tcW w:type="dxa" w:w="1661"/>
          </w:tcPr>
          <w:p>
            <w:pPr>
              <w:pStyle w:val="null3"/>
            </w:pPr>
            <w:r>
              <w:rPr>
                <w:rFonts w:ascii="仿宋_GB2312" w:hAnsi="仿宋_GB2312" w:cs="仿宋_GB2312" w:eastAsia="仿宋_GB2312"/>
              </w:rPr>
              <w:t>响应文件封面 服务内容及服务邀请应答表 商务应答表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项目理解及解读</w:t>
            </w:r>
          </w:p>
        </w:tc>
        <w:tc>
          <w:tcPr>
            <w:tcW w:type="dxa" w:w="2492"/>
          </w:tcPr>
          <w:p>
            <w:pPr>
              <w:pStyle w:val="null3"/>
            </w:pPr>
            <w:r>
              <w:rPr>
                <w:rFonts w:ascii="仿宋_GB2312" w:hAnsi="仿宋_GB2312" w:cs="仿宋_GB2312" w:eastAsia="仿宋_GB2312"/>
              </w:rPr>
              <w:t>一、评审内容 针对本项目列明详细的项目理解及解读，内容包括： ①项目背景目标及建设内容②专业资料的搜集与内容梳理（规范分析、政策需求）。 二、赋分标准 1、完整性：方案内容完整全面，对上述各项内容均有描述及说明，得10.0分；每缺1项，以10.0分为基础扣5.0分，扣完为止。 2、针对性：针对性强，得5.0分；针对性一般，得3.0分；缺乏针对性，得1.0分；未按要求进行响应的，得0分。 3、可实施性：可实施性强，得5.0分；可实施性一般，得3.0分；缺乏可实施性，得1.0分；未按要求进行响应的，得0分。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详细评审-1、项目理解及解读.docx</w:t>
            </w:r>
          </w:p>
        </w:tc>
      </w:tr>
      <w:tr>
        <w:tc>
          <w:tcPr>
            <w:tcW w:type="dxa" w:w="831"/>
            <w:vMerge/>
          </w:tcPr>
          <w:p/>
        </w:tc>
        <w:tc>
          <w:tcPr>
            <w:tcW w:type="dxa" w:w="1661"/>
          </w:tcPr>
          <w:p>
            <w:pPr>
              <w:pStyle w:val="null3"/>
            </w:pPr>
            <w:r>
              <w:rPr>
                <w:rFonts w:ascii="仿宋_GB2312" w:hAnsi="仿宋_GB2312" w:cs="仿宋_GB2312" w:eastAsia="仿宋_GB2312"/>
              </w:rPr>
              <w:t>整体设计方案</w:t>
            </w:r>
          </w:p>
        </w:tc>
        <w:tc>
          <w:tcPr>
            <w:tcW w:type="dxa" w:w="2492"/>
          </w:tcPr>
          <w:p>
            <w:pPr>
              <w:pStyle w:val="null3"/>
            </w:pPr>
            <w:r>
              <w:rPr>
                <w:rFonts w:ascii="仿宋_GB2312" w:hAnsi="仿宋_GB2312" w:cs="仿宋_GB2312" w:eastAsia="仿宋_GB2312"/>
              </w:rPr>
              <w:t>一、评审内容 针对本项目详细说明设计思路方案，内容包括： ①总体设计方案（总体规划平面图，含经济技术指标）；②建筑单体效果图。 二、赋分标准 1、完整性：响应内容完整全面，对上述各项内容均有描述及说明，得10.0分；每缺1项，以10.0分为基础扣5.0分，扣完为止。 2、针对性：针对性强，得5.0分；针对性一般，得3.0分；缺乏针对性，得1.0分；未按要求进行响应的，得0分。 3、可实施性：可实施性强，得5.0分；可实施性一般，得3.0分；缺乏可实施性，得1.0分；未按要求进行响应的，得0分。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详细评审-2、整体设计方案.docx</w:t>
            </w:r>
          </w:p>
        </w:tc>
      </w:tr>
      <w:tr>
        <w:tc>
          <w:tcPr>
            <w:tcW w:type="dxa" w:w="831"/>
            <w:vMerge/>
          </w:tcPr>
          <w:p/>
        </w:tc>
        <w:tc>
          <w:tcPr>
            <w:tcW w:type="dxa" w:w="1661"/>
          </w:tcPr>
          <w:p>
            <w:pPr>
              <w:pStyle w:val="null3"/>
            </w:pPr>
            <w:r>
              <w:rPr>
                <w:rFonts w:ascii="仿宋_GB2312" w:hAnsi="仿宋_GB2312" w:cs="仿宋_GB2312" w:eastAsia="仿宋_GB2312"/>
              </w:rPr>
              <w:t>设计服务质量及工期进度保障方案</w:t>
            </w:r>
          </w:p>
        </w:tc>
        <w:tc>
          <w:tcPr>
            <w:tcW w:type="dxa" w:w="2492"/>
          </w:tcPr>
          <w:p>
            <w:pPr>
              <w:pStyle w:val="null3"/>
            </w:pPr>
            <w:r>
              <w:rPr>
                <w:rFonts w:ascii="仿宋_GB2312" w:hAnsi="仿宋_GB2312" w:cs="仿宋_GB2312" w:eastAsia="仿宋_GB2312"/>
              </w:rPr>
              <w:t>一、评审内容 针对本项目提供设计服务质量及工期进度保障方案，内容包括：①项目管理方案、服务质量的保障方案；②工作计划、时间节点、进度工期保障方案； 二、赋分标准 1、完整性：方案内容完整全面，对上述各项内容均有描述及说明，得10.0分；每缺1项，以10.0分为基础扣5.0分，扣完为止。 2、针对性：针对性强，得5.0分；针对性一般，得3.0分；缺乏针对性，得1.0分；未按要求进行响应的，得0分。 3、可实施性：可实施性强，得5.0分；可实施性一般，得3.0分；缺乏可实施性，得1.0分；未按要求进行响应的，得0分。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详细评审-3、设计服务质量及工期进度保障方案.docx</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一、评审内容 针对本项目全过程服务内容，编制重点难点分析及解决方案，内容包括： ①设计过程重点难点分析；②重点难点解决方案； 二、赋分标准 1、完整性：方案内容完整全面，对上述各项内容均有描述及说明，得4.0分；每缺1项，以4.0分为基础扣2.0分，扣完为止。 2、针对性：针对性强，得3.0分；针对性一般，得2.0分；缺乏针对性，得1.0分；未按要求进行响应的，得0分。 3、可实施性：可实施性强，得3.0分；可实施性一般，得2.0分；缺乏可实施性，得1.0分；未按要求进行响应的，得0分。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详细评审-4、重点难点分析及解决方案.docx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投标人提供2023年1月1日以来完成过同类或类似（公建类，合同内容包括建筑方案设计与施工图设计阶段内容）项目合同，每提供一份得2.0分，最高得4.0分。 注：提供加盖单位公章的合同复印件。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详细评审-5、业绩.docx</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投标人本项目配备技术人员应具备专业技术能力： （1）设计负责人具备建筑专业类或设计专业类高级工程师职称，满足要求得5.0分；具备建筑专业类或设计专业类工程师职称，满足要求得3.0分；未提供不得分。 （2）项目团队具有丰富的相关经验及技术职称，除设计负责人外，其他项目组人员具备相关专业工程师及以上职称的（包含与本项目相关的各专业注册设计人员），每有1人满足要求，得1.0分，最高得5.0分。 注：投标人本项目配备技术人员应为自有人员，投标文件中提供评分标准要求证书复印件及投标截止时间一年内任意月份的人员社保缴纳人员复印件并加盖单位公章，未提供不得分。同一人提供多个证书的，不得重复赋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详细评审-6、人员.docx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投标人提供针对本项目的服务承诺，内容包括：①服务质量、服务计划、人员到位承诺方案等；②项目实施、后期施工配合服务承诺方案等；③不能完全履行承诺时，愿意接受相关处罚等的承诺说明。 供应商投标服务承诺每有一项满足要求（承诺内容无缺漏或不合理事项描述）的，得2.0分，最高得6.0分。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详细评审-7、服务承诺.docx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有效最低投标人报价为基准价，计10分； 其他投标人的报价按下列公式计算： （基准价/投标报价）×10＝报价得分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详见附件：特定资格要求1--主体资格-响应格式.docx</w:t>
      </w:r>
    </w:p>
    <w:p>
      <w:pPr>
        <w:pStyle w:val="null3"/>
        <w:ind w:firstLine="960"/>
      </w:pPr>
      <w:r>
        <w:rPr>
          <w:rFonts w:ascii="仿宋_GB2312" w:hAnsi="仿宋_GB2312" w:cs="仿宋_GB2312" w:eastAsia="仿宋_GB2312"/>
        </w:rPr>
        <w:t>详见附件：特定资格要求2--法人身份证明、授权委托书-响应格式.docx</w:t>
      </w:r>
    </w:p>
    <w:p>
      <w:pPr>
        <w:pStyle w:val="null3"/>
        <w:ind w:firstLine="960"/>
      </w:pPr>
      <w:r>
        <w:rPr>
          <w:rFonts w:ascii="仿宋_GB2312" w:hAnsi="仿宋_GB2312" w:cs="仿宋_GB2312" w:eastAsia="仿宋_GB2312"/>
        </w:rPr>
        <w:t>详见附件：特定资格要求3--汉中市政府采购供应商资格承诺函-响应格式.docx</w:t>
      </w:r>
    </w:p>
    <w:p>
      <w:pPr>
        <w:pStyle w:val="null3"/>
        <w:ind w:firstLine="960"/>
      </w:pPr>
      <w:r>
        <w:rPr>
          <w:rFonts w:ascii="仿宋_GB2312" w:hAnsi="仿宋_GB2312" w:cs="仿宋_GB2312" w:eastAsia="仿宋_GB2312"/>
        </w:rPr>
        <w:t>详见附件：特定资格要求4--企业资质-响应格式.docx</w:t>
      </w:r>
    </w:p>
    <w:p>
      <w:pPr>
        <w:pStyle w:val="null3"/>
        <w:ind w:firstLine="960"/>
      </w:pPr>
      <w:r>
        <w:rPr>
          <w:rFonts w:ascii="仿宋_GB2312" w:hAnsi="仿宋_GB2312" w:cs="仿宋_GB2312" w:eastAsia="仿宋_GB2312"/>
        </w:rPr>
        <w:t>详见附件：特定资格要求5--拟派设计负责人-响应格式.docx</w:t>
      </w:r>
    </w:p>
    <w:p>
      <w:pPr>
        <w:pStyle w:val="null3"/>
        <w:ind w:firstLine="960"/>
      </w:pPr>
      <w:r>
        <w:rPr>
          <w:rFonts w:ascii="仿宋_GB2312" w:hAnsi="仿宋_GB2312" w:cs="仿宋_GB2312" w:eastAsia="仿宋_GB2312"/>
        </w:rPr>
        <w:t>详见附件：详细评审-1、项目理解及解读.docx</w:t>
      </w:r>
    </w:p>
    <w:p>
      <w:pPr>
        <w:pStyle w:val="null3"/>
        <w:ind w:firstLine="960"/>
      </w:pPr>
      <w:r>
        <w:rPr>
          <w:rFonts w:ascii="仿宋_GB2312" w:hAnsi="仿宋_GB2312" w:cs="仿宋_GB2312" w:eastAsia="仿宋_GB2312"/>
        </w:rPr>
        <w:t>详见附件：详细评审-2、整体设计方案.docx</w:t>
      </w:r>
    </w:p>
    <w:p>
      <w:pPr>
        <w:pStyle w:val="null3"/>
        <w:ind w:firstLine="960"/>
      </w:pPr>
      <w:r>
        <w:rPr>
          <w:rFonts w:ascii="仿宋_GB2312" w:hAnsi="仿宋_GB2312" w:cs="仿宋_GB2312" w:eastAsia="仿宋_GB2312"/>
        </w:rPr>
        <w:t>详见附件：详细评审-3、设计服务质量及工期进度保障方案.docx</w:t>
      </w:r>
    </w:p>
    <w:p>
      <w:pPr>
        <w:pStyle w:val="null3"/>
        <w:ind w:firstLine="960"/>
      </w:pPr>
      <w:r>
        <w:rPr>
          <w:rFonts w:ascii="仿宋_GB2312" w:hAnsi="仿宋_GB2312" w:cs="仿宋_GB2312" w:eastAsia="仿宋_GB2312"/>
        </w:rPr>
        <w:t>详见附件：详细评审-4、重点难点分析及解决方案.docx</w:t>
      </w:r>
    </w:p>
    <w:p>
      <w:pPr>
        <w:pStyle w:val="null3"/>
        <w:ind w:firstLine="960"/>
      </w:pPr>
      <w:r>
        <w:rPr>
          <w:rFonts w:ascii="仿宋_GB2312" w:hAnsi="仿宋_GB2312" w:cs="仿宋_GB2312" w:eastAsia="仿宋_GB2312"/>
        </w:rPr>
        <w:t>详见附件：详细评审-5、业绩.docx</w:t>
      </w:r>
    </w:p>
    <w:p>
      <w:pPr>
        <w:pStyle w:val="null3"/>
        <w:ind w:firstLine="960"/>
      </w:pPr>
      <w:r>
        <w:rPr>
          <w:rFonts w:ascii="仿宋_GB2312" w:hAnsi="仿宋_GB2312" w:cs="仿宋_GB2312" w:eastAsia="仿宋_GB2312"/>
        </w:rPr>
        <w:t>详见附件：详细评审-6、人员.docx</w:t>
      </w:r>
    </w:p>
    <w:p>
      <w:pPr>
        <w:pStyle w:val="null3"/>
        <w:ind w:firstLine="960"/>
      </w:pPr>
      <w:r>
        <w:rPr>
          <w:rFonts w:ascii="仿宋_GB2312" w:hAnsi="仿宋_GB2312" w:cs="仿宋_GB2312" w:eastAsia="仿宋_GB2312"/>
        </w:rPr>
        <w:t>详见附件：详细评审-7、服务承诺.docx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详见附件：参考合同（服务类）.docx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