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版本号：SCZC2026-CS-1374-00120260528001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2026年度市级农产品质量安全监督抽查项目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SCZC2026-CS-1374-001</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2026年度市级农产品质量安全监督抽查项目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SCZC2026-CS-1374-001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2026年度市级农产品质量安全监督抽查项目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西安市农业农村局关于印发2026年农产品质量安全监测方案的通知》（市农发〔2026〕33号）和《西安市农业农村局关于开展2026年全市农产品质量安全监督抽查的通知》要求，计划完成2026年度农产品质量安全监督抽查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采购包1（2026年度市级农产品质量安全监督抽查项目（一标段））：属于专门面向中小企业采购。</w:t>
      </w:r>
    </w:p>
    <w:p>
      <w:pPr>
        <w:pStyle w:val="null3"/>
      </w:pPr>
      <w:r>
        <w:rPr>
          <w:rFonts w:ascii="仿宋_GB2312" w:hAnsi="仿宋_GB2312" w:cs="仿宋_GB2312" w:eastAsia="仿宋_GB2312"/>
        </w:rPr>
        <w:t>采购包2（2026年度市级农产品质量安全监督抽查项目（二标段））：属于专门面向中小企业采购。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1、资格证书：具备合法有效的CMA检验检测机构资质认定证书（资质认定证书附表须含食品检测）、CATL农产品质量安全检测机构考核证书</w:t>
      </w:r>
    </w:p>
    <w:p>
      <w:pPr>
        <w:pStyle w:val="null3"/>
      </w:pPr>
      <w:r>
        <w:rPr>
          <w:rFonts w:ascii="仿宋_GB2312" w:hAnsi="仿宋_GB2312" w:cs="仿宋_GB2312" w:eastAsia="仿宋_GB2312"/>
        </w:rPr>
        <w:t>2、信用信息：供应商在递交响应文件截止时间前被“信用中国”网站（www.creditchina.gov.cn）和中国政府采购网（www.ccgp.gov.cn）上被列入失信被执行人、重大税收违法失信主体、政府采购严重违法失信行为记录名单的，不得参加本项目磋商响应</w:t>
      </w:r>
    </w:p>
    <w:p>
      <w:pPr>
        <w:pStyle w:val="null3"/>
      </w:pPr>
      <w:r>
        <w:rPr>
          <w:rFonts w:ascii="仿宋_GB2312" w:hAnsi="仿宋_GB2312" w:cs="仿宋_GB2312" w:eastAsia="仿宋_GB2312"/>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1）单位负责人为同一人或者存在直接控股、管理关系的不同供应商，不得参加本次采购活动；（2）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pPr>
      <w:r>
        <w:rPr>
          <w:rFonts w:ascii="仿宋_GB2312" w:hAnsi="仿宋_GB2312" w:cs="仿宋_GB2312" w:eastAsia="仿宋_GB2312"/>
        </w:rPr>
        <w:t>4、法定代表人/单位负责人身份证明书、授权委托书及授权代表在本单位缴纳养老保险证明：（1）法定代表人或单位负责人投标的，应提供法定代表人或单位负责人身份证明；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5、联合体响应：本项目不接受联合体响应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1、资格证书：具备合法有效的CMA检验检测机构资质认定证书（资质认定证书附表须含食品检测）、CATL农产品质量安全检测机构考核证书</w:t>
      </w:r>
    </w:p>
    <w:p>
      <w:pPr>
        <w:pStyle w:val="null3"/>
      </w:pPr>
      <w:r>
        <w:rPr>
          <w:rFonts w:ascii="仿宋_GB2312" w:hAnsi="仿宋_GB2312" w:cs="仿宋_GB2312" w:eastAsia="仿宋_GB2312"/>
        </w:rPr>
        <w:t>2、信用信息：供应商在递交响应文件截止时间前被“信用中国”网站（www.creditchina.gov.cn）和中国政府采购网（www.ccgp.gov.cn）上被列入失信被执行人、重大税收违法失信主体、政府采购严重违法失信行为记录名单的，不得参加本项目磋商响应</w:t>
      </w:r>
    </w:p>
    <w:p>
      <w:pPr>
        <w:pStyle w:val="null3"/>
      </w:pPr>
      <w:r>
        <w:rPr>
          <w:rFonts w:ascii="仿宋_GB2312" w:hAnsi="仿宋_GB2312" w:cs="仿宋_GB2312" w:eastAsia="仿宋_GB2312"/>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1）单位负责人为同一人或者存在直接控股、管理关系的不同供应商，不得参加本次采购活动；（2）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pPr>
      <w:r>
        <w:rPr>
          <w:rFonts w:ascii="仿宋_GB2312" w:hAnsi="仿宋_GB2312" w:cs="仿宋_GB2312" w:eastAsia="仿宋_GB2312"/>
        </w:rPr>
        <w:t>4、法定代表人/单位负责人身份证明书、授权委托书及授权代表在本单位缴纳养老保险证明：（1）法定代表人或单位负责人投标的，应提供法定代表人或单位负责人身份证明；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5、联合体响应：本项目不接受联合体响应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西安市农业农村局（本级）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67097483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司岳涛、田婧、王莉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采购包2：660,000.00元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代理服务费收费标准：参照《国家计委关于印发&lt;招标代理服务费管理暂行办法&gt;的通知》（计价格【2022】1980号）规定标准按标段收取，最低不少于6000元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市农业农村局关于印发2026年农产品质量安全监测方案的通知》（市农发〔2026〕33号）和《西安市农业农村局关于开展2026年全市农产品质量安全监督抽查的通知》要求，计划完成2026年度农产品质量安全监督抽查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2026年度市级农产品质量安全监督抽查项目（一标段）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2026年度市级农产品质量安全监督抽查项目（二标段）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标的名称：2026年度市级农产品质量安全监督抽查项目（一标段）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ind w:right="285"/>
            </w:pPr>
            <w:r>
              <w:rPr>
                <w:rFonts w:ascii="仿宋_GB2312" w:hAnsi="仿宋_GB2312" w:cs="仿宋_GB2312" w:eastAsia="仿宋_GB2312"/>
                <w:sz w:val="21"/>
                <w:b/>
              </w:rPr>
              <w:t>一、项目概况</w:t>
            </w:r>
          </w:p>
          <w:p>
            <w:pPr>
              <w:pStyle w:val="null3"/>
              <w:ind w:firstLine="400"/>
            </w:pPr>
            <w:r>
              <w:rPr>
                <w:rFonts w:ascii="仿宋_GB2312" w:hAnsi="仿宋_GB2312" w:cs="仿宋_GB2312" w:eastAsia="仿宋_GB2312"/>
                <w:sz w:val="20"/>
              </w:rPr>
              <w:t>根据《西安市农业农村局关于印发</w:t>
            </w:r>
            <w:r>
              <w:rPr>
                <w:rFonts w:ascii="仿宋_GB2312" w:hAnsi="仿宋_GB2312" w:cs="仿宋_GB2312" w:eastAsia="仿宋_GB2312"/>
                <w:sz w:val="20"/>
              </w:rPr>
              <w:t>2026</w:t>
            </w:r>
            <w:r>
              <w:rPr>
                <w:rFonts w:ascii="仿宋_GB2312" w:hAnsi="仿宋_GB2312" w:cs="仿宋_GB2312" w:eastAsia="仿宋_GB2312"/>
                <w:sz w:val="20"/>
              </w:rPr>
              <w:t>年农产品质量安全监测方案的通知》（市农发〔</w:t>
            </w:r>
            <w:r>
              <w:rPr>
                <w:rFonts w:ascii="仿宋_GB2312" w:hAnsi="仿宋_GB2312" w:cs="仿宋_GB2312" w:eastAsia="仿宋_GB2312"/>
                <w:sz w:val="20"/>
              </w:rPr>
              <w:t>2026</w:t>
            </w:r>
            <w:r>
              <w:rPr>
                <w:rFonts w:ascii="仿宋_GB2312" w:hAnsi="仿宋_GB2312" w:cs="仿宋_GB2312" w:eastAsia="仿宋_GB2312"/>
                <w:sz w:val="20"/>
              </w:rPr>
              <w:t>〕</w:t>
            </w:r>
            <w:r>
              <w:rPr>
                <w:rFonts w:ascii="仿宋_GB2312" w:hAnsi="仿宋_GB2312" w:cs="仿宋_GB2312" w:eastAsia="仿宋_GB2312"/>
                <w:sz w:val="20"/>
              </w:rPr>
              <w:t>33</w:t>
            </w:r>
            <w:r>
              <w:rPr>
                <w:rFonts w:ascii="仿宋_GB2312" w:hAnsi="仿宋_GB2312" w:cs="仿宋_GB2312" w:eastAsia="仿宋_GB2312"/>
                <w:sz w:val="20"/>
              </w:rPr>
              <w:t>号）和《西安市农业农村局关于开展</w:t>
            </w:r>
            <w:r>
              <w:rPr>
                <w:rFonts w:ascii="仿宋_GB2312" w:hAnsi="仿宋_GB2312" w:cs="仿宋_GB2312" w:eastAsia="仿宋_GB2312"/>
                <w:sz w:val="20"/>
              </w:rPr>
              <w:t>2026</w:t>
            </w:r>
            <w:r>
              <w:rPr>
                <w:rFonts w:ascii="仿宋_GB2312" w:hAnsi="仿宋_GB2312" w:cs="仿宋_GB2312" w:eastAsia="仿宋_GB2312"/>
                <w:sz w:val="20"/>
              </w:rPr>
              <w:t>年全市农产品质量安全监督抽查的通知》要求，计划完成</w:t>
            </w:r>
            <w:r>
              <w:rPr>
                <w:rFonts w:ascii="仿宋_GB2312" w:hAnsi="仿宋_GB2312" w:cs="仿宋_GB2312" w:eastAsia="仿宋_GB2312"/>
                <w:sz w:val="20"/>
              </w:rPr>
              <w:t>2026</w:t>
            </w:r>
            <w:r>
              <w:rPr>
                <w:rFonts w:ascii="仿宋_GB2312" w:hAnsi="仿宋_GB2312" w:cs="仿宋_GB2312" w:eastAsia="仿宋_GB2312"/>
                <w:sz w:val="20"/>
              </w:rPr>
              <w:t>年度农产品质量安全监督抽查工作。</w:t>
            </w:r>
          </w:p>
          <w:p>
            <w:pPr>
              <w:pStyle w:val="null3"/>
              <w:spacing w:before="45"/>
              <w:ind w:right="285"/>
            </w:pPr>
            <w:r>
              <w:rPr>
                <w:rFonts w:ascii="仿宋_GB2312" w:hAnsi="仿宋_GB2312" w:cs="仿宋_GB2312" w:eastAsia="仿宋_GB2312"/>
                <w:sz w:val="21"/>
                <w:b/>
              </w:rPr>
              <w:t>二、服务内容</w:t>
            </w:r>
          </w:p>
          <w:p>
            <w:pPr>
              <w:pStyle w:val="null3"/>
              <w:ind w:firstLine="400"/>
            </w:pPr>
            <w:r>
              <w:rPr>
                <w:rFonts w:ascii="仿宋_GB2312" w:hAnsi="仿宋_GB2312" w:cs="仿宋_GB2312" w:eastAsia="仿宋_GB2312"/>
                <w:sz w:val="20"/>
              </w:rPr>
              <w:t>（一）抽查范围</w:t>
            </w:r>
          </w:p>
          <w:p>
            <w:pPr>
              <w:pStyle w:val="null3"/>
              <w:ind w:firstLine="400"/>
              <w:jc w:val="both"/>
            </w:pPr>
            <w:r>
              <w:rPr>
                <w:rFonts w:ascii="仿宋_GB2312" w:hAnsi="仿宋_GB2312" w:cs="仿宋_GB2312" w:eastAsia="仿宋_GB2312"/>
                <w:sz w:val="20"/>
              </w:rPr>
              <w:t>突出以商品生产为目的的种植基地、农业专业合作社、家庭农场、农户等主体，加大产地贮存、产地收购等主体抽查力度，种植业产品监督抽查全市所有区县（开发区）“全覆盖”。</w:t>
            </w:r>
          </w:p>
          <w:p>
            <w:pPr>
              <w:pStyle w:val="null3"/>
              <w:ind w:firstLine="400"/>
              <w:jc w:val="both"/>
            </w:pPr>
            <w:r>
              <w:rPr>
                <w:rFonts w:ascii="仿宋_GB2312" w:hAnsi="仿宋_GB2312" w:cs="仿宋_GB2312" w:eastAsia="仿宋_GB2312"/>
                <w:sz w:val="20"/>
              </w:rPr>
              <w:t>（二）抽查品种</w:t>
            </w:r>
          </w:p>
          <w:p>
            <w:pPr>
              <w:pStyle w:val="null3"/>
              <w:ind w:firstLine="400"/>
            </w:pPr>
            <w:r>
              <w:rPr>
                <w:rFonts w:ascii="仿宋_GB2312" w:hAnsi="仿宋_GB2312" w:cs="仿宋_GB2312" w:eastAsia="仿宋_GB2312"/>
                <w:sz w:val="20"/>
              </w:rPr>
              <w:t>重点抽查豇豆、芹菜、葱（大葱、细香葱等）、甘薯、辣椒等蔬菜品种和猕猴桃、葡萄、草莓、冬枣等特色水果。</w:t>
            </w:r>
          </w:p>
          <w:p>
            <w:pPr>
              <w:pStyle w:val="null3"/>
              <w:ind w:firstLine="400"/>
            </w:pPr>
            <w:r>
              <w:rPr>
                <w:rFonts w:ascii="仿宋_GB2312" w:hAnsi="仿宋_GB2312" w:cs="仿宋_GB2312" w:eastAsia="仿宋_GB2312"/>
                <w:sz w:val="20"/>
              </w:rPr>
              <w:t>（三）检测机构</w:t>
            </w:r>
          </w:p>
          <w:p>
            <w:pPr>
              <w:pStyle w:val="null3"/>
              <w:ind w:firstLine="400"/>
            </w:pPr>
            <w:r>
              <w:rPr>
                <w:rFonts w:ascii="仿宋_GB2312" w:hAnsi="仿宋_GB2312" w:cs="仿宋_GB2312" w:eastAsia="仿宋_GB2312"/>
                <w:sz w:val="20"/>
                <w:color w:val="000000"/>
              </w:rPr>
              <w:t>承担检测任务的检测机构要严格遵守抽样和检测方法，统一标准溶液、统一判定原则，检测过程要做试剂空白和加标回收，对检测不合格样品要做确认试验。报送结果时，检测不合格样品应提供原始记录、确证图谱、溯源情况等信息。</w:t>
            </w:r>
          </w:p>
          <w:p>
            <w:pPr>
              <w:pStyle w:val="null3"/>
              <w:ind w:firstLine="400"/>
            </w:pPr>
            <w:r>
              <w:rPr>
                <w:rFonts w:ascii="仿宋_GB2312" w:hAnsi="仿宋_GB2312" w:cs="仿宋_GB2312" w:eastAsia="仿宋_GB2312"/>
                <w:sz w:val="20"/>
              </w:rPr>
              <w:t>（四）抽查原则</w:t>
            </w:r>
          </w:p>
          <w:p>
            <w:pPr>
              <w:pStyle w:val="null3"/>
              <w:ind w:firstLine="400"/>
            </w:pPr>
            <w:r>
              <w:rPr>
                <w:rFonts w:ascii="仿宋_GB2312" w:hAnsi="仿宋_GB2312" w:cs="仿宋_GB2312" w:eastAsia="仿宋_GB2312"/>
                <w:sz w:val="20"/>
              </w:rPr>
              <w:t>严格落实《国家农产品质量安全监督抽查主要程序与办法》要求，遵循抽样机构与检测机构相分离的原则，紧盯农产品采收上市关键期，省、市、县三级常态化开展重点问题农产品、特色优势农产品、直供学校农产品等开展监督抽查工作</w:t>
            </w:r>
          </w:p>
          <w:p>
            <w:pPr>
              <w:pStyle w:val="null3"/>
              <w:ind w:firstLine="400"/>
            </w:pPr>
            <w:r>
              <w:rPr>
                <w:rFonts w:ascii="仿宋_GB2312" w:hAnsi="仿宋_GB2312" w:cs="仿宋_GB2312" w:eastAsia="仿宋_GB2312"/>
                <w:sz w:val="20"/>
              </w:rPr>
              <w:t>（五）抽查参数</w:t>
            </w:r>
          </w:p>
          <w:p>
            <w:pPr>
              <w:pStyle w:val="null3"/>
              <w:jc w:val="both"/>
            </w:pPr>
            <w:r>
              <w:rPr>
                <w:rFonts w:ascii="仿宋_GB2312" w:hAnsi="仿宋_GB2312" w:cs="仿宋_GB2312" w:eastAsia="仿宋_GB2312"/>
                <w:sz w:val="20"/>
                <w:color w:val="000000"/>
              </w:rPr>
              <w:t>重点抽查种植业产品中禁限用农药和风险监测发现的常规农药。抽查参数参照国家农产品质量安全监督抽查要求执行，各区县（开发区）农业农村部门可结合区域产业用药特点适度调整优化。</w:t>
            </w:r>
          </w:p>
          <w:p>
            <w:pPr>
              <w:pStyle w:val="null3"/>
              <w:ind w:firstLine="400"/>
            </w:pPr>
            <w:r>
              <w:rPr>
                <w:rFonts w:ascii="仿宋_GB2312" w:hAnsi="仿宋_GB2312" w:cs="仿宋_GB2312" w:eastAsia="仿宋_GB2312"/>
                <w:sz w:val="20"/>
              </w:rPr>
              <w:t>监督抽查检测参数</w:t>
            </w:r>
          </w:p>
          <w:tbl>
            <w:tblPr>
              <w:tblBorders>
                <w:top w:val="none" w:color="000000" w:sz="4"/>
                <w:left w:val="none" w:color="000000" w:sz="4"/>
                <w:bottom w:val="none" w:color="000000" w:sz="4"/>
                <w:right w:val="none" w:color="000000" w:sz="4"/>
                <w:insideH w:val="none"/>
                <w:insideV w:val="none"/>
              </w:tblBorders>
            </w:tblPr>
            <w:tblGrid>
              <w:gridCol w:w="670"/>
              <w:gridCol w:w="1882"/>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97"/>
                    <w:jc w:val="both"/>
                  </w:pPr>
                  <w:r>
                    <w:rPr>
                      <w:rFonts w:ascii="仿宋_GB2312" w:hAnsi="仿宋_GB2312" w:cs="仿宋_GB2312" w:eastAsia="仿宋_GB2312"/>
                      <w:sz w:val="20"/>
                    </w:rPr>
                    <w:t>产品类别</w:t>
                  </w:r>
                </w:p>
              </w:tc>
              <w:tc>
                <w:tcPr>
                  <w:tcW w:type="dxa" w:w="18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97"/>
                    <w:jc w:val="center"/>
                  </w:pPr>
                  <w:r>
                    <w:rPr>
                      <w:rFonts w:ascii="仿宋_GB2312" w:hAnsi="仿宋_GB2312" w:cs="仿宋_GB2312" w:eastAsia="仿宋_GB2312"/>
                      <w:sz w:val="20"/>
                    </w:rPr>
                    <w:t>监测参数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种植业产品</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甲胺磷、对硫磷、甲基对硫磷、甲拌磷、水胺硫磷、甲基异柳磷、氧乐果、克百威、涕灭威、灭多威、氟虫腈、毒死蜱、三唑磷、乐果、乙酰甲胺磷、氯唑磷、内吸磷、久效磷、灭线磷阿维菌素、吡虫啉、啶虫脒、噻虫嗪、苯醚甲环唑、氯氟氰菊酯、氯氰菊酯、溴氰菊酯、联苯菊酯、倍硫磷、辛硫磷、吡唑醚菌酯、多菌灵、咪鲜胺、除虫脲、戊唑醇、灭蝇胺、甲氨基阿维菌素苯甲酸盐、氯虫苯甲酰胺、氯吡脲、噻虫胺</w:t>
                  </w:r>
                </w:p>
              </w:tc>
            </w:tr>
          </w:tbl>
          <w:p>
            <w:pPr>
              <w:pStyle w:val="null3"/>
            </w:pPr>
            <w:r>
              <w:rPr>
                <w:rFonts w:ascii="仿宋_GB2312" w:hAnsi="仿宋_GB2312" w:cs="仿宋_GB2312" w:eastAsia="仿宋_GB2312"/>
                <w:sz w:val="20"/>
                <w:color w:val="000000"/>
              </w:rPr>
              <w:t>（六）采购预算及抽检批次</w:t>
            </w:r>
          </w:p>
          <w:p>
            <w:pPr>
              <w:pStyle w:val="null3"/>
            </w:pPr>
            <w:r>
              <w:rPr>
                <w:rFonts w:ascii="仿宋_GB2312" w:hAnsi="仿宋_GB2312" w:cs="仿宋_GB2312" w:eastAsia="仿宋_GB2312"/>
                <w:sz w:val="20"/>
                <w:color w:val="000000"/>
              </w:rPr>
              <w:t>本标段预算64万元，包含灞桥区、临潼区、蓝田县、阎良区、高陵区、未央区共956批次。</w:t>
            </w:r>
          </w:p>
          <w:p>
            <w:pPr>
              <w:pStyle w:val="null3"/>
              <w:spacing w:before="45"/>
              <w:ind w:right="285"/>
            </w:pPr>
            <w:r>
              <w:rPr>
                <w:rFonts w:ascii="仿宋_GB2312" w:hAnsi="仿宋_GB2312" w:cs="仿宋_GB2312" w:eastAsia="仿宋_GB2312"/>
                <w:sz w:val="21"/>
                <w:b/>
              </w:rPr>
              <w:t>三、服务要求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、各任务承担单位每次抽样不低于两名专业工作人员，监督抽查过程必须现场制样并全程记录，确保程序合法合规。</w:t>
            </w:r>
          </w:p>
          <w:p>
            <w:pPr>
              <w:pStyle w:val="null3"/>
              <w:ind w:firstLine="200"/>
            </w:pPr>
            <w:r>
              <w:rPr>
                <w:rFonts w:ascii="仿宋_GB2312" w:hAnsi="仿宋_GB2312" w:cs="仿宋_GB2312" w:eastAsia="仿宋_GB2312"/>
                <w:sz w:val="20"/>
              </w:rPr>
              <w:t>2</w:t>
            </w:r>
            <w:r>
              <w:rPr>
                <w:rFonts w:ascii="仿宋_GB2312" w:hAnsi="仿宋_GB2312" w:cs="仿宋_GB2312" w:eastAsia="仿宋_GB2312"/>
                <w:sz w:val="20"/>
              </w:rPr>
              <w:t>、同一基地、同一品种只能抽取</w:t>
            </w:r>
            <w:r>
              <w:rPr>
                <w:rFonts w:ascii="仿宋_GB2312" w:hAnsi="仿宋_GB2312" w:cs="仿宋_GB2312" w:eastAsia="仿宋_GB2312"/>
                <w:sz w:val="20"/>
              </w:rPr>
              <w:t>1</w:t>
            </w:r>
            <w:r>
              <w:rPr>
                <w:rFonts w:ascii="仿宋_GB2312" w:hAnsi="仿宋_GB2312" w:cs="仿宋_GB2312" w:eastAsia="仿宋_GB2312"/>
                <w:sz w:val="20"/>
              </w:rPr>
              <w:t>个样品，抽取样品总量不超过</w:t>
            </w:r>
            <w:r>
              <w:rPr>
                <w:rFonts w:ascii="仿宋_GB2312" w:hAnsi="仿宋_GB2312" w:cs="仿宋_GB2312" w:eastAsia="仿宋_GB2312"/>
                <w:sz w:val="20"/>
              </w:rPr>
              <w:t>2</w:t>
            </w:r>
            <w:r>
              <w:rPr>
                <w:rFonts w:ascii="仿宋_GB2312" w:hAnsi="仿宋_GB2312" w:cs="仿宋_GB2312" w:eastAsia="仿宋_GB2312"/>
                <w:sz w:val="20"/>
              </w:rPr>
              <w:t>个。</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、任务承担单位抽取样品后要及时进行样品检测，抽检结果要</w:t>
            </w:r>
            <w:r>
              <w:rPr>
                <w:rFonts w:ascii="仿宋_GB2312" w:hAnsi="仿宋_GB2312" w:cs="仿宋_GB2312" w:eastAsia="仿宋_GB2312"/>
                <w:sz w:val="20"/>
              </w:rPr>
              <w:t>“</w:t>
            </w:r>
            <w:r>
              <w:rPr>
                <w:rFonts w:ascii="仿宋_GB2312" w:hAnsi="仿宋_GB2312" w:cs="仿宋_GB2312" w:eastAsia="仿宋_GB2312"/>
                <w:sz w:val="20"/>
              </w:rPr>
              <w:t>随检随报</w:t>
            </w:r>
            <w:r>
              <w:rPr>
                <w:rFonts w:ascii="仿宋_GB2312" w:hAnsi="仿宋_GB2312" w:cs="仿宋_GB2312" w:eastAsia="仿宋_GB2312"/>
                <w:sz w:val="20"/>
              </w:rPr>
              <w:t>”</w:t>
            </w:r>
            <w:r>
              <w:rPr>
                <w:rFonts w:ascii="仿宋_GB2312" w:hAnsi="仿宋_GB2312" w:cs="仿宋_GB2312" w:eastAsia="仿宋_GB2312"/>
                <w:sz w:val="20"/>
              </w:rPr>
              <w:t>，不合格样品检测结果要在</w:t>
            </w:r>
            <w:r>
              <w:rPr>
                <w:rFonts w:ascii="仿宋_GB2312" w:hAnsi="仿宋_GB2312" w:cs="仿宋_GB2312" w:eastAsia="仿宋_GB2312"/>
                <w:sz w:val="20"/>
              </w:rPr>
              <w:t xml:space="preserve"> 24 </w:t>
            </w:r>
            <w:r>
              <w:rPr>
                <w:rFonts w:ascii="仿宋_GB2312" w:hAnsi="仿宋_GB2312" w:cs="仿宋_GB2312" w:eastAsia="仿宋_GB2312"/>
                <w:sz w:val="20"/>
              </w:rPr>
              <w:t>小时内通报采购方。</w:t>
            </w:r>
          </w:p>
          <w:p>
            <w:pPr>
              <w:pStyle w:val="null3"/>
            </w:pPr>
            <w:r>
              <w:rPr>
                <w:rFonts w:ascii="仿宋_GB2312" w:hAnsi="仿宋_GB2312" w:cs="仿宋_GB2312" w:eastAsia="仿宋_GB2312"/>
                <w:sz w:val="21"/>
              </w:rPr>
              <w:t>4.</w:t>
            </w:r>
            <w:r>
              <w:rPr>
                <w:rFonts w:ascii="仿宋_GB2312" w:hAnsi="仿宋_GB2312" w:cs="仿宋_GB2312" w:eastAsia="仿宋_GB2312"/>
                <w:sz w:val="21"/>
              </w:rPr>
              <w:t>所有检测报告均出具电子版和纸质版，不合格样品需附完整复检记录。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标的名称：2026年度市级农产品质量安全监督抽查项目（二标段）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ind w:right="285"/>
            </w:pPr>
            <w:r>
              <w:rPr>
                <w:rFonts w:ascii="仿宋_GB2312" w:hAnsi="仿宋_GB2312" w:cs="仿宋_GB2312" w:eastAsia="仿宋_GB2312"/>
                <w:sz w:val="21"/>
                <w:b/>
              </w:rPr>
              <w:t>一、项目概况</w:t>
            </w:r>
          </w:p>
          <w:p>
            <w:pPr>
              <w:pStyle w:val="null3"/>
              <w:ind w:firstLine="400"/>
            </w:pPr>
            <w:r>
              <w:rPr>
                <w:rFonts w:ascii="仿宋_GB2312" w:hAnsi="仿宋_GB2312" w:cs="仿宋_GB2312" w:eastAsia="仿宋_GB2312"/>
                <w:sz w:val="20"/>
              </w:rPr>
              <w:t>根据《西安市农业农村局关于印发</w:t>
            </w:r>
            <w:r>
              <w:rPr>
                <w:rFonts w:ascii="仿宋_GB2312" w:hAnsi="仿宋_GB2312" w:cs="仿宋_GB2312" w:eastAsia="仿宋_GB2312"/>
                <w:sz w:val="20"/>
              </w:rPr>
              <w:t>2026</w:t>
            </w:r>
            <w:r>
              <w:rPr>
                <w:rFonts w:ascii="仿宋_GB2312" w:hAnsi="仿宋_GB2312" w:cs="仿宋_GB2312" w:eastAsia="仿宋_GB2312"/>
                <w:sz w:val="20"/>
              </w:rPr>
              <w:t>年农产品质量安全监测方案的通知》（市农发〔</w:t>
            </w:r>
            <w:r>
              <w:rPr>
                <w:rFonts w:ascii="仿宋_GB2312" w:hAnsi="仿宋_GB2312" w:cs="仿宋_GB2312" w:eastAsia="仿宋_GB2312"/>
                <w:sz w:val="20"/>
              </w:rPr>
              <w:t>2026</w:t>
            </w:r>
            <w:r>
              <w:rPr>
                <w:rFonts w:ascii="仿宋_GB2312" w:hAnsi="仿宋_GB2312" w:cs="仿宋_GB2312" w:eastAsia="仿宋_GB2312"/>
                <w:sz w:val="20"/>
              </w:rPr>
              <w:t>〕</w:t>
            </w:r>
            <w:r>
              <w:rPr>
                <w:rFonts w:ascii="仿宋_GB2312" w:hAnsi="仿宋_GB2312" w:cs="仿宋_GB2312" w:eastAsia="仿宋_GB2312"/>
                <w:sz w:val="20"/>
              </w:rPr>
              <w:t>33</w:t>
            </w:r>
            <w:r>
              <w:rPr>
                <w:rFonts w:ascii="仿宋_GB2312" w:hAnsi="仿宋_GB2312" w:cs="仿宋_GB2312" w:eastAsia="仿宋_GB2312"/>
                <w:sz w:val="20"/>
              </w:rPr>
              <w:t>号）和《西安市农业农村局关于开展</w:t>
            </w:r>
            <w:r>
              <w:rPr>
                <w:rFonts w:ascii="仿宋_GB2312" w:hAnsi="仿宋_GB2312" w:cs="仿宋_GB2312" w:eastAsia="仿宋_GB2312"/>
                <w:sz w:val="20"/>
              </w:rPr>
              <w:t>2026</w:t>
            </w:r>
            <w:r>
              <w:rPr>
                <w:rFonts w:ascii="仿宋_GB2312" w:hAnsi="仿宋_GB2312" w:cs="仿宋_GB2312" w:eastAsia="仿宋_GB2312"/>
                <w:sz w:val="20"/>
              </w:rPr>
              <w:t>年全市农产品质量安全监督抽查的通知》要求，计划完成</w:t>
            </w:r>
            <w:r>
              <w:rPr>
                <w:rFonts w:ascii="仿宋_GB2312" w:hAnsi="仿宋_GB2312" w:cs="仿宋_GB2312" w:eastAsia="仿宋_GB2312"/>
                <w:sz w:val="20"/>
              </w:rPr>
              <w:t>2026</w:t>
            </w:r>
            <w:r>
              <w:rPr>
                <w:rFonts w:ascii="仿宋_GB2312" w:hAnsi="仿宋_GB2312" w:cs="仿宋_GB2312" w:eastAsia="仿宋_GB2312"/>
                <w:sz w:val="20"/>
              </w:rPr>
              <w:t>年度农产品质量安全监督抽查工作。</w:t>
            </w:r>
          </w:p>
          <w:p>
            <w:pPr>
              <w:pStyle w:val="null3"/>
              <w:spacing w:before="45"/>
              <w:ind w:right="285"/>
            </w:pPr>
            <w:r>
              <w:rPr>
                <w:rFonts w:ascii="仿宋_GB2312" w:hAnsi="仿宋_GB2312" w:cs="仿宋_GB2312" w:eastAsia="仿宋_GB2312"/>
                <w:sz w:val="21"/>
                <w:b/>
              </w:rPr>
              <w:t>二、服务内容</w:t>
            </w:r>
          </w:p>
          <w:p>
            <w:pPr>
              <w:pStyle w:val="null3"/>
              <w:ind w:firstLine="400"/>
            </w:pPr>
            <w:r>
              <w:rPr>
                <w:rFonts w:ascii="仿宋_GB2312" w:hAnsi="仿宋_GB2312" w:cs="仿宋_GB2312" w:eastAsia="仿宋_GB2312"/>
                <w:sz w:val="20"/>
              </w:rPr>
              <w:t>（一）抽查范围</w:t>
            </w:r>
          </w:p>
          <w:p>
            <w:pPr>
              <w:pStyle w:val="null3"/>
              <w:ind w:firstLine="400"/>
              <w:jc w:val="both"/>
            </w:pPr>
            <w:r>
              <w:rPr>
                <w:rFonts w:ascii="仿宋_GB2312" w:hAnsi="仿宋_GB2312" w:cs="仿宋_GB2312" w:eastAsia="仿宋_GB2312"/>
                <w:sz w:val="20"/>
              </w:rPr>
              <w:t>突出以商品生产为目的的种植基地、农业专业合作社、家庭农场、农户等主体，加大产地贮存、产地收购等主体抽查力度，种植业产品监督抽查全市所有区县（开发区）“全覆盖”。</w:t>
            </w:r>
          </w:p>
          <w:p>
            <w:pPr>
              <w:pStyle w:val="null3"/>
              <w:ind w:firstLine="400"/>
              <w:jc w:val="both"/>
            </w:pPr>
            <w:r>
              <w:rPr>
                <w:rFonts w:ascii="仿宋_GB2312" w:hAnsi="仿宋_GB2312" w:cs="仿宋_GB2312" w:eastAsia="仿宋_GB2312"/>
                <w:sz w:val="20"/>
              </w:rPr>
              <w:t>（二）抽查品种</w:t>
            </w:r>
          </w:p>
          <w:p>
            <w:pPr>
              <w:pStyle w:val="null3"/>
              <w:ind w:firstLine="400"/>
            </w:pPr>
            <w:r>
              <w:rPr>
                <w:rFonts w:ascii="仿宋_GB2312" w:hAnsi="仿宋_GB2312" w:cs="仿宋_GB2312" w:eastAsia="仿宋_GB2312"/>
                <w:sz w:val="20"/>
              </w:rPr>
              <w:t>重点抽查豇豆、芹菜、葱（大葱、细香葱等）、甘薯、辣椒等蔬菜品种和猕猴桃、葡萄、草莓、冬枣等特色水果。</w:t>
            </w:r>
          </w:p>
          <w:p>
            <w:pPr>
              <w:pStyle w:val="null3"/>
              <w:ind w:firstLine="400"/>
            </w:pPr>
            <w:r>
              <w:rPr>
                <w:rFonts w:ascii="仿宋_GB2312" w:hAnsi="仿宋_GB2312" w:cs="仿宋_GB2312" w:eastAsia="仿宋_GB2312"/>
                <w:sz w:val="20"/>
              </w:rPr>
              <w:t>（三）检测机构</w:t>
            </w:r>
          </w:p>
          <w:p>
            <w:pPr>
              <w:pStyle w:val="null3"/>
              <w:ind w:firstLine="400"/>
            </w:pPr>
            <w:r>
              <w:rPr>
                <w:rFonts w:ascii="仿宋_GB2312" w:hAnsi="仿宋_GB2312" w:cs="仿宋_GB2312" w:eastAsia="仿宋_GB2312"/>
                <w:sz w:val="20"/>
                <w:color w:val="000000"/>
              </w:rPr>
              <w:t>承担检测任务的检测机构要严格遵守抽样和检测方法，统一标准溶液、统一判定原则，检测过程要做试剂空白和加标回收，对检测不合格样品要做确认试验。报送结果时，检测不合格样品应提供原始记录、确证图谱、溯源情况等信息。</w:t>
            </w:r>
          </w:p>
          <w:p>
            <w:pPr>
              <w:pStyle w:val="null3"/>
              <w:ind w:firstLine="400"/>
            </w:pPr>
            <w:r>
              <w:rPr>
                <w:rFonts w:ascii="仿宋_GB2312" w:hAnsi="仿宋_GB2312" w:cs="仿宋_GB2312" w:eastAsia="仿宋_GB2312"/>
                <w:sz w:val="20"/>
              </w:rPr>
              <w:t>（四）抽查原则</w:t>
            </w:r>
          </w:p>
          <w:p>
            <w:pPr>
              <w:pStyle w:val="null3"/>
              <w:ind w:firstLine="400"/>
            </w:pPr>
            <w:r>
              <w:rPr>
                <w:rFonts w:ascii="仿宋_GB2312" w:hAnsi="仿宋_GB2312" w:cs="仿宋_GB2312" w:eastAsia="仿宋_GB2312"/>
                <w:sz w:val="20"/>
              </w:rPr>
              <w:t>严格落实《国家农产品质量安全监督抽查主要程序与办法》要求，遵循抽样机构与检测机构相分离的原则，紧盯农产品采收上市关键期，省、市、县三级常态化开展重点问题农产品、特色优势农产品、直供学校农产品等开展监督抽查工作</w:t>
            </w:r>
          </w:p>
          <w:p>
            <w:pPr>
              <w:pStyle w:val="null3"/>
              <w:ind w:firstLine="400"/>
            </w:pPr>
            <w:r>
              <w:rPr>
                <w:rFonts w:ascii="仿宋_GB2312" w:hAnsi="仿宋_GB2312" w:cs="仿宋_GB2312" w:eastAsia="仿宋_GB2312"/>
                <w:sz w:val="20"/>
              </w:rPr>
              <w:t>（五）抽查参数</w:t>
            </w:r>
          </w:p>
          <w:p>
            <w:pPr>
              <w:pStyle w:val="null3"/>
              <w:jc w:val="both"/>
            </w:pPr>
            <w:r>
              <w:rPr>
                <w:rFonts w:ascii="仿宋_GB2312" w:hAnsi="仿宋_GB2312" w:cs="仿宋_GB2312" w:eastAsia="仿宋_GB2312"/>
                <w:sz w:val="20"/>
                <w:color w:val="000000"/>
              </w:rPr>
              <w:t>重点抽查种植业产品中禁限用农药和风险监测发现的常规农药。抽查参数参照国家农产品质量安全监督抽查要求执行，各区县（开发区）农业农村部门可结合区域产业用药特点适度调整优化。</w:t>
            </w:r>
          </w:p>
          <w:p>
            <w:pPr>
              <w:pStyle w:val="null3"/>
              <w:ind w:firstLine="400"/>
            </w:pPr>
            <w:r>
              <w:rPr>
                <w:rFonts w:ascii="仿宋_GB2312" w:hAnsi="仿宋_GB2312" w:cs="仿宋_GB2312" w:eastAsia="仿宋_GB2312"/>
                <w:sz w:val="20"/>
              </w:rPr>
              <w:t>监督抽查检测参数</w:t>
            </w:r>
          </w:p>
          <w:tbl>
            <w:tblPr>
              <w:tblBorders>
                <w:top w:val="none" w:color="000000" w:sz="4"/>
                <w:left w:val="none" w:color="000000" w:sz="4"/>
                <w:bottom w:val="none" w:color="000000" w:sz="4"/>
                <w:right w:val="none" w:color="000000" w:sz="4"/>
                <w:insideH w:val="none"/>
                <w:insideV w:val="none"/>
              </w:tblBorders>
            </w:tblPr>
            <w:tblGrid>
              <w:gridCol w:w="670"/>
              <w:gridCol w:w="1882"/>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97"/>
                    <w:jc w:val="both"/>
                  </w:pPr>
                  <w:r>
                    <w:rPr>
                      <w:rFonts w:ascii="仿宋_GB2312" w:hAnsi="仿宋_GB2312" w:cs="仿宋_GB2312" w:eastAsia="仿宋_GB2312"/>
                      <w:sz w:val="20"/>
                    </w:rPr>
                    <w:t>产品类别</w:t>
                  </w:r>
                </w:p>
              </w:tc>
              <w:tc>
                <w:tcPr>
                  <w:tcW w:type="dxa" w:w="18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97"/>
                    <w:jc w:val="center"/>
                  </w:pPr>
                  <w:r>
                    <w:rPr>
                      <w:rFonts w:ascii="仿宋_GB2312" w:hAnsi="仿宋_GB2312" w:cs="仿宋_GB2312" w:eastAsia="仿宋_GB2312"/>
                      <w:sz w:val="20"/>
                    </w:rPr>
                    <w:t>监测参数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种植业产品</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甲胺磷、对硫磷、甲基对硫磷、甲拌磷、水胺硫磷、甲基异柳磷、氧乐果、克百威、涕灭威、灭多威、氟虫腈、毒死蜱、三唑磷、乐果、乙酰甲胺磷、氯唑磷、内吸磷、久效磷、灭线磷阿维菌素、吡虫啉、啶虫脒、噻虫嗪、苯醚甲环唑、氯氟氰菊酯、氯氰菊酯、溴氰菊酯、联苯菊酯、倍硫磷、辛硫磷、吡唑醚菌酯、多菌灵、咪鲜胺、除虫脲、戊唑醇、灭蝇胺、甲氨基阿维菌素苯甲酸盐、氯虫苯甲酰胺、氯吡脲、噻虫胺</w:t>
                  </w:r>
                </w:p>
              </w:tc>
            </w:tr>
          </w:tbl>
          <w:p>
            <w:pPr>
              <w:pStyle w:val="null3"/>
            </w:pPr>
            <w:r>
              <w:rPr>
                <w:rFonts w:ascii="仿宋_GB2312" w:hAnsi="仿宋_GB2312" w:cs="仿宋_GB2312" w:eastAsia="仿宋_GB2312"/>
                <w:sz w:val="20"/>
              </w:rPr>
              <w:t>（六）采购预算及抽检批次</w:t>
            </w:r>
          </w:p>
          <w:p>
            <w:pPr>
              <w:pStyle w:val="null3"/>
            </w:pPr>
            <w:r>
              <w:rPr>
                <w:rFonts w:ascii="仿宋_GB2312" w:hAnsi="仿宋_GB2312" w:cs="仿宋_GB2312" w:eastAsia="仿宋_GB2312"/>
                <w:sz w:val="20"/>
              </w:rPr>
              <w:t>本标段预算66万元，包含鄠邑区、周至县、长安区、高新区、西咸新区共980批次。</w:t>
            </w:r>
          </w:p>
          <w:p>
            <w:pPr>
              <w:pStyle w:val="null3"/>
            </w:pPr>
            <w:r>
              <w:rPr>
                <w:rFonts w:ascii="仿宋_GB2312" w:hAnsi="仿宋_GB2312" w:cs="仿宋_GB2312" w:eastAsia="仿宋_GB2312"/>
                <w:sz w:val="21"/>
                <w:b/>
              </w:rPr>
              <w:t>三、服务要求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、各任务承担单位每次抽样不低于两名专业工作人员，监督抽查过程必须现场制样并全程记录，确保程序合法合规。</w:t>
            </w:r>
          </w:p>
          <w:p>
            <w:pPr>
              <w:pStyle w:val="null3"/>
              <w:ind w:firstLine="200"/>
            </w:pPr>
            <w:r>
              <w:rPr>
                <w:rFonts w:ascii="仿宋_GB2312" w:hAnsi="仿宋_GB2312" w:cs="仿宋_GB2312" w:eastAsia="仿宋_GB2312"/>
                <w:sz w:val="20"/>
              </w:rPr>
              <w:t>2</w:t>
            </w:r>
            <w:r>
              <w:rPr>
                <w:rFonts w:ascii="仿宋_GB2312" w:hAnsi="仿宋_GB2312" w:cs="仿宋_GB2312" w:eastAsia="仿宋_GB2312"/>
                <w:sz w:val="20"/>
              </w:rPr>
              <w:t>、同一基地、同一品种只能抽取</w:t>
            </w:r>
            <w:r>
              <w:rPr>
                <w:rFonts w:ascii="仿宋_GB2312" w:hAnsi="仿宋_GB2312" w:cs="仿宋_GB2312" w:eastAsia="仿宋_GB2312"/>
                <w:sz w:val="20"/>
              </w:rPr>
              <w:t>1</w:t>
            </w:r>
            <w:r>
              <w:rPr>
                <w:rFonts w:ascii="仿宋_GB2312" w:hAnsi="仿宋_GB2312" w:cs="仿宋_GB2312" w:eastAsia="仿宋_GB2312"/>
                <w:sz w:val="20"/>
              </w:rPr>
              <w:t>个样品，抽取样品总量不超过</w:t>
            </w:r>
            <w:r>
              <w:rPr>
                <w:rFonts w:ascii="仿宋_GB2312" w:hAnsi="仿宋_GB2312" w:cs="仿宋_GB2312" w:eastAsia="仿宋_GB2312"/>
                <w:sz w:val="20"/>
              </w:rPr>
              <w:t>2</w:t>
            </w:r>
            <w:r>
              <w:rPr>
                <w:rFonts w:ascii="仿宋_GB2312" w:hAnsi="仿宋_GB2312" w:cs="仿宋_GB2312" w:eastAsia="仿宋_GB2312"/>
                <w:sz w:val="20"/>
              </w:rPr>
              <w:t>个。</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、任务承担单位抽取样品后要及时进行样品检测，抽检结果要</w:t>
            </w:r>
            <w:r>
              <w:rPr>
                <w:rFonts w:ascii="仿宋_GB2312" w:hAnsi="仿宋_GB2312" w:cs="仿宋_GB2312" w:eastAsia="仿宋_GB2312"/>
                <w:sz w:val="20"/>
              </w:rPr>
              <w:t>“</w:t>
            </w:r>
            <w:r>
              <w:rPr>
                <w:rFonts w:ascii="仿宋_GB2312" w:hAnsi="仿宋_GB2312" w:cs="仿宋_GB2312" w:eastAsia="仿宋_GB2312"/>
                <w:sz w:val="20"/>
              </w:rPr>
              <w:t>随检随报</w:t>
            </w:r>
            <w:r>
              <w:rPr>
                <w:rFonts w:ascii="仿宋_GB2312" w:hAnsi="仿宋_GB2312" w:cs="仿宋_GB2312" w:eastAsia="仿宋_GB2312"/>
                <w:sz w:val="20"/>
              </w:rPr>
              <w:t>”</w:t>
            </w:r>
            <w:r>
              <w:rPr>
                <w:rFonts w:ascii="仿宋_GB2312" w:hAnsi="仿宋_GB2312" w:cs="仿宋_GB2312" w:eastAsia="仿宋_GB2312"/>
                <w:sz w:val="20"/>
              </w:rPr>
              <w:t>，不合格样品检测结果要在</w:t>
            </w:r>
            <w:r>
              <w:rPr>
                <w:rFonts w:ascii="仿宋_GB2312" w:hAnsi="仿宋_GB2312" w:cs="仿宋_GB2312" w:eastAsia="仿宋_GB2312"/>
                <w:sz w:val="20"/>
              </w:rPr>
              <w:t xml:space="preserve"> 24 </w:t>
            </w:r>
            <w:r>
              <w:rPr>
                <w:rFonts w:ascii="仿宋_GB2312" w:hAnsi="仿宋_GB2312" w:cs="仿宋_GB2312" w:eastAsia="仿宋_GB2312"/>
                <w:sz w:val="20"/>
              </w:rPr>
              <w:t>小时内通报采购方。</w:t>
            </w:r>
          </w:p>
          <w:p>
            <w:pPr>
              <w:pStyle w:val="null3"/>
            </w:pPr>
            <w:r>
              <w:rPr>
                <w:rFonts w:ascii="仿宋_GB2312" w:hAnsi="仿宋_GB2312" w:cs="仿宋_GB2312" w:eastAsia="仿宋_GB2312"/>
                <w:sz w:val="21"/>
              </w:rPr>
              <w:t>4.</w:t>
            </w:r>
            <w:r>
              <w:rPr>
                <w:rFonts w:ascii="仿宋_GB2312" w:hAnsi="仿宋_GB2312" w:cs="仿宋_GB2312" w:eastAsia="仿宋_GB2312"/>
                <w:sz w:val="21"/>
              </w:rPr>
              <w:t>所有检测报告均出具电子版和纸质版，不合格样品需附完整复检记录。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自合同签订之日起至2026年10月31日前完成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进度款，项目验收合格后，达到付款条件起22个工作日内，支付合同总金额的60.0%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允许供应商同时参与两个标段的磋商，但每个供应商最终只能成交一个标段。成交规则如下：若供应商在第一标段被推荐为第一成交候选人，则在第二标段中可正常参与评审，但不得被推荐为第二标段的第一成交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提供递交响应文件截止之日前两年内任意一个年度经审计的财务报告复印件（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递交响应文件截止时间前三个月内由供应商基本账户开户银行出具的资信证明；3.依法缴纳税收和社会保障资金的证明材料复印件； 4.具备履行合同所必需的设备和专业技术能力的承诺； 5.供应商参加政府采购活动前3年内在经营活动中没有重大违法记录的书面声明原件；6.供应商控股股东名称、控股公司的名称和存在管理、被管理关系的单位名称说明；7.供应商是否属于为本项目提供整体设计、规范编制或者项目管理、监理、检测等服务的供应商声明；8.法律 、行政法规规定的其他条件。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拒绝贿赂承诺书.docx 首次磋商报价明细表.docx 商务技术文件.docx 中小企业声明函 残疾人福利性单位声明函 标的清单 报价表 响应函 资格证明文件.docx 监狱企业的证明文件 唱价一览表.docx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提供递交响应文件截止之日前两年内任意一个年度经审计的财务报告复印件，应满足以下要求：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财务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（2）提供资信证明及基本存款账户信息（或开户许可证），应满足以下要求： ① 资信证明须为递交响应文件截止时间前三个月内由供应商基本账户开户银行出具。 ② 无论开具银行是否标明“复印无效”，供应商提供的复印件在本次采购中予以认可（即不因“复印无效”字样而认定资信证明复印件无效）。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提供递交响应文件截止之日前两年内任意一个年度经审计的财务报告复印件（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递交响应文件截止时间前三个月内由供应商基本账户开户银行出具的资信证明；3.依法缴纳税收和社会保障资金的证明材料复印件； 4.具备履行合同所必需的设备和专业技术能力的承诺； 5.供应商参加政府采购活动前3年内在经营活动中没有重大违法记录的书面声明原件；6.供应商控股股东名称、控股公司的名称和存在管理、被管理关系的单位名称说明；7.供应商是否属于为本项目提供整体设计、规范编制或者项目管理、监理、检测等服务的供应商声明；8.法律 、行政法规规定的其他条件。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拒绝贿赂承诺书.docx 首次磋商报价明细表.docx 中小企业声明函 残疾人福利性单位声明函 商务技术文件.docx 标的清单 报价表 响应函 资格证明文件.docx 监狱企业的证明文件 唱价一览表.docx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提供递交响应文件截止之日前两年内任意一个年度经审计的财务报告复印件，应满足以下要求：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财务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（2）提供资信证明及基本存款账户信息（或开户许可证），应满足以下要求： ① 资信证明须为递交响应文件截止时间前三个月内由供应商基本账户开户银行出具。 ② 无论开具银行是否标明“复印无效”，供应商提供的复印件在本次采购中予以认可（即不因“复印无效”字样而认定资信证明复印件无效）。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首次磋商报价明细表.docx 中小企业声明函 残疾人福利性单位声明函 标的清单 报价表 响应函 监狱企业的证明文件 唱价一览表.docx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首次磋商报价明细表.docx 中小企业声明函 残疾人福利性单位声明函 标的清单 报价表 响应函 监狱企业的证明文件 唱价一览表.docx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具备合法有效的CMA检验检测机构资质认定证书（资质认定证书附表须含食品检测）、CATL农产品质量安全检测机构考核证书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本项目磋商响应</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联合体响应</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具备合法有效的CMA检验检测机构资质认定证书（资质认定证书附表须含食品检测）、CATL农产品质量安全检测机构考核证书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本项目磋商响应</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联合体响应</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拒绝贿赂承诺书.docx 首次磋商报价明细表.docx 中小企业声明函 残疾人福利性单位声明函 商务技术文件.docx 标的清单 报价表 响应函 资格证明文件.docx 监狱企业的证明文件 唱价一览表.docx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 首次磋商报价明细表.docx 商务技术文件.docx 标的清单 报价表 响应函 唱价一览表.docx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首次磋商报价明细表.docx 标的清单 报价表 响应函 唱价一览表.docx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合同履行期限（即服务期限）</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首次磋商报价明细表.docx 商务技术文件.docx 标的清单 报价表 响应函 唱价一览表.docx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首次磋商报价明细表.docx 商务技术文件.docx 标的清单 报价表 响应函 唱价一览表.docx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满足采购文件要求，不允许负偏离</w:t>
            </w:r>
          </w:p>
        </w:tc>
        <w:tc>
          <w:tcPr>
            <w:tcW w:type="dxa" w:w="1661"/>
          </w:tcPr>
          <w:p>
            <w:pPr>
              <w:pStyle w:val="null3"/>
            </w:pPr>
            <w:r>
              <w:rPr>
                <w:rFonts w:ascii="仿宋_GB2312" w:hAnsi="仿宋_GB2312" w:cs="仿宋_GB2312" w:eastAsia="仿宋_GB2312"/>
              </w:rPr>
              <w:t>响应文件封面 商务技术文件.docx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1）响应报价低于采购项目最高限价45%的，即响应报价&lt;采购项目最高限价×45%； 2）磋商小组基于专业判断，认为供应商报价过低，有可能影响产品质量或者不能诚信履约的其他情形。 相关法律法规对供应商报价有规定的，从其规定。 磋商小组启动异常低价响应审查后，属于上述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首次磋商报价明细表.docx 标的清单 报价表 唱价一览表.docx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商务技术文件.docx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拒绝贿赂承诺书.docx 首次磋商报价明细表.docx 中小企业声明函 残疾人福利性单位声明函 商务技术文件.docx 标的清单 报价表 响应函 监狱企业的证明文件 唱价一览表.docx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首次磋商报价明细表.docx 商务技术文件.docx 标的清单 报价表 唱价一览表.docx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拒绝贿赂承诺书.docx 首次磋商报价明细表.docx 中小企业声明函 残疾人福利性单位声明函 商务技术文件.docx 标的清单 报价表 响应函 资格证明文件.docx 监狱企业的证明文件 唱价一览表.docx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拒绝贿赂承诺书.docx 首次磋商报价明细表.docx 中小企业声明函 残疾人福利性单位声明函 商务技术文件.docx 标的清单 报价表 响应函 资格证明文件.docx 监狱企业的证明文件 唱价一览表.docx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首次磋商报价明细表.docx 商务技术文件.docx 标的清单 报价表 响应函 唱价一览表.docx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首次磋商报价明细表.docx 标的清单 报价表 响应函 唱价一览表.docx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合同履行期限（即服务期限）</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首次磋商报价明细表.docx 商务技术文件.docx 标的清单 报价表 响应函 唱价一览表.docx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首次磋商报价明细表.docx 商务技术文件.docx 标的清单 报价表 响应函 唱价一览表.docx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满足采购文件要求，不允许负偏离</w:t>
            </w:r>
          </w:p>
        </w:tc>
        <w:tc>
          <w:tcPr>
            <w:tcW w:type="dxa" w:w="1661"/>
          </w:tcPr>
          <w:p>
            <w:pPr>
              <w:pStyle w:val="null3"/>
            </w:pPr>
            <w:r>
              <w:rPr>
                <w:rFonts w:ascii="仿宋_GB2312" w:hAnsi="仿宋_GB2312" w:cs="仿宋_GB2312" w:eastAsia="仿宋_GB2312"/>
              </w:rPr>
              <w:t>响应文件封面 商务技术文件.docx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1）响应报价低于采购项目最高限价45%的，即响应报价&lt;采购项目最高限价×45%； 2）磋商小组基于专业判断，认为供应商报价过低，有可能影响产品质量或者不能诚信履约的其他情形。 相关法律法规对供应商报价有规定的，从其规定。 磋商小组启动异常低价响应审查后，属于上述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首次磋商报价明细表.docx 标的清单 报价表 唱价一览表.docx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首次磋商报价明细表.docx 商务技术文件.docx 标的清单 报价表 响应函 唱价一览表.docx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响应文件封面 拒绝贿赂承诺书.docx 首次磋商报价明细表.docx 中小企业声明函 残疾人福利性单位声明函 商务技术文件.docx 标的清单 报价表 响应函 监狱企业的证明文件 唱价一览表.docx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拒绝贿赂承诺书.docx 首次磋商报价明细表.docx 商务技术文件.docx 中小企业声明函 残疾人福利性单位声明函 标的清单 报价表 响应函 资格证明文件.docx 监狱企业的证明文件 唱价一览表.docx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抽样实施方案</w:t>
            </w:r>
          </w:p>
        </w:tc>
        <w:tc>
          <w:tcPr>
            <w:tcW w:type="dxa" w:w="2492"/>
          </w:tcPr>
          <w:p>
            <w:pPr>
              <w:pStyle w:val="null3"/>
            </w:pPr>
            <w:r>
              <w:rPr>
                <w:rFonts w:ascii="仿宋_GB2312" w:hAnsi="仿宋_GB2312" w:cs="仿宋_GB2312" w:eastAsia="仿宋_GB2312"/>
              </w:rPr>
              <w:t>供应商提供本项目抽样实施方案，方案包含以下内容：抽样对象确定与范围界定；抽样区域与点位布设方案；抽样方法与抽样代表性保障措施；现场抽样流程与操作规范；样品制备与封样管理；样品运输与保存条件保障；样品交接与流转管理；抽样人员配备与职责分工；抽样计划与进度安排；抽样工作质量控制与考核措施。 供应商每提供一项上述内容且内容无缺陷得1分，满分10分；未提供或仅列标题未提供具体内容的得0分；该项内容存在采购文件规定缺陷的，每存在一处扣0.5分，扣完为止。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供应商提供本项目检测实施方案，方案包含以下内容：检测方法及判定依据；检测流程与质量控制；检测时限保障；异议及复检应对方案；不合格结果报送程序；数据录入与结果分析；检测报告编制与提交；检测环境与设施保障；标准物质与试剂管理；检测数据安全管理。 供应商每提供一项上述内容且内容无缺陷得1分，满分10分；未提供或仅列标题未提供具体内容的得0分；该项内容存在采购文件规定缺陷的，每存在一处扣0.5分，扣完为止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实验室及管理系统配置方案</w:t>
            </w:r>
          </w:p>
        </w:tc>
        <w:tc>
          <w:tcPr>
            <w:tcW w:type="dxa" w:w="2492"/>
          </w:tcPr>
          <w:p>
            <w:pPr>
              <w:pStyle w:val="null3"/>
            </w:pPr>
            <w:r>
              <w:rPr>
                <w:rFonts w:ascii="仿宋_GB2312" w:hAnsi="仿宋_GB2312" w:cs="仿宋_GB2312" w:eastAsia="仿宋_GB2312"/>
              </w:rPr>
              <w:t>供应商提供实验室及管理系统配置方案，方案包含以下内容：实验室信息管理系统配备及功能覆盖；样品管理与全流程追踪功能；检测流程管理与任务调度功能；仪器数据自动采集与传输功能；检测报告自动生成与管理功能；数据查询与结果追溯功能；操作日志与审计追踪功能；信息安全与数据保障机制；系统对接与信息集成能力；系统运维保障措施 供应商每提供一项上述内容且内容无缺陷得1分，满分10分；未提供或仅列标题未提供具体内容的得0分；该项内容存在采购文件规定缺陷的，每存在一处扣0.5分，扣完为止。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实验室管理制度</w:t>
            </w:r>
          </w:p>
        </w:tc>
        <w:tc>
          <w:tcPr>
            <w:tcW w:type="dxa" w:w="2492"/>
          </w:tcPr>
          <w:p>
            <w:pPr>
              <w:pStyle w:val="null3"/>
            </w:pPr>
            <w:r>
              <w:rPr>
                <w:rFonts w:ascii="仿宋_GB2312" w:hAnsi="仿宋_GB2312" w:cs="仿宋_GB2312" w:eastAsia="仿宋_GB2312"/>
              </w:rPr>
              <w:t>供应商提供其实验室管理制度，包含以下内容：人员管理；仪器设备管理；试剂与标准物质管理；样品管理；检测环境管理；文件与记录管理；检测方法验证与确认管理；内部审核与管理评审；不符合工作控制与纠正预防；安全与保密管理 供应商每提供一项上述内容且内容无缺陷得1分，满分10分；未提供或仅列标题未提供具体内容的得0分；该项内容存在采购文件规定缺陷的，每存在一处扣0.5分，扣完为止。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本项目质量保证措施，包含以下内容：质量管理体系运行与人员保障；检测过程质量控制；能力验证与实验室间比对；量值溯源保障；检测方法验证与确认；检测结果不确定度评定与控制；样品管理制度；数据审核与结果保障 供应商每提供一项上述内容且内容无缺陷得1分，满分8分；未提供或仅列标题未提供具体内容的得0分；该项内容存在采购文件规定缺陷的，每存在一处扣0.5分，扣完为止。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本项目进度保证措施，包含以下内容：进度计划与任务分解安排；关键成果审查与审批节点；人员与设备资源配置保障；进度监控与预警调整机制；沟通协调与信息反馈机制；抽样检测进度与农产品上市期衔接保障；季节性影响因素应对措施；进度保障承诺与责任机制 供应商每提供一项上述内容且内容无缺陷得1分，满分8分；未提供或仅列标题未提供具体内容的得0分；该项内容存在采购文件规定缺陷的，每存在一处扣0.5分，扣完为止。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服务响应与时效保障方案</w:t>
            </w:r>
          </w:p>
        </w:tc>
        <w:tc>
          <w:tcPr>
            <w:tcW w:type="dxa" w:w="2492"/>
          </w:tcPr>
          <w:p>
            <w:pPr>
              <w:pStyle w:val="null3"/>
            </w:pPr>
            <w:r>
              <w:rPr>
                <w:rFonts w:ascii="仿宋_GB2312" w:hAnsi="仿宋_GB2312" w:cs="仿宋_GB2312" w:eastAsia="仿宋_GB2312"/>
              </w:rPr>
              <w:t>供应商提供服务响应与时效保障方案，方案包含以下内容：日常与应急抽样检测响应时限；样品接收与检测启动时限；不合格结果复核确认时限；检测报告出具与不合格结果通报时限；问题咨询响应时限；检测进度反馈机制；节假日及非工作时间服务安排 供应商每提供一项上述内容且内容无缺陷得1分，满分7分；未提供或仅列标题未提供具体内容的得0分；该项内容存在采购文件规定缺陷的，每存在一处扣0.5分，扣完为止。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制定针对本项目的后续服务方案，方案包含以下内容：抽样规范管理与指导服务；抽检工作成效保障措施；数据分析与专题报告编制；异议受理与复检情形应对；不合格产品溯源配合服务；质量安全隐患排查与防控配合 供应商每提供一项上述内容且内容无缺陷得1分，满分6分；未提供或仅列标题未提供具体内容的得0分；该项内容存在采购文件规定缺陷的，每存在一处扣0.5分，扣完为止。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供应商须同时具备气质联用仪（GC-MS-MS）与液质联用仪（LC-MS-MS）且均在检定/校准有效期内的，得2分；仅具备其中1台的，得1分。在此前提下，每提供以下1台设备且在检定/校准有效期内的，加0.5分：气相色谱仪；液相色谱仪；均质器/匀浆机；氮吹浓缩仪；高速冷冻离心机；万分之一分析天平，满分3分。未同时具备气质联用仪（GC-MS-MS）及液质联用仪（LC-MS-MS）的，本项得0分。 供应商须提供以下材料：1.仪器设备清单（含设备名称、型号、数量、存放地点）；2.检定/校准证书扫描件；3.自有设备须提供购置发票或固定资产登记证明；租赁设备须提供租赁合同及出租方权属证明，租赁期限须覆盖本项目实施期。供应商须同时提供上述佐证材料，未提供材料或者提供材料不全，则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样品运输车辆</w:t>
            </w:r>
          </w:p>
        </w:tc>
        <w:tc>
          <w:tcPr>
            <w:tcW w:type="dxa" w:w="2492"/>
          </w:tcPr>
          <w:p>
            <w:pPr>
              <w:pStyle w:val="null3"/>
            </w:pPr>
            <w:r>
              <w:rPr>
                <w:rFonts w:ascii="仿宋_GB2312" w:hAnsi="仿宋_GB2312" w:cs="仿宋_GB2312" w:eastAsia="仿宋_GB2312"/>
              </w:rPr>
              <w:t>供应商拟投入用于本项目样品运输车辆的，每提供1辆得0.5分；配备车载冷藏设备且能满足样品保存温度要求的车辆，每辆得1分。本项满分5分。 供应商须提供以下佐证材料：1.车辆清单（含车牌号、车辆型号、车载冷藏设备配备情况）；2.车辆照片（含整车外观及车载冷藏设备照片）；3.自有车辆须提供购置发票或行驶证扫描件，租赁车辆须提供租赁合同及出租方权属证明，租赁期限须覆盖本项目实施期。供应商须同时提供上述佐证材料，未提供材料或者提供材料不全，则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拟派团队</w:t>
            </w:r>
          </w:p>
        </w:tc>
        <w:tc>
          <w:tcPr>
            <w:tcW w:type="dxa" w:w="2492"/>
          </w:tcPr>
          <w:p>
            <w:pPr>
              <w:pStyle w:val="null3"/>
            </w:pPr>
            <w:r>
              <w:rPr>
                <w:rFonts w:ascii="仿宋_GB2312" w:hAnsi="仿宋_GB2312" w:cs="仿宋_GB2312" w:eastAsia="仿宋_GB2312"/>
              </w:rPr>
              <w:t>1.团队人数（2分） 拟投入项目团队（不含项目负责人）人数：≥10人得2分；7≤人数＜10人的，得1.5分；5≤人数＜7人的，得1分，人数＜5人不得分。 供应商须提供人员清单及社保缴纳证明复印件，未提供或提供不全则该项评审不得分。 2.专业资质 团队人员中每具备一名农产品质量安全检测人员上岗证书得0.5分，满分3分 供应商须提供上岗证书扫描件，未提供则该项评审不得分。 3.团队专业结构 团队人员每具备一名农产品检测、食品科学、农学、化学分析等相关专业人员得0.5分，满分3分 供应商须提供团队成员学历证书或职称证书复印件，未提供则该项评审不得分。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供应商自2023年1月1日起至磋商响应文件递交截止时间，每提供一个类似项目业绩得1分，满分3分，时间以合同签订时间为准。 备注：供应商须合同复印件并加盖供应商公章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唱价一览表.docx</w:t>
            </w:r>
          </w:p>
          <w:p>
            <w:pPr>
              <w:pStyle w:val="null3"/>
            </w:pPr>
            <w:r>
              <w:rPr>
                <w:rFonts w:ascii="仿宋_GB2312" w:hAnsi="仿宋_GB2312" w:cs="仿宋_GB2312" w:eastAsia="仿宋_GB2312"/>
              </w:rPr>
              <w:t>首次磋商报价明细表.docx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唱价一览表.docx</w:t>
            </w:r>
          </w:p>
          <w:p>
            <w:pPr>
              <w:pStyle w:val="null3"/>
            </w:pPr>
            <w:r>
              <w:rPr>
                <w:rFonts w:ascii="仿宋_GB2312" w:hAnsi="仿宋_GB2312" w:cs="仿宋_GB2312" w:eastAsia="仿宋_GB2312"/>
              </w:rPr>
              <w:t>首次磋商报价明细表.docx</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唱价一览表.docx</w:t>
            </w:r>
          </w:p>
          <w:p>
            <w:pPr>
              <w:pStyle w:val="null3"/>
            </w:pPr>
            <w:r>
              <w:rPr>
                <w:rFonts w:ascii="仿宋_GB2312" w:hAnsi="仿宋_GB2312" w:cs="仿宋_GB2312" w:eastAsia="仿宋_GB2312"/>
              </w:rPr>
              <w:t>首次磋商报价明细表.docx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抽样实施方案</w:t>
            </w:r>
          </w:p>
        </w:tc>
        <w:tc>
          <w:tcPr>
            <w:tcW w:type="dxa" w:w="2492"/>
          </w:tcPr>
          <w:p>
            <w:pPr>
              <w:pStyle w:val="null3"/>
            </w:pPr>
            <w:r>
              <w:rPr>
                <w:rFonts w:ascii="仿宋_GB2312" w:hAnsi="仿宋_GB2312" w:cs="仿宋_GB2312" w:eastAsia="仿宋_GB2312"/>
              </w:rPr>
              <w:t>供应商提供本项目抽样实施方案，方案包含以下内容：抽样对象确定与范围界定；抽样区域与点位布设方案；抽样方法与抽样代表性保障措施；现场抽样流程与操作规范；样品制备与封样管理；样品运输与保存条件保障；样品交接与流转管理；抽样人员配备与职责分工；抽样计划与进度安排；抽样工作质量控制与考核措施。 供应商每提供一项上述内容且内容无缺陷得1分，满分10分；未提供或仅列标题未提供具体内容的得0分；该项内容存在采购文件规定缺陷的，每存在一处扣0.5分，扣完为止。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供应商提供本项目检测实施方案，方案包含以下内容：检测方法及判定依据；检测流程与质量控制；检测时限保障；异议及复检应对方案；不合格结果报送程序；数据录入与结果分析；检测报告编制与提交；检测环境与设施保障；标准物质与试剂管理；检测数据安全管理。 供应商每提供一项上述内容且内容无缺陷得1分，满分10分；未提供或仅列标题未提供具体内容的得0分；该项内容存在采购文件规定缺陷的，每存在一处扣0.5分，扣完为止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实验室及管理系统配置方案</w:t>
            </w:r>
          </w:p>
        </w:tc>
        <w:tc>
          <w:tcPr>
            <w:tcW w:type="dxa" w:w="2492"/>
          </w:tcPr>
          <w:p>
            <w:pPr>
              <w:pStyle w:val="null3"/>
            </w:pPr>
            <w:r>
              <w:rPr>
                <w:rFonts w:ascii="仿宋_GB2312" w:hAnsi="仿宋_GB2312" w:cs="仿宋_GB2312" w:eastAsia="仿宋_GB2312"/>
              </w:rPr>
              <w:t>供应商提供实验室及管理系统配置方案，方案包含以下内容：实验室信息管理系统配备及功能覆盖；样品管理与全流程追踪功能；检测流程管理与任务调度功能；仪器数据自动采集与传输功能；检测报告自动生成与管理功能；数据查询与结果追溯功能；操作日志与审计追踪功能；信息安全与数据保障机制；系统对接与信息集成能力；系统运维保障措施 供应商每提供一项上述内容且内容无缺陷得1分，满分10分；未提供或仅列标题未提供具体内容的得0分；该项内容存在采购文件规定缺陷的，每存在一处扣0.5分，扣完为止。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实验室管理制度</w:t>
            </w:r>
          </w:p>
        </w:tc>
        <w:tc>
          <w:tcPr>
            <w:tcW w:type="dxa" w:w="2492"/>
          </w:tcPr>
          <w:p>
            <w:pPr>
              <w:pStyle w:val="null3"/>
            </w:pPr>
            <w:r>
              <w:rPr>
                <w:rFonts w:ascii="仿宋_GB2312" w:hAnsi="仿宋_GB2312" w:cs="仿宋_GB2312" w:eastAsia="仿宋_GB2312"/>
              </w:rPr>
              <w:t>供应商提供其实验室管理制度，包含以下内容：人员管理；仪器设备管理；试剂与标准物质管理；样品管理；检测环境管理；文件与记录管理；检测方法验证与确认管理；内部审核与管理评审；不符合工作控制与纠正预防；安全与保密管理 供应商每提供一项上述内容且内容无缺陷得1分，满分10分；未提供或仅列标题未提供具体内容的得0分；该项内容存在采购文件规定缺陷的，每存在一处扣0.5分，扣完为止。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本项目质量保证措施，包含以下内容：质量管理体系运行与人员保障；检测过程质量控制；能力验证与实验室间比对；量值溯源保障；检测方法验证与确认；检测结果不确定度评定与控制；样品管理制度；数据审核与结果保障 供应商每提供一项上述内容且内容无缺陷得1分，满分8分；未提供或仅列标题未提供具体内容的得0分；该项内容存在采购文件规定缺陷的，每存在一处扣0.5分，扣完为止。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本项目进度保证措施，包含以下内容：进度计划与任务分解安排；关键成果审查与审批节点；人员与设备资源配置保障；进度监控与预警调整机制；沟通协调与信息反馈机制；抽样检测进度与农产品上市期衔接保障；季节性影响因素应对措施；进度保障承诺与责任机制 供应商每提供一项上述内容且内容无缺陷得1分，满分8分；未提供或仅列标题未提供具体内容的得0分；该项内容存在采购文件规定缺陷的，每存在一处扣0.5分，扣完为止。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服务响应与时效保障方案</w:t>
            </w:r>
          </w:p>
        </w:tc>
        <w:tc>
          <w:tcPr>
            <w:tcW w:type="dxa" w:w="2492"/>
          </w:tcPr>
          <w:p>
            <w:pPr>
              <w:pStyle w:val="null3"/>
            </w:pPr>
            <w:r>
              <w:rPr>
                <w:rFonts w:ascii="仿宋_GB2312" w:hAnsi="仿宋_GB2312" w:cs="仿宋_GB2312" w:eastAsia="仿宋_GB2312"/>
              </w:rPr>
              <w:t>供应商提供服务响应与时效保障方案，方案包含以下内容：日常与应急抽样检测响应时限；样品接收与检测启动时限；不合格结果复核确认时限；检测报告出具与不合格结果通报时限；问题咨询响应时限；检测进度反馈机制；节假日及非工作时间服务安排 供应商每提供一项上述内容且内容无缺陷得1分，满分7分；未提供或仅列标题未提供具体内容的得0分；该项内容存在采购文件规定缺陷的，每存在一处扣0.5分，扣完为止。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制定针对本项目的后续服务方案，方案包含以下内容：抽样规范管理与指导服务；抽检工作成效保障措施；数据分析与专题报告编制；异议受理与复检情形应对；不合格产品溯源配合服务；质量安全隐患排查与防控配合 供应商每提供一项上述内容且内容无缺陷得1分，满分6分；未提供或仅列标题未提供具体内容的得0分；该项内容存在采购文件规定缺陷的，每存在一处扣0.5分，扣完为止。 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供应商须同时具备气质联用仪（GC-MS-MS）与液质联用仪（LC-MS-MS）且均在检定/校准有效期内的，得2分；仅具备其中1台的，得1分。在此前提下，每提供以下1台设备且在检定/校准有效期内的，加0.5分：气相色谱仪；液相色谱仪；均质器/匀浆机；氮吹浓缩仪；高速冷冻离心机；万分之一分析天平，满分3分。未同时具备气质联用仪（GC-MS-MS）及液质联用仪（LC-MS-MS）的，本项得0分。 供应商须提供以下材料：1.仪器设备清单（含设备名称、型号、数量、存放地点）；2.检定/校准证书扫描件；3.自有设备须提供购置发票或固定资产登记证明；租赁设备须提供租赁合同及出租方权属证明，租赁期限须覆盖本项目实施期。供应商须同时提供上述佐证材料，未提供材料或者提供材料不全，则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样品运输车辆</w:t>
            </w:r>
          </w:p>
        </w:tc>
        <w:tc>
          <w:tcPr>
            <w:tcW w:type="dxa" w:w="2492"/>
          </w:tcPr>
          <w:p>
            <w:pPr>
              <w:pStyle w:val="null3"/>
            </w:pPr>
            <w:r>
              <w:rPr>
                <w:rFonts w:ascii="仿宋_GB2312" w:hAnsi="仿宋_GB2312" w:cs="仿宋_GB2312" w:eastAsia="仿宋_GB2312"/>
              </w:rPr>
              <w:t>供应商拟投入用于本项目样品运输车辆的，每提供1辆得0.5分；配备车载冷藏设备且能满足样品保存温度要求的车辆，每辆得1分。本项满分5分。 供应商须提供以下佐证材料：1.车辆清单（含车牌号、车辆型号、车载冷藏设备配备情况）；2.车辆照片（含整车外观及车载冷藏设备照片）；3.自有车辆须提供购置发票或行驶证扫描件，租赁车辆须提供租赁合同及出租方权属证明，租赁期限须覆盖本项目实施期。供应商须同时提供上述佐证材料，未提供材料或者提供材料不全，则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拟派团队</w:t>
            </w:r>
          </w:p>
        </w:tc>
        <w:tc>
          <w:tcPr>
            <w:tcW w:type="dxa" w:w="2492"/>
          </w:tcPr>
          <w:p>
            <w:pPr>
              <w:pStyle w:val="null3"/>
            </w:pPr>
            <w:r>
              <w:rPr>
                <w:rFonts w:ascii="仿宋_GB2312" w:hAnsi="仿宋_GB2312" w:cs="仿宋_GB2312" w:eastAsia="仿宋_GB2312"/>
              </w:rPr>
              <w:t>1.团队人数（2分） 拟投入项目团队（不含项目负责人）人数：≥10人得2分；7≤人数＜10人的，得1.5分；5≤人数＜7人的，得1分，人数＜5人不得分。 供应商须提供人员清单及社保缴纳证明复印件，未提供或提供不全则该项评审不得分。 2.专业资质 团队人员中每具备一名农产品质量安全检测人员上岗证书得0.5分，满分3分 供应商须提供上岗证书扫描件，未提供则该项评审不得分。 3.团队专业结构 团队人员每具备一名农产品检测、食品科学、农学、化学分析等相关专业人员得0.5分，满分3分 供应商须提供团队成员学历证书或职称证书复印件，未提供则该项评审不得分。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供应商自2023年1月1日起至磋商响应文件递交截止时间，每提供一个类似项目业绩得1分，满分3分，时间以合同签订时间为准 备注：供应商须合同复印件并加盖供应商公章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唱价一览表.docx</w:t>
            </w:r>
          </w:p>
          <w:p>
            <w:pPr>
              <w:pStyle w:val="null3"/>
            </w:pPr>
            <w:r>
              <w:rPr>
                <w:rFonts w:ascii="仿宋_GB2312" w:hAnsi="仿宋_GB2312" w:cs="仿宋_GB2312" w:eastAsia="仿宋_GB2312"/>
              </w:rPr>
              <w:t>首次磋商报价明细表.docx</w:t>
            </w:r>
          </w:p>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唱价一览表.docx</w:t>
            </w:r>
          </w:p>
          <w:p>
            <w:pPr>
              <w:pStyle w:val="null3"/>
            </w:pPr>
            <w:r>
              <w:rPr>
                <w:rFonts w:ascii="仿宋_GB2312" w:hAnsi="仿宋_GB2312" w:cs="仿宋_GB2312" w:eastAsia="仿宋_GB2312"/>
              </w:rPr>
              <w:t>首次磋商报价明细表.docx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详见附件：唱价一览表.docx</w:t>
      </w:r>
    </w:p>
    <w:p>
      <w:pPr>
        <w:pStyle w:val="null3"/>
        <w:ind w:firstLine="960"/>
      </w:pPr>
      <w:r>
        <w:rPr>
          <w:rFonts w:ascii="仿宋_GB2312" w:hAnsi="仿宋_GB2312" w:cs="仿宋_GB2312" w:eastAsia="仿宋_GB2312"/>
        </w:rPr>
        <w:t>详见附件：首次磋商报价明细表.docx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详见附件：拒绝贿赂承诺书.docx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详见附件：唱价一览表.docx</w:t>
      </w:r>
    </w:p>
    <w:p>
      <w:pPr>
        <w:pStyle w:val="null3"/>
        <w:ind w:firstLine="960"/>
      </w:pPr>
      <w:r>
        <w:rPr>
          <w:rFonts w:ascii="仿宋_GB2312" w:hAnsi="仿宋_GB2312" w:cs="仿宋_GB2312" w:eastAsia="仿宋_GB2312"/>
        </w:rPr>
        <w:t>详见附件：首次磋商报价明细表.docx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详见附件：拒绝贿赂承诺书.docx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