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62A22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合同文本</w:t>
      </w:r>
    </w:p>
    <w:p w14:paraId="082B3338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（本格式合同条款供双方签订合同参考，采购人可根据项目的实际情况增减条款和内容）</w:t>
      </w:r>
    </w:p>
    <w:p w14:paraId="714453C4">
      <w:pPr>
        <w:keepNext/>
        <w:keepLines/>
        <w:spacing w:after="120" w:line="360" w:lineRule="auto"/>
        <w:ind w:left="620" w:firstLine="1160"/>
        <w:jc w:val="center"/>
        <w:outlineLvl w:val="0"/>
        <w:rPr>
          <w:rFonts w:hint="eastAsia" w:ascii="仿宋" w:hAnsi="仿宋" w:eastAsia="仿宋" w:cs="仿宋"/>
          <w:sz w:val="58"/>
          <w:szCs w:val="58"/>
          <w:lang w:bidi="en-US"/>
        </w:rPr>
      </w:pPr>
      <w:bookmarkStart w:id="6" w:name="_GoBack"/>
      <w:bookmarkEnd w:id="6"/>
    </w:p>
    <w:p w14:paraId="654E75EB">
      <w:pPr>
        <w:keepNext/>
        <w:keepLines/>
        <w:spacing w:after="120" w:line="360" w:lineRule="auto"/>
        <w:ind w:firstLine="0" w:firstLineChars="0"/>
        <w:jc w:val="center"/>
        <w:outlineLvl w:val="0"/>
        <w:rPr>
          <w:rFonts w:hint="eastAsia" w:ascii="仿宋" w:hAnsi="仿宋" w:eastAsia="仿宋" w:cs="仿宋"/>
          <w:b/>
          <w:bCs/>
          <w:sz w:val="52"/>
          <w:szCs w:val="52"/>
          <w:lang w:eastAsia="zh-Hans" w:bidi="zh-TW"/>
        </w:rPr>
      </w:pPr>
      <w:r>
        <w:rPr>
          <w:rFonts w:hint="eastAsia" w:ascii="仿宋" w:hAnsi="仿宋" w:eastAsia="仿宋" w:cs="仿宋"/>
          <w:b/>
          <w:bCs/>
          <w:sz w:val="52"/>
          <w:szCs w:val="52"/>
          <w:lang w:bidi="zh-TW"/>
        </w:rPr>
        <w:t>乙级测绘资质单位成果质量监督检查成果检验项目</w:t>
      </w:r>
    </w:p>
    <w:p w14:paraId="0E0EB1FC">
      <w:pPr>
        <w:keepNext/>
        <w:keepLines/>
        <w:spacing w:after="120" w:line="360" w:lineRule="auto"/>
        <w:ind w:firstLine="0" w:firstLineChars="0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lang w:val="zh-TW" w:eastAsia="zh-TW" w:bidi="zh-TW"/>
        </w:rPr>
      </w:pPr>
    </w:p>
    <w:p w14:paraId="64CEBC74">
      <w:pPr>
        <w:keepNext/>
        <w:keepLines/>
        <w:spacing w:after="120" w:line="360" w:lineRule="auto"/>
        <w:ind w:firstLine="0" w:firstLineChars="0"/>
        <w:outlineLvl w:val="0"/>
        <w:rPr>
          <w:rFonts w:hint="eastAsia" w:ascii="仿宋" w:hAnsi="仿宋" w:eastAsia="仿宋" w:cs="仿宋"/>
          <w:b/>
          <w:bCs/>
          <w:sz w:val="44"/>
          <w:szCs w:val="44"/>
          <w:lang w:val="zh-TW" w:eastAsia="zh-TW" w:bidi="zh-TW"/>
        </w:rPr>
      </w:pPr>
    </w:p>
    <w:p w14:paraId="6A2098E9">
      <w:pPr>
        <w:keepNext/>
        <w:keepLines/>
        <w:spacing w:after="120" w:line="360" w:lineRule="auto"/>
        <w:ind w:firstLine="0" w:firstLineChars="0"/>
        <w:jc w:val="center"/>
        <w:outlineLvl w:val="0"/>
        <w:rPr>
          <w:rFonts w:hint="eastAsia" w:ascii="仿宋" w:hAnsi="仿宋" w:eastAsia="仿宋" w:cs="仿宋"/>
          <w:b/>
          <w:bCs/>
          <w:sz w:val="48"/>
          <w:szCs w:val="48"/>
          <w:lang w:val="zh-TW" w:eastAsia="zh-TW" w:bidi="zh-TW"/>
        </w:rPr>
      </w:pPr>
      <w:bookmarkStart w:id="0" w:name="_Toc14926"/>
      <w:r>
        <w:rPr>
          <w:rFonts w:hint="eastAsia" w:ascii="仿宋" w:hAnsi="仿宋" w:eastAsia="仿宋" w:cs="仿宋"/>
          <w:b/>
          <w:bCs/>
          <w:sz w:val="48"/>
          <w:szCs w:val="48"/>
          <w:lang w:val="zh-TW" w:eastAsia="zh-TW" w:bidi="zh-TW"/>
        </w:rPr>
        <w:t>服务合同</w:t>
      </w:r>
      <w:bookmarkEnd w:id="0"/>
    </w:p>
    <w:p w14:paraId="7F971CA0">
      <w:pPr>
        <w:spacing w:after="120" w:line="360" w:lineRule="auto"/>
        <w:ind w:firstLine="2400" w:firstLineChars="800"/>
        <w:rPr>
          <w:rFonts w:hint="eastAsia" w:ascii="仿宋" w:hAnsi="仿宋" w:eastAsia="仿宋" w:cs="仿宋"/>
          <w:sz w:val="30"/>
          <w:szCs w:val="30"/>
          <w:lang w:val="zh-TW" w:eastAsia="zh-TW" w:bidi="zh-TW"/>
        </w:rPr>
      </w:pPr>
    </w:p>
    <w:p w14:paraId="63321B3C">
      <w:pPr>
        <w:spacing w:after="120" w:line="360" w:lineRule="auto"/>
        <w:ind w:firstLine="1800" w:firstLineChars="600"/>
        <w:rPr>
          <w:rFonts w:hint="eastAsia" w:ascii="仿宋" w:hAnsi="仿宋" w:eastAsia="仿宋" w:cs="仿宋"/>
          <w:sz w:val="30"/>
          <w:szCs w:val="30"/>
          <w:lang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（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>项目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编号：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 xml:space="preserve">              ）</w:t>
      </w:r>
    </w:p>
    <w:p w14:paraId="144BC968">
      <w:pPr>
        <w:spacing w:after="460" w:line="360" w:lineRule="auto"/>
        <w:ind w:left="1360" w:firstLine="600"/>
        <w:jc w:val="left"/>
        <w:rPr>
          <w:rFonts w:hint="eastAsia" w:ascii="仿宋" w:hAnsi="仿宋" w:eastAsia="仿宋" w:cs="仿宋"/>
          <w:sz w:val="30"/>
          <w:szCs w:val="30"/>
          <w:lang w:val="zh-TW" w:eastAsia="zh-TW" w:bidi="zh-TW"/>
        </w:rPr>
      </w:pPr>
    </w:p>
    <w:p w14:paraId="3A7A50E1">
      <w:pPr>
        <w:spacing w:after="460" w:line="360" w:lineRule="auto"/>
        <w:ind w:left="1360" w:firstLine="600"/>
        <w:jc w:val="left"/>
        <w:rPr>
          <w:rFonts w:hint="eastAsia" w:ascii="仿宋" w:hAnsi="仿宋" w:eastAsia="仿宋" w:cs="仿宋"/>
          <w:sz w:val="30"/>
          <w:szCs w:val="30"/>
          <w:lang w:val="zh-TW" w:eastAsia="zh-TW" w:bidi="zh-TW"/>
        </w:rPr>
      </w:pPr>
    </w:p>
    <w:p w14:paraId="017DA720">
      <w:pPr>
        <w:spacing w:after="460" w:line="360" w:lineRule="auto"/>
        <w:ind w:left="1360" w:firstLine="600"/>
        <w:jc w:val="left"/>
        <w:rPr>
          <w:rFonts w:hint="eastAsia" w:ascii="仿宋" w:hAnsi="仿宋" w:eastAsia="仿宋" w:cs="仿宋"/>
          <w:sz w:val="30"/>
          <w:szCs w:val="30"/>
          <w:lang w:val="zh-TW" w:eastAsia="zh-TW" w:bidi="zh-TW"/>
        </w:rPr>
      </w:pPr>
    </w:p>
    <w:p w14:paraId="4C8132DE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lang w:bidi="zh-TW"/>
        </w:rPr>
      </w:pPr>
      <w:bookmarkStart w:id="1" w:name="bookmark5"/>
      <w:bookmarkStart w:id="2" w:name="bookmark3"/>
      <w:bookmarkStart w:id="3" w:name="bookmark4"/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甲方：</w:t>
      </w:r>
    </w:p>
    <w:p w14:paraId="138949FD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u w:val="single"/>
          <w:lang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乙方: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 xml:space="preserve"> </w:t>
      </w:r>
    </w:p>
    <w:p w14:paraId="14E83DF6">
      <w:pPr>
        <w:spacing w:line="360" w:lineRule="auto"/>
        <w:ind w:firstLine="600"/>
        <w:jc w:val="center"/>
        <w:rPr>
          <w:rFonts w:hint="eastAsia" w:ascii="仿宋" w:hAnsi="仿宋" w:eastAsia="仿宋" w:cs="仿宋"/>
          <w:sz w:val="30"/>
          <w:szCs w:val="30"/>
          <w:u w:val="single"/>
          <w:lang w:bidi="zh-TW"/>
        </w:rPr>
      </w:pPr>
      <w:r>
        <w:rPr>
          <w:rFonts w:hint="eastAsia" w:ascii="仿宋" w:hAnsi="仿宋" w:eastAsia="仿宋" w:cs="仿宋"/>
          <w:sz w:val="30"/>
          <w:szCs w:val="30"/>
          <w:lang w:bidi="en-US"/>
        </w:rPr>
        <w:t>签订日期：2026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>日</w:t>
      </w:r>
    </w:p>
    <w:p w14:paraId="2C9DD20C">
      <w:pPr>
        <w:spacing w:line="360" w:lineRule="auto"/>
        <w:ind w:firstLine="480"/>
        <w:jc w:val="left"/>
        <w:rPr>
          <w:rFonts w:hint="eastAsia" w:ascii="仿宋" w:hAnsi="仿宋" w:eastAsia="仿宋" w:cs="仿宋"/>
          <w:kern w:val="0"/>
          <w:sz w:val="24"/>
          <w:lang w:bidi="en-US"/>
        </w:rPr>
      </w:pPr>
      <w:r>
        <w:rPr>
          <w:rFonts w:hint="eastAsia" w:ascii="仿宋" w:hAnsi="仿宋" w:eastAsia="仿宋" w:cs="仿宋"/>
          <w:kern w:val="0"/>
          <w:sz w:val="24"/>
          <w:lang w:bidi="en-US"/>
        </w:rPr>
        <w:br w:type="page"/>
      </w:r>
    </w:p>
    <w:bookmarkEnd w:id="1"/>
    <w:bookmarkEnd w:id="2"/>
    <w:bookmarkEnd w:id="3"/>
    <w:p w14:paraId="3D8FDB5E">
      <w:pPr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u w:val="single"/>
          <w:lang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甲方（全称）：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               </w:t>
      </w:r>
    </w:p>
    <w:p w14:paraId="52DF8A27">
      <w:pPr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乙方（全称）：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               </w:t>
      </w:r>
    </w:p>
    <w:p w14:paraId="64C3CE4F">
      <w:pPr>
        <w:numPr>
          <w:ilvl w:val="0"/>
          <w:numId w:val="1"/>
        </w:numPr>
        <w:spacing w:line="360" w:lineRule="auto"/>
        <w:ind w:firstLine="482"/>
        <w:outlineLvl w:val="2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项目概况</w:t>
      </w:r>
    </w:p>
    <w:p w14:paraId="46CEAC3A">
      <w:pPr>
        <w:spacing w:after="80" w:line="360" w:lineRule="auto"/>
        <w:ind w:firstLine="48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1、项目名称：乙级测绘资质单位成果质量监督检查成果检验项目。</w:t>
      </w:r>
    </w:p>
    <w:p w14:paraId="01B20CC2">
      <w:pPr>
        <w:pStyle w:val="5"/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ascii="仿宋" w:hAnsi="仿宋" w:eastAsia="仿宋" w:cs="仿宋"/>
          <w:sz w:val="24"/>
          <w:lang w:eastAsia="zh-CN" w:bidi="zh-TW"/>
        </w:rPr>
        <w:t>2、服务内容</w:t>
      </w:r>
      <w:r>
        <w:rPr>
          <w:rFonts w:ascii="仿宋" w:hAnsi="仿宋" w:eastAsia="仿宋" w:cs="仿宋"/>
          <w:sz w:val="24"/>
          <w:lang w:bidi="zh-TW"/>
        </w:rPr>
        <w:t>：</w:t>
      </w:r>
    </w:p>
    <w:p w14:paraId="26A0203B">
      <w:pPr>
        <w:pStyle w:val="5"/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z w:val="24"/>
          <w:szCs w:val="24"/>
          <w:lang w:eastAsia="zh-CN"/>
        </w:rPr>
        <w:t>(1)乙级测绘资质单位技术和质量保证体系检查</w:t>
      </w:r>
    </w:p>
    <w:p w14:paraId="6801424A">
      <w:pPr>
        <w:pStyle w:val="5"/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z w:val="24"/>
          <w:szCs w:val="24"/>
          <w:lang w:eastAsia="zh-CN"/>
        </w:rPr>
        <w:t>根据《《陕西省测绘地理信息成果质量监督检查管理办法》《陕西省测绘资质单位质量保证体系考核细则》,主要对受检单位质量管理体系的建立、运行、维护等情况进行检查，内容包括：测绘地理信息项目的开展情况；质量管理机构设立与人员配置情况；技术质量保证体系建立、运行和落实情况；仪器设备管理及定期检定情况；标准规范管理及使用情况。</w:t>
      </w:r>
    </w:p>
    <w:p w14:paraId="1358ECF9">
      <w:pPr>
        <w:pStyle w:val="5"/>
        <w:spacing w:line="360" w:lineRule="auto"/>
        <w:ind w:firstLine="240" w:firstLineChars="100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z w:val="24"/>
          <w:szCs w:val="24"/>
          <w:lang w:eastAsia="zh-CN"/>
        </w:rPr>
        <w:t>(2)乙级测绘资质单位成果质量监督检查</w:t>
      </w:r>
    </w:p>
    <w:p w14:paraId="5587C900">
      <w:pPr>
        <w:pStyle w:val="5"/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z w:val="24"/>
          <w:szCs w:val="24"/>
          <w:lang w:eastAsia="zh-CN"/>
        </w:rPr>
        <w:t>按照监督检查工作的安排，对被检单位抽检的项目成果进行检验，检验工作采取外业实地检测、巡查、内业核查分析、人机交互检验、程序自动等方式进行，根据成果类型按照检查验收规定及质量评定标准开展检验工作，出具检验报告。</w:t>
      </w:r>
    </w:p>
    <w:p w14:paraId="5536D5D9">
      <w:pPr>
        <w:pStyle w:val="5"/>
        <w:spacing w:line="360" w:lineRule="auto"/>
        <w:ind w:firstLine="480" w:firstLineChars="200"/>
        <w:rPr>
          <w:rFonts w:ascii="仿宋" w:hAnsi="仿宋" w:eastAsia="仿宋" w:cs="仿宋"/>
          <w:sz w:val="24"/>
          <w:lang w:eastAsia="zh-CN" w:bidi="zh-TW"/>
        </w:rPr>
      </w:pPr>
      <w:r>
        <w:rPr>
          <w:rFonts w:ascii="仿宋" w:hAnsi="仿宋" w:eastAsia="仿宋" w:cs="仿宋"/>
          <w:sz w:val="24"/>
          <w:lang w:eastAsia="zh-CN" w:bidi="zh-TW"/>
        </w:rPr>
        <w:t>3、服务</w:t>
      </w:r>
      <w:r>
        <w:rPr>
          <w:rFonts w:ascii="仿宋" w:hAnsi="仿宋" w:eastAsia="仿宋" w:cs="仿宋"/>
          <w:sz w:val="24"/>
          <w:lang w:bidi="zh-TW"/>
        </w:rPr>
        <w:t>地点：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>西安市13个区县及西咸新区(直管区咸阳部分)</w:t>
      </w:r>
      <w:r>
        <w:rPr>
          <w:rFonts w:ascii="仿宋" w:hAnsi="仿宋" w:eastAsia="仿宋" w:cs="仿宋"/>
          <w:sz w:val="24"/>
          <w:lang w:eastAsia="zh-CN" w:bidi="zh-TW"/>
        </w:rPr>
        <w:t>。</w:t>
      </w:r>
    </w:p>
    <w:p w14:paraId="33B6BF4C">
      <w:pPr>
        <w:spacing w:after="80" w:line="360" w:lineRule="auto"/>
        <w:ind w:firstLine="482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服务期</w:t>
      </w:r>
    </w:p>
    <w:p w14:paraId="04D59BCF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bidi="zh-TW"/>
        </w:rPr>
        <w:t>服务期限：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 </w:t>
      </w:r>
    </w:p>
    <w:p w14:paraId="11C6F578">
      <w:pPr>
        <w:spacing w:line="360" w:lineRule="auto"/>
        <w:ind w:firstLine="482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三、合同价款</w:t>
      </w:r>
    </w:p>
    <w:p w14:paraId="18C3C8F3">
      <w:pPr>
        <w:tabs>
          <w:tab w:val="left" w:pos="6015"/>
          <w:tab w:val="left" w:pos="7407"/>
        </w:tabs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（一）合同价款：（大写）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，小写（￥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元）。</w:t>
      </w:r>
    </w:p>
    <w:p w14:paraId="2A00C947">
      <w:pPr>
        <w:tabs>
          <w:tab w:val="left" w:pos="6015"/>
          <w:tab w:val="left" w:pos="7407"/>
        </w:tabs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（二）合同总价包括：为完成合同全部服务内容可能发生的全部费用，同时还包含为完成本项目所需的一切成本、利润、税金和服务期内的全部风险。</w:t>
      </w:r>
    </w:p>
    <w:p w14:paraId="7B3668B4">
      <w:pPr>
        <w:tabs>
          <w:tab w:val="left" w:pos="6015"/>
          <w:tab w:val="left" w:pos="7407"/>
        </w:tabs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（三）合同总价不受市场价格变化因素的影响，一次性包死。</w:t>
      </w:r>
    </w:p>
    <w:p w14:paraId="715BBF44">
      <w:pPr>
        <w:tabs>
          <w:tab w:val="left" w:pos="6015"/>
          <w:tab w:val="left" w:pos="7407"/>
        </w:tabs>
        <w:spacing w:line="360" w:lineRule="auto"/>
        <w:ind w:firstLine="482"/>
        <w:jc w:val="left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四、款项结算</w:t>
      </w:r>
    </w:p>
    <w:p w14:paraId="67C599E6">
      <w:pPr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合同款的支付：</w:t>
      </w:r>
    </w:p>
    <w:p w14:paraId="22ADF2AF">
      <w:pPr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合同签订，乙方提交项目技术方案后10个工作日内，支付合同总金额的40%;乙方完成项目质检任务，出具项目检验报告后10个工作日内，支付合同总金额的40%;乙方完成合同约定所有工作内容，经甲方验收通过后10个工作日内，支付合同总金额的20%。</w:t>
      </w:r>
    </w:p>
    <w:p w14:paraId="0643ED28">
      <w:pPr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支付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方式：银行转账。</w:t>
      </w:r>
    </w:p>
    <w:p w14:paraId="76EDD93E">
      <w:pPr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结算方式：付款前乙方应向甲方提供合法有效的发票。乙方持成交通知书、服务合同、发票，与甲方结算。</w:t>
      </w:r>
    </w:p>
    <w:p w14:paraId="1DB404D4">
      <w:pPr>
        <w:spacing w:line="360" w:lineRule="auto"/>
        <w:ind w:firstLine="482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五、双方的权利和义务</w:t>
      </w:r>
    </w:p>
    <w:p w14:paraId="1E2A02AC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甲方的权利和义务</w:t>
      </w:r>
    </w:p>
    <w:p w14:paraId="4CB5492A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61C4B170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2、负责检查监督乙方管理工作的实施及制度的执行情况。</w:t>
      </w:r>
    </w:p>
    <w:p w14:paraId="51D80614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3、根据本合同规定，按时向乙方支付应付服务费用。</w:t>
      </w:r>
    </w:p>
    <w:p w14:paraId="676E18C9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4、国家法律、法规所规定由甲方承担的其它责任。</w:t>
      </w:r>
    </w:p>
    <w:p w14:paraId="05B9C9F7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（二）乙方的权利和义务</w:t>
      </w:r>
    </w:p>
    <w:p w14:paraId="4385AE45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1、对本合同规定的委托服务范围内的项目享有管理权及服务义务。</w:t>
      </w:r>
    </w:p>
    <w:p w14:paraId="7A7B66FA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2、根据本合同的规定向甲方收取相关服务费用，并有权在本项目管理范围内管理及合理使用。</w:t>
      </w:r>
    </w:p>
    <w:p w14:paraId="6B2A83D2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3、及时向甲方通告本项目服务范围内有关服务的重大事项，及时配合处理投诉。</w:t>
      </w:r>
    </w:p>
    <w:p w14:paraId="59100AFF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4、在服务过程中接受项目行业管理部门及政府有关部门的指导，接受甲方的监督。</w:t>
      </w:r>
    </w:p>
    <w:p w14:paraId="5782AE47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5、国家法律、法规所规定由乙方承担的其它责任。</w:t>
      </w:r>
    </w:p>
    <w:p w14:paraId="4B64CB3C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6、乙方应按国家技术规范、标准、规程和甲方的需求展开工作。</w:t>
      </w:r>
    </w:p>
    <w:p w14:paraId="74D596C8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7、乙方在进行服务过程中，需遵守甲方的规章制度，接受甲方的安排与协调。</w:t>
      </w:r>
    </w:p>
    <w:p w14:paraId="41067CA1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8、如因乙方原因导致服务工作无法开展，乙方应承担相应的责任，并采取积极的补救措施。</w:t>
      </w:r>
    </w:p>
    <w:p w14:paraId="30E7FDA3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9、在服务工作开展过程中，如出现意外事故，由乙方自行承担。</w:t>
      </w:r>
    </w:p>
    <w:p w14:paraId="4EFA2530">
      <w:pPr>
        <w:spacing w:line="360" w:lineRule="auto"/>
        <w:ind w:firstLine="482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六、质量保证</w:t>
      </w:r>
    </w:p>
    <w:p w14:paraId="6D718D82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（一）服务方案和方式科学、可行，人员配置合理，全面满足要求。</w:t>
      </w:r>
    </w:p>
    <w:p w14:paraId="384EA3B8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（二）符合国家有关服务规范要求。</w:t>
      </w:r>
    </w:p>
    <w:p w14:paraId="3BEBAE79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（三）乙方提供的服务，若发生侵权而产生的一切后果，由乙方负责。甲方保留索赔权。</w:t>
      </w:r>
    </w:p>
    <w:p w14:paraId="5B912F9F">
      <w:pPr>
        <w:spacing w:line="360" w:lineRule="auto"/>
        <w:ind w:firstLine="482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七、验收</w:t>
      </w:r>
    </w:p>
    <w:p w14:paraId="6BDCD488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（一）由采购人和成交供应商共同对项目进行验收填写验收单。其内容包括是 否按照采购人要求进行服务、是否在规定时间内服务完毕。</w:t>
      </w:r>
    </w:p>
    <w:p w14:paraId="11D24338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（二）乙方向甲方提交服务实施过程中的所有资料。以便甲方日后管理。 </w:t>
      </w:r>
    </w:p>
    <w:p w14:paraId="4A697EB4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（三）验收依据：</w:t>
      </w:r>
    </w:p>
    <w:p w14:paraId="4C2EA48B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1、竞争性磋商文件、响应文件、澄清表（函）；</w:t>
      </w:r>
    </w:p>
    <w:p w14:paraId="346B4A94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2、本合同及附件文本； </w:t>
      </w:r>
    </w:p>
    <w:p w14:paraId="1318E0B1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3、国家相应的标准、规范。</w:t>
      </w:r>
    </w:p>
    <w:p w14:paraId="3C70A05F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（四）执行标准</w:t>
      </w:r>
    </w:p>
    <w:p w14:paraId="47C52D95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1.《中华人民共和国测绘法》《陕西省测绘成果管理条例》等法律法规；</w:t>
      </w:r>
    </w:p>
    <w:p w14:paraId="72729B7F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2. 西安市自然资源和规划局关于印发《西安市自然资源和规划局关于开 展2026年全市乙级测绘资质单位测绘成果质量监督检查的通知》;</w:t>
      </w:r>
    </w:p>
    <w:p w14:paraId="31C44655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3.《陕西省测绘地理信息成果质量监督检查管理办法》《陕西省测绘资 质单位质量保证体系考核细则》;</w:t>
      </w:r>
    </w:p>
    <w:p w14:paraId="51CAF3A2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4.GB/T  24356-2023《 测绘成果质量检查与验收》;</w:t>
      </w:r>
    </w:p>
    <w:p w14:paraId="71F17600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5.GB/T  18316-2008《数字测绘成果质量检查与验收》;</w:t>
      </w:r>
    </w:p>
    <w:p w14:paraId="5748CA45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6.各项目执行的相关标准规范；</w:t>
      </w:r>
    </w:p>
    <w:p w14:paraId="1E84A50A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7.各项目技术设计书。</w:t>
      </w:r>
    </w:p>
    <w:p w14:paraId="61BC40A8">
      <w:pPr>
        <w:spacing w:line="360" w:lineRule="auto"/>
        <w:ind w:firstLine="482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八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、违约责任</w:t>
      </w:r>
    </w:p>
    <w:p w14:paraId="0E094693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合同中未约定的，按《民法典》中的相关条款执行。</w:t>
      </w:r>
      <w:bookmarkStart w:id="4" w:name="bookmark15"/>
    </w:p>
    <w:p w14:paraId="14E52B34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4"/>
      <w:r>
        <w:rPr>
          <w:rFonts w:hint="eastAsia" w:ascii="仿宋" w:hAnsi="仿宋" w:eastAsia="仿宋" w:cs="仿宋"/>
          <w:sz w:val="24"/>
          <w:lang w:val="zh-TW" w:eastAsia="zh-TW" w:bidi="zh-TW"/>
        </w:rPr>
        <w:t>二）未按合同要求提供服务或服务质量不能满足合同要求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甲方应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当将乙方违约的情况以及拟釆取的措施以书面形式报政府釆购监管</w:t>
      </w:r>
      <w:r>
        <w:rPr>
          <w:rFonts w:hint="eastAsia" w:ascii="仿宋" w:hAnsi="仿宋" w:eastAsia="仿宋" w:cs="仿宋"/>
          <w:sz w:val="24"/>
          <w:lang w:bidi="zh-TW"/>
        </w:rPr>
        <w:t>部门，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根据政府采购监管部门的处理意见，甲方有权依据《民法典》</w:t>
      </w:r>
      <w:r>
        <w:rPr>
          <w:rFonts w:hint="eastAsia" w:ascii="仿宋" w:hAnsi="仿宋" w:eastAsia="仿宋" w:cs="仿宋"/>
          <w:sz w:val="24"/>
          <w:lang w:bidi="zh-TW"/>
        </w:rPr>
        <w:t>有关条款及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合同约定解除合同，乙方应向甲方支付合同总价款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  <w:r>
        <w:rPr>
          <w:rFonts w:hint="eastAsia" w:ascii="仿宋" w:hAnsi="仿宋" w:eastAsia="仿宋" w:cs="仿宋"/>
          <w:sz w:val="24"/>
          <w:lang w:bidi="zh-TW"/>
        </w:rPr>
        <w:t>同时，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政府釆购监管部门有权依据《政府釆购法》及相关法律法规对乙方</w:t>
      </w:r>
      <w:r>
        <w:rPr>
          <w:rFonts w:hint="eastAsia" w:ascii="仿宋" w:hAnsi="仿宋" w:eastAsia="仿宋" w:cs="仿宋"/>
          <w:sz w:val="24"/>
          <w:lang w:val="zh-TW" w:bidi="zh-TW"/>
        </w:rPr>
        <w:t>的</w:t>
      </w:r>
      <w:r>
        <w:rPr>
          <w:rFonts w:hint="eastAsia" w:ascii="仿宋" w:hAnsi="仿宋" w:eastAsia="仿宋" w:cs="仿宋"/>
          <w:sz w:val="24"/>
          <w:lang w:bidi="zh-TW"/>
        </w:rPr>
        <w:t>违法行为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进行相应的处罚。</w:t>
      </w:r>
    </w:p>
    <w:p w14:paraId="36B72D67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bookmarkStart w:id="5" w:name="bookmark16"/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5"/>
      <w:r>
        <w:rPr>
          <w:rFonts w:hint="eastAsia" w:ascii="仿宋" w:hAnsi="仿宋" w:eastAsia="仿宋" w:cs="仿宋"/>
          <w:sz w:val="24"/>
          <w:lang w:val="zh-TW" w:eastAsia="zh-TW" w:bidi="zh-TW"/>
        </w:rPr>
        <w:t>三）在本合同履行过程中，双方因违约或造成对方经济、社会效益等损失的应当赔偿合同总价款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%的违约金。</w:t>
      </w:r>
    </w:p>
    <w:p w14:paraId="2C559525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CN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CN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乙方提供的服务不符合本项目相关文件和本合同规定的，甲方</w:t>
      </w:r>
      <w:r>
        <w:rPr>
          <w:rFonts w:hint="eastAsia" w:ascii="仿宋" w:hAnsi="仿宋" w:eastAsia="仿宋" w:cs="仿宋"/>
          <w:sz w:val="24"/>
          <w:lang w:bidi="zh-TW"/>
        </w:rPr>
        <w:t>有权拒绝，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并且乙方须向甲方支付本合同总价款</w:t>
      </w:r>
      <w:r>
        <w:rPr>
          <w:rFonts w:hint="eastAsia" w:ascii="仿宋" w:hAnsi="仿宋" w:eastAsia="仿宋" w:cs="仿宋"/>
          <w:sz w:val="24"/>
          <w:u w:val="single"/>
          <w:lang w:val="zh-CN" w:bidi="zh-TW"/>
        </w:rPr>
        <w:t xml:space="preserve"> 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</w:t>
      </w:r>
      <w:r>
        <w:rPr>
          <w:rFonts w:hint="eastAsia" w:ascii="仿宋" w:hAnsi="仿宋" w:eastAsia="仿宋" w:cs="仿宋"/>
          <w:sz w:val="24"/>
          <w:u w:val="single"/>
          <w:lang w:val="zh-CN" w:bidi="zh-TW"/>
        </w:rPr>
        <w:t xml:space="preserve"> </w:t>
      </w:r>
      <w:r>
        <w:rPr>
          <w:rFonts w:hint="eastAsia" w:ascii="仿宋" w:hAnsi="仿宋" w:eastAsia="仿宋" w:cs="仿宋"/>
          <w:sz w:val="24"/>
          <w:u w:val="single"/>
          <w:lang w:val="zh-CN" w:bidi="zh-TW"/>
        </w:rPr>
        <w:tab/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</w:p>
    <w:p w14:paraId="6A478647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五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未经甲方</w:t>
      </w:r>
      <w:r>
        <w:rPr>
          <w:rFonts w:hint="eastAsia" w:ascii="仿宋" w:hAnsi="仿宋" w:eastAsia="仿宋" w:cs="仿宋"/>
          <w:sz w:val="24"/>
          <w:lang w:bidi="zh-TW"/>
        </w:rPr>
        <w:t>书面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同意，乙方不得擅自将本合同服务分包或转包第三方</w:t>
      </w:r>
      <w:r>
        <w:rPr>
          <w:rFonts w:hint="eastAsia" w:ascii="仿宋" w:hAnsi="仿宋" w:eastAsia="仿宋" w:cs="仿宋"/>
          <w:sz w:val="24"/>
          <w:lang w:bidi="zh-TW"/>
        </w:rPr>
        <w:t>承担。</w:t>
      </w:r>
    </w:p>
    <w:p w14:paraId="54F749D4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六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本合同中各条款约定的违约金可自甲方未支付款项中直接扣除，违约金若不能弥补甲方损失的，乙方还应赔偿甲方超出部分的损失。</w:t>
      </w:r>
    </w:p>
    <w:p w14:paraId="2DD82368">
      <w:pPr>
        <w:tabs>
          <w:tab w:val="left" w:pos="1438"/>
        </w:tabs>
        <w:spacing w:line="360" w:lineRule="auto"/>
        <w:ind w:firstLine="480"/>
        <w:rPr>
          <w:rFonts w:hint="eastAsia" w:ascii="仿宋" w:hAnsi="仿宋" w:eastAsia="仿宋" w:cs="仿宋"/>
          <w:sz w:val="24"/>
          <w:lang w:val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（七）因违约方的违约行为给守约方造成损失的，应当按照本条所列违约情形支付违约金，并承担守约方因维权产生的合理支出，包括但不限于诉讼费、律师费、保全费、保全保险费等。</w:t>
      </w:r>
    </w:p>
    <w:p w14:paraId="57D31B01">
      <w:pPr>
        <w:spacing w:line="360" w:lineRule="auto"/>
        <w:ind w:firstLine="482"/>
        <w:jc w:val="left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条款</w:t>
      </w:r>
    </w:p>
    <w:p w14:paraId="58BFE77A">
      <w:pPr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sz w:val="24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sz w:val="24"/>
          <w:lang w:bidi="zh-TW"/>
        </w:rPr>
        <w:t>政府、公民个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sz w:val="24"/>
          <w:lang w:bidi="zh-TW"/>
        </w:rPr>
        <w:t>情况，甲方有权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索赔。</w:t>
      </w:r>
    </w:p>
    <w:p w14:paraId="552025A9">
      <w:pPr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sz w:val="24"/>
          <w:lang w:bidi="zh-TW"/>
        </w:rPr>
        <w:t>交付的具有知识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4"/>
          <w:lang w:bidi="zh-TW"/>
        </w:rPr>
        <w:t>外的项目。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sz w:val="24"/>
          <w:lang w:bidi="zh-TW"/>
        </w:rPr>
        <w:t>外公开的除外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</w:t>
      </w:r>
    </w:p>
    <w:p w14:paraId="4D51A547">
      <w:pPr>
        <w:spacing w:line="360" w:lineRule="auto"/>
        <w:ind w:firstLine="48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影响本条款的效力。</w:t>
      </w:r>
    </w:p>
    <w:p w14:paraId="503E6950">
      <w:pPr>
        <w:spacing w:line="360" w:lineRule="auto"/>
        <w:ind w:firstLine="482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十、争议解决</w:t>
      </w:r>
    </w:p>
    <w:p w14:paraId="055AF7B6">
      <w:pPr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4"/>
          <w:lang w:bidi="zh-TW"/>
        </w:rPr>
        <w:t>解决，协商不成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种方式解决：</w:t>
      </w:r>
    </w:p>
    <w:p w14:paraId="0DDDA5D6">
      <w:pPr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1、提交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西安仲裁委员会仲裁；</w:t>
      </w:r>
    </w:p>
    <w:p w14:paraId="0B2FB65F">
      <w:pPr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2、依法向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甲方所在地人民法院起诉。</w:t>
      </w:r>
    </w:p>
    <w:p w14:paraId="407413C2">
      <w:pPr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效力。</w:t>
      </w:r>
    </w:p>
    <w:p w14:paraId="4026CAA0">
      <w:pPr>
        <w:spacing w:line="360" w:lineRule="auto"/>
        <w:ind w:firstLine="482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一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、合同变更</w:t>
      </w:r>
    </w:p>
    <w:p w14:paraId="2B382B1A">
      <w:pPr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4"/>
          <w:lang w:bidi="zh-TW"/>
        </w:rPr>
        <w:t>需求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4"/>
          <w:lang w:bidi="zh-TW"/>
        </w:rPr>
        <w:t>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4"/>
          <w:lang w:bidi="zh-TW"/>
        </w:rPr>
        <w:t>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否则视为违约）。</w:t>
      </w:r>
    </w:p>
    <w:p w14:paraId="24DA4928">
      <w:pPr>
        <w:spacing w:line="360" w:lineRule="auto"/>
        <w:ind w:firstLine="482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二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、合同生效</w:t>
      </w:r>
    </w:p>
    <w:p w14:paraId="65354CA9">
      <w:pPr>
        <w:spacing w:after="100"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份,本合同甲、乙</w:t>
      </w:r>
      <w:r>
        <w:rPr>
          <w:rFonts w:hint="eastAsia" w:ascii="仿宋" w:hAnsi="仿宋" w:eastAsia="仿宋" w:cs="仿宋"/>
          <w:sz w:val="24"/>
          <w:lang w:bidi="zh-TW"/>
        </w:rPr>
        <w:t>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方签字并盖章后生效，</w:t>
      </w:r>
      <w:r>
        <w:rPr>
          <w:rFonts w:hint="eastAsia" w:ascii="仿宋" w:hAnsi="仿宋" w:eastAsia="仿宋" w:cs="仿宋"/>
          <w:sz w:val="24"/>
          <w:lang w:bidi="zh-TW"/>
        </w:rPr>
        <w:t>合同执行完毕后，自动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失效（合同的服务承诺则长期有效）。</w:t>
      </w:r>
    </w:p>
    <w:p w14:paraId="48CAD406">
      <w:pPr>
        <w:spacing w:line="360" w:lineRule="auto"/>
        <w:ind w:firstLine="482"/>
        <w:jc w:val="left"/>
        <w:rPr>
          <w:rFonts w:hint="eastAsia" w:ascii="仿宋" w:hAnsi="仿宋" w:eastAsia="仿宋" w:cs="仿宋"/>
          <w:b/>
          <w:bCs/>
          <w:sz w:val="24"/>
          <w:lang w:bidi="en-US"/>
        </w:rPr>
      </w:pPr>
      <w:r>
        <w:rPr>
          <w:rFonts w:hint="eastAsia" w:ascii="仿宋" w:hAnsi="仿宋" w:eastAsia="仿宋" w:cs="仿宋"/>
          <w:b/>
          <w:bCs/>
          <w:sz w:val="24"/>
          <w:lang w:bidi="en-US"/>
        </w:rPr>
        <w:t>十三、其他事项</w:t>
      </w:r>
    </w:p>
    <w:p w14:paraId="2834C1D9">
      <w:pPr>
        <w:spacing w:line="360" w:lineRule="auto"/>
        <w:ind w:firstLine="48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（一）在合同的履行期间以及履行期后，</w:t>
      </w:r>
      <w:r>
        <w:rPr>
          <w:rFonts w:hint="eastAsia" w:ascii="仿宋" w:hAnsi="仿宋" w:eastAsia="仿宋" w:cs="仿宋"/>
          <w:kern w:val="0"/>
          <w:sz w:val="24"/>
        </w:rPr>
        <w:t>监管部门</w:t>
      </w:r>
      <w:r>
        <w:rPr>
          <w:rFonts w:hint="eastAsia" w:ascii="仿宋" w:hAnsi="仿宋" w:eastAsia="仿宋" w:cs="仿宋"/>
          <w:sz w:val="24"/>
          <w:lang w:bidi="zh-TW"/>
        </w:rPr>
        <w:t>可以随时检查项目的执行情况，对采购标准、釆购内容进行调查核实，并对发现的问题进行处理。</w:t>
      </w:r>
    </w:p>
    <w:p w14:paraId="0AFD693E">
      <w:pPr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竞争性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sz w:val="24"/>
          <w:lang w:bidi="zh-TW"/>
        </w:rPr>
        <w:t>附件均为合同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不可分割的部分。</w:t>
      </w:r>
    </w:p>
    <w:p w14:paraId="36BB26F9">
      <w:pPr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甲乙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4"/>
          <w:lang w:bidi="zh-TW"/>
        </w:rPr>
        <w:t>不可抗力的一方应当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在不可抗力发生后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天内书面通知对方，以减轻</w:t>
      </w:r>
      <w:r>
        <w:rPr>
          <w:rFonts w:hint="eastAsia" w:ascii="仿宋" w:hAnsi="仿宋" w:eastAsia="仿宋" w:cs="仿宋"/>
          <w:sz w:val="24"/>
          <w:lang w:bidi="zh-TW"/>
        </w:rPr>
        <w:t>可能给对方造成的损失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4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、损害。</w:t>
      </w:r>
    </w:p>
    <w:p w14:paraId="44D2E1D1">
      <w:pPr>
        <w:spacing w:line="360" w:lineRule="auto"/>
        <w:ind w:firstLine="48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4"/>
          <w:lang w:bidi="zh-TW"/>
        </w:rPr>
        <w:t>采购补充合同，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与原合同具有同等法律效力。</w:t>
      </w:r>
    </w:p>
    <w:tbl>
      <w:tblPr>
        <w:tblStyle w:val="3"/>
        <w:tblpPr w:leftFromText="181" w:rightFromText="181" w:vertAnchor="text" w:horzAnchor="margin" w:tblpXSpec="center" w:tblpY="24"/>
        <w:tblOverlap w:val="never"/>
        <w:tblW w:w="50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6"/>
        <w:gridCol w:w="4738"/>
      </w:tblGrid>
      <w:tr w14:paraId="597D7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632" w:type="pct"/>
          </w:tcPr>
          <w:p w14:paraId="692DF414">
            <w:pPr>
              <w:overflowPunct w:val="0"/>
              <w:topLinePunct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2367" w:type="pct"/>
          </w:tcPr>
          <w:p w14:paraId="22F98559">
            <w:pPr>
              <w:overflowPunct w:val="0"/>
              <w:topLinePunct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31C7C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2632" w:type="pct"/>
            <w:vAlign w:val="center"/>
          </w:tcPr>
          <w:p w14:paraId="3D7B360C">
            <w:pPr>
              <w:overflowPunct w:val="0"/>
              <w:topLinePunct/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采购人全称</w:t>
            </w:r>
          </w:p>
          <w:p w14:paraId="3AD53B6F">
            <w:pPr>
              <w:overflowPunct w:val="0"/>
              <w:topLinePunct/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  <w:tc>
          <w:tcPr>
            <w:tcW w:w="2367" w:type="pct"/>
            <w:vAlign w:val="center"/>
          </w:tcPr>
          <w:p w14:paraId="2155D955">
            <w:pPr>
              <w:overflowPunct w:val="0"/>
              <w:topLinePunct/>
              <w:spacing w:line="360" w:lineRule="auto"/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成交供应商全称</w:t>
            </w:r>
          </w:p>
          <w:p w14:paraId="757F5AB5">
            <w:pPr>
              <w:overflowPunct w:val="0"/>
              <w:topLinePunct/>
              <w:spacing w:line="360" w:lineRule="auto"/>
              <w:ind w:firstLine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</w:tr>
      <w:tr w14:paraId="7259B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632" w:type="pct"/>
          </w:tcPr>
          <w:p w14:paraId="573F133C">
            <w:pPr>
              <w:overflowPunct w:val="0"/>
              <w:topLinePunct/>
              <w:spacing w:line="360" w:lineRule="auto"/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地址： </w:t>
            </w:r>
          </w:p>
        </w:tc>
        <w:tc>
          <w:tcPr>
            <w:tcW w:w="2367" w:type="pct"/>
          </w:tcPr>
          <w:p w14:paraId="29D1D80A">
            <w:pPr>
              <w:overflowPunct w:val="0"/>
              <w:topLinePunct/>
              <w:spacing w:line="360" w:lineRule="auto"/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5D21B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632" w:type="pct"/>
          </w:tcPr>
          <w:p w14:paraId="771CCAC9">
            <w:pPr>
              <w:overflowPunct w:val="0"/>
              <w:topLinePunct/>
              <w:spacing w:line="360" w:lineRule="auto"/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2367" w:type="pct"/>
          </w:tcPr>
          <w:p w14:paraId="269C8186">
            <w:pPr>
              <w:overflowPunct w:val="0"/>
              <w:topLinePunct/>
              <w:spacing w:line="360" w:lineRule="auto"/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57876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2632" w:type="pct"/>
          </w:tcPr>
          <w:p w14:paraId="71C09F0F">
            <w:pPr>
              <w:overflowPunct w:val="0"/>
              <w:topLinePunct/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法定代表人或被授权人（签字或盖章）： </w:t>
            </w:r>
          </w:p>
        </w:tc>
        <w:tc>
          <w:tcPr>
            <w:tcW w:w="2367" w:type="pct"/>
          </w:tcPr>
          <w:p w14:paraId="05A2F46B">
            <w:pPr>
              <w:overflowPunct w:val="0"/>
              <w:topLinePunct/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法定代表人或被授权人（签字或盖章）：</w:t>
            </w:r>
          </w:p>
        </w:tc>
      </w:tr>
      <w:tr w14:paraId="38C72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632" w:type="pct"/>
          </w:tcPr>
          <w:p w14:paraId="012035A5">
            <w:pPr>
              <w:overflowPunct w:val="0"/>
              <w:topLinePunct/>
              <w:spacing w:line="360" w:lineRule="auto"/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2367" w:type="pct"/>
          </w:tcPr>
          <w:p w14:paraId="4BB6A43A">
            <w:pPr>
              <w:overflowPunct w:val="0"/>
              <w:topLinePunct/>
              <w:spacing w:line="360" w:lineRule="auto"/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5E28A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632" w:type="pct"/>
          </w:tcPr>
          <w:p w14:paraId="4A754838">
            <w:pPr>
              <w:overflowPunct w:val="0"/>
              <w:topLinePunct/>
              <w:spacing w:line="360" w:lineRule="auto"/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2367" w:type="pct"/>
          </w:tcPr>
          <w:p w14:paraId="10606C55">
            <w:pPr>
              <w:overflowPunct w:val="0"/>
              <w:topLinePunct/>
              <w:spacing w:line="360" w:lineRule="auto"/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2D09A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632" w:type="pct"/>
          </w:tcPr>
          <w:p w14:paraId="579465CF">
            <w:pPr>
              <w:overflowPunct w:val="0"/>
              <w:topLinePunct/>
              <w:spacing w:line="360" w:lineRule="auto"/>
              <w:ind w:firstLine="48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  <w:tc>
          <w:tcPr>
            <w:tcW w:w="2367" w:type="pct"/>
          </w:tcPr>
          <w:p w14:paraId="7312A324">
            <w:pPr>
              <w:overflowPunct w:val="0"/>
              <w:topLinePunct/>
              <w:spacing w:line="360" w:lineRule="auto"/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092CD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632" w:type="pct"/>
          </w:tcPr>
          <w:p w14:paraId="655880EB">
            <w:pPr>
              <w:overflowPunct w:val="0"/>
              <w:topLinePunct/>
              <w:spacing w:line="360" w:lineRule="auto"/>
              <w:ind w:firstLine="48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  <w:tc>
          <w:tcPr>
            <w:tcW w:w="2367" w:type="pct"/>
          </w:tcPr>
          <w:p w14:paraId="0F569F60">
            <w:pPr>
              <w:overflowPunct w:val="0"/>
              <w:topLinePunct/>
              <w:spacing w:line="360" w:lineRule="auto"/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</w:tr>
      <w:tr w14:paraId="6B297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5000" w:type="pct"/>
            <w:gridSpan w:val="2"/>
          </w:tcPr>
          <w:p w14:paraId="19479B9C">
            <w:pPr>
              <w:overflowPunct w:val="0"/>
              <w:topLinePunct/>
              <w:spacing w:line="360" w:lineRule="auto"/>
              <w:ind w:firstLine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年  月  日</w:t>
            </w:r>
          </w:p>
        </w:tc>
      </w:tr>
    </w:tbl>
    <w:p w14:paraId="733149DC"/>
    <w:sectPr>
      <w:foot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5131A">
    <w:pPr>
      <w:spacing w:line="228" w:lineRule="auto"/>
      <w:ind w:left="4509" w:firstLine="300"/>
      <w:rPr>
        <w:rFonts w:hint="eastAsia" w:ascii="宋体" w:hAnsi="宋体" w:eastAsia="宋体" w:cs="宋体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65BA88"/>
    <w:multiLevelType w:val="singleLevel"/>
    <w:tmpl w:val="5265BA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F3EB7"/>
    <w:rsid w:val="094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2026-08-14T02:56:00Z</dcterms:created>
  <dc:creator>  </dc:creator>
  <cp:lastModifiedBy>  </cp:lastModifiedBy>
  <dcterms:modified xsi:type="dcterms:W3CDTF">2026-08-14T02:56:28Z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152B35DB6E104F529BC3BD5F82CD7C4C_11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