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版本号：SXLZ-2026-13120260704001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陕西省渭北水盆工程分布式水网研究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SXLZ-2026-131</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陕西省渭北水盆工程分布式水网研究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陕西省渭北水盆工程分布式水网研究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系统开展我省渭河以北地区水资源与生态本底调查评估，研究以小型水库、淤地坝、集雨窖、涝池、蓄水池等为主的分布式“水盆工程”体系布局；重点研究该体系与区域山地农业、光伏农业等特色产业的适配性；探索建立可持续的长效运维机制与推广模式，并综合评估其经济、社会与生态效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 号: 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开展我省渭河以北地区水资源与生态本底调查评估，研究以小型水库、淤地坝、集雨窖、涝池、蓄水池等为主的分布式“水盆工程”体系布局；重点研究该体系与区域山地农业、光伏农业等特色产业的适配性；探索建立可持续的长效运维机制与推广模式，并综合评估其经济、社会与生态效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陕西省渭北水盆工程分布式水网研究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标的名称：陕西省渭北水盆工程分布式水网研究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一、项目概况</w:t>
            </w:r>
          </w:p>
          <w:p>
            <w:pPr>
              <w:pStyle w:val="null3"/>
              <w:ind w:firstLine="560"/>
              <w:jc w:val="both"/>
            </w:pPr>
            <w:r>
              <w:rPr>
                <w:rFonts w:ascii="仿宋_GB2312" w:hAnsi="仿宋_GB2312" w:cs="仿宋_GB2312" w:eastAsia="仿宋_GB2312"/>
                <w:sz w:val="21"/>
              </w:rPr>
              <w:t>系统开展渭河以北地区水资源与生态本底调查评估，研究以小型水库、淤地坝、集雨窖、涝池、蓄水池等为主的分布式</w:t>
            </w:r>
            <w:r>
              <w:rPr>
                <w:rFonts w:ascii="仿宋_GB2312" w:hAnsi="仿宋_GB2312" w:cs="仿宋_GB2312" w:eastAsia="仿宋_GB2312"/>
                <w:sz w:val="21"/>
              </w:rPr>
              <w:t>“水盆工程”体系布局；重点研究该体系与区域山地农业、光伏农业等特色产业的适配性；探索建立可持续的长效运维机制与推广模式，并综合评估其经济、社会与生态效益。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1"/>
              </w:rPr>
              <w:t>二、核心研究内容与采购需求</w:t>
            </w:r>
          </w:p>
          <w:p>
            <w:pPr>
              <w:pStyle w:val="null3"/>
              <w:ind w:firstLine="560"/>
              <w:jc w:val="both"/>
            </w:pPr>
            <w:r>
              <w:rPr>
                <w:rFonts w:ascii="仿宋_GB2312" w:hAnsi="仿宋_GB2312" w:cs="仿宋_GB2312" w:eastAsia="仿宋_GB2312"/>
                <w:sz w:val="21"/>
              </w:rPr>
              <w:t>完成《陕西省渭北</w:t>
            </w:r>
            <w:r>
              <w:rPr>
                <w:rFonts w:ascii="仿宋_GB2312" w:hAnsi="仿宋_GB2312" w:cs="仿宋_GB2312" w:eastAsia="仿宋_GB2312"/>
                <w:sz w:val="21"/>
              </w:rPr>
              <w:t>“水盆工程”</w:t>
            </w:r>
            <w:r>
              <w:rPr>
                <w:rFonts w:ascii="仿宋_GB2312" w:hAnsi="仿宋_GB2312" w:cs="仿宋_GB2312" w:eastAsia="仿宋_GB2312"/>
                <w:sz w:val="21"/>
              </w:rPr>
              <w:t>分布式水网</w:t>
            </w:r>
            <w:r>
              <w:rPr>
                <w:rFonts w:ascii="仿宋_GB2312" w:hAnsi="仿宋_GB2312" w:cs="仿宋_GB2312" w:eastAsia="仿宋_GB2312"/>
                <w:sz w:val="21"/>
              </w:rPr>
              <w:t>研究报告</w:t>
            </w:r>
            <w:r>
              <w:rPr>
                <w:rFonts w:ascii="仿宋_GB2312" w:hAnsi="仿宋_GB2312" w:cs="仿宋_GB2312" w:eastAsia="仿宋_GB2312"/>
                <w:sz w:val="21"/>
              </w:rPr>
              <w:t>》</w:t>
            </w:r>
            <w:r>
              <w:rPr>
                <w:rFonts w:ascii="仿宋_GB2312" w:hAnsi="仿宋_GB2312" w:cs="仿宋_GB2312" w:eastAsia="仿宋_GB2312"/>
                <w:sz w:val="21"/>
              </w:rPr>
              <w:t>。报告主要包含但不限于以下内容</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“水盆工程”资源利用现状与潜力分析；</w:t>
            </w:r>
          </w:p>
          <w:p>
            <w:pPr>
              <w:pStyle w:val="null3"/>
              <w:ind w:firstLine="560"/>
              <w:jc w:val="both"/>
            </w:pPr>
            <w:r>
              <w:rPr>
                <w:rFonts w:ascii="仿宋_GB2312" w:hAnsi="仿宋_GB2312" w:cs="仿宋_GB2312" w:eastAsia="仿宋_GB2312"/>
                <w:sz w:val="21"/>
              </w:rPr>
              <w:t>2、分布式“水盆工程”体系布局研究；</w:t>
            </w:r>
          </w:p>
          <w:p>
            <w:pPr>
              <w:pStyle w:val="null3"/>
              <w:ind w:firstLine="560"/>
              <w:jc w:val="both"/>
            </w:pPr>
            <w:r>
              <w:rPr>
                <w:rFonts w:ascii="仿宋_GB2312" w:hAnsi="仿宋_GB2312" w:cs="仿宋_GB2312" w:eastAsia="仿宋_GB2312"/>
                <w:sz w:val="21"/>
              </w:rPr>
              <w:t>3、“水盆工程”与特色产业适配性研究；</w:t>
            </w:r>
          </w:p>
          <w:p>
            <w:pPr>
              <w:pStyle w:val="null3"/>
              <w:ind w:firstLine="560"/>
              <w:jc w:val="both"/>
            </w:pPr>
            <w:r>
              <w:rPr>
                <w:rFonts w:ascii="仿宋_GB2312" w:hAnsi="仿宋_GB2312" w:cs="仿宋_GB2312" w:eastAsia="仿宋_GB2312"/>
                <w:sz w:val="21"/>
              </w:rPr>
              <w:t>4、长效运维机制、推广模式及综合效益评估。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进度款，提交初步成果并经采购人确认后，达到付款条件起10个工作日内，支付合同总金额的60.0%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 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 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 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④项目目标与定位的理解。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编制科学合理的实施方案，内容包含：①项目研究拟解决的关键问题；②工作依据及原则；③项目研究技术路线；④工作流程；⑤主要工作内容。以上内容专门针对本项目且符合本项目实际需求的得15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供应商提供针对本项目的质量保障措施方案，内容包括但不限于：①质量管理体系；②质量保障措施；③成果保障措施等。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供应商提供针对本项目的进度保障措施方案，内容包括但不限于：①项目实施进度目标分析；②提供合理的工作计划及时间节点；③项目进度保障措施等。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③措施；④保密工作制度。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项目负责人具备相关专业⾼级职称的得4分，中级职称得2分，其余不得分。 【注：（1）响应⽂件中须提供项⽬负责⼈职称证书等复印件并加盖单位公章。（2）相关专业包括但不限于⽔利类（⽔利⽔电、⽔⽂⽔资源）。】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团队服务人员（除项目负责人）具备与本项目相关专业高级技术职称证书，每提供1人得2分；具备与本项目相关专业中级技术职称证书，每提供1人得1分，满分10分。 【注：（1）响应文件中须提供项目团队人员职称证书等复印件并加盖单位公章。（2）相关专业包括但不限于水利类（水利水电、水文水资源），同一人员不重复得分。】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4分）：承诺1小时内专人对接响应，提供7×12小时联络热线、项目专属工作群，满足得满分4分；仅承诺2小时及以内响应得50%分值2分；承诺超过2小时不得分；未提供固定联络渠道证明扣全部分值。2.一般咨询、资料修正需求（2分）：承诺2小时内出具修改思路/回复意见得满分2分；承诺4小时及以内得50%分值1分，超出4小时不得分。3.现场技术支撑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售后服务管理</w:t>
            </w:r>
          </w:p>
        </w:tc>
        <w:tc>
          <w:tcPr>
            <w:tcW w:type="dxa" w:w="2492"/>
          </w:tcPr>
          <w:p>
            <w:pPr>
              <w:pStyle w:val="null3"/>
            </w:pPr>
            <w:r>
              <w:rPr>
                <w:rFonts w:ascii="仿宋_GB2312" w:hAnsi="仿宋_GB2312" w:cs="仿宋_GB2312" w:eastAsia="仿宋_GB2312"/>
              </w:rPr>
              <w:t>承诺建立标准化售后服务台账，完整记录时间、问题内容、处置人员、整改结果、甲方确认记录，资料统一归档留存备查，提供台账模板、档案管理制度得满分6分；无台账或台账内容不完整扣3分，无归档制度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 2. 服务进度目标承诺（3分）：供应商提供针对本项目的服务服务期限节点、进度管控、进度保障、逾期补救措施等专项承诺，承诺完整并加盖公章得3分，未提供或不完整不得分。 3. 服务安全目标承诺（2分）：投标人提供针对本项目的作业安全、人员安全、风险防控等专项承诺，承诺完整并加盖公章得2分，未提供或不完整不得分。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1 月 1 日至响应文件递交截止之日供应商完成的类似项目，每提供一份得2分，满分10分。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