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版本号：SXZY2026-ZC006-CS20260609002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渭北新城政务服务中心第三方服务采购项目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SXZY2026-ZC006-CS</w:t>
      </w:r>
      <w:r>
        <w:br/>
      </w:r>
      <w:r>
        <w:br/>
      </w:r>
      <w:r>
        <w:br/>
      </w:r>
    </w:p>
    <w:p>
      <w:pPr>
        <w:pStyle w:val="null3"/>
        <w:jc w:val="center"/>
        <w:outlineLvl w:val="2"/>
      </w:pPr>
      <w:r>
        <w:rPr>
          <w:rFonts w:ascii="仿宋_GB2312" w:hAnsi="仿宋_GB2312" w:cs="仿宋_GB2312" w:eastAsia="仿宋_GB2312"/>
          <w:sz w:val="28"/>
          <w:b/>
        </w:rPr>
        <w:t>西安经济技术开发区渭北新城发展建设管理中心</w:t>
      </w:r>
    </w:p>
    <w:p>
      <w:pPr>
        <w:pStyle w:val="null3"/>
        <w:jc w:val="center"/>
        <w:outlineLvl w:val="2"/>
      </w:pPr>
      <w:r>
        <w:rPr>
          <w:rFonts w:ascii="仿宋_GB2312" w:hAnsi="仿宋_GB2312" w:cs="仿宋_GB2312" w:eastAsia="仿宋_GB2312"/>
          <w:sz w:val="28"/>
          <w:b/>
        </w:rPr>
        <w:t>陕西中易项目管理有限公司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陕西中易项目管理有限公司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西安经济技术开发区渭北新城发展建设管理中心</w:t>
      </w:r>
      <w:r>
        <w:rPr>
          <w:rFonts w:ascii="仿宋_GB2312" w:hAnsi="仿宋_GB2312" w:cs="仿宋_GB2312" w:eastAsia="仿宋_GB2312"/>
        </w:rPr>
        <w:t>委托，拟对</w:t>
      </w:r>
      <w:r>
        <w:rPr>
          <w:rFonts w:ascii="仿宋_GB2312" w:hAnsi="仿宋_GB2312" w:cs="仿宋_GB2312" w:eastAsia="仿宋_GB2312"/>
        </w:rPr>
        <w:t>渭北新城政务服务中心第三方服务采购项目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SXZY2026-ZC006-CS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渭北新城政务服务中心第三方服务采购项目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渭北新城政务服务中心第三方服务采购项目主要采购需求，为本项目提供人力资源服务，不少于16名大厅工作人员，其中服务中心主管1名、服务接待员11人、市场监管辅助员4人。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1、授权委托书：法定代表人授权书（附法定代表人身份证复印件及被授权人身份证复印件），（法定代表人直接参加磋商，须提供法定代表人身份证明复印件），非法人单位参照执行。</w:t>
      </w:r>
    </w:p>
    <w:p>
      <w:pPr>
        <w:pStyle w:val="null3"/>
      </w:pPr>
      <w:r>
        <w:rPr>
          <w:rFonts w:ascii="仿宋_GB2312" w:hAnsi="仿宋_GB2312" w:cs="仿宋_GB2312" w:eastAsia="仿宋_GB2312"/>
        </w:rPr>
        <w:t>2、信用查询：供应商未被“信用中国”网站（www.creditchina.gov.cn）列入失信被执行人和重大税收违法失信主体，未被中国政府采购网（www.ccgp.gov.cn）列入政府采购严重违法失信行为记录名单；（响应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西安经济技术开发区渭北新城发展建设管理中心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陕西省西安市经开区秦王一路渭北国际商务中心16楼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029-83990615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陕西省西安市未央区尚稷路碧桂园文景府1号楼201室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029-89291292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金老师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文件中服务类收费标准计取。 账户名称：陕西中易项目管理有限公司 开户银行：中国建设银行股份有限公司西安经济技术开发区支行 银行账户：61050193004100002355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西安经济技术开发区渭北新城发展建设管理中心</w:t>
      </w:r>
      <w:r>
        <w:rPr>
          <w:rFonts w:ascii="仿宋_GB2312" w:hAnsi="仿宋_GB2312" w:cs="仿宋_GB2312" w:eastAsia="仿宋_GB2312"/>
        </w:rPr>
        <w:t>和</w:t>
      </w:r>
      <w:r>
        <w:rPr>
          <w:rFonts w:ascii="仿宋_GB2312" w:hAnsi="仿宋_GB2312" w:cs="仿宋_GB2312" w:eastAsia="仿宋_GB2312"/>
        </w:rPr>
        <w:t>陕西中易项目管理有限公司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西安经济技术开发区渭北新城发展建设管理中心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西安经济技术开发区渭北新城发展建设管理中心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按时按质按量安标准完成。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联系人：吴工</w:t>
      </w:r>
    </w:p>
    <w:p>
      <w:pPr>
        <w:pStyle w:val="null3"/>
      </w:pPr>
      <w:r>
        <w:rPr>
          <w:rFonts w:ascii="仿宋_GB2312" w:hAnsi="仿宋_GB2312" w:cs="仿宋_GB2312" w:eastAsia="仿宋_GB2312"/>
        </w:rPr>
        <w:t>联系电话：029-89291292</w:t>
      </w:r>
    </w:p>
    <w:p>
      <w:pPr>
        <w:pStyle w:val="null3"/>
      </w:pPr>
      <w:r>
        <w:rPr>
          <w:rFonts w:ascii="仿宋_GB2312" w:hAnsi="仿宋_GB2312" w:cs="仿宋_GB2312" w:eastAsia="仿宋_GB2312"/>
        </w:rPr>
        <w:t>地址：陕西省西安市未央区尚稷路碧桂园文景府1号楼201室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渭北新城政务服务中心第三方服务采购项目，需提供不少于16名大厅工作人员，其中服务中心主管1名、服务接待员11人、市场监管辅助员4人。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政务服务中心第三方服务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标的名称：政务服务中心第三方服务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人数需求</w:t>
            </w:r>
          </w:p>
          <w:p>
            <w:pPr>
              <w:pStyle w:val="null3"/>
            </w:pPr>
            <w:r>
              <w:rPr>
                <w:rFonts w:ascii="仿宋_GB2312" w:hAnsi="仿宋_GB2312" w:cs="仿宋_GB2312" w:eastAsia="仿宋_GB2312"/>
              </w:rPr>
              <w:t>本次招标范围:为本项目提供人力资源服务，不少于16名大厅工作人员，其中服务中心主管1名、服务接待员11人、市场监管辅助员4人。</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大厅工作人员招聘标准</w:t>
            </w:r>
          </w:p>
          <w:p>
            <w:pPr>
              <w:pStyle w:val="null3"/>
            </w:pPr>
            <w:r>
              <w:rPr>
                <w:rFonts w:ascii="仿宋_GB2312" w:hAnsi="仿宋_GB2312" w:cs="仿宋_GB2312" w:eastAsia="仿宋_GB2312"/>
              </w:rPr>
              <w:t>1.政治素养良好,无犯罪违法违纪记录,严格遵守各项规章制度、保密制度、服务规范；</w:t>
            </w:r>
            <w:r>
              <w:br/>
            </w:r>
            <w:r>
              <w:rPr>
                <w:rFonts w:ascii="仿宋_GB2312" w:hAnsi="仿宋_GB2312" w:cs="仿宋_GB2312" w:eastAsia="仿宋_GB2312"/>
              </w:rPr>
              <w:t xml:space="preserve">   2.身体健康、品行端正、积极上进、形象气质佳；</w:t>
            </w:r>
            <w:r>
              <w:br/>
            </w:r>
            <w:r>
              <w:rPr>
                <w:rFonts w:ascii="仿宋_GB2312" w:hAnsi="仿宋_GB2312" w:cs="仿宋_GB2312" w:eastAsia="仿宋_GB2312"/>
              </w:rPr>
              <w:t xml:space="preserve">   3.熟练操作计算机和office办公软件；</w:t>
            </w:r>
            <w:r>
              <w:br/>
            </w:r>
            <w:r>
              <w:rPr>
                <w:rFonts w:ascii="仿宋_GB2312" w:hAnsi="仿宋_GB2312" w:cs="仿宋_GB2312" w:eastAsia="仿宋_GB2312"/>
              </w:rPr>
              <w:t xml:space="preserve">   4.有责任心，有团队合作意识，服从管理；</w:t>
            </w:r>
            <w:r>
              <w:br/>
            </w:r>
            <w:r>
              <w:rPr>
                <w:rFonts w:ascii="仿宋_GB2312" w:hAnsi="仿宋_GB2312" w:cs="仿宋_GB2312" w:eastAsia="仿宋_GB2312"/>
              </w:rPr>
              <w:t xml:space="preserve">   5.掌握窗口服务基础知识，普通话标准，有亲和力。</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大厅工作人员服务内容</w:t>
            </w:r>
          </w:p>
          <w:p>
            <w:pPr>
              <w:pStyle w:val="null3"/>
            </w:pPr>
            <w:r>
              <w:rPr>
                <w:rFonts w:ascii="仿宋_GB2312" w:hAnsi="仿宋_GB2312" w:cs="仿宋_GB2312" w:eastAsia="仿宋_GB2312"/>
              </w:rPr>
              <w:t>1.负责政务大厅综合窗口、咨询引导、考核管理、讲解接待宣传报道和事项标准化梳理等岗位的人员招聘、管理、考核工作；</w:t>
            </w:r>
            <w:r>
              <w:br/>
            </w:r>
            <w:r>
              <w:rPr>
                <w:rFonts w:ascii="仿宋_GB2312" w:hAnsi="仿宋_GB2312" w:cs="仿宋_GB2312" w:eastAsia="仿宋_GB2312"/>
              </w:rPr>
              <w:t xml:space="preserve">   2.负责为政务大厅提供窗口业务办理、材料流转、咨询引导秩序维护、讲解接待、宣传报道、投诉受理和会务保障等方面服务；</w:t>
            </w:r>
            <w:r>
              <w:br/>
            </w:r>
            <w:r>
              <w:rPr>
                <w:rFonts w:ascii="仿宋_GB2312" w:hAnsi="仿宋_GB2312" w:cs="仿宋_GB2312" w:eastAsia="仿宋_GB2312"/>
              </w:rPr>
              <w:t xml:space="preserve">   3.负责做好管理范围内工作人员的岗位职责、业务受理、行为规范、服务礼仪、心理辅导、讲解接待和宣传报道等方面培训教育工作；</w:t>
            </w:r>
            <w:r>
              <w:br/>
            </w:r>
            <w:r>
              <w:rPr>
                <w:rFonts w:ascii="仿宋_GB2312" w:hAnsi="仿宋_GB2312" w:cs="仿宋_GB2312" w:eastAsia="仿宋_GB2312"/>
              </w:rPr>
              <w:t xml:space="preserve">   4.负责项目团队在政务大厅的绩效考核、人员管理和内控等制度建设工作。</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服务期</w:t>
            </w:r>
          </w:p>
          <w:p>
            <w:pPr>
              <w:pStyle w:val="null3"/>
            </w:pPr>
            <w:r>
              <w:rPr>
                <w:rFonts w:ascii="仿宋_GB2312" w:hAnsi="仿宋_GB2312" w:cs="仿宋_GB2312" w:eastAsia="仿宋_GB2312"/>
              </w:rPr>
              <w:t>自合同签订之日起一年。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需提供不少于16名大厅工作人员，其中服务中心主管1名、服务接待员11人、市场监管辅助员4人。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西安经济技术开发区渭北新城政务大厅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参照《财政部关于进一步加强政府采购需求和履约验收管理的指导意见》(财库(2016) 205号)。经上级相关部门组织验收。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进度款，每月支付一次，共12期，乙方根据甲方要求提供相应票据 ，达到付款条件起5个工作日内，支付合同总金额的8.33%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进度款，每月支付一次，共12期，乙方根据甲方要求提供相应票据，达到付款条件起5个工作日内，支付合同总金额的8.33%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进度款，每月支付一次，共12期，乙方根据甲方要求提供相应票据，达到付款条件起5个工作日内，支付合同总金额的8.33%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进度款，每月支付一次，共12期，乙方根据甲方要求提供相应票据，达到付款条件起5个工作日内，支付合同总金额的8.33%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进度款，每月支付一次，共12期，乙方根据甲方要求提供相应票据，达到付款条件起5个工作日内，支付合同总金额的8.33%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进度款，每月支付一次，共12期，乙方根据甲方要求提供相应票据，达到付款条件起5个工作日内，支付合同总金额的8.33%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进度款，每月支付一次，共12期，乙方根据甲方要求提供相应票据，达到付款条件起5个工作日内，支付合同总金额的8.33%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进度款，每月支付一次，共12期，乙方根据甲方要求提供相应票据，达到付款条件起5个工作日内，支付合同总金额的8.33%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进度款，每月支付一次，共12期，乙方根据甲方要求提供相应票据，达到付款条件起5个工作日内，支付合同总金额的8.33%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进度款，每月支付一次，共12期，乙方根据甲方要求提供相应票据，达到付款条件起5个工作日内，支付合同总金额的8.33%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进度款，每月支付一次，共12期，乙方根据甲方要求提供相应票据，达到付款条件起5个工作日内，支付合同总金额的8.33%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进度款，每月支付一次，共12期，乙方根据甲方要求提供相应票据，达到付款条件起5个工作日内，支付合同总金额的8.37%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供应商需在项目电子化交易系统中按要求填写《投标函》完成承诺并进行电子签章并提供：（1）提供合格有效的法人或者其他组织的营业执照等证明文件，自然人的身份证明； （2）财务状况报告：提供2024年度或2025年度的财务审计报告（至少包括资产负债表和利润表，成立时间至提交响应文件截止时间不足一年的可提供成立后任意时段的资产负债表），或其基本存款账户开户银行出具的资信证明及基本存款账户开户许可证（基本存款账户信息）或信用担保机构出具的投标担保函； （3）税收缴纳证明：提供响应文件递交截止时间前一年内已缴纳的至少一个月的纳税证明或完税证明（任意税种），依法免税的单位应提供相关证明材料； （4）社会保障资金缴纳证明：提供响应文件递交截止时间前一年内已缴存的至少一个月的社会保障资金缴存单据或社保机构开具的社会保险参保缴费情况证明，依法不需要缴纳社会保障资金的单位应提供相关证明材料； （5）承诺：提供具有履行合同所必需的设备和专业技术能力的承诺；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法定代表人授权书（附法定代表人身份证复印件及被授权人身份证复印件），（法定代表人直接参加磋商，须提供法定代表人身份证明复印件），非法人单位参照执行。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报价形式符合磋商文件要求。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自合同签订之日起一年。</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整体服务方案：评审内容：①项目分析②服务目标③项目重点、难点把控④服务标准化及规范管理。评审标准：以上内容全面详细、目标明确、科学合理且完全符合本项目采购要求得16分。评审内容缺每一项扣4分,评审内容有缺陷（缺陷指内容明显错误、内容表述前后矛盾、内容不完整、表达简单笼统、缺少关键点，或不适用本项目特性等）的扣0.1-3.9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工作实施方案</w:t>
            </w:r>
          </w:p>
        </w:tc>
        <w:tc>
          <w:tcPr>
            <w:tcW w:type="dxa" w:w="2492"/>
          </w:tcPr>
          <w:p>
            <w:pPr>
              <w:pStyle w:val="null3"/>
            </w:pPr>
            <w:r>
              <w:rPr>
                <w:rFonts w:ascii="仿宋_GB2312" w:hAnsi="仿宋_GB2312" w:cs="仿宋_GB2312" w:eastAsia="仿宋_GB2312"/>
              </w:rPr>
              <w:t>评审内容：①导办服务②帮办服务③窗口服务④电话咨询服务⑤讲解服务⑥电子监控服务。评审标准：以上方案内容全面详细、目标明确、科学合理且完全符合本项目采购要求得18分。评审内容每缺一项扣3分,评审内容有缺陷（缺陷指内容明显错误，或内容表述前后矛盾、内容不完整、表达简单笼统、缺少关键点，或不适用本项目特性等）的扣0.1-2.9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评审内容：①服务质量保证措施②服务质量承诺。评审标准：以上内容全面详细、阐述条理清晰详尽、可行性强且符合本项目采购需求得8分。评审内容每缺一项扣4分,评审内容有缺陷（缺陷是指：内容粗略、逻辑混乱、描述过于简单、与项目特点不匹配、凭空编造、逻辑漏洞、出现常识性错误、存在不适用项目实际情况的情形或只有标题没有实质性内容等）不完整、表达简单笼统、缺少关键点，或不适用本项目特性等）的扣0.1-3.9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项目管理团队</w:t>
            </w:r>
          </w:p>
        </w:tc>
        <w:tc>
          <w:tcPr>
            <w:tcW w:type="dxa" w:w="2492"/>
          </w:tcPr>
          <w:p>
            <w:pPr>
              <w:pStyle w:val="null3"/>
            </w:pPr>
            <w:r>
              <w:rPr>
                <w:rFonts w:ascii="仿宋_GB2312" w:hAnsi="仿宋_GB2312" w:cs="仿宋_GB2312" w:eastAsia="仿宋_GB2312"/>
              </w:rPr>
              <w:t>评审内容：①项目主管具有2年以上同类项目管理经验（以服务单位相关工作证明为准），符合得2分，不符合得0分。②项目主管、业务主管、现场主管具有本科及以上学历，且为本单位在职人员（提供在其单位近1年内任意连续3个月的社保缴纳证明及毕业证书），每提供1人得1分，满分3分，不符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人员配置计划</w:t>
            </w:r>
          </w:p>
        </w:tc>
        <w:tc>
          <w:tcPr>
            <w:tcW w:type="dxa" w:w="2492"/>
          </w:tcPr>
          <w:p>
            <w:pPr>
              <w:pStyle w:val="null3"/>
            </w:pPr>
            <w:r>
              <w:rPr>
                <w:rFonts w:ascii="仿宋_GB2312" w:hAnsi="仿宋_GB2312" w:cs="仿宋_GB2312" w:eastAsia="仿宋_GB2312"/>
              </w:rPr>
              <w:t>评审内容：①招聘计划②组织结构③职责和分工。评审标准：以上内容全面详细、阐述条理清晰详尽、可行性强且符合本项目采购需求得9分。评审内容每缺一项扣3分,评审内容有缺陷（缺陷是指：方案笼统、招聘计划安排不合理、人员选定标准不明确、组织结构混乱、职责分工不明确、与项目需求不匹配、存在不适用项目实际情况的情形或只有标题没有实质性内容等）的扣0.1-2.9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①日常管理制度②考勤制度③考核制度④奖惩制度⑤保密制度。评审标准：以上内容全面详细、阐述条理清晰详尽、可行性强且符合本项目需求得10分。评审内容每缺一项扣2分,评审内容有缺陷（缺陷是指：制度内容粗略、逻辑混乱、描述过于简单、与项目特点不匹配、凭空编造、逻辑漏洞、出现常识性错误、存在不适用项目实际情况的情形或只有标题没有实质性内容等）的扣0.1-1.9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评审内容：①培训课程安排②培训计划③培训效果分析及改进计划。评审标准：以上内容全面详细、计划安排合理、逻辑清晰、可行性强得6分。评审内容每缺一项扣2分,评审内容有缺陷（缺陷指内容明显错误、描述过于简单、与项目特点不匹配、凭空编造、逻辑漏洞、出现常识性错误或不适用本项目特性等）的0.1-1.9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①人员变动应急预案②突发事件应急预案。评审标准：以上内容全面详细、阐述条理清晰详尽、可行性强且符合本项目需求得4分。评审内容每缺一项扣2分,评审内容有缺陷（缺陷是指：内容粗略、逻辑混乱、描述过于简单、与项目特点不匹配、凭空编造、逻辑漏洞、出现常识性错误、存在不适用项目实际情况的情形或只有标题没有实质性内容等）的扣0.1-1.9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劳务纠纷处理方案</w:t>
            </w:r>
          </w:p>
        </w:tc>
        <w:tc>
          <w:tcPr>
            <w:tcW w:type="dxa" w:w="2492"/>
          </w:tcPr>
          <w:p>
            <w:pPr>
              <w:pStyle w:val="null3"/>
            </w:pPr>
            <w:r>
              <w:rPr>
                <w:rFonts w:ascii="仿宋_GB2312" w:hAnsi="仿宋_GB2312" w:cs="仿宋_GB2312" w:eastAsia="仿宋_GB2312"/>
              </w:rPr>
              <w:t>评审内容：①易发生劳务纠纷的风险点②应对劳务纠纷的措施③处理解决劳务纠纷的能力。评审标准：以上内容全面详细、目标明确、科学合理且完全符合本项目采购要求得6分。评审内容每缺一项扣2分,评审内容有缺陷（缺陷指内容明显错误，或内容表述前后矛盾、内容不完整、表达简单笼统、缺少关键点，或不适用本项目特性等）的扣0.1-1.9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月1日以来至今类似项目业绩证明及对应合格业绩的履约情况证明。每提供一份得2分，最高得8分，未提供不得分。注：业绩证明（以合同签订时间落款时间为准，须在响应文件中附合同的扫描件加盖单位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以满足磋商文件要求且投标价格最低的投标报价为评标基准价，其价格分为满分10分，其他供应商的价格分按照下列公式计算：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详见附件：政务大厅劳务外包合同.docx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