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5C739">
      <w:pPr>
        <w:snapToGrid w:val="0"/>
        <w:rPr>
          <w:rFonts w:hint="eastAsia" w:ascii="宋体" w:hAnsi="宋体" w:eastAsia="宋体" w:cs="宋体"/>
          <w:b/>
          <w:color w:val="auto"/>
          <w:sz w:val="32"/>
          <w:szCs w:val="32"/>
          <w:lang w:eastAsia="zh-CN"/>
        </w:rPr>
      </w:pPr>
      <w:bookmarkStart w:id="0" w:name="_Toc217446030"/>
      <w:bookmarkStart w:id="1" w:name="_Toc183682338"/>
      <w:r>
        <w:rPr>
          <w:rFonts w:hint="eastAsia" w:ascii="宋体" w:hAnsi="宋体" w:cs="宋体"/>
          <w:b/>
          <w:color w:val="auto"/>
          <w:sz w:val="32"/>
          <w:szCs w:val="32"/>
        </w:rPr>
        <w:t>采购项目编号：</w:t>
      </w:r>
      <w:r>
        <w:rPr>
          <w:rFonts w:hint="eastAsia" w:ascii="宋体" w:hAnsi="宋体" w:cs="宋体"/>
          <w:b/>
          <w:color w:val="auto"/>
          <w:sz w:val="32"/>
          <w:lang w:eastAsia="zh-CN"/>
        </w:rPr>
        <w:t>YZ2026-ZB035</w:t>
      </w:r>
    </w:p>
    <w:p w14:paraId="09BF43E9">
      <w:pPr>
        <w:jc w:val="both"/>
        <w:rPr>
          <w:rFonts w:hint="eastAsia" w:cs="仿宋_GB2312" w:asciiTheme="minorEastAsia" w:hAnsiTheme="minorEastAsia" w:eastAsiaTheme="minorEastAsia"/>
          <w:b/>
          <w:bCs/>
          <w:color w:val="auto"/>
          <w:sz w:val="52"/>
          <w:szCs w:val="52"/>
          <w:lang w:eastAsia="zh-CN"/>
        </w:rPr>
      </w:pPr>
    </w:p>
    <w:p w14:paraId="6F099927">
      <w:pPr>
        <w:jc w:val="center"/>
        <w:rPr>
          <w:rFonts w:hint="eastAsia" w:cs="仿宋_GB2312" w:asciiTheme="minorEastAsia" w:hAnsiTheme="minorEastAsia" w:eastAsiaTheme="minorEastAsia"/>
          <w:b/>
          <w:bCs/>
          <w:color w:val="auto"/>
          <w:sz w:val="52"/>
          <w:szCs w:val="52"/>
          <w:lang w:val="en-US" w:eastAsia="zh-CN"/>
        </w:rPr>
      </w:pPr>
    </w:p>
    <w:p w14:paraId="64DD4D25">
      <w:pPr>
        <w:jc w:val="center"/>
        <w:rPr>
          <w:rFonts w:hint="eastAsia"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val="en-US" w:eastAsia="zh-CN"/>
        </w:rPr>
        <w:t>2026年大庄镇大东村、大西村、布王村集体经济建设项目</w:t>
      </w:r>
    </w:p>
    <w:p w14:paraId="4911D43E">
      <w:pPr>
        <w:jc w:val="center"/>
        <w:rPr>
          <w:rFonts w:hint="default"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eastAsia="zh-CN"/>
        </w:rPr>
        <w:t>一标段</w:t>
      </w:r>
    </w:p>
    <w:p w14:paraId="5630E332">
      <w:pPr>
        <w:jc w:val="center"/>
        <w:rPr>
          <w:rFonts w:hint="eastAsia" w:cs="仿宋_GB2312" w:asciiTheme="minorEastAsia" w:hAnsiTheme="minorEastAsia" w:eastAsiaTheme="minorEastAsia"/>
          <w:b/>
          <w:color w:val="auto"/>
          <w:sz w:val="72"/>
          <w:szCs w:val="72"/>
        </w:rPr>
      </w:pPr>
    </w:p>
    <w:p w14:paraId="5B6D3211">
      <w:pPr>
        <w:jc w:val="center"/>
        <w:rPr>
          <w:rFonts w:cs="仿宋_GB2312" w:asciiTheme="minorEastAsia" w:hAnsiTheme="minorEastAsia" w:eastAsiaTheme="minorEastAsia"/>
          <w:b/>
          <w:color w:val="auto"/>
          <w:sz w:val="40"/>
          <w:szCs w:val="32"/>
        </w:rPr>
      </w:pPr>
      <w:r>
        <w:rPr>
          <w:rFonts w:hint="eastAsia" w:cs="仿宋_GB2312" w:asciiTheme="minorEastAsia" w:hAnsiTheme="minorEastAsia" w:eastAsiaTheme="minorEastAsia"/>
          <w:b/>
          <w:color w:val="auto"/>
          <w:sz w:val="72"/>
          <w:szCs w:val="72"/>
        </w:rPr>
        <w:t>竞争性磋商文件</w:t>
      </w:r>
    </w:p>
    <w:p w14:paraId="290DCED1">
      <w:pPr>
        <w:pStyle w:val="14"/>
        <w:jc w:val="center"/>
        <w:rPr>
          <w:rFonts w:asciiTheme="minorEastAsia" w:hAnsiTheme="minorEastAsia" w:eastAsiaTheme="minorEastAsia"/>
          <w:color w:val="auto"/>
        </w:rPr>
      </w:pPr>
    </w:p>
    <w:p w14:paraId="5E263919">
      <w:pPr>
        <w:pStyle w:val="14"/>
        <w:jc w:val="center"/>
        <w:rPr>
          <w:rFonts w:ascii="宋体" w:hAnsi="宋体" w:cs="宋体"/>
          <w:color w:val="auto"/>
        </w:rPr>
      </w:pPr>
    </w:p>
    <w:p w14:paraId="4BA4F7AE">
      <w:pPr>
        <w:pStyle w:val="14"/>
        <w:jc w:val="center"/>
        <w:rPr>
          <w:rFonts w:cs="仿宋_GB2312" w:asciiTheme="minorEastAsia" w:hAnsiTheme="minorEastAsia" w:eastAsiaTheme="minorEastAsia"/>
          <w:color w:val="auto"/>
          <w:sz w:val="32"/>
        </w:rPr>
      </w:pPr>
      <w:r>
        <w:rPr>
          <w:rFonts w:hint="eastAsia" w:ascii="宋体" w:hAnsi="宋体" w:cs="宋体"/>
          <w:color w:val="auto"/>
        </w:rPr>
        <w:drawing>
          <wp:inline distT="0" distB="0" distL="114300" distR="114300">
            <wp:extent cx="2515235" cy="2515235"/>
            <wp:effectExtent l="0" t="0" r="18415" b="18415"/>
            <wp:docPr id="1" name="图片 1" descr="7baaeb6231b94665937627eb79c6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aaeb6231b94665937627eb79c636b"/>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2515235" cy="2515235"/>
                    </a:xfrm>
                    <a:prstGeom prst="rect">
                      <a:avLst/>
                    </a:prstGeom>
                    <a:noFill/>
                    <a:ln>
                      <a:noFill/>
                    </a:ln>
                  </pic:spPr>
                </pic:pic>
              </a:graphicData>
            </a:graphic>
          </wp:inline>
        </w:drawing>
      </w:r>
    </w:p>
    <w:p w14:paraId="2AC562D9">
      <w:pPr>
        <w:pStyle w:val="2"/>
        <w:rPr>
          <w:rFonts w:hint="eastAsia" w:eastAsia="宋体"/>
          <w:color w:val="auto"/>
          <w:lang w:eastAsia="zh-CN"/>
        </w:rPr>
      </w:pPr>
    </w:p>
    <w:p w14:paraId="1E9246E7">
      <w:pPr>
        <w:rPr>
          <w:color w:val="auto"/>
        </w:rPr>
      </w:pPr>
    </w:p>
    <w:p w14:paraId="2CF522D2">
      <w:pPr>
        <w:pStyle w:val="2"/>
        <w:rPr>
          <w:color w:val="auto"/>
        </w:rPr>
      </w:pPr>
    </w:p>
    <w:p w14:paraId="51F785B6">
      <w:pPr>
        <w:rPr>
          <w:color w:val="auto"/>
        </w:rPr>
      </w:pPr>
    </w:p>
    <w:p w14:paraId="3C2974D2">
      <w:pPr>
        <w:snapToGrid w:val="0"/>
        <w:spacing w:line="600" w:lineRule="auto"/>
        <w:ind w:firstLine="1807" w:firstLineChars="600"/>
        <w:rPr>
          <w:rFonts w:hint="default" w:cs="仿宋_GB2312" w:asciiTheme="minorEastAsia" w:hAnsiTheme="minorEastAsia" w:eastAsiaTheme="minorEastAsia"/>
          <w:b/>
          <w:color w:val="auto"/>
          <w:sz w:val="30"/>
          <w:szCs w:val="30"/>
          <w:lang w:val="en-US" w:eastAsia="zh-CN"/>
        </w:rPr>
      </w:pPr>
      <w:r>
        <w:rPr>
          <w:rFonts w:hint="eastAsia" w:cs="仿宋_GB2312" w:asciiTheme="minorEastAsia" w:hAnsiTheme="minorEastAsia" w:eastAsiaTheme="minorEastAsia"/>
          <w:b/>
          <w:color w:val="auto"/>
          <w:sz w:val="30"/>
          <w:szCs w:val="30"/>
        </w:rPr>
        <w:t>采   购   人：</w:t>
      </w:r>
      <w:r>
        <w:rPr>
          <w:rFonts w:hint="eastAsia" w:cs="仿宋_GB2312" w:asciiTheme="minorEastAsia" w:hAnsiTheme="minorEastAsia" w:eastAsiaTheme="minorEastAsia"/>
          <w:b/>
          <w:color w:val="auto"/>
          <w:sz w:val="30"/>
          <w:szCs w:val="30"/>
          <w:lang w:eastAsia="zh-CN"/>
        </w:rPr>
        <w:t>武功县</w:t>
      </w:r>
      <w:r>
        <w:rPr>
          <w:rFonts w:hint="eastAsia" w:cs="仿宋_GB2312" w:asciiTheme="minorEastAsia" w:hAnsiTheme="minorEastAsia" w:eastAsiaTheme="minorEastAsia"/>
          <w:b/>
          <w:color w:val="auto"/>
          <w:sz w:val="30"/>
          <w:szCs w:val="30"/>
          <w:lang w:val="en-US" w:eastAsia="zh-CN"/>
        </w:rPr>
        <w:t>大庄镇人民政府</w:t>
      </w:r>
    </w:p>
    <w:p w14:paraId="1C64CA63">
      <w:pPr>
        <w:snapToGrid w:val="0"/>
        <w:spacing w:line="600" w:lineRule="auto"/>
        <w:ind w:firstLine="1807" w:firstLineChars="600"/>
        <w:jc w:val="left"/>
        <w:rPr>
          <w:rFonts w:cs="仿宋_GB2312" w:asciiTheme="minorEastAsia" w:hAnsiTheme="minorEastAsia" w:eastAsiaTheme="minorEastAsia"/>
          <w:b/>
          <w:color w:val="auto"/>
          <w:sz w:val="30"/>
          <w:szCs w:val="30"/>
        </w:rPr>
      </w:pPr>
      <w:r>
        <w:rPr>
          <w:rFonts w:hint="eastAsia" w:cs="仿宋_GB2312" w:asciiTheme="minorEastAsia" w:hAnsiTheme="minorEastAsia" w:eastAsiaTheme="minorEastAsia"/>
          <w:b/>
          <w:color w:val="auto"/>
          <w:sz w:val="30"/>
          <w:szCs w:val="30"/>
        </w:rPr>
        <w:t xml:space="preserve">采购代理机构：陕西优正项目管理有限公司   </w:t>
      </w:r>
    </w:p>
    <w:p w14:paraId="74FE21D3">
      <w:pPr>
        <w:snapToGrid w:val="0"/>
        <w:spacing w:line="600" w:lineRule="auto"/>
        <w:jc w:val="center"/>
        <w:rPr>
          <w:rFonts w:ascii="宋体" w:hAnsi="宋体"/>
          <w:b/>
          <w:color w:val="auto"/>
          <w:sz w:val="28"/>
          <w:szCs w:val="28"/>
        </w:rPr>
        <w:sectPr>
          <w:headerReference r:id="rId4" w:type="first"/>
          <w:footerReference r:id="rId5" w:type="first"/>
          <w:headerReference r:id="rId3" w:type="default"/>
          <w:pgSz w:w="11906" w:h="16838"/>
          <w:pgMar w:top="1440" w:right="1080" w:bottom="1440" w:left="1080" w:header="851" w:footer="992" w:gutter="0"/>
          <w:cols w:space="720" w:num="1"/>
          <w:docGrid w:linePitch="312" w:charSpace="0"/>
        </w:sectPr>
      </w:pP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〇</w:t>
      </w: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六</w:t>
      </w:r>
      <w:r>
        <w:rPr>
          <w:rFonts w:hint="eastAsia" w:cs="仿宋_GB2312" w:asciiTheme="minorEastAsia" w:hAnsiTheme="minorEastAsia" w:eastAsiaTheme="minorEastAsia"/>
          <w:b/>
          <w:color w:val="auto"/>
          <w:sz w:val="30"/>
          <w:szCs w:val="30"/>
        </w:rPr>
        <w:t>年</w:t>
      </w:r>
      <w:r>
        <w:rPr>
          <w:rFonts w:hint="eastAsia" w:cs="仿宋_GB2312" w:asciiTheme="minorEastAsia" w:hAnsiTheme="minorEastAsia" w:eastAsiaTheme="minorEastAsia"/>
          <w:b/>
          <w:color w:val="auto"/>
          <w:sz w:val="30"/>
          <w:szCs w:val="30"/>
          <w:lang w:val="en-US" w:eastAsia="zh-CN"/>
        </w:rPr>
        <w:t>九</w:t>
      </w:r>
      <w:r>
        <w:rPr>
          <w:rFonts w:hint="eastAsia" w:cs="仿宋_GB2312" w:asciiTheme="minorEastAsia" w:hAnsiTheme="minorEastAsia" w:eastAsiaTheme="minorEastAsia"/>
          <w:b/>
          <w:color w:val="auto"/>
          <w:sz w:val="30"/>
          <w:szCs w:val="30"/>
        </w:rPr>
        <w:t>月</w:t>
      </w:r>
      <w:bookmarkEnd w:id="0"/>
      <w:bookmarkEnd w:id="1"/>
    </w:p>
    <w:sdt>
      <w:sdtPr>
        <w:rPr>
          <w:rFonts w:ascii="宋体" w:hAnsi="宋体" w:eastAsia="宋体" w:cs="Times New Roman"/>
          <w:b/>
          <w:bCs/>
          <w:kern w:val="2"/>
          <w:sz w:val="32"/>
          <w:szCs w:val="40"/>
          <w:lang w:val="en-US" w:eastAsia="zh-CN" w:bidi="ar-SA"/>
        </w:rPr>
        <w:id w:val="147454017"/>
        <w15:color w:val="DBDBDB"/>
        <w:docPartObj>
          <w:docPartGallery w:val="Table of Contents"/>
          <w:docPartUnique/>
        </w:docPartObj>
      </w:sdtPr>
      <w:sdtEndPr>
        <w:rPr>
          <w:rFonts w:ascii="宋体" w:hAnsi="宋体" w:eastAsia="宋体" w:cs="Times New Roman"/>
          <w:b/>
          <w:bCs/>
          <w:color w:val="auto"/>
          <w:kern w:val="2"/>
          <w:sz w:val="21"/>
          <w:szCs w:val="44"/>
          <w:lang w:val="zh-CN" w:eastAsia="zh-CN" w:bidi="ar-SA"/>
        </w:rPr>
      </w:sdtEndPr>
      <w:sdtContent>
        <w:p w14:paraId="035D57FC">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b/>
              <w:bCs/>
              <w:sz w:val="32"/>
              <w:szCs w:val="40"/>
            </w:rPr>
          </w:pPr>
          <w:r>
            <w:rPr>
              <w:rFonts w:ascii="宋体" w:hAnsi="宋体" w:eastAsia="宋体"/>
              <w:b/>
              <w:bCs/>
              <w:sz w:val="32"/>
              <w:szCs w:val="40"/>
            </w:rPr>
            <w:t>目</w:t>
          </w:r>
          <w:r>
            <w:rPr>
              <w:rFonts w:hint="eastAsia" w:ascii="宋体" w:hAnsi="宋体" w:eastAsia="宋体"/>
              <w:b/>
              <w:bCs/>
              <w:sz w:val="32"/>
              <w:szCs w:val="40"/>
              <w:lang w:val="en-US" w:eastAsia="zh-CN"/>
            </w:rPr>
            <w:t xml:space="preserve">   </w:t>
          </w:r>
          <w:r>
            <w:rPr>
              <w:rFonts w:ascii="宋体" w:hAnsi="宋体" w:eastAsia="宋体"/>
              <w:b/>
              <w:bCs/>
              <w:sz w:val="32"/>
              <w:szCs w:val="40"/>
            </w:rPr>
            <w:t>录</w:t>
          </w:r>
        </w:p>
        <w:p w14:paraId="4AF796BD">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b/>
              <w:color w:val="auto"/>
              <w:sz w:val="60"/>
              <w:szCs w:val="60"/>
              <w:lang w:val="zh-CN"/>
            </w:rPr>
            <w:fldChar w:fldCharType="begin"/>
          </w:r>
          <w:r>
            <w:rPr>
              <w:rFonts w:ascii="宋体" w:hAnsi="宋体"/>
              <w:b/>
              <w:color w:val="auto"/>
              <w:sz w:val="60"/>
              <w:szCs w:val="60"/>
              <w:lang w:val="zh-CN"/>
            </w:rPr>
            <w:instrText xml:space="preserve">TOC \o "1-1" \h \u </w:instrText>
          </w:r>
          <w:r>
            <w:rPr>
              <w:rFonts w:ascii="宋体" w:hAnsi="宋体"/>
              <w:b/>
              <w:color w:val="auto"/>
              <w:sz w:val="60"/>
              <w:szCs w:val="60"/>
              <w:lang w:val="zh-CN"/>
            </w:rPr>
            <w:fldChar w:fldCharType="separate"/>
          </w:r>
          <w:r>
            <w:rPr>
              <w:rFonts w:ascii="宋体" w:hAnsi="宋体"/>
              <w:color w:val="auto"/>
              <w:sz w:val="32"/>
              <w:szCs w:val="60"/>
              <w:lang w:val="zh-CN"/>
            </w:rPr>
            <w:fldChar w:fldCharType="begin"/>
          </w:r>
          <w:r>
            <w:rPr>
              <w:rFonts w:ascii="宋体" w:hAnsi="宋体"/>
              <w:sz w:val="32"/>
              <w:szCs w:val="60"/>
              <w:lang w:val="zh-CN"/>
            </w:rPr>
            <w:instrText xml:space="preserve"> HYPERLINK \l _Toc14137 </w:instrText>
          </w:r>
          <w:r>
            <w:rPr>
              <w:rFonts w:ascii="宋体" w:hAnsi="宋体"/>
              <w:sz w:val="32"/>
              <w:szCs w:val="60"/>
              <w:lang w:val="zh-CN"/>
            </w:rPr>
            <w:fldChar w:fldCharType="separate"/>
          </w:r>
          <w:r>
            <w:rPr>
              <w:rFonts w:hint="eastAsia" w:ascii="宋体" w:hAnsi="宋体"/>
              <w:bCs/>
              <w:sz w:val="32"/>
              <w:szCs w:val="60"/>
            </w:rPr>
            <w:t>第一章 竞争性磋商公告</w:t>
          </w:r>
          <w:r>
            <w:rPr>
              <w:sz w:val="32"/>
              <w:szCs w:val="40"/>
            </w:rPr>
            <w:tab/>
          </w:r>
          <w:r>
            <w:rPr>
              <w:sz w:val="32"/>
              <w:szCs w:val="40"/>
            </w:rPr>
            <w:fldChar w:fldCharType="begin"/>
          </w:r>
          <w:r>
            <w:rPr>
              <w:sz w:val="32"/>
              <w:szCs w:val="40"/>
            </w:rPr>
            <w:instrText xml:space="preserve"> PAGEREF _Toc14137 \h </w:instrText>
          </w:r>
          <w:r>
            <w:rPr>
              <w:sz w:val="32"/>
              <w:szCs w:val="40"/>
            </w:rPr>
            <w:fldChar w:fldCharType="separate"/>
          </w:r>
          <w:r>
            <w:rPr>
              <w:sz w:val="32"/>
              <w:szCs w:val="40"/>
            </w:rPr>
            <w:t>3</w:t>
          </w:r>
          <w:r>
            <w:rPr>
              <w:sz w:val="32"/>
              <w:szCs w:val="40"/>
            </w:rPr>
            <w:fldChar w:fldCharType="end"/>
          </w:r>
          <w:r>
            <w:rPr>
              <w:rFonts w:ascii="宋体" w:hAnsi="宋体"/>
              <w:color w:val="auto"/>
              <w:sz w:val="32"/>
              <w:szCs w:val="60"/>
              <w:lang w:val="zh-CN"/>
            </w:rPr>
            <w:fldChar w:fldCharType="end"/>
          </w:r>
        </w:p>
        <w:p w14:paraId="3CFDAE6B">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_Toc15283 </w:instrText>
          </w:r>
          <w:r>
            <w:rPr>
              <w:rFonts w:ascii="宋体" w:hAnsi="宋体"/>
              <w:sz w:val="32"/>
              <w:szCs w:val="60"/>
              <w:lang w:val="zh-CN"/>
            </w:rPr>
            <w:fldChar w:fldCharType="separate"/>
          </w:r>
          <w:r>
            <w:rPr>
              <w:rFonts w:hint="eastAsia" w:ascii="宋体" w:hAnsi="宋体"/>
              <w:sz w:val="32"/>
              <w:szCs w:val="60"/>
            </w:rPr>
            <w:t>第二章 供应商须知</w:t>
          </w:r>
          <w:r>
            <w:rPr>
              <w:sz w:val="32"/>
              <w:szCs w:val="40"/>
            </w:rPr>
            <w:tab/>
          </w:r>
          <w:r>
            <w:rPr>
              <w:sz w:val="32"/>
              <w:szCs w:val="40"/>
            </w:rPr>
            <w:fldChar w:fldCharType="begin"/>
          </w:r>
          <w:r>
            <w:rPr>
              <w:sz w:val="32"/>
              <w:szCs w:val="40"/>
            </w:rPr>
            <w:instrText xml:space="preserve"> PAGEREF _Toc15283 \h </w:instrText>
          </w:r>
          <w:r>
            <w:rPr>
              <w:sz w:val="32"/>
              <w:szCs w:val="40"/>
            </w:rPr>
            <w:fldChar w:fldCharType="separate"/>
          </w:r>
          <w:r>
            <w:rPr>
              <w:sz w:val="32"/>
              <w:szCs w:val="40"/>
            </w:rPr>
            <w:t>11</w:t>
          </w:r>
          <w:r>
            <w:rPr>
              <w:sz w:val="32"/>
              <w:szCs w:val="40"/>
            </w:rPr>
            <w:fldChar w:fldCharType="end"/>
          </w:r>
          <w:r>
            <w:rPr>
              <w:rFonts w:ascii="宋体" w:hAnsi="宋体"/>
              <w:color w:val="auto"/>
              <w:sz w:val="32"/>
              <w:szCs w:val="60"/>
              <w:lang w:val="zh-CN"/>
            </w:rPr>
            <w:fldChar w:fldCharType="end"/>
          </w:r>
        </w:p>
        <w:p w14:paraId="6743DAF0">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_Toc24960 </w:instrText>
          </w:r>
          <w:r>
            <w:rPr>
              <w:rFonts w:ascii="宋体" w:hAnsi="宋体"/>
              <w:sz w:val="32"/>
              <w:szCs w:val="60"/>
              <w:lang w:val="zh-CN"/>
            </w:rPr>
            <w:fldChar w:fldCharType="separate"/>
          </w:r>
          <w:r>
            <w:rPr>
              <w:rFonts w:hint="eastAsia" w:ascii="宋体" w:hAnsi="宋体"/>
              <w:sz w:val="32"/>
              <w:szCs w:val="60"/>
            </w:rPr>
            <w:t>第三章 磋商办法</w:t>
          </w:r>
          <w:r>
            <w:rPr>
              <w:sz w:val="32"/>
              <w:szCs w:val="40"/>
            </w:rPr>
            <w:tab/>
          </w:r>
          <w:r>
            <w:rPr>
              <w:sz w:val="32"/>
              <w:szCs w:val="40"/>
            </w:rPr>
            <w:fldChar w:fldCharType="begin"/>
          </w:r>
          <w:r>
            <w:rPr>
              <w:sz w:val="32"/>
              <w:szCs w:val="40"/>
            </w:rPr>
            <w:instrText xml:space="preserve"> PAGEREF _Toc24960 \h </w:instrText>
          </w:r>
          <w:r>
            <w:rPr>
              <w:sz w:val="32"/>
              <w:szCs w:val="40"/>
            </w:rPr>
            <w:fldChar w:fldCharType="separate"/>
          </w:r>
          <w:r>
            <w:rPr>
              <w:sz w:val="32"/>
              <w:szCs w:val="40"/>
            </w:rPr>
            <w:t>50</w:t>
          </w:r>
          <w:r>
            <w:rPr>
              <w:sz w:val="32"/>
              <w:szCs w:val="40"/>
            </w:rPr>
            <w:fldChar w:fldCharType="end"/>
          </w:r>
          <w:r>
            <w:rPr>
              <w:rFonts w:ascii="宋体" w:hAnsi="宋体"/>
              <w:color w:val="auto"/>
              <w:sz w:val="32"/>
              <w:szCs w:val="60"/>
              <w:lang w:val="zh-CN"/>
            </w:rPr>
            <w:fldChar w:fldCharType="end"/>
          </w:r>
        </w:p>
        <w:p w14:paraId="45C56324">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_Toc6620 </w:instrText>
          </w:r>
          <w:r>
            <w:rPr>
              <w:rFonts w:ascii="宋体" w:hAnsi="宋体"/>
              <w:sz w:val="32"/>
              <w:szCs w:val="60"/>
              <w:lang w:val="zh-CN"/>
            </w:rPr>
            <w:fldChar w:fldCharType="separate"/>
          </w:r>
          <w:r>
            <w:rPr>
              <w:rFonts w:hint="eastAsia" w:ascii="宋体" w:hAnsi="宋体"/>
              <w:sz w:val="32"/>
              <w:szCs w:val="60"/>
            </w:rPr>
            <w:t>第四章 采购内容及</w:t>
          </w:r>
          <w:r>
            <w:rPr>
              <w:rFonts w:hint="eastAsia" w:ascii="宋体" w:hAnsi="宋体"/>
              <w:sz w:val="32"/>
              <w:szCs w:val="60"/>
              <w:lang w:val="en-US" w:eastAsia="zh-CN"/>
            </w:rPr>
            <w:t>商务</w:t>
          </w:r>
          <w:r>
            <w:rPr>
              <w:rFonts w:hint="eastAsia" w:ascii="宋体" w:hAnsi="宋体"/>
              <w:sz w:val="32"/>
              <w:szCs w:val="60"/>
            </w:rPr>
            <w:t>要求</w:t>
          </w:r>
          <w:r>
            <w:rPr>
              <w:sz w:val="32"/>
              <w:szCs w:val="40"/>
            </w:rPr>
            <w:tab/>
          </w:r>
          <w:r>
            <w:rPr>
              <w:sz w:val="32"/>
              <w:szCs w:val="40"/>
            </w:rPr>
            <w:fldChar w:fldCharType="begin"/>
          </w:r>
          <w:r>
            <w:rPr>
              <w:sz w:val="32"/>
              <w:szCs w:val="40"/>
            </w:rPr>
            <w:instrText xml:space="preserve"> PAGEREF _Toc6620 \h </w:instrText>
          </w:r>
          <w:r>
            <w:rPr>
              <w:sz w:val="32"/>
              <w:szCs w:val="40"/>
            </w:rPr>
            <w:fldChar w:fldCharType="separate"/>
          </w:r>
          <w:r>
            <w:rPr>
              <w:sz w:val="32"/>
              <w:szCs w:val="40"/>
            </w:rPr>
            <w:t>64</w:t>
          </w:r>
          <w:r>
            <w:rPr>
              <w:sz w:val="32"/>
              <w:szCs w:val="40"/>
            </w:rPr>
            <w:fldChar w:fldCharType="end"/>
          </w:r>
          <w:r>
            <w:rPr>
              <w:rFonts w:ascii="宋体" w:hAnsi="宋体"/>
              <w:color w:val="auto"/>
              <w:sz w:val="32"/>
              <w:szCs w:val="60"/>
              <w:lang w:val="zh-CN"/>
            </w:rPr>
            <w:fldChar w:fldCharType="end"/>
          </w:r>
        </w:p>
        <w:p w14:paraId="5B386201">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_Toc26929 </w:instrText>
          </w:r>
          <w:r>
            <w:rPr>
              <w:rFonts w:ascii="宋体" w:hAnsi="宋体"/>
              <w:sz w:val="32"/>
              <w:szCs w:val="60"/>
              <w:lang w:val="zh-CN"/>
            </w:rPr>
            <w:fldChar w:fldCharType="separate"/>
          </w:r>
          <w:r>
            <w:rPr>
              <w:rFonts w:hint="eastAsia" w:ascii="宋体" w:hAnsi="宋体" w:eastAsia="宋体" w:cs="Times New Roman"/>
              <w:kern w:val="44"/>
              <w:sz w:val="32"/>
              <w:szCs w:val="60"/>
              <w:lang w:val="en-US" w:eastAsia="zh-CN"/>
            </w:rPr>
            <w:t>第五章 主</w:t>
          </w:r>
          <w:r>
            <w:rPr>
              <w:rFonts w:hint="eastAsia" w:ascii="宋体" w:hAnsi="宋体"/>
              <w:kern w:val="44"/>
              <w:sz w:val="32"/>
              <w:szCs w:val="60"/>
              <w:lang w:val="en-US" w:eastAsia="zh-CN"/>
            </w:rPr>
            <w:t>要</w:t>
          </w:r>
          <w:r>
            <w:rPr>
              <w:rFonts w:hint="eastAsia" w:ascii="宋体" w:hAnsi="宋体"/>
              <w:kern w:val="44"/>
              <w:sz w:val="32"/>
              <w:szCs w:val="60"/>
            </w:rPr>
            <w:t>合同条款</w:t>
          </w:r>
          <w:r>
            <w:rPr>
              <w:sz w:val="32"/>
              <w:szCs w:val="40"/>
            </w:rPr>
            <w:tab/>
          </w:r>
          <w:r>
            <w:rPr>
              <w:sz w:val="32"/>
              <w:szCs w:val="40"/>
            </w:rPr>
            <w:fldChar w:fldCharType="begin"/>
          </w:r>
          <w:r>
            <w:rPr>
              <w:sz w:val="32"/>
              <w:szCs w:val="40"/>
            </w:rPr>
            <w:instrText xml:space="preserve"> PAGEREF _Toc26929 \h </w:instrText>
          </w:r>
          <w:r>
            <w:rPr>
              <w:sz w:val="32"/>
              <w:szCs w:val="40"/>
            </w:rPr>
            <w:fldChar w:fldCharType="separate"/>
          </w:r>
          <w:r>
            <w:rPr>
              <w:sz w:val="32"/>
              <w:szCs w:val="40"/>
            </w:rPr>
            <w:t>67</w:t>
          </w:r>
          <w:r>
            <w:rPr>
              <w:sz w:val="32"/>
              <w:szCs w:val="40"/>
            </w:rPr>
            <w:fldChar w:fldCharType="end"/>
          </w:r>
          <w:r>
            <w:rPr>
              <w:rFonts w:ascii="宋体" w:hAnsi="宋体"/>
              <w:color w:val="auto"/>
              <w:sz w:val="32"/>
              <w:szCs w:val="60"/>
              <w:lang w:val="zh-CN"/>
            </w:rPr>
            <w:fldChar w:fldCharType="end"/>
          </w:r>
        </w:p>
        <w:p w14:paraId="37650DE5">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_Toc28898 </w:instrText>
          </w:r>
          <w:r>
            <w:rPr>
              <w:rFonts w:ascii="宋体" w:hAnsi="宋体"/>
              <w:sz w:val="32"/>
              <w:szCs w:val="60"/>
              <w:lang w:val="zh-CN"/>
            </w:rPr>
            <w:fldChar w:fldCharType="separate"/>
          </w:r>
          <w:r>
            <w:rPr>
              <w:rFonts w:hint="eastAsia" w:ascii="宋体" w:hAnsi="宋体"/>
              <w:sz w:val="32"/>
              <w:szCs w:val="60"/>
            </w:rPr>
            <w:t>第六章 响应文件格式</w:t>
          </w:r>
          <w:r>
            <w:rPr>
              <w:sz w:val="32"/>
              <w:szCs w:val="40"/>
            </w:rPr>
            <w:tab/>
          </w:r>
          <w:r>
            <w:rPr>
              <w:sz w:val="32"/>
              <w:szCs w:val="40"/>
            </w:rPr>
            <w:fldChar w:fldCharType="begin"/>
          </w:r>
          <w:r>
            <w:rPr>
              <w:sz w:val="32"/>
              <w:szCs w:val="40"/>
            </w:rPr>
            <w:instrText xml:space="preserve"> PAGEREF _Toc28898 \h </w:instrText>
          </w:r>
          <w:r>
            <w:rPr>
              <w:sz w:val="32"/>
              <w:szCs w:val="40"/>
            </w:rPr>
            <w:fldChar w:fldCharType="separate"/>
          </w:r>
          <w:r>
            <w:rPr>
              <w:sz w:val="32"/>
              <w:szCs w:val="40"/>
            </w:rPr>
            <w:t>101</w:t>
          </w:r>
          <w:r>
            <w:rPr>
              <w:sz w:val="32"/>
              <w:szCs w:val="40"/>
            </w:rPr>
            <w:fldChar w:fldCharType="end"/>
          </w:r>
          <w:r>
            <w:rPr>
              <w:rFonts w:ascii="宋体" w:hAnsi="宋体"/>
              <w:color w:val="auto"/>
              <w:sz w:val="32"/>
              <w:szCs w:val="60"/>
              <w:lang w:val="zh-CN"/>
            </w:rPr>
            <w:fldChar w:fldCharType="end"/>
          </w:r>
        </w:p>
        <w:p w14:paraId="25D271BA">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color w:val="auto"/>
              <w:kern w:val="2"/>
              <w:sz w:val="21"/>
              <w:szCs w:val="44"/>
              <w:lang w:val="zh-CN" w:eastAsia="zh-CN" w:bidi="ar-SA"/>
            </w:rPr>
          </w:pPr>
          <w:r>
            <w:rPr>
              <w:rFonts w:ascii="宋体" w:hAnsi="宋体"/>
              <w:color w:val="auto"/>
              <w:sz w:val="32"/>
              <w:szCs w:val="60"/>
              <w:lang w:val="zh-CN"/>
            </w:rPr>
            <w:fldChar w:fldCharType="end"/>
          </w:r>
        </w:p>
      </w:sdtContent>
    </w:sdt>
    <w:p w14:paraId="3220D8D0">
      <w:pPr>
        <w:rPr>
          <w:rFonts w:hint="eastAsia" w:ascii="宋体" w:hAnsi="宋体"/>
          <w:b/>
          <w:bCs/>
          <w:color w:val="auto"/>
          <w:sz w:val="44"/>
          <w:szCs w:val="44"/>
        </w:rPr>
      </w:pPr>
      <w:bookmarkStart w:id="2" w:name="_Toc14137"/>
      <w:bookmarkStart w:id="3" w:name="_Toc10021"/>
      <w:r>
        <w:rPr>
          <w:rFonts w:hint="eastAsia" w:ascii="宋体" w:hAnsi="宋体"/>
          <w:b/>
          <w:bCs/>
          <w:color w:val="auto"/>
          <w:sz w:val="44"/>
          <w:szCs w:val="44"/>
        </w:rPr>
        <w:br w:type="page"/>
      </w:r>
    </w:p>
    <w:p w14:paraId="6B6B1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
          <w:bCs/>
          <w:color w:val="auto"/>
        </w:rPr>
      </w:pPr>
      <w:r>
        <w:rPr>
          <w:rFonts w:hint="eastAsia" w:ascii="宋体" w:hAnsi="宋体"/>
          <w:b/>
          <w:bCs/>
          <w:color w:val="auto"/>
          <w:sz w:val="44"/>
          <w:szCs w:val="44"/>
        </w:rPr>
        <w:t>第一章  竞争性磋商公告</w:t>
      </w:r>
      <w:bookmarkEnd w:id="2"/>
      <w:bookmarkEnd w:id="3"/>
    </w:p>
    <w:p w14:paraId="7BDDF3C6">
      <w:pPr>
        <w:pStyle w:val="2"/>
        <w:spacing w:before="0" w:after="200" w:line="360" w:lineRule="auto"/>
        <w:jc w:val="center"/>
        <w:rPr>
          <w:rFonts w:hint="eastAsia"/>
          <w:b/>
          <w:bCs/>
          <w:spacing w:val="7"/>
          <w:sz w:val="28"/>
          <w:szCs w:val="28"/>
          <w:lang w:eastAsia="zh-CN"/>
        </w:rPr>
      </w:pPr>
      <w:bookmarkStart w:id="4" w:name="_Toc213396945"/>
      <w:bookmarkStart w:id="5" w:name="_Toc213496267"/>
      <w:bookmarkStart w:id="6" w:name="_Toc213397009"/>
      <w:bookmarkStart w:id="7" w:name="_Toc217446031"/>
      <w:bookmarkStart w:id="8" w:name="_Toc213396759"/>
      <w:bookmarkStart w:id="9" w:name="_Toc89075871"/>
      <w:bookmarkStart w:id="10" w:name="_Toc183582202"/>
      <w:bookmarkStart w:id="11" w:name="_Toc183682339"/>
      <w:bookmarkStart w:id="12" w:name="_Toc77400776"/>
      <w:r>
        <w:rPr>
          <w:rFonts w:hint="eastAsia"/>
          <w:b/>
          <w:bCs/>
          <w:spacing w:val="7"/>
          <w:sz w:val="28"/>
          <w:szCs w:val="28"/>
          <w:lang w:eastAsia="zh-CN"/>
        </w:rPr>
        <w:t>2026年大庄镇大东村、大西村、布王村集体经济建设项目</w:t>
      </w:r>
    </w:p>
    <w:p w14:paraId="7AC2F6D4">
      <w:pPr>
        <w:pStyle w:val="2"/>
        <w:spacing w:before="0" w:after="200" w:line="360" w:lineRule="auto"/>
        <w:jc w:val="center"/>
      </w:pPr>
      <w:r>
        <w:rPr>
          <w:b/>
          <w:bCs/>
          <w:spacing w:val="7"/>
          <w:sz w:val="28"/>
          <w:szCs w:val="28"/>
        </w:rPr>
        <w:t>竞争性磋商公告</w:t>
      </w:r>
    </w:p>
    <w:p w14:paraId="6E8CB9C7">
      <w:pPr>
        <w:pStyle w:val="41"/>
        <w:spacing w:before="120" w:after="40" w:line="360" w:lineRule="auto"/>
        <w:ind w:left="145"/>
        <w:outlineLvl w:val="9"/>
        <w:rPr>
          <w:rFonts w:hint="eastAsia" w:ascii="仿宋" w:hAnsi="仿宋" w:eastAsia="仿宋" w:cs="仿宋"/>
          <w:sz w:val="24"/>
          <w:szCs w:val="24"/>
        </w:rPr>
      </w:pPr>
      <w:r>
        <w:rPr>
          <w:rFonts w:hint="eastAsia" w:ascii="仿宋" w:hAnsi="仿宋" w:eastAsia="仿宋" w:cs="仿宋"/>
          <w:b/>
          <w:bCs/>
          <w:spacing w:val="6"/>
          <w:sz w:val="24"/>
          <w:szCs w:val="24"/>
        </w:rPr>
        <w:t>项目概况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DCB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1" w:type="dxa"/>
          </w:tcPr>
          <w:p w14:paraId="362D24E4">
            <w:pPr>
              <w:spacing w:before="0" w:after="60" w:line="360" w:lineRule="auto"/>
              <w:ind w:firstLine="508" w:firstLineChars="200"/>
              <w:rPr>
                <w:rFonts w:hint="eastAsia" w:ascii="仿宋" w:hAnsi="仿宋" w:eastAsia="仿宋" w:cs="仿宋"/>
                <w:spacing w:val="6"/>
                <w:sz w:val="24"/>
                <w:szCs w:val="24"/>
                <w:vertAlign w:val="baseline"/>
              </w:rPr>
            </w:pPr>
            <w:r>
              <w:rPr>
                <w:rFonts w:hint="eastAsia" w:ascii="仿宋" w:hAnsi="仿宋" w:eastAsia="仿宋" w:cs="仿宋"/>
                <w:spacing w:val="7"/>
                <w:sz w:val="24"/>
                <w:szCs w:val="24"/>
                <w:lang w:eastAsia="zh-CN"/>
              </w:rPr>
              <w:t>2026年大庄镇大东村、大西村、布王村集体经济建设项目</w:t>
            </w:r>
            <w:r>
              <w:rPr>
                <w:rFonts w:hint="eastAsia" w:ascii="仿宋" w:hAnsi="仿宋" w:eastAsia="仿宋" w:cs="仿宋"/>
                <w:spacing w:val="7"/>
                <w:sz w:val="24"/>
                <w:szCs w:val="24"/>
              </w:rPr>
              <w:t>的潜在供应商应在陕西省咸阳市秦都区新华大厦1508室</w:t>
            </w:r>
            <w:r>
              <w:rPr>
                <w:rFonts w:hint="eastAsia" w:ascii="仿宋" w:hAnsi="仿宋" w:eastAsia="仿宋" w:cs="仿宋"/>
                <w:spacing w:val="6"/>
                <w:sz w:val="24"/>
                <w:szCs w:val="24"/>
              </w:rPr>
              <w:t>获取采购文件，并</w:t>
            </w:r>
            <w:r>
              <w:rPr>
                <w:rFonts w:hint="eastAsia" w:ascii="仿宋" w:hAnsi="仿宋" w:eastAsia="仿宋" w:cs="仿宋"/>
                <w:spacing w:val="4"/>
                <w:sz w:val="24"/>
                <w:szCs w:val="24"/>
              </w:rPr>
              <w:t>于2026年</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月</w:t>
            </w:r>
            <w:r>
              <w:rPr>
                <w:rFonts w:hint="eastAsia" w:ascii="仿宋" w:hAnsi="仿宋" w:eastAsia="仿宋" w:cs="仿宋"/>
                <w:spacing w:val="4"/>
                <w:sz w:val="24"/>
                <w:szCs w:val="24"/>
                <w:lang w:val="en-US" w:eastAsia="zh-CN"/>
              </w:rPr>
              <w:t>22</w:t>
            </w:r>
            <w:r>
              <w:rPr>
                <w:rFonts w:hint="eastAsia" w:ascii="仿宋" w:hAnsi="仿宋" w:eastAsia="仿宋" w:cs="仿宋"/>
                <w:spacing w:val="4"/>
                <w:sz w:val="24"/>
                <w:szCs w:val="24"/>
              </w:rPr>
              <w:t>日</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时</w:t>
            </w:r>
            <w:r>
              <w:rPr>
                <w:rFonts w:hint="eastAsia" w:ascii="仿宋" w:hAnsi="仿宋" w:eastAsia="仿宋" w:cs="仿宋"/>
                <w:spacing w:val="4"/>
                <w:sz w:val="24"/>
                <w:szCs w:val="24"/>
                <w:lang w:val="en-US" w:eastAsia="zh-CN"/>
              </w:rPr>
              <w:t>30</w:t>
            </w:r>
            <w:r>
              <w:rPr>
                <w:rFonts w:hint="eastAsia" w:ascii="仿宋" w:hAnsi="仿宋" w:eastAsia="仿宋" w:cs="仿宋"/>
                <w:spacing w:val="4"/>
                <w:sz w:val="24"/>
                <w:szCs w:val="24"/>
              </w:rPr>
              <w:t>分（北京时间）前提交响应文件。</w:t>
            </w:r>
          </w:p>
        </w:tc>
      </w:tr>
    </w:tbl>
    <w:p w14:paraId="0113B0BE">
      <w:pPr>
        <w:pStyle w:val="2"/>
        <w:keepNext w:val="0"/>
        <w:keepLines w:val="0"/>
        <w:pageBreakBefore w:val="0"/>
        <w:numPr>
          <w:ilvl w:val="0"/>
          <w:numId w:val="2"/>
        </w:numPr>
        <w:kinsoku/>
        <w:wordWrap/>
        <w:overflowPunct/>
        <w:topLinePunct w:val="0"/>
        <w:autoSpaceDE/>
        <w:autoSpaceDN/>
        <w:bidi w:val="0"/>
        <w:adjustRightInd/>
        <w:snapToGrid/>
        <w:spacing w:before="200" w:after="60" w:line="360" w:lineRule="auto"/>
        <w:textAlignment w:val="auto"/>
        <w:outlineLvl w:val="9"/>
        <w:rPr>
          <w:rFonts w:hint="eastAsia" w:ascii="仿宋" w:hAnsi="仿宋" w:eastAsia="仿宋" w:cs="仿宋"/>
          <w:b/>
          <w:bCs/>
          <w:spacing w:val="6"/>
          <w:sz w:val="24"/>
          <w:szCs w:val="24"/>
        </w:rPr>
      </w:pPr>
      <w:r>
        <w:rPr>
          <w:rFonts w:hint="eastAsia" w:ascii="仿宋" w:hAnsi="仿宋" w:eastAsia="仿宋" w:cs="仿宋"/>
          <w:b/>
          <w:bCs/>
          <w:spacing w:val="6"/>
          <w:sz w:val="24"/>
          <w:szCs w:val="24"/>
        </w:rPr>
        <w:t>项目基本情况</w:t>
      </w:r>
    </w:p>
    <w:p w14:paraId="554EDDC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项目编号：YZ2026-ZB035</w:t>
      </w:r>
    </w:p>
    <w:p w14:paraId="4E0C7C0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项目名称：2026年大庄镇大东村、大西村、布王村集体经济建设项目</w:t>
      </w:r>
    </w:p>
    <w:p w14:paraId="49DA2C6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53BE57A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预算金额：2,558,085.12元</w:t>
      </w:r>
    </w:p>
    <w:p w14:paraId="2D6F6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49F18D4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w:t>
      </w:r>
    </w:p>
    <w:p w14:paraId="32CD0E00">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合同包预算金额：1,632,401.13元</w:t>
      </w:r>
    </w:p>
    <w:p w14:paraId="683CC5EC">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合同包最高限价：1,632,401.13元</w:t>
      </w:r>
    </w:p>
    <w:tbl>
      <w:tblPr>
        <w:tblStyle w:val="23"/>
        <w:tblW w:w="1013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1"/>
        <w:gridCol w:w="1664"/>
        <w:gridCol w:w="2847"/>
        <w:gridCol w:w="1042"/>
        <w:gridCol w:w="1636"/>
        <w:gridCol w:w="1958"/>
      </w:tblGrid>
      <w:tr w14:paraId="3CCB9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121" w:hRule="atLeast"/>
        </w:trPr>
        <w:tc>
          <w:tcPr>
            <w:tcW w:w="991" w:type="dxa"/>
          </w:tcPr>
          <w:p w14:paraId="0B8E038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664" w:type="dxa"/>
          </w:tcPr>
          <w:p w14:paraId="1EC33C4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47" w:type="dxa"/>
          </w:tcPr>
          <w:p w14:paraId="57B02C3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042" w:type="dxa"/>
          </w:tcPr>
          <w:p w14:paraId="6585F2E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36" w:type="dxa"/>
          </w:tcPr>
          <w:p w14:paraId="6A9F830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958" w:type="dxa"/>
          </w:tcPr>
          <w:p w14:paraId="58A509F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04BE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83" w:hRule="atLeast"/>
        </w:trPr>
        <w:tc>
          <w:tcPr>
            <w:tcW w:w="991" w:type="dxa"/>
          </w:tcPr>
          <w:p w14:paraId="04539AB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664" w:type="dxa"/>
          </w:tcPr>
          <w:p w14:paraId="6F7A2F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47" w:type="dxa"/>
          </w:tcPr>
          <w:p w14:paraId="749EE50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2026年大庄镇大东村、大西村、布王村集体经济建设项目一标段</w:t>
            </w:r>
          </w:p>
        </w:tc>
        <w:tc>
          <w:tcPr>
            <w:tcW w:w="1042" w:type="dxa"/>
          </w:tcPr>
          <w:p w14:paraId="6B36412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36" w:type="dxa"/>
          </w:tcPr>
          <w:p w14:paraId="2A531FF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958" w:type="dxa"/>
          </w:tcPr>
          <w:p w14:paraId="1A46A6E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1,632,401.13</w:t>
            </w:r>
          </w:p>
        </w:tc>
      </w:tr>
    </w:tbl>
    <w:p w14:paraId="3EA76BC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23E1499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4F1FFE2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w:t>
      </w:r>
    </w:p>
    <w:p w14:paraId="48741A21">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合同包预算金额：402,394.40元</w:t>
      </w:r>
    </w:p>
    <w:p w14:paraId="645869CD">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合同包最高限价：402,394.40元</w:t>
      </w:r>
    </w:p>
    <w:tbl>
      <w:tblPr>
        <w:tblStyle w:val="23"/>
        <w:tblW w:w="101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6"/>
        <w:gridCol w:w="1594"/>
        <w:gridCol w:w="2894"/>
        <w:gridCol w:w="1176"/>
        <w:gridCol w:w="1690"/>
        <w:gridCol w:w="1729"/>
      </w:tblGrid>
      <w:tr w14:paraId="59437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9" w:hRule="atLeast"/>
        </w:trPr>
        <w:tc>
          <w:tcPr>
            <w:tcW w:w="1096" w:type="dxa"/>
          </w:tcPr>
          <w:p w14:paraId="3699F7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66A8508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94" w:type="dxa"/>
          </w:tcPr>
          <w:p w14:paraId="23E37C2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38C6E7D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0" w:type="dxa"/>
          </w:tcPr>
          <w:p w14:paraId="0ACEDE7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29" w:type="dxa"/>
          </w:tcPr>
          <w:p w14:paraId="6E96E575">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B1CD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5" w:hRule="atLeast"/>
        </w:trPr>
        <w:tc>
          <w:tcPr>
            <w:tcW w:w="1096" w:type="dxa"/>
          </w:tcPr>
          <w:p w14:paraId="4DD64B2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594" w:type="dxa"/>
          </w:tcPr>
          <w:p w14:paraId="5FA7E88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94" w:type="dxa"/>
          </w:tcPr>
          <w:p w14:paraId="48D694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2026年大庄镇大东村、大西村、布王村集体经济建设项目二标段</w:t>
            </w:r>
          </w:p>
        </w:tc>
        <w:tc>
          <w:tcPr>
            <w:tcW w:w="1176" w:type="dxa"/>
          </w:tcPr>
          <w:p w14:paraId="0DD8C43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0" w:type="dxa"/>
          </w:tcPr>
          <w:p w14:paraId="7931F91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29" w:type="dxa"/>
          </w:tcPr>
          <w:p w14:paraId="6453F10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402,394.40</w:t>
            </w:r>
          </w:p>
        </w:tc>
      </w:tr>
    </w:tbl>
    <w:p w14:paraId="3F90BDF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7E7E2E1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3145A1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w:t>
      </w:r>
    </w:p>
    <w:p w14:paraId="7415F39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合同包预算金额：523,289.59元</w:t>
      </w:r>
    </w:p>
    <w:p w14:paraId="4ABE702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合同包最高限价：523,289.59元</w:t>
      </w:r>
    </w:p>
    <w:tbl>
      <w:tblPr>
        <w:tblStyle w:val="23"/>
        <w:tblW w:w="101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4"/>
        <w:gridCol w:w="1594"/>
        <w:gridCol w:w="2918"/>
        <w:gridCol w:w="1176"/>
        <w:gridCol w:w="1693"/>
        <w:gridCol w:w="1732"/>
      </w:tblGrid>
      <w:tr w14:paraId="435A6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5" w:hRule="atLeast"/>
        </w:trPr>
        <w:tc>
          <w:tcPr>
            <w:tcW w:w="1084" w:type="dxa"/>
          </w:tcPr>
          <w:p w14:paraId="777E2AA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1131DFDA">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918" w:type="dxa"/>
          </w:tcPr>
          <w:p w14:paraId="206A0A1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44A883D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3" w:type="dxa"/>
          </w:tcPr>
          <w:p w14:paraId="2546537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32" w:type="dxa"/>
          </w:tcPr>
          <w:p w14:paraId="682D13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47FD5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9" w:hRule="atLeast"/>
        </w:trPr>
        <w:tc>
          <w:tcPr>
            <w:tcW w:w="1084" w:type="dxa"/>
          </w:tcPr>
          <w:p w14:paraId="0B55844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594" w:type="dxa"/>
          </w:tcPr>
          <w:p w14:paraId="3D3C79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918" w:type="dxa"/>
          </w:tcPr>
          <w:p w14:paraId="67EAAC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2026年大庄镇大东村、大西村、布王村集体经济建设项目三标段</w:t>
            </w:r>
          </w:p>
        </w:tc>
        <w:tc>
          <w:tcPr>
            <w:tcW w:w="1176" w:type="dxa"/>
          </w:tcPr>
          <w:p w14:paraId="089C107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3" w:type="dxa"/>
          </w:tcPr>
          <w:p w14:paraId="12A5AF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32" w:type="dxa"/>
          </w:tcPr>
          <w:p w14:paraId="634F2E5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523,289.59</w:t>
            </w:r>
          </w:p>
        </w:tc>
      </w:tr>
    </w:tbl>
    <w:p w14:paraId="1DC8D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6C2BD1B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53170670">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二、申请人的资格要求：</w:t>
      </w:r>
    </w:p>
    <w:p w14:paraId="212B1C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D56ABD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629A62B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合同包1(2026年大庄镇大东村、大西村、布王村集体经济建设项目一标段)落实政府采购政策需满足的资格要求如下:</w:t>
      </w:r>
    </w:p>
    <w:p w14:paraId="53ABDFEA">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7A1737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合同包2(2026年大庄镇大东村、大西村、布王村集体经济建设项目二标段)落实政府采购政策需满足的资格要求如下:</w:t>
      </w:r>
    </w:p>
    <w:p w14:paraId="6D83D1A8">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6A281A3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合同包3(2026年大庄镇大东村、大西村、布王村集体经济建设项目三标段)落实政府采购政策需满足的资格要求如下:</w:t>
      </w:r>
    </w:p>
    <w:p w14:paraId="187BC2CC">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5A7EA7A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2B2BB9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合同包1(2026年大庄镇大东村、大西村、布王村集体经济建设项目一标段)特定资格要求如下:</w:t>
      </w:r>
    </w:p>
    <w:p w14:paraId="5EFC9C00">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37F05C2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合同包2(2026年大庄镇大东村、大西村、布王村集体经济建设项目二标段)特定资格要求如下:</w:t>
      </w:r>
    </w:p>
    <w:p w14:paraId="49B6FA8B">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405EEA3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合同包3(2026年大庄镇大东村、大西村、布王村集体经济建设项目三标段)特定资格要求如下:</w:t>
      </w:r>
    </w:p>
    <w:p w14:paraId="62649FD1">
      <w:pPr>
        <w:pStyle w:val="43"/>
        <w:keepNext w:val="0"/>
        <w:keepLines w:val="0"/>
        <w:pageBreakBefore w:val="0"/>
        <w:kinsoku/>
        <w:wordWrap/>
        <w:overflowPunct/>
        <w:topLinePunct w:val="0"/>
        <w:autoSpaceDE/>
        <w:autoSpaceDN/>
        <w:bidi w:val="0"/>
        <w:adjustRightInd/>
        <w:snapToGrid/>
        <w:spacing w:line="360" w:lineRule="auto"/>
        <w:ind w:left="480"/>
        <w:textAlignment w:val="auto"/>
        <w:outlineLvl w:val="9"/>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75B4964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三、获取采购文件</w:t>
      </w:r>
    </w:p>
    <w:p w14:paraId="66791C7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时间： 2026年09月10日 至 2026年09月16日 ，每天上午 09:00:00 至 12:00:00 ，下午 14:00:00 至 17:00:00 （北京时间）</w:t>
      </w:r>
    </w:p>
    <w:p w14:paraId="3859BB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途径：陕西省咸阳市秦都区新华大厦1508室</w:t>
      </w:r>
    </w:p>
    <w:p w14:paraId="3E56D54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方式：现场获取</w:t>
      </w:r>
    </w:p>
    <w:p w14:paraId="3B39F2C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0F23402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四、响应文件提交</w:t>
      </w:r>
    </w:p>
    <w:p w14:paraId="79C0403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截止时间： 2026年09月22日 09时30分00秒 （北京时间）</w:t>
      </w:r>
    </w:p>
    <w:p w14:paraId="4F1066ED">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336D448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五、开启</w:t>
      </w:r>
    </w:p>
    <w:p w14:paraId="5BCC768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时间： 2026年09月22日 09时30分00秒 （北京时间）</w:t>
      </w:r>
    </w:p>
    <w:p w14:paraId="5DE7E27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1078DE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六、公告期限</w:t>
      </w:r>
    </w:p>
    <w:p w14:paraId="46B733F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177E664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七、其他补充事宜</w:t>
      </w:r>
    </w:p>
    <w:p w14:paraId="4C3ABED0">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1、本项目专门面向中小企业采购。</w:t>
      </w:r>
    </w:p>
    <w:p w14:paraId="4BBB0797">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2、获取竞争性磋商文件时需携带：单位介绍信、经办人身份证原件及复印件。法定代表人获取文件时携带法定代表人身份证明书及本人身份证原件以上资料均须加盖供应商公章。</w:t>
      </w:r>
    </w:p>
    <w:p w14:paraId="32B03B19">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3、投标人登记免费领取竞争性磋商文件的，如不参与项目投标，应在递交投标（或响应）文件截止时间一日前以书面形式告知采购代理机构。否则，采购代理机构可以向财政部门反映情况并提供相应的佐证。投标人一年内累计出现三次该情形，将被监管部门记录为失信行为。</w:t>
      </w:r>
    </w:p>
    <w:p w14:paraId="02954533">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4、请投标人按照陕西省财政厅关于政府采购投标人注册登记有关事项的通知中的要求， 通过陕西省政府采购网（http://www.ccgp-shaanxi.gov.cn/）注册登记加入陕西省政府采购投标人库。</w:t>
      </w:r>
    </w:p>
    <w:p w14:paraId="7FDD1F4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6BCFB51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1.采购人信息</w:t>
      </w:r>
    </w:p>
    <w:p w14:paraId="16C811D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名称：武功县大庄镇人民政府</w:t>
      </w:r>
    </w:p>
    <w:p w14:paraId="6C695F0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地址：武功县大庄镇曹家十字东100米</w:t>
      </w:r>
    </w:p>
    <w:p w14:paraId="5503268C">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联系方式：029-37511368</w:t>
      </w:r>
    </w:p>
    <w:p w14:paraId="68E1B1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2.采购代理机构信息</w:t>
      </w:r>
    </w:p>
    <w:p w14:paraId="2FD5E6A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名称：陕西优正项目管理有限公司</w:t>
      </w:r>
    </w:p>
    <w:p w14:paraId="3E93C4C5">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地址：陕西省咸阳市秦都区新华大厦1508室</w:t>
      </w:r>
    </w:p>
    <w:p w14:paraId="645563A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联系方式：13060389778</w:t>
      </w:r>
    </w:p>
    <w:p w14:paraId="637DDE9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3.项目联系方式</w:t>
      </w:r>
    </w:p>
    <w:p w14:paraId="11AF9938">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项目联系人：王亚倩</w:t>
      </w:r>
    </w:p>
    <w:p w14:paraId="2DF11BB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电话：13060389978</w:t>
      </w:r>
    </w:p>
    <w:p w14:paraId="657C73DE">
      <w:pPr>
        <w:pStyle w:val="43"/>
        <w:keepNext w:val="0"/>
        <w:keepLines w:val="0"/>
        <w:pageBreakBefore w:val="0"/>
        <w:kinsoku/>
        <w:wordWrap/>
        <w:overflowPunct/>
        <w:topLinePunct w:val="0"/>
        <w:autoSpaceDE/>
        <w:autoSpaceDN/>
        <w:bidi w:val="0"/>
        <w:adjustRightInd/>
        <w:snapToGrid/>
        <w:spacing w:line="360" w:lineRule="auto"/>
        <w:jc w:val="right"/>
        <w:textAlignment w:val="auto"/>
      </w:pPr>
      <w:r>
        <w:rPr>
          <w:rFonts w:hint="eastAsia" w:ascii="仿宋" w:hAnsi="仿宋" w:eastAsia="仿宋" w:cs="仿宋"/>
          <w:sz w:val="24"/>
          <w:szCs w:val="24"/>
        </w:rPr>
        <w:t>陕西优正项目管理有限公</w:t>
      </w:r>
      <w:r>
        <w:rPr>
          <w:rFonts w:ascii="仿宋_GB2312" w:hAnsi="仿宋_GB2312" w:eastAsia="仿宋_GB2312" w:cs="仿宋_GB2312"/>
        </w:rPr>
        <w:t>司</w:t>
      </w:r>
    </w:p>
    <w:p w14:paraId="21F5A75D">
      <w:pPr>
        <w:pStyle w:val="43"/>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sz w:val="24"/>
          <w:szCs w:val="24"/>
        </w:rPr>
      </w:pPr>
      <w:r>
        <w:rPr>
          <w:rFonts w:hint="eastAsia" w:ascii="仿宋" w:hAnsi="仿宋" w:eastAsia="仿宋" w:cs="仿宋"/>
          <w:sz w:val="24"/>
          <w:szCs w:val="24"/>
        </w:rPr>
        <w:t>2026年09月09日</w:t>
      </w:r>
    </w:p>
    <w:p w14:paraId="18E869FC">
      <w:pPr>
        <w:rPr>
          <w:rFonts w:ascii="宋体" w:hAnsi="宋体"/>
          <w:color w:val="auto"/>
          <w:sz w:val="44"/>
          <w:szCs w:val="44"/>
        </w:rPr>
      </w:pPr>
      <w:r>
        <w:rPr>
          <w:rFonts w:hint="eastAsia" w:ascii="宋体" w:hAnsi="宋体"/>
          <w:color w:val="auto"/>
          <w:sz w:val="44"/>
          <w:szCs w:val="44"/>
        </w:rPr>
        <w:br w:type="page"/>
      </w:r>
    </w:p>
    <w:p w14:paraId="27B653B2">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44"/>
          <w:szCs w:val="44"/>
        </w:rPr>
      </w:pPr>
      <w:bookmarkStart w:id="13" w:name="_Toc15283"/>
      <w:bookmarkStart w:id="14" w:name="_Toc23949"/>
      <w:r>
        <w:rPr>
          <w:rFonts w:hint="eastAsia" w:ascii="宋体" w:hAnsi="宋体"/>
          <w:color w:val="auto"/>
          <w:sz w:val="44"/>
          <w:szCs w:val="44"/>
        </w:rPr>
        <w:t>第二章  供应商须知</w:t>
      </w:r>
      <w:bookmarkEnd w:id="4"/>
      <w:bookmarkEnd w:id="5"/>
      <w:bookmarkEnd w:id="6"/>
      <w:bookmarkEnd w:id="7"/>
      <w:bookmarkEnd w:id="8"/>
      <w:bookmarkEnd w:id="13"/>
      <w:bookmarkEnd w:id="14"/>
      <w:bookmarkStart w:id="15" w:name="_Toc184274915"/>
      <w:bookmarkStart w:id="16" w:name="_Toc184283909"/>
    </w:p>
    <w:p w14:paraId="38A554F3">
      <w:pPr>
        <w:jc w:val="center"/>
        <w:rPr>
          <w:b/>
          <w:bCs/>
          <w:color w:val="auto"/>
          <w:sz w:val="24"/>
        </w:rPr>
      </w:pPr>
      <w:bookmarkStart w:id="17" w:name="_Toc189727030"/>
      <w:bookmarkStart w:id="18" w:name="_Toc217446032"/>
      <w:bookmarkStart w:id="19" w:name="_Toc213396760"/>
      <w:bookmarkStart w:id="20" w:name="_Toc213496268"/>
      <w:bookmarkStart w:id="21" w:name="_Toc213397010"/>
      <w:bookmarkStart w:id="22" w:name="_Toc213396946"/>
      <w:r>
        <w:rPr>
          <w:rFonts w:hint="eastAsia"/>
          <w:b/>
          <w:bCs/>
          <w:color w:val="auto"/>
          <w:sz w:val="24"/>
        </w:rPr>
        <w:t>供应商须知前附表</w:t>
      </w:r>
    </w:p>
    <w:tbl>
      <w:tblPr>
        <w:tblStyle w:val="23"/>
        <w:tblW w:w="10138" w:type="dxa"/>
        <w:jc w:val="center"/>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fixed"/>
        <w:tblCellMar>
          <w:top w:w="0" w:type="dxa"/>
          <w:left w:w="0" w:type="dxa"/>
          <w:bottom w:w="0" w:type="dxa"/>
          <w:right w:w="0" w:type="dxa"/>
        </w:tblCellMar>
      </w:tblPr>
      <w:tblGrid>
        <w:gridCol w:w="640"/>
        <w:gridCol w:w="2182"/>
        <w:gridCol w:w="7316"/>
      </w:tblGrid>
      <w:tr w14:paraId="207A2A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tblHeader/>
          <w:jc w:val="center"/>
        </w:trPr>
        <w:tc>
          <w:tcPr>
            <w:tcW w:w="640" w:type="dxa"/>
            <w:tcBorders>
              <w:bottom w:val="single" w:color="auto" w:sz="8" w:space="0"/>
              <w:right w:val="single" w:color="auto" w:sz="8" w:space="0"/>
            </w:tcBorders>
            <w:vAlign w:val="center"/>
          </w:tcPr>
          <w:p w14:paraId="4D5C9937">
            <w:pPr>
              <w:pStyle w:val="28"/>
              <w:snapToGrid w:val="0"/>
              <w:spacing w:line="360" w:lineRule="exact"/>
              <w:ind w:left="9"/>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序号 </w:t>
            </w:r>
          </w:p>
        </w:tc>
        <w:tc>
          <w:tcPr>
            <w:tcW w:w="2182" w:type="dxa"/>
            <w:tcBorders>
              <w:left w:val="single" w:color="auto" w:sz="8" w:space="0"/>
              <w:bottom w:val="single" w:color="auto" w:sz="8" w:space="0"/>
              <w:right w:val="single" w:color="auto" w:sz="8" w:space="0"/>
            </w:tcBorders>
            <w:vAlign w:val="center"/>
          </w:tcPr>
          <w:p w14:paraId="4C8FD8C9">
            <w:pPr>
              <w:pStyle w:val="28"/>
              <w:snapToGrid w:val="0"/>
              <w:spacing w:line="360" w:lineRule="exact"/>
              <w:ind w:left="38"/>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内容</w:t>
            </w:r>
          </w:p>
        </w:tc>
        <w:tc>
          <w:tcPr>
            <w:tcW w:w="7316" w:type="dxa"/>
            <w:tcBorders>
              <w:left w:val="single" w:color="auto" w:sz="8" w:space="0"/>
              <w:bottom w:val="single" w:color="auto" w:sz="8" w:space="0"/>
            </w:tcBorders>
            <w:vAlign w:val="center"/>
          </w:tcPr>
          <w:p w14:paraId="7C7DA061">
            <w:pPr>
              <w:pStyle w:val="28"/>
              <w:snapToGrid w:val="0"/>
              <w:spacing w:line="360" w:lineRule="exact"/>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说明和要求</w:t>
            </w:r>
          </w:p>
        </w:tc>
      </w:tr>
      <w:tr w14:paraId="767E7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613" w:hRule="atLeast"/>
          <w:jc w:val="center"/>
        </w:trPr>
        <w:tc>
          <w:tcPr>
            <w:tcW w:w="640" w:type="dxa"/>
            <w:tcBorders>
              <w:top w:val="single" w:color="auto" w:sz="8" w:space="0"/>
              <w:bottom w:val="single" w:color="auto" w:sz="8" w:space="0"/>
              <w:right w:val="single" w:color="auto" w:sz="8" w:space="0"/>
            </w:tcBorders>
            <w:vAlign w:val="center"/>
          </w:tcPr>
          <w:p w14:paraId="40FC5B15">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p>
        </w:tc>
        <w:tc>
          <w:tcPr>
            <w:tcW w:w="2182" w:type="dxa"/>
            <w:tcBorders>
              <w:top w:val="single" w:color="auto" w:sz="8" w:space="0"/>
              <w:left w:val="single" w:color="auto" w:sz="8" w:space="0"/>
              <w:bottom w:val="single" w:color="auto" w:sz="8" w:space="0"/>
              <w:right w:val="single" w:color="auto" w:sz="8" w:space="0"/>
            </w:tcBorders>
            <w:vAlign w:val="center"/>
          </w:tcPr>
          <w:p w14:paraId="15FDD8C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w:t>
            </w:r>
          </w:p>
        </w:tc>
        <w:tc>
          <w:tcPr>
            <w:tcW w:w="7316" w:type="dxa"/>
            <w:tcBorders>
              <w:top w:val="single" w:color="auto" w:sz="8" w:space="0"/>
              <w:left w:val="single" w:color="auto" w:sz="8" w:space="0"/>
              <w:bottom w:val="single" w:color="auto" w:sz="8" w:space="0"/>
            </w:tcBorders>
            <w:vAlign w:val="center"/>
          </w:tcPr>
          <w:p w14:paraId="2C497F6F">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采购人名称：</w:t>
            </w:r>
            <w:r>
              <w:rPr>
                <w:rFonts w:hint="eastAsia" w:ascii="仿宋" w:hAnsi="仿宋" w:eastAsia="仿宋" w:cs="仿宋"/>
                <w:sz w:val="24"/>
                <w:szCs w:val="24"/>
              </w:rPr>
              <w:t>武功县大庄镇人民政府</w:t>
            </w:r>
          </w:p>
          <w:p w14:paraId="7270737E">
            <w:pPr>
              <w:adjustRightInd w:val="0"/>
              <w:snapToGrid w:val="0"/>
              <w:spacing w:line="360" w:lineRule="exact"/>
              <w:ind w:firstLine="240" w:firstLineChars="100"/>
              <w:jc w:val="left"/>
              <w:rPr>
                <w:rFonts w:hint="eastAsia" w:ascii="仿宋" w:hAnsi="仿宋" w:eastAsia="仿宋" w:cs="仿宋"/>
                <w:bCs/>
                <w:color w:val="auto"/>
                <w:kern w:val="0"/>
                <w:sz w:val="24"/>
                <w:szCs w:val="24"/>
                <w:lang w:eastAsia="zh-CN"/>
              </w:rPr>
            </w:pPr>
            <w:r>
              <w:rPr>
                <w:rFonts w:hint="eastAsia" w:ascii="仿宋" w:hAnsi="仿宋" w:eastAsia="仿宋" w:cs="仿宋"/>
                <w:bCs/>
                <w:color w:val="auto"/>
                <w:sz w:val="24"/>
                <w:szCs w:val="24"/>
              </w:rPr>
              <w:t>地址</w:t>
            </w:r>
            <w:r>
              <w:rPr>
                <w:rFonts w:hint="eastAsia" w:ascii="仿宋" w:hAnsi="仿宋" w:eastAsia="仿宋" w:cs="仿宋"/>
                <w:bCs/>
                <w:color w:val="auto"/>
                <w:kern w:val="0"/>
                <w:sz w:val="24"/>
                <w:szCs w:val="24"/>
              </w:rPr>
              <w:t>：</w:t>
            </w:r>
            <w:r>
              <w:rPr>
                <w:rFonts w:hint="eastAsia" w:ascii="仿宋" w:hAnsi="仿宋" w:eastAsia="仿宋" w:cs="仿宋"/>
                <w:sz w:val="24"/>
                <w:szCs w:val="24"/>
              </w:rPr>
              <w:t>武功县大庄镇曹家十字东100米</w:t>
            </w:r>
          </w:p>
          <w:p w14:paraId="095EDF93">
            <w:pPr>
              <w:adjustRightInd w:val="0"/>
              <w:snapToGrid w:val="0"/>
              <w:spacing w:line="360" w:lineRule="exact"/>
              <w:ind w:firstLine="240" w:firstLineChars="100"/>
              <w:jc w:val="lef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rPr>
              <w:t>联系人：</w:t>
            </w:r>
            <w:r>
              <w:rPr>
                <w:rFonts w:hint="eastAsia" w:ascii="仿宋" w:hAnsi="仿宋" w:eastAsia="仿宋" w:cs="仿宋"/>
                <w:bCs/>
                <w:color w:val="auto"/>
                <w:kern w:val="0"/>
                <w:sz w:val="24"/>
                <w:szCs w:val="24"/>
                <w:lang w:val="en-US" w:eastAsia="zh-CN"/>
              </w:rPr>
              <w:t>韩涛</w:t>
            </w:r>
          </w:p>
          <w:p w14:paraId="33C15F50">
            <w:pPr>
              <w:adjustRightInd w:val="0"/>
              <w:snapToGrid w:val="0"/>
              <w:spacing w:line="360" w:lineRule="exact"/>
              <w:ind w:firstLine="240" w:firstLineChars="100"/>
              <w:jc w:val="left"/>
              <w:rPr>
                <w:rFonts w:hint="eastAsia" w:ascii="仿宋" w:hAnsi="仿宋" w:eastAsia="仿宋" w:cs="仿宋"/>
                <w:bCs/>
                <w:color w:val="auto"/>
                <w:sz w:val="24"/>
                <w:szCs w:val="24"/>
                <w:lang w:eastAsia="zh-CN"/>
              </w:rPr>
            </w:pPr>
            <w:r>
              <w:rPr>
                <w:rFonts w:hint="eastAsia" w:ascii="仿宋" w:hAnsi="仿宋" w:eastAsia="仿宋" w:cs="仿宋"/>
                <w:bCs/>
                <w:color w:val="auto"/>
                <w:kern w:val="0"/>
                <w:sz w:val="24"/>
                <w:szCs w:val="24"/>
              </w:rPr>
              <w:t>电话：</w:t>
            </w:r>
            <w:r>
              <w:rPr>
                <w:rFonts w:hint="eastAsia" w:ascii="仿宋" w:hAnsi="仿宋" w:eastAsia="仿宋" w:cs="仿宋"/>
                <w:bCs/>
                <w:color w:val="auto"/>
                <w:kern w:val="0"/>
                <w:sz w:val="24"/>
                <w:szCs w:val="24"/>
                <w:lang w:val="en-US" w:eastAsia="zh-CN"/>
              </w:rPr>
              <w:t>18691006090</w:t>
            </w:r>
            <w:r>
              <w:rPr>
                <w:rFonts w:hint="eastAsia" w:ascii="仿宋" w:hAnsi="仿宋" w:eastAsia="仿宋" w:cs="仿宋"/>
                <w:bCs/>
                <w:color w:val="auto"/>
                <w:kern w:val="0"/>
                <w:sz w:val="24"/>
                <w:szCs w:val="24"/>
                <w:lang w:eastAsia="zh-CN"/>
              </w:rPr>
              <w:t xml:space="preserve"> </w:t>
            </w:r>
          </w:p>
        </w:tc>
      </w:tr>
      <w:tr w14:paraId="2661CEB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24" w:hRule="atLeast"/>
          <w:jc w:val="center"/>
        </w:trPr>
        <w:tc>
          <w:tcPr>
            <w:tcW w:w="640" w:type="dxa"/>
            <w:tcBorders>
              <w:top w:val="single" w:color="auto" w:sz="8" w:space="0"/>
              <w:bottom w:val="single" w:color="auto" w:sz="8" w:space="0"/>
              <w:right w:val="single" w:color="auto" w:sz="8" w:space="0"/>
            </w:tcBorders>
            <w:vAlign w:val="center"/>
          </w:tcPr>
          <w:p w14:paraId="6FCBD939">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w:t>
            </w:r>
          </w:p>
        </w:tc>
        <w:tc>
          <w:tcPr>
            <w:tcW w:w="2182" w:type="dxa"/>
            <w:tcBorders>
              <w:top w:val="single" w:color="auto" w:sz="8" w:space="0"/>
              <w:left w:val="single" w:color="auto" w:sz="8" w:space="0"/>
              <w:bottom w:val="single" w:color="auto" w:sz="8" w:space="0"/>
              <w:right w:val="single" w:color="auto" w:sz="8" w:space="0"/>
            </w:tcBorders>
            <w:vAlign w:val="center"/>
          </w:tcPr>
          <w:p w14:paraId="7A40FCE0">
            <w:pPr>
              <w:adjustRightInd w:val="0"/>
              <w:snapToGrid w:val="0"/>
              <w:spacing w:line="360" w:lineRule="exact"/>
              <w:ind w:firstLine="240" w:firstLineChars="100"/>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采购代理机构</w:t>
            </w:r>
          </w:p>
        </w:tc>
        <w:tc>
          <w:tcPr>
            <w:tcW w:w="7316" w:type="dxa"/>
            <w:tcBorders>
              <w:top w:val="single" w:color="auto" w:sz="8" w:space="0"/>
              <w:left w:val="single" w:color="auto" w:sz="8" w:space="0"/>
              <w:bottom w:val="single" w:color="auto" w:sz="8" w:space="0"/>
            </w:tcBorders>
            <w:vAlign w:val="center"/>
          </w:tcPr>
          <w:p w14:paraId="53B96867">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采购代理机构名称：陕西优正项目管理有限公司</w:t>
            </w:r>
          </w:p>
          <w:p w14:paraId="2703B26A">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地址：陕西省咸阳市秦都区新华大厦1508室</w:t>
            </w:r>
          </w:p>
          <w:p w14:paraId="750F599B">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李滢</w:t>
            </w:r>
          </w:p>
          <w:p w14:paraId="264497AF">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电话：</w:t>
            </w:r>
            <w:r>
              <w:rPr>
                <w:rFonts w:hint="eastAsia" w:ascii="仿宋" w:hAnsi="仿宋" w:eastAsia="仿宋" w:cs="仿宋"/>
                <w:bCs/>
                <w:color w:val="auto"/>
                <w:kern w:val="0"/>
                <w:sz w:val="24"/>
                <w:szCs w:val="24"/>
                <w:lang w:val="en-US" w:eastAsia="zh-CN"/>
              </w:rPr>
              <w:t>13060389978</w:t>
            </w:r>
          </w:p>
          <w:p w14:paraId="4B832EC8">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电子邮箱：</w:t>
            </w:r>
            <w:r>
              <w:rPr>
                <w:rFonts w:hint="eastAsia" w:ascii="仿宋" w:hAnsi="仿宋" w:eastAsia="仿宋" w:cs="仿宋"/>
                <w:color w:val="auto"/>
                <w:sz w:val="24"/>
                <w:szCs w:val="24"/>
                <w:lang w:val="en-US" w:eastAsia="zh-CN"/>
              </w:rPr>
              <w:t>2625967025@qq.com</w:t>
            </w:r>
          </w:p>
        </w:tc>
      </w:tr>
      <w:tr w14:paraId="3082651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4" w:hRule="exact"/>
          <w:jc w:val="center"/>
        </w:trPr>
        <w:tc>
          <w:tcPr>
            <w:tcW w:w="640" w:type="dxa"/>
            <w:tcBorders>
              <w:top w:val="single" w:color="auto" w:sz="8" w:space="0"/>
              <w:bottom w:val="single" w:color="auto" w:sz="8" w:space="0"/>
              <w:right w:val="single" w:color="auto" w:sz="8" w:space="0"/>
            </w:tcBorders>
            <w:vAlign w:val="center"/>
          </w:tcPr>
          <w:p w14:paraId="6AE1AF8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w:t>
            </w:r>
          </w:p>
        </w:tc>
        <w:tc>
          <w:tcPr>
            <w:tcW w:w="2182" w:type="dxa"/>
            <w:tcBorders>
              <w:top w:val="single" w:color="auto" w:sz="8" w:space="0"/>
              <w:left w:val="single" w:color="auto" w:sz="8" w:space="0"/>
              <w:bottom w:val="single" w:color="auto" w:sz="8" w:space="0"/>
              <w:right w:val="single" w:color="auto" w:sz="8" w:space="0"/>
            </w:tcBorders>
            <w:vAlign w:val="center"/>
          </w:tcPr>
          <w:p w14:paraId="36CCD94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tc>
        <w:tc>
          <w:tcPr>
            <w:tcW w:w="7316" w:type="dxa"/>
            <w:tcBorders>
              <w:top w:val="single" w:color="auto" w:sz="8" w:space="0"/>
              <w:left w:val="single" w:color="auto" w:sz="8" w:space="0"/>
              <w:bottom w:val="single" w:color="auto" w:sz="8" w:space="0"/>
            </w:tcBorders>
            <w:vAlign w:val="center"/>
          </w:tcPr>
          <w:p w14:paraId="42FFC177">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2026年大庄镇大东村、大西村、布王村集体经济建设项目</w:t>
            </w:r>
          </w:p>
        </w:tc>
      </w:tr>
      <w:tr w14:paraId="5DD36A4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jc w:val="center"/>
        </w:trPr>
        <w:tc>
          <w:tcPr>
            <w:tcW w:w="640" w:type="dxa"/>
            <w:tcBorders>
              <w:top w:val="single" w:color="auto" w:sz="8" w:space="0"/>
              <w:bottom w:val="single" w:color="auto" w:sz="8" w:space="0"/>
              <w:right w:val="single" w:color="auto" w:sz="8" w:space="0"/>
            </w:tcBorders>
            <w:vAlign w:val="center"/>
          </w:tcPr>
          <w:p w14:paraId="4D9ABD1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w:t>
            </w:r>
          </w:p>
        </w:tc>
        <w:tc>
          <w:tcPr>
            <w:tcW w:w="2182" w:type="dxa"/>
            <w:tcBorders>
              <w:top w:val="single" w:color="auto" w:sz="8" w:space="0"/>
              <w:left w:val="single" w:color="auto" w:sz="8" w:space="0"/>
              <w:bottom w:val="single" w:color="auto" w:sz="8" w:space="0"/>
              <w:right w:val="single" w:color="auto" w:sz="8" w:space="0"/>
            </w:tcBorders>
            <w:vAlign w:val="center"/>
          </w:tcPr>
          <w:p w14:paraId="724ACB4E">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w:t>
            </w:r>
          </w:p>
        </w:tc>
        <w:tc>
          <w:tcPr>
            <w:tcW w:w="7316" w:type="dxa"/>
            <w:tcBorders>
              <w:top w:val="single" w:color="auto" w:sz="8" w:space="0"/>
              <w:left w:val="single" w:color="auto" w:sz="8" w:space="0"/>
              <w:bottom w:val="single" w:color="auto" w:sz="8" w:space="0"/>
            </w:tcBorders>
            <w:vAlign w:val="center"/>
          </w:tcPr>
          <w:p w14:paraId="3CA87A8A">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YZ2026-ZB035</w:t>
            </w:r>
          </w:p>
        </w:tc>
      </w:tr>
      <w:tr w14:paraId="0B822CE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exact"/>
          <w:jc w:val="center"/>
        </w:trPr>
        <w:tc>
          <w:tcPr>
            <w:tcW w:w="640" w:type="dxa"/>
            <w:tcBorders>
              <w:top w:val="single" w:color="auto" w:sz="8" w:space="0"/>
              <w:bottom w:val="single" w:color="auto" w:sz="8" w:space="0"/>
              <w:right w:val="single" w:color="auto" w:sz="8" w:space="0"/>
            </w:tcBorders>
            <w:vAlign w:val="center"/>
          </w:tcPr>
          <w:p w14:paraId="5EDE95D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5</w:t>
            </w:r>
          </w:p>
        </w:tc>
        <w:tc>
          <w:tcPr>
            <w:tcW w:w="2182" w:type="dxa"/>
            <w:tcBorders>
              <w:top w:val="single" w:color="auto" w:sz="8" w:space="0"/>
              <w:left w:val="single" w:color="auto" w:sz="8" w:space="0"/>
              <w:bottom w:val="single" w:color="auto" w:sz="8" w:space="0"/>
              <w:right w:val="single" w:color="auto" w:sz="8" w:space="0"/>
            </w:tcBorders>
            <w:vAlign w:val="center"/>
          </w:tcPr>
          <w:p w14:paraId="7337956D">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资金来源</w:t>
            </w:r>
          </w:p>
        </w:tc>
        <w:tc>
          <w:tcPr>
            <w:tcW w:w="7316" w:type="dxa"/>
            <w:tcBorders>
              <w:top w:val="single" w:color="auto" w:sz="8" w:space="0"/>
              <w:left w:val="single" w:color="auto" w:sz="8" w:space="0"/>
              <w:bottom w:val="single" w:color="auto" w:sz="8" w:space="0"/>
            </w:tcBorders>
            <w:vAlign w:val="center"/>
          </w:tcPr>
          <w:p w14:paraId="3FAA78C4">
            <w:pPr>
              <w:adjustRightInd w:val="0"/>
              <w:snapToGrid w:val="0"/>
              <w:spacing w:line="360" w:lineRule="exact"/>
              <w:ind w:firstLine="120" w:firstLineChars="50"/>
              <w:rPr>
                <w:rFonts w:hint="eastAsia" w:ascii="仿宋" w:hAnsi="仿宋" w:eastAsia="仿宋" w:cs="仿宋"/>
                <w:color w:val="auto"/>
                <w:sz w:val="24"/>
                <w:szCs w:val="24"/>
                <w:lang w:val="en-US"/>
              </w:rPr>
            </w:pPr>
            <w:r>
              <w:rPr>
                <w:rFonts w:hint="eastAsia" w:ascii="仿宋" w:hAnsi="仿宋" w:eastAsia="仿宋" w:cs="仿宋"/>
                <w:color w:val="auto"/>
                <w:kern w:val="0"/>
                <w:sz w:val="24"/>
                <w:szCs w:val="24"/>
                <w:lang w:val="zh-CN" w:eastAsia="zh-CN" w:bidi="ar-SA"/>
              </w:rPr>
              <w:t xml:space="preserve"> </w:t>
            </w:r>
            <w:r>
              <w:rPr>
                <w:rFonts w:hint="eastAsia" w:ascii="仿宋" w:hAnsi="仿宋" w:eastAsia="仿宋" w:cs="仿宋"/>
                <w:color w:val="auto"/>
                <w:kern w:val="0"/>
                <w:sz w:val="24"/>
                <w:szCs w:val="24"/>
                <w:lang w:val="en-US" w:eastAsia="zh-CN" w:bidi="ar-SA"/>
              </w:rPr>
              <w:t>财政资金</w:t>
            </w:r>
          </w:p>
        </w:tc>
      </w:tr>
      <w:tr w14:paraId="6B311B1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241168A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6</w:t>
            </w:r>
          </w:p>
        </w:tc>
        <w:tc>
          <w:tcPr>
            <w:tcW w:w="2182" w:type="dxa"/>
            <w:tcBorders>
              <w:top w:val="single" w:color="auto" w:sz="8" w:space="0"/>
              <w:left w:val="single" w:color="auto" w:sz="8" w:space="0"/>
              <w:bottom w:val="single" w:color="auto" w:sz="8" w:space="0"/>
              <w:right w:val="single" w:color="auto" w:sz="8" w:space="0"/>
            </w:tcBorders>
            <w:vAlign w:val="center"/>
          </w:tcPr>
          <w:p w14:paraId="6B27F065">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预算金额</w:t>
            </w:r>
          </w:p>
        </w:tc>
        <w:tc>
          <w:tcPr>
            <w:tcW w:w="7316" w:type="dxa"/>
            <w:tcBorders>
              <w:top w:val="single" w:color="auto" w:sz="8" w:space="0"/>
              <w:left w:val="single" w:color="auto" w:sz="8" w:space="0"/>
              <w:bottom w:val="single" w:color="auto" w:sz="8" w:space="0"/>
            </w:tcBorders>
            <w:vAlign w:val="center"/>
          </w:tcPr>
          <w:p w14:paraId="23D7DDDE">
            <w:pPr>
              <w:pStyle w:val="28"/>
              <w:snapToGrid w:val="0"/>
              <w:spacing w:line="360" w:lineRule="exact"/>
              <w:ind w:firstLine="240" w:firstLineChars="10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本项目</w:t>
            </w:r>
            <w:r>
              <w:rPr>
                <w:rFonts w:hint="eastAsia" w:ascii="仿宋" w:hAnsi="仿宋" w:eastAsia="仿宋" w:cs="仿宋"/>
                <w:color w:val="auto"/>
                <w:sz w:val="24"/>
                <w:szCs w:val="24"/>
                <w:lang w:val="en-US" w:eastAsia="zh-CN"/>
              </w:rPr>
              <w:t>包1</w:t>
            </w:r>
            <w:r>
              <w:rPr>
                <w:rFonts w:hint="eastAsia" w:ascii="仿宋" w:hAnsi="仿宋" w:eastAsia="仿宋" w:cs="仿宋"/>
                <w:color w:val="auto"/>
                <w:sz w:val="24"/>
                <w:szCs w:val="24"/>
              </w:rPr>
              <w:t>采购预算金额</w:t>
            </w:r>
            <w:r>
              <w:rPr>
                <w:rFonts w:hint="eastAsia" w:ascii="仿宋" w:hAnsi="仿宋" w:eastAsia="仿宋" w:cs="仿宋"/>
                <w:color w:val="auto"/>
                <w:sz w:val="24"/>
                <w:szCs w:val="24"/>
                <w:u w:val="single"/>
              </w:rPr>
              <w:t>￥1,632,401.13</w:t>
            </w:r>
            <w:r>
              <w:rPr>
                <w:rFonts w:hint="eastAsia" w:ascii="仿宋" w:hAnsi="仿宋" w:eastAsia="仿宋" w:cs="仿宋"/>
                <w:color w:val="auto"/>
                <w:sz w:val="24"/>
                <w:szCs w:val="24"/>
                <w:u w:val="single"/>
                <w:lang w:eastAsia="zh-CN"/>
              </w:rPr>
              <w:t>；</w:t>
            </w:r>
          </w:p>
          <w:p w14:paraId="2588CA29">
            <w:pPr>
              <w:pStyle w:val="28"/>
              <w:snapToGrid w:val="0"/>
              <w:spacing w:line="360" w:lineRule="exact"/>
              <w:ind w:firstLine="240" w:firstLineChars="100"/>
              <w:jc w:val="both"/>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rPr>
              <w:t>供应商磋商报价超出采购预算金额的，作为不实质性响应磋商文件，按无效响应文件处理</w:t>
            </w:r>
            <w:r>
              <w:rPr>
                <w:rFonts w:hint="eastAsia" w:ascii="仿宋" w:hAnsi="仿宋" w:eastAsia="仿宋" w:cs="仿宋"/>
                <w:color w:val="auto"/>
                <w:sz w:val="24"/>
                <w:szCs w:val="24"/>
                <w:lang w:eastAsia="zh-CN"/>
              </w:rPr>
              <w:t>。</w:t>
            </w:r>
          </w:p>
        </w:tc>
      </w:tr>
      <w:tr w14:paraId="113F6E2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2174" w:hRule="exact"/>
          <w:jc w:val="center"/>
        </w:trPr>
        <w:tc>
          <w:tcPr>
            <w:tcW w:w="640" w:type="dxa"/>
            <w:tcBorders>
              <w:top w:val="single" w:color="auto" w:sz="8" w:space="0"/>
              <w:bottom w:val="single" w:color="auto" w:sz="8" w:space="0"/>
              <w:right w:val="single" w:color="auto" w:sz="8" w:space="0"/>
            </w:tcBorders>
            <w:vAlign w:val="center"/>
          </w:tcPr>
          <w:p w14:paraId="0EA91864">
            <w:pPr>
              <w:snapToGrid w:val="0"/>
              <w:spacing w:line="360" w:lineRule="auto"/>
              <w:jc w:val="center"/>
              <w:rPr>
                <w:rFonts w:hint="eastAsia" w:ascii="仿宋" w:hAnsi="仿宋" w:eastAsia="仿宋" w:cs="仿宋"/>
                <w:color w:val="auto"/>
                <w:sz w:val="24"/>
                <w:szCs w:val="24"/>
                <w:lang w:val="zh-CN"/>
              </w:rPr>
            </w:pPr>
            <w:r>
              <w:rPr>
                <w:rFonts w:hint="eastAsia" w:ascii="仿宋" w:hAnsi="仿宋" w:eastAsia="仿宋" w:cs="仿宋"/>
                <w:sz w:val="24"/>
                <w:szCs w:val="24"/>
                <w:highlight w:val="none"/>
              </w:rPr>
              <w:t>7</w:t>
            </w:r>
          </w:p>
        </w:tc>
        <w:tc>
          <w:tcPr>
            <w:tcW w:w="2182" w:type="dxa"/>
            <w:tcBorders>
              <w:top w:val="single" w:color="auto" w:sz="8" w:space="0"/>
              <w:left w:val="single" w:color="auto" w:sz="8" w:space="0"/>
              <w:bottom w:val="single" w:color="auto" w:sz="8" w:space="0"/>
              <w:right w:val="single" w:color="auto" w:sz="8" w:space="0"/>
            </w:tcBorders>
            <w:vAlign w:val="center"/>
          </w:tcPr>
          <w:p w14:paraId="63A0FE32">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jc w:val="center"/>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包的划分</w:t>
            </w:r>
          </w:p>
        </w:tc>
        <w:tc>
          <w:tcPr>
            <w:tcW w:w="7316" w:type="dxa"/>
            <w:tcBorders>
              <w:top w:val="single" w:color="auto" w:sz="8" w:space="0"/>
              <w:left w:val="single" w:color="auto" w:sz="8" w:space="0"/>
              <w:bottom w:val="single" w:color="auto" w:sz="8" w:space="0"/>
            </w:tcBorders>
            <w:vAlign w:val="center"/>
          </w:tcPr>
          <w:p w14:paraId="0C0674A8">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firstLine="0" w:firstLineChars="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本次投标的最小单元为“包”，</w:t>
            </w:r>
            <w:r>
              <w:rPr>
                <w:rFonts w:hint="eastAsia" w:ascii="仿宋" w:hAnsi="仿宋" w:eastAsia="仿宋" w:cs="仿宋"/>
                <w:b w:val="0"/>
                <w:bCs w:val="0"/>
                <w:sz w:val="24"/>
                <w:szCs w:val="24"/>
                <w:lang w:val="en-US" w:eastAsia="zh-CN"/>
              </w:rPr>
              <w:t>投标人</w:t>
            </w:r>
            <w:r>
              <w:rPr>
                <w:rFonts w:hint="eastAsia" w:ascii="仿宋" w:hAnsi="仿宋" w:eastAsia="仿宋" w:cs="仿宋"/>
                <w:b w:val="0"/>
                <w:bCs w:val="0"/>
                <w:sz w:val="24"/>
                <w:szCs w:val="24"/>
              </w:rPr>
              <w:t>可根据自身的资质情况进行投标，但不得将其子目自行分解或针对该项目各品目进行不完全投标，任何不完全的投标将按无效投标处理。</w:t>
            </w:r>
          </w:p>
          <w:p w14:paraId="147C2631">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2、各标包同一家单位可以参与多个标包的投标，但最终只能获得一个标包的中标资格。开标顺序按标包依次开启，若本标包已中标的单位，将不再参与后续标包的评审。</w:t>
            </w:r>
          </w:p>
        </w:tc>
      </w:tr>
      <w:tr w14:paraId="00E8FA9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9" w:hRule="exact"/>
          <w:jc w:val="center"/>
        </w:trPr>
        <w:tc>
          <w:tcPr>
            <w:tcW w:w="640" w:type="dxa"/>
            <w:tcBorders>
              <w:top w:val="single" w:color="auto" w:sz="8" w:space="0"/>
              <w:bottom w:val="single" w:color="auto" w:sz="8" w:space="0"/>
              <w:right w:val="single" w:color="auto" w:sz="8" w:space="0"/>
            </w:tcBorders>
            <w:vAlign w:val="center"/>
          </w:tcPr>
          <w:p w14:paraId="19ADFDC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8</w:t>
            </w:r>
          </w:p>
        </w:tc>
        <w:tc>
          <w:tcPr>
            <w:tcW w:w="2182" w:type="dxa"/>
            <w:tcBorders>
              <w:top w:val="single" w:color="auto" w:sz="8" w:space="0"/>
              <w:left w:val="single" w:color="auto" w:sz="8" w:space="0"/>
              <w:bottom w:val="single" w:color="auto" w:sz="8" w:space="0"/>
              <w:right w:val="single" w:color="auto" w:sz="8" w:space="0"/>
            </w:tcBorders>
            <w:vAlign w:val="center"/>
          </w:tcPr>
          <w:p w14:paraId="779383B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采购方式</w:t>
            </w:r>
          </w:p>
        </w:tc>
        <w:tc>
          <w:tcPr>
            <w:tcW w:w="7316" w:type="dxa"/>
            <w:tcBorders>
              <w:top w:val="single" w:color="auto" w:sz="8" w:space="0"/>
              <w:left w:val="single" w:color="auto" w:sz="8" w:space="0"/>
              <w:bottom w:val="single" w:color="auto" w:sz="8" w:space="0"/>
            </w:tcBorders>
            <w:vAlign w:val="center"/>
          </w:tcPr>
          <w:p w14:paraId="032A8F17">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竞争性磋商</w:t>
            </w:r>
          </w:p>
        </w:tc>
      </w:tr>
      <w:tr w14:paraId="3CF56FD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2" w:hRule="exact"/>
          <w:jc w:val="center"/>
        </w:trPr>
        <w:tc>
          <w:tcPr>
            <w:tcW w:w="640" w:type="dxa"/>
            <w:tcBorders>
              <w:top w:val="single" w:color="auto" w:sz="8" w:space="0"/>
              <w:bottom w:val="single" w:color="auto" w:sz="8" w:space="0"/>
              <w:right w:val="single" w:color="auto" w:sz="8" w:space="0"/>
            </w:tcBorders>
            <w:vAlign w:val="center"/>
          </w:tcPr>
          <w:p w14:paraId="16C9933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9</w:t>
            </w:r>
          </w:p>
        </w:tc>
        <w:tc>
          <w:tcPr>
            <w:tcW w:w="2182" w:type="dxa"/>
            <w:tcBorders>
              <w:top w:val="single" w:color="auto" w:sz="8" w:space="0"/>
              <w:left w:val="single" w:color="auto" w:sz="8" w:space="0"/>
              <w:bottom w:val="single" w:color="auto" w:sz="8" w:space="0"/>
              <w:right w:val="single" w:color="auto" w:sz="8" w:space="0"/>
            </w:tcBorders>
            <w:vAlign w:val="center"/>
          </w:tcPr>
          <w:p w14:paraId="0224A677">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采购内容</w:t>
            </w:r>
          </w:p>
        </w:tc>
        <w:tc>
          <w:tcPr>
            <w:tcW w:w="7316" w:type="dxa"/>
            <w:tcBorders>
              <w:top w:val="single" w:color="auto" w:sz="8" w:space="0"/>
              <w:left w:val="single" w:color="auto" w:sz="8" w:space="0"/>
              <w:bottom w:val="single" w:color="auto" w:sz="8" w:space="0"/>
            </w:tcBorders>
            <w:vAlign w:val="center"/>
          </w:tcPr>
          <w:p w14:paraId="2F6BAC4F">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详见第四章</w:t>
            </w:r>
          </w:p>
        </w:tc>
      </w:tr>
      <w:tr w14:paraId="565D1F9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82" w:hRule="atLeast"/>
          <w:jc w:val="center"/>
        </w:trPr>
        <w:tc>
          <w:tcPr>
            <w:tcW w:w="640" w:type="dxa"/>
            <w:tcBorders>
              <w:top w:val="single" w:color="auto" w:sz="8" w:space="0"/>
              <w:bottom w:val="single" w:color="auto" w:sz="8" w:space="0"/>
              <w:right w:val="single" w:color="auto" w:sz="8" w:space="0"/>
            </w:tcBorders>
            <w:vAlign w:val="center"/>
          </w:tcPr>
          <w:p w14:paraId="68BF195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10</w:t>
            </w:r>
          </w:p>
        </w:tc>
        <w:tc>
          <w:tcPr>
            <w:tcW w:w="2182" w:type="dxa"/>
            <w:tcBorders>
              <w:top w:val="single" w:color="auto" w:sz="8" w:space="0"/>
              <w:left w:val="single" w:color="auto" w:sz="8" w:space="0"/>
              <w:bottom w:val="single" w:color="auto" w:sz="8" w:space="0"/>
              <w:right w:val="single" w:color="auto" w:sz="8" w:space="0"/>
            </w:tcBorders>
            <w:vAlign w:val="center"/>
          </w:tcPr>
          <w:p w14:paraId="030C2B84">
            <w:pPr>
              <w:pStyle w:val="28"/>
              <w:snapToGrid w:val="0"/>
              <w:spacing w:line="360" w:lineRule="exact"/>
              <w:ind w:left="96"/>
              <w:jc w:val="center"/>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工期</w:t>
            </w:r>
          </w:p>
        </w:tc>
        <w:tc>
          <w:tcPr>
            <w:tcW w:w="7316" w:type="dxa"/>
            <w:tcBorders>
              <w:top w:val="single" w:color="auto" w:sz="8" w:space="0"/>
              <w:left w:val="single" w:color="auto" w:sz="8" w:space="0"/>
              <w:bottom w:val="single" w:color="auto" w:sz="8" w:space="0"/>
            </w:tcBorders>
            <w:vAlign w:val="center"/>
          </w:tcPr>
          <w:p w14:paraId="08BE09D7">
            <w:pPr>
              <w:pStyle w:val="28"/>
              <w:snapToGrid w:val="0"/>
              <w:spacing w:line="360" w:lineRule="exact"/>
              <w:ind w:firstLine="240" w:firstLineChars="10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合同签订之日起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lang w:val="zh-CN"/>
              </w:rPr>
              <w:t>日历天</w:t>
            </w:r>
            <w:r>
              <w:rPr>
                <w:rFonts w:hint="eastAsia" w:ascii="仿宋" w:hAnsi="仿宋" w:eastAsia="仿宋" w:cs="仿宋"/>
                <w:color w:val="auto"/>
                <w:sz w:val="24"/>
                <w:szCs w:val="24"/>
                <w:lang w:val="en-US" w:eastAsia="zh-CN"/>
              </w:rPr>
              <w:t>内完成</w:t>
            </w:r>
          </w:p>
        </w:tc>
      </w:tr>
      <w:tr w14:paraId="23D4C1F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7" w:hRule="atLeast"/>
          <w:jc w:val="center"/>
        </w:trPr>
        <w:tc>
          <w:tcPr>
            <w:tcW w:w="640" w:type="dxa"/>
            <w:tcBorders>
              <w:top w:val="single" w:color="auto" w:sz="8" w:space="0"/>
              <w:bottom w:val="single" w:color="auto" w:sz="8" w:space="0"/>
              <w:right w:val="single" w:color="auto" w:sz="8" w:space="0"/>
            </w:tcBorders>
            <w:vAlign w:val="center"/>
          </w:tcPr>
          <w:p w14:paraId="72616B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11</w:t>
            </w:r>
          </w:p>
        </w:tc>
        <w:tc>
          <w:tcPr>
            <w:tcW w:w="2182" w:type="dxa"/>
            <w:tcBorders>
              <w:top w:val="single" w:color="auto" w:sz="8" w:space="0"/>
              <w:left w:val="single" w:color="auto" w:sz="8" w:space="0"/>
              <w:bottom w:val="single" w:color="auto" w:sz="8" w:space="0"/>
              <w:right w:val="single" w:color="auto" w:sz="8" w:space="0"/>
            </w:tcBorders>
            <w:vAlign w:val="center"/>
          </w:tcPr>
          <w:p w14:paraId="65F3AD8F">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639C997C">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采购人指定地点</w:t>
            </w:r>
          </w:p>
        </w:tc>
      </w:tr>
      <w:tr w14:paraId="4C3AF1D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9" w:hRule="exact"/>
          <w:jc w:val="center"/>
        </w:trPr>
        <w:tc>
          <w:tcPr>
            <w:tcW w:w="640" w:type="dxa"/>
            <w:tcBorders>
              <w:top w:val="single" w:color="auto" w:sz="8" w:space="0"/>
              <w:bottom w:val="single" w:color="auto" w:sz="8" w:space="0"/>
              <w:right w:val="single" w:color="auto" w:sz="8" w:space="0"/>
            </w:tcBorders>
            <w:vAlign w:val="center"/>
          </w:tcPr>
          <w:p w14:paraId="0F75F9A2">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12</w:t>
            </w:r>
          </w:p>
        </w:tc>
        <w:tc>
          <w:tcPr>
            <w:tcW w:w="2182" w:type="dxa"/>
            <w:tcBorders>
              <w:top w:val="single" w:color="auto" w:sz="8" w:space="0"/>
              <w:left w:val="single" w:color="auto" w:sz="8" w:space="0"/>
              <w:bottom w:val="single" w:color="auto" w:sz="8" w:space="0"/>
              <w:right w:val="single" w:color="auto" w:sz="8" w:space="0"/>
            </w:tcBorders>
            <w:vAlign w:val="center"/>
          </w:tcPr>
          <w:p w14:paraId="7D6D4EA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质量</w:t>
            </w:r>
          </w:p>
        </w:tc>
        <w:tc>
          <w:tcPr>
            <w:tcW w:w="7316" w:type="dxa"/>
            <w:tcBorders>
              <w:top w:val="single" w:color="auto" w:sz="8" w:space="0"/>
              <w:left w:val="single" w:color="auto" w:sz="8" w:space="0"/>
              <w:bottom w:val="single" w:color="auto" w:sz="8" w:space="0"/>
            </w:tcBorders>
            <w:vAlign w:val="center"/>
          </w:tcPr>
          <w:p w14:paraId="7565D510">
            <w:pPr>
              <w:pStyle w:val="28"/>
              <w:snapToGrid w:val="0"/>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达到国家现行验收规范合格标准</w:t>
            </w:r>
          </w:p>
        </w:tc>
      </w:tr>
      <w:tr w14:paraId="2C9FC73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107DCC7A">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13</w:t>
            </w:r>
          </w:p>
        </w:tc>
        <w:tc>
          <w:tcPr>
            <w:tcW w:w="2182" w:type="dxa"/>
            <w:tcBorders>
              <w:top w:val="single" w:color="auto" w:sz="8" w:space="0"/>
              <w:left w:val="single" w:color="auto" w:sz="8" w:space="0"/>
              <w:bottom w:val="single" w:color="auto" w:sz="8" w:space="0"/>
              <w:right w:val="single" w:color="auto" w:sz="8" w:space="0"/>
            </w:tcBorders>
            <w:vAlign w:val="center"/>
          </w:tcPr>
          <w:p w14:paraId="04D8C61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支付方式、</w:t>
            </w:r>
          </w:p>
          <w:p w14:paraId="69AD8E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时间和条件</w:t>
            </w:r>
          </w:p>
        </w:tc>
        <w:tc>
          <w:tcPr>
            <w:tcW w:w="7316" w:type="dxa"/>
            <w:tcBorders>
              <w:top w:val="single" w:color="auto" w:sz="8" w:space="0"/>
              <w:left w:val="single" w:color="auto" w:sz="8" w:space="0"/>
              <w:bottom w:val="single" w:color="auto" w:sz="8" w:space="0"/>
            </w:tcBorders>
            <w:vAlign w:val="center"/>
          </w:tcPr>
          <w:p w14:paraId="619F663F">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详见磋商文件第五章</w:t>
            </w:r>
          </w:p>
        </w:tc>
      </w:tr>
      <w:tr w14:paraId="098E837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8" w:hRule="atLeast"/>
          <w:jc w:val="center"/>
        </w:trPr>
        <w:tc>
          <w:tcPr>
            <w:tcW w:w="640" w:type="dxa"/>
            <w:tcBorders>
              <w:top w:val="single" w:color="auto" w:sz="8" w:space="0"/>
              <w:bottom w:val="single" w:color="auto" w:sz="8" w:space="0"/>
              <w:right w:val="single" w:color="auto" w:sz="8" w:space="0"/>
            </w:tcBorders>
            <w:vAlign w:val="center"/>
          </w:tcPr>
          <w:p w14:paraId="1856F202">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2182" w:type="dxa"/>
            <w:tcBorders>
              <w:top w:val="single" w:color="auto" w:sz="8" w:space="0"/>
              <w:left w:val="single" w:color="auto" w:sz="8" w:space="0"/>
              <w:bottom w:val="single" w:color="auto" w:sz="8" w:space="0"/>
              <w:right w:val="single" w:color="auto" w:sz="8" w:space="0"/>
            </w:tcBorders>
            <w:vAlign w:val="center"/>
          </w:tcPr>
          <w:p w14:paraId="1B3AC97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项目属性</w:t>
            </w:r>
          </w:p>
        </w:tc>
        <w:tc>
          <w:tcPr>
            <w:tcW w:w="7316" w:type="dxa"/>
            <w:tcBorders>
              <w:top w:val="single" w:color="auto" w:sz="8" w:space="0"/>
              <w:left w:val="single" w:color="auto" w:sz="8" w:space="0"/>
              <w:bottom w:val="single" w:color="auto" w:sz="8" w:space="0"/>
            </w:tcBorders>
            <w:vAlign w:val="center"/>
          </w:tcPr>
          <w:p w14:paraId="18178BBD">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类</w:t>
            </w:r>
          </w:p>
        </w:tc>
      </w:tr>
      <w:tr w14:paraId="690A203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26A757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2182" w:type="dxa"/>
            <w:tcBorders>
              <w:top w:val="single" w:color="auto" w:sz="8" w:space="0"/>
              <w:left w:val="single" w:color="auto" w:sz="8" w:space="0"/>
              <w:bottom w:val="single" w:color="auto" w:sz="8" w:space="0"/>
              <w:right w:val="single" w:color="auto" w:sz="8" w:space="0"/>
            </w:tcBorders>
            <w:vAlign w:val="center"/>
          </w:tcPr>
          <w:p w14:paraId="4411A9C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采购标的对应的中小企业所属行业</w:t>
            </w:r>
          </w:p>
        </w:tc>
        <w:tc>
          <w:tcPr>
            <w:tcW w:w="7316" w:type="dxa"/>
            <w:tcBorders>
              <w:top w:val="single" w:color="auto" w:sz="8" w:space="0"/>
              <w:left w:val="single" w:color="auto" w:sz="8" w:space="0"/>
              <w:bottom w:val="single" w:color="auto" w:sz="8" w:space="0"/>
            </w:tcBorders>
            <w:vAlign w:val="center"/>
          </w:tcPr>
          <w:p w14:paraId="41750138">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建筑业</w:t>
            </w:r>
          </w:p>
        </w:tc>
      </w:tr>
      <w:tr w14:paraId="64E7F98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67" w:hRule="atLeast"/>
          <w:jc w:val="center"/>
        </w:trPr>
        <w:tc>
          <w:tcPr>
            <w:tcW w:w="640" w:type="dxa"/>
            <w:tcBorders>
              <w:top w:val="single" w:color="auto" w:sz="8" w:space="0"/>
              <w:bottom w:val="single" w:color="auto" w:sz="8" w:space="0"/>
              <w:right w:val="single" w:color="auto" w:sz="8" w:space="0"/>
            </w:tcBorders>
            <w:vAlign w:val="center"/>
          </w:tcPr>
          <w:p w14:paraId="50445F0F">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2182" w:type="dxa"/>
            <w:tcBorders>
              <w:top w:val="single" w:color="auto" w:sz="8" w:space="0"/>
              <w:left w:val="single" w:color="auto" w:sz="8" w:space="0"/>
              <w:bottom w:val="single" w:color="auto" w:sz="8" w:space="0"/>
              <w:right w:val="single" w:color="auto" w:sz="8" w:space="0"/>
            </w:tcBorders>
            <w:vAlign w:val="center"/>
          </w:tcPr>
          <w:p w14:paraId="35D91DEB">
            <w:pPr>
              <w:pStyle w:val="28"/>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是否专门面向中小</w:t>
            </w:r>
          </w:p>
          <w:p w14:paraId="670D7B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企业采购</w:t>
            </w:r>
          </w:p>
        </w:tc>
        <w:tc>
          <w:tcPr>
            <w:tcW w:w="7316" w:type="dxa"/>
            <w:tcBorders>
              <w:top w:val="single" w:color="auto" w:sz="8" w:space="0"/>
              <w:left w:val="single" w:color="auto" w:sz="8" w:space="0"/>
              <w:bottom w:val="single" w:color="auto" w:sz="8" w:space="0"/>
            </w:tcBorders>
            <w:vAlign w:val="center"/>
          </w:tcPr>
          <w:p w14:paraId="0205D62F">
            <w:pPr>
              <w:pStyle w:val="28"/>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是 </w:t>
            </w:r>
          </w:p>
        </w:tc>
      </w:tr>
      <w:tr w14:paraId="6506E1B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1C992651">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2182" w:type="dxa"/>
            <w:tcBorders>
              <w:top w:val="single" w:color="auto" w:sz="8" w:space="0"/>
              <w:left w:val="single" w:color="auto" w:sz="8" w:space="0"/>
              <w:bottom w:val="single" w:color="auto" w:sz="8" w:space="0"/>
              <w:right w:val="single" w:color="auto" w:sz="8" w:space="0"/>
            </w:tcBorders>
            <w:vAlign w:val="center"/>
          </w:tcPr>
          <w:p w14:paraId="6DB5E9DE">
            <w:pPr>
              <w:pStyle w:val="28"/>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是否允许大中企业向小微企业分包</w:t>
            </w:r>
          </w:p>
        </w:tc>
        <w:tc>
          <w:tcPr>
            <w:tcW w:w="7316" w:type="dxa"/>
            <w:tcBorders>
              <w:top w:val="single" w:color="auto" w:sz="8" w:space="0"/>
              <w:left w:val="single" w:color="auto" w:sz="8" w:space="0"/>
              <w:bottom w:val="single" w:color="auto" w:sz="8" w:space="0"/>
            </w:tcBorders>
            <w:vAlign w:val="center"/>
          </w:tcPr>
          <w:p w14:paraId="422551F1">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否</w:t>
            </w:r>
          </w:p>
        </w:tc>
      </w:tr>
      <w:tr w14:paraId="6E6C1DF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786622D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2182" w:type="dxa"/>
            <w:tcBorders>
              <w:top w:val="single" w:color="auto" w:sz="8" w:space="0"/>
              <w:left w:val="single" w:color="auto" w:sz="8" w:space="0"/>
              <w:bottom w:val="single" w:color="auto" w:sz="8" w:space="0"/>
              <w:right w:val="single" w:color="auto" w:sz="8" w:space="0"/>
            </w:tcBorders>
            <w:vAlign w:val="center"/>
          </w:tcPr>
          <w:p w14:paraId="242F5B8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支持中小企业</w:t>
            </w:r>
          </w:p>
        </w:tc>
        <w:tc>
          <w:tcPr>
            <w:tcW w:w="7316" w:type="dxa"/>
            <w:tcBorders>
              <w:top w:val="single" w:color="auto" w:sz="8" w:space="0"/>
              <w:left w:val="single" w:color="auto" w:sz="8" w:space="0"/>
              <w:bottom w:val="single" w:color="auto" w:sz="8" w:space="0"/>
            </w:tcBorders>
            <w:vAlign w:val="center"/>
          </w:tcPr>
          <w:p w14:paraId="664B0FED">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eastAsia="zh-CN"/>
              </w:rPr>
              <w:t>非专门面向中小企业采购项目(价格扣除)：</w:t>
            </w:r>
            <w:r>
              <w:rPr>
                <w:rFonts w:hint="eastAsia" w:ascii="仿宋" w:hAnsi="仿宋" w:eastAsia="仿宋" w:cs="仿宋"/>
                <w:color w:val="auto"/>
                <w:sz w:val="24"/>
                <w:szCs w:val="24"/>
                <w:lang w:val="en-US" w:eastAsia="zh-CN"/>
              </w:rPr>
              <w:t>根据财政部《</w:t>
            </w:r>
            <w:r>
              <w:rPr>
                <w:rFonts w:hint="eastAsia" w:ascii="仿宋" w:hAnsi="仿宋" w:eastAsia="仿宋" w:cs="仿宋"/>
                <w:color w:val="auto"/>
                <w:sz w:val="24"/>
                <w:szCs w:val="24"/>
                <w:lang w:val="zh-CN" w:eastAsia="zh-CN"/>
              </w:rPr>
              <w:t>关于进一步加大政府采购支持中小企业力度的通知</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财库〔2022〕19号</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对</w:t>
            </w:r>
            <w:r>
              <w:rPr>
                <w:rFonts w:hint="eastAsia" w:ascii="仿宋" w:hAnsi="仿宋" w:eastAsia="仿宋" w:cs="仿宋"/>
                <w:color w:val="auto"/>
                <w:sz w:val="24"/>
                <w:szCs w:val="24"/>
                <w:lang w:val="en-US" w:eastAsia="zh-CN"/>
              </w:rPr>
              <w:t>提供</w:t>
            </w:r>
            <w:r>
              <w:rPr>
                <w:rFonts w:hint="eastAsia" w:ascii="仿宋" w:hAnsi="仿宋" w:eastAsia="仿宋" w:cs="仿宋"/>
                <w:color w:val="auto"/>
                <w:sz w:val="24"/>
                <w:szCs w:val="24"/>
                <w:lang w:val="zh-CN" w:eastAsia="zh-CN"/>
              </w:rPr>
              <w:t>全部由小型和微型企业制造的货物、或者承接的服务</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lang w:val="zh-CN" w:eastAsia="zh-CN"/>
              </w:rPr>
              <w:t>价格给予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0%（工程项目为3%—5%）的扣除，用扣除后的价格参与评审。本项目的扣除比例为：扣除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%。中小企业划型标准按照《关于印发中小企业划型标准规定的通知（工信部联企业〔2011〕300号）》文的相关规定认定。</w:t>
            </w:r>
          </w:p>
          <w:p w14:paraId="6A54F790">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监狱企业可视同小微企业在价格评审时给予3%—5%的扣除，用扣除后的价格参与评审。本项目的扣除比例为：扣除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 根据《财库〔2014〕68号》，监狱企业参加政府采购活动时， 应当提供由省级以上监狱管理局、戒毒管理局（含新疆生产建设兵团）出具的属于监狱企业的证明文件）。</w:t>
            </w:r>
          </w:p>
          <w:p w14:paraId="1CC848A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残疾人福利性单位可视同小微企业在价格评审时给予3%—5%的扣除，用扣除后的价格参与评审。</w:t>
            </w:r>
          </w:p>
          <w:p w14:paraId="1BDB922C">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本项目的扣除比例为：扣除</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%；但应满足下列条件：</w:t>
            </w:r>
          </w:p>
          <w:p w14:paraId="4EEC3DD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 ①</w:t>
            </w:r>
            <w:r>
              <w:rPr>
                <w:rFonts w:hint="eastAsia" w:ascii="仿宋" w:hAnsi="仿宋" w:eastAsia="仿宋" w:cs="仿宋"/>
                <w:color w:val="auto"/>
                <w:sz w:val="24"/>
                <w:szCs w:val="24"/>
                <w:lang w:val="zh-CN" w:eastAsia="zh-CN"/>
              </w:rPr>
              <w:t>残疾人福利性单位应符合《财政部、民政部、中国残疾人联合会关于促进残疾人就业政府采购政策的通知》（财库[2017]141号）文件规定，并提供《残疾人福利性单位声明函》。</w:t>
            </w:r>
          </w:p>
          <w:p w14:paraId="7F3877F5">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lang w:val="zh-CN" w:eastAsia="zh-CN"/>
              </w:rPr>
              <w:t>残疾人福利性单位属于小型、微型企业的，不重复享受政策。</w:t>
            </w:r>
          </w:p>
          <w:p w14:paraId="438692B2">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 4、本项目</w:t>
            </w:r>
            <w:r>
              <w:rPr>
                <w:rFonts w:hint="eastAsia" w:ascii="仿宋" w:hAnsi="仿宋" w:eastAsia="仿宋" w:cs="仿宋"/>
                <w:color w:val="auto"/>
                <w:sz w:val="24"/>
                <w:szCs w:val="24"/>
                <w:lang w:val="zh-CN" w:eastAsia="zh-CN"/>
              </w:rPr>
              <w:t>专门面向中小企业</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lang w:val="zh-CN" w:eastAsia="zh-CN"/>
              </w:rPr>
              <w:t>，不再执行价格评审优惠的扶持政策。</w:t>
            </w:r>
          </w:p>
        </w:tc>
      </w:tr>
      <w:tr w14:paraId="5999756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0" w:hRule="atLeast"/>
          <w:jc w:val="center"/>
        </w:trPr>
        <w:tc>
          <w:tcPr>
            <w:tcW w:w="640" w:type="dxa"/>
            <w:tcBorders>
              <w:top w:val="single" w:color="auto" w:sz="8" w:space="0"/>
              <w:bottom w:val="single" w:color="auto" w:sz="8" w:space="0"/>
              <w:right w:val="single" w:color="auto" w:sz="8" w:space="0"/>
            </w:tcBorders>
            <w:vAlign w:val="center"/>
          </w:tcPr>
          <w:p w14:paraId="375A97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0D985E3F">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联合体磋商</w:t>
            </w:r>
          </w:p>
        </w:tc>
        <w:tc>
          <w:tcPr>
            <w:tcW w:w="7316" w:type="dxa"/>
            <w:tcBorders>
              <w:top w:val="single" w:color="auto" w:sz="8" w:space="0"/>
              <w:left w:val="single" w:color="auto" w:sz="8" w:space="0"/>
              <w:bottom w:val="single" w:color="auto" w:sz="8" w:space="0"/>
            </w:tcBorders>
            <w:vAlign w:val="center"/>
          </w:tcPr>
          <w:p w14:paraId="36221F33">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不接受</w:t>
            </w:r>
          </w:p>
        </w:tc>
      </w:tr>
      <w:tr w14:paraId="5E72098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001" w:hRule="atLeast"/>
          <w:jc w:val="center"/>
        </w:trPr>
        <w:tc>
          <w:tcPr>
            <w:tcW w:w="640" w:type="dxa"/>
            <w:tcBorders>
              <w:top w:val="single" w:color="auto" w:sz="8" w:space="0"/>
              <w:bottom w:val="single" w:color="auto" w:sz="8" w:space="0"/>
              <w:right w:val="single" w:color="auto" w:sz="8" w:space="0"/>
            </w:tcBorders>
            <w:vAlign w:val="center"/>
          </w:tcPr>
          <w:p w14:paraId="454BFD07">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2182" w:type="dxa"/>
            <w:tcBorders>
              <w:top w:val="single" w:color="auto" w:sz="8" w:space="0"/>
              <w:left w:val="single" w:color="auto" w:sz="8" w:space="0"/>
              <w:bottom w:val="single" w:color="auto" w:sz="8" w:space="0"/>
              <w:right w:val="single" w:color="auto" w:sz="8" w:space="0"/>
            </w:tcBorders>
            <w:vAlign w:val="center"/>
          </w:tcPr>
          <w:p w14:paraId="03321FF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磋商文件</w:t>
            </w:r>
            <w:r>
              <w:rPr>
                <w:rFonts w:hint="eastAsia" w:ascii="仿宋" w:hAnsi="仿宋" w:eastAsia="仿宋" w:cs="仿宋"/>
                <w:color w:val="auto"/>
                <w:sz w:val="24"/>
                <w:szCs w:val="24"/>
              </w:rPr>
              <w:t>领取</w:t>
            </w:r>
          </w:p>
        </w:tc>
        <w:tc>
          <w:tcPr>
            <w:tcW w:w="7316" w:type="dxa"/>
            <w:tcBorders>
              <w:top w:val="single" w:color="auto" w:sz="8" w:space="0"/>
              <w:left w:val="single" w:color="auto" w:sz="8" w:space="0"/>
              <w:bottom w:val="single" w:color="auto" w:sz="8" w:space="0"/>
            </w:tcBorders>
          </w:tcPr>
          <w:p w14:paraId="54EB4014">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领取时间：</w:t>
            </w:r>
            <w:r>
              <w:rPr>
                <w:rFonts w:hint="eastAsia" w:ascii="仿宋" w:hAnsi="仿宋" w:eastAsia="仿宋" w:cs="仿宋"/>
                <w:color w:val="auto"/>
                <w:sz w:val="24"/>
                <w:szCs w:val="24"/>
                <w:lang w:eastAsia="zh-CN"/>
              </w:rPr>
              <w:t>20</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日至202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rPr>
              <w:t>，每天上午</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:00:00至12:00:00，下午14:00:00至</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:00:00（北京时间,法定节假日除外）</w:t>
            </w:r>
          </w:p>
          <w:p w14:paraId="3C0BA163">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领取地点：陕西省咸阳市秦都区人民中路新华大厦1508室</w:t>
            </w:r>
          </w:p>
        </w:tc>
      </w:tr>
      <w:tr w14:paraId="557DDD3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45" w:hRule="atLeast"/>
          <w:jc w:val="center"/>
        </w:trPr>
        <w:tc>
          <w:tcPr>
            <w:tcW w:w="640" w:type="dxa"/>
            <w:tcBorders>
              <w:top w:val="single" w:color="auto" w:sz="8" w:space="0"/>
              <w:bottom w:val="single" w:color="auto" w:sz="8" w:space="0"/>
              <w:right w:val="single" w:color="auto" w:sz="8" w:space="0"/>
            </w:tcBorders>
            <w:vAlign w:val="center"/>
          </w:tcPr>
          <w:p w14:paraId="660AB38C">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2182" w:type="dxa"/>
            <w:tcBorders>
              <w:top w:val="single" w:color="auto" w:sz="8" w:space="0"/>
              <w:left w:val="single" w:color="auto" w:sz="8" w:space="0"/>
              <w:bottom w:val="single" w:color="auto" w:sz="8" w:space="0"/>
              <w:right w:val="single" w:color="auto" w:sz="8" w:space="0"/>
            </w:tcBorders>
            <w:vAlign w:val="center"/>
          </w:tcPr>
          <w:p w14:paraId="372B4F84">
            <w:pPr>
              <w:spacing w:line="360" w:lineRule="exact"/>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获取文件规定</w:t>
            </w:r>
          </w:p>
        </w:tc>
        <w:tc>
          <w:tcPr>
            <w:tcW w:w="7316" w:type="dxa"/>
            <w:tcBorders>
              <w:top w:val="single" w:color="auto" w:sz="8" w:space="0"/>
              <w:left w:val="single" w:color="auto" w:sz="8" w:space="0"/>
              <w:bottom w:val="single" w:color="auto" w:sz="8" w:space="0"/>
            </w:tcBorders>
            <w:vAlign w:val="center"/>
          </w:tcPr>
          <w:p w14:paraId="29F16F39">
            <w:pPr>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 xml:space="preserve"> 供应商登记领取采购文件的，如不参与项目投标，应在递交投标（或</w:t>
            </w:r>
            <w:r>
              <w:rPr>
                <w:rFonts w:hint="eastAsia" w:ascii="仿宋" w:hAnsi="仿宋" w:eastAsia="仿宋" w:cs="仿宋"/>
                <w:color w:val="auto"/>
                <w:sz w:val="24"/>
                <w:szCs w:val="24"/>
              </w:rPr>
              <w:t>响应</w:t>
            </w:r>
            <w:r>
              <w:rPr>
                <w:rFonts w:hint="eastAsia" w:ascii="仿宋" w:hAnsi="仿宋" w:eastAsia="仿宋" w:cs="仿宋"/>
                <w:color w:val="auto"/>
                <w:sz w:val="24"/>
                <w:szCs w:val="24"/>
                <w:lang w:val="zh-CN"/>
              </w:rPr>
              <w:t>）文件截止时间前一日以书面形式告知采购代理机构。否则，采购代理机构可以向财政部门反映情况并提供相应的佐证。供应商一年内累计出现三次该情形，将被监管部门记录失信行为。</w:t>
            </w:r>
          </w:p>
        </w:tc>
      </w:tr>
      <w:tr w14:paraId="711E919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71" w:hRule="atLeast"/>
          <w:jc w:val="center"/>
        </w:trPr>
        <w:tc>
          <w:tcPr>
            <w:tcW w:w="640" w:type="dxa"/>
            <w:tcBorders>
              <w:top w:val="single" w:color="auto" w:sz="8" w:space="0"/>
              <w:bottom w:val="single" w:color="auto" w:sz="8" w:space="0"/>
              <w:right w:val="single" w:color="auto" w:sz="8" w:space="0"/>
            </w:tcBorders>
            <w:vAlign w:val="center"/>
          </w:tcPr>
          <w:p w14:paraId="4F587B8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2182" w:type="dxa"/>
            <w:tcBorders>
              <w:top w:val="single" w:color="auto" w:sz="8" w:space="0"/>
              <w:left w:val="single" w:color="auto" w:sz="8" w:space="0"/>
              <w:bottom w:val="single" w:color="auto" w:sz="8" w:space="0"/>
              <w:right w:val="single" w:color="auto" w:sz="8" w:space="0"/>
            </w:tcBorders>
            <w:vAlign w:val="center"/>
          </w:tcPr>
          <w:p w14:paraId="2773642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考察现场、磋商前</w:t>
            </w:r>
          </w:p>
          <w:p w14:paraId="00AAEA2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答疑会</w:t>
            </w:r>
          </w:p>
        </w:tc>
        <w:tc>
          <w:tcPr>
            <w:tcW w:w="7316" w:type="dxa"/>
            <w:tcBorders>
              <w:top w:val="single" w:color="auto" w:sz="8" w:space="0"/>
              <w:left w:val="single" w:color="auto" w:sz="8" w:space="0"/>
              <w:bottom w:val="single" w:color="auto" w:sz="8" w:space="0"/>
            </w:tcBorders>
            <w:vAlign w:val="center"/>
          </w:tcPr>
          <w:p w14:paraId="43EAFE15">
            <w:pPr>
              <w:pStyle w:val="28"/>
              <w:snapToGrid w:val="0"/>
              <w:spacing w:line="360" w:lineRule="exact"/>
              <w:ind w:left="210" w:left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不组织</w:t>
            </w:r>
          </w:p>
        </w:tc>
      </w:tr>
      <w:tr w14:paraId="059AA54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71" w:hRule="atLeast"/>
          <w:jc w:val="center"/>
        </w:trPr>
        <w:tc>
          <w:tcPr>
            <w:tcW w:w="640" w:type="dxa"/>
            <w:tcBorders>
              <w:top w:val="single" w:color="auto" w:sz="8" w:space="0"/>
              <w:bottom w:val="single" w:color="auto" w:sz="8" w:space="0"/>
              <w:right w:val="single" w:color="auto" w:sz="8" w:space="0"/>
            </w:tcBorders>
            <w:vAlign w:val="center"/>
          </w:tcPr>
          <w:p w14:paraId="1E7D4F2E">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64554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转包与分包</w:t>
            </w:r>
          </w:p>
        </w:tc>
        <w:tc>
          <w:tcPr>
            <w:tcW w:w="7316" w:type="dxa"/>
            <w:tcBorders>
              <w:top w:val="single" w:color="auto" w:sz="8" w:space="0"/>
              <w:left w:val="single" w:color="auto" w:sz="8" w:space="0"/>
              <w:bottom w:val="single" w:color="auto" w:sz="8" w:space="0"/>
            </w:tcBorders>
            <w:vAlign w:val="center"/>
          </w:tcPr>
          <w:p w14:paraId="7BFCA8A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不得转</w:t>
            </w:r>
            <w:r>
              <w:rPr>
                <w:rFonts w:hint="eastAsia" w:ascii="仿宋" w:hAnsi="仿宋" w:eastAsia="仿宋" w:cs="仿宋"/>
                <w:color w:val="auto"/>
                <w:sz w:val="24"/>
                <w:szCs w:val="24"/>
              </w:rPr>
              <w:t>包</w:t>
            </w:r>
          </w:p>
        </w:tc>
      </w:tr>
      <w:tr w14:paraId="21AE2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32" w:hRule="atLeast"/>
          <w:jc w:val="center"/>
        </w:trPr>
        <w:tc>
          <w:tcPr>
            <w:tcW w:w="640" w:type="dxa"/>
            <w:tcBorders>
              <w:top w:val="single" w:color="auto" w:sz="8" w:space="0"/>
              <w:bottom w:val="single" w:color="auto" w:sz="8" w:space="0"/>
              <w:right w:val="single" w:color="auto" w:sz="8" w:space="0"/>
            </w:tcBorders>
            <w:vAlign w:val="center"/>
          </w:tcPr>
          <w:p w14:paraId="0B0FC53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2A113AA">
            <w:pPr>
              <w:pStyle w:val="8"/>
              <w:adjustRightInd w:val="0"/>
              <w:snapToGrid w:val="0"/>
              <w:spacing w:line="360" w:lineRule="exact"/>
              <w:ind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磋商文件澄清或修改</w:t>
            </w:r>
          </w:p>
          <w:p w14:paraId="37FEF392">
            <w:pPr>
              <w:pStyle w:val="8"/>
              <w:adjustRightInd w:val="0"/>
              <w:snapToGrid w:val="0"/>
              <w:spacing w:line="360" w:lineRule="exact"/>
              <w:ind w:firstLine="0" w:firstLineChars="0"/>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时间、形式</w:t>
            </w:r>
          </w:p>
        </w:tc>
        <w:tc>
          <w:tcPr>
            <w:tcW w:w="7316" w:type="dxa"/>
            <w:tcBorders>
              <w:top w:val="single" w:color="auto" w:sz="8" w:space="0"/>
              <w:left w:val="single" w:color="auto" w:sz="8" w:space="0"/>
              <w:bottom w:val="single" w:color="auto" w:sz="8" w:space="0"/>
            </w:tcBorders>
            <w:vAlign w:val="center"/>
          </w:tcPr>
          <w:p w14:paraId="2599908B">
            <w:pPr>
              <w:pStyle w:val="8"/>
              <w:adjustRightInd w:val="0"/>
              <w:snapToGrid w:val="0"/>
              <w:spacing w:line="36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val="zh-CN"/>
              </w:rPr>
              <w:t>时间：</w:t>
            </w:r>
            <w:r>
              <w:rPr>
                <w:rFonts w:hint="eastAsia" w:ascii="仿宋" w:hAnsi="仿宋" w:eastAsia="仿宋" w:cs="仿宋"/>
                <w:color w:val="auto"/>
                <w:sz w:val="24"/>
                <w:szCs w:val="24"/>
              </w:rPr>
              <w:t>提交响应文件截至时间5日前</w:t>
            </w:r>
          </w:p>
          <w:p w14:paraId="1EC5AE2D">
            <w:pPr>
              <w:pStyle w:val="8"/>
              <w:adjustRightInd w:val="0"/>
              <w:snapToGrid w:val="0"/>
              <w:spacing w:line="360" w:lineRule="exact"/>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形式：书面和公告</w:t>
            </w:r>
          </w:p>
        </w:tc>
      </w:tr>
      <w:tr w14:paraId="54493E1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40" w:type="dxa"/>
            <w:tcBorders>
              <w:top w:val="single" w:color="auto" w:sz="8" w:space="0"/>
              <w:bottom w:val="single" w:color="auto" w:sz="8" w:space="0"/>
              <w:right w:val="single" w:color="auto" w:sz="8" w:space="0"/>
            </w:tcBorders>
            <w:vAlign w:val="center"/>
          </w:tcPr>
          <w:p w14:paraId="314FE1D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F5DFC2A">
            <w:pPr>
              <w:pStyle w:val="28"/>
              <w:snapToGrid w:val="0"/>
              <w:spacing w:line="360" w:lineRule="exact"/>
              <w:ind w:left="52"/>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构成磋商文件的其他</w:t>
            </w:r>
          </w:p>
          <w:p w14:paraId="0F66DFD2">
            <w:pPr>
              <w:pStyle w:val="28"/>
              <w:snapToGrid w:val="0"/>
              <w:spacing w:line="360" w:lineRule="exact"/>
              <w:ind w:left="52"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文件</w:t>
            </w:r>
          </w:p>
        </w:tc>
        <w:tc>
          <w:tcPr>
            <w:tcW w:w="7316" w:type="dxa"/>
            <w:tcBorders>
              <w:top w:val="single" w:color="auto" w:sz="8" w:space="0"/>
              <w:left w:val="single" w:color="auto" w:sz="8" w:space="0"/>
              <w:bottom w:val="single" w:color="auto" w:sz="8" w:space="0"/>
            </w:tcBorders>
            <w:vAlign w:val="center"/>
          </w:tcPr>
          <w:p w14:paraId="0E0DE19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磋商文件的澄清</w:t>
            </w:r>
            <w:r>
              <w:rPr>
                <w:rFonts w:hint="eastAsia" w:ascii="仿宋" w:hAnsi="仿宋" w:eastAsia="仿宋" w:cs="仿宋"/>
                <w:color w:val="auto"/>
                <w:sz w:val="24"/>
                <w:szCs w:val="24"/>
              </w:rPr>
              <w:t>、修改书及有关补充通知为磋商文件的有效组成部分</w:t>
            </w:r>
          </w:p>
        </w:tc>
      </w:tr>
      <w:tr w14:paraId="65262F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81" w:hRule="atLeast"/>
          <w:jc w:val="center"/>
        </w:trPr>
        <w:tc>
          <w:tcPr>
            <w:tcW w:w="640" w:type="dxa"/>
            <w:tcBorders>
              <w:top w:val="single" w:color="auto" w:sz="8" w:space="0"/>
              <w:bottom w:val="single" w:color="auto" w:sz="8" w:space="0"/>
              <w:right w:val="single" w:color="auto" w:sz="8" w:space="0"/>
            </w:tcBorders>
            <w:vAlign w:val="center"/>
          </w:tcPr>
          <w:p w14:paraId="301B81B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2080D8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供应商对磋商文件提出质疑的时间、形式</w:t>
            </w:r>
          </w:p>
        </w:tc>
        <w:tc>
          <w:tcPr>
            <w:tcW w:w="7316" w:type="dxa"/>
            <w:tcBorders>
              <w:top w:val="single" w:color="auto" w:sz="8" w:space="0"/>
              <w:left w:val="single" w:color="auto" w:sz="8" w:space="0"/>
              <w:bottom w:val="single" w:color="auto" w:sz="8" w:space="0"/>
            </w:tcBorders>
            <w:vAlign w:val="center"/>
          </w:tcPr>
          <w:p w14:paraId="5829FE91">
            <w:pPr>
              <w:pStyle w:val="28"/>
              <w:snapToGrid w:val="0"/>
              <w:spacing w:line="360" w:lineRule="exact"/>
              <w:ind w:left="930" w:leftChars="100" w:hanging="720" w:hangingChars="3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时间：自供应商收到磋商文件之日起7个工作日内，超过期限的采购人或采购代理机构不再受理</w:t>
            </w:r>
          </w:p>
          <w:p w14:paraId="546E93F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形式：书面形式（详见</w:t>
            </w:r>
            <w:r>
              <w:rPr>
                <w:rFonts w:hint="eastAsia" w:ascii="仿宋" w:hAnsi="仿宋" w:eastAsia="仿宋" w:cs="仿宋"/>
                <w:color w:val="auto"/>
                <w:sz w:val="24"/>
                <w:szCs w:val="24"/>
              </w:rPr>
              <w:t>供应商须知第12.1.2条款</w:t>
            </w:r>
            <w:r>
              <w:rPr>
                <w:rFonts w:hint="eastAsia" w:ascii="仿宋" w:hAnsi="仿宋" w:eastAsia="仿宋" w:cs="仿宋"/>
                <w:color w:val="auto"/>
                <w:sz w:val="24"/>
                <w:szCs w:val="24"/>
                <w:lang w:val="zh-CN"/>
              </w:rPr>
              <w:t>）</w:t>
            </w:r>
          </w:p>
        </w:tc>
      </w:tr>
      <w:tr w14:paraId="4C8DFBE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337" w:hRule="atLeast"/>
          <w:jc w:val="center"/>
        </w:trPr>
        <w:tc>
          <w:tcPr>
            <w:tcW w:w="640" w:type="dxa"/>
            <w:tcBorders>
              <w:top w:val="single" w:color="auto" w:sz="8" w:space="0"/>
              <w:bottom w:val="single" w:color="auto" w:sz="8" w:space="0"/>
              <w:right w:val="single" w:color="auto" w:sz="8" w:space="0"/>
            </w:tcBorders>
            <w:vAlign w:val="center"/>
          </w:tcPr>
          <w:p w14:paraId="0B73DB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7561EC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对供应商提出质疑答复时间、形式</w:t>
            </w:r>
          </w:p>
        </w:tc>
        <w:tc>
          <w:tcPr>
            <w:tcW w:w="7316" w:type="dxa"/>
            <w:tcBorders>
              <w:top w:val="single" w:color="auto" w:sz="8" w:space="0"/>
              <w:left w:val="single" w:color="auto" w:sz="8" w:space="0"/>
              <w:bottom w:val="single" w:color="auto" w:sz="8" w:space="0"/>
            </w:tcBorders>
            <w:vAlign w:val="center"/>
          </w:tcPr>
          <w:p w14:paraId="5C58E539">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时间：自收到供应商质疑函之日起7个工作日内</w:t>
            </w:r>
          </w:p>
          <w:p w14:paraId="69BE6EF5">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w:t>
            </w:r>
          </w:p>
        </w:tc>
      </w:tr>
      <w:tr w14:paraId="6EB5A42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15" w:hRule="atLeast"/>
          <w:jc w:val="center"/>
        </w:trPr>
        <w:tc>
          <w:tcPr>
            <w:tcW w:w="640" w:type="dxa"/>
            <w:tcBorders>
              <w:top w:val="single" w:color="auto" w:sz="8" w:space="0"/>
              <w:bottom w:val="single" w:color="auto" w:sz="8" w:space="0"/>
              <w:right w:val="single" w:color="auto" w:sz="8" w:space="0"/>
            </w:tcBorders>
            <w:vAlign w:val="center"/>
          </w:tcPr>
          <w:p w14:paraId="583A932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4D9597A">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响应文件有效期</w:t>
            </w:r>
          </w:p>
        </w:tc>
        <w:tc>
          <w:tcPr>
            <w:tcW w:w="7316" w:type="dxa"/>
            <w:tcBorders>
              <w:top w:val="single" w:color="auto" w:sz="8" w:space="0"/>
              <w:left w:val="single" w:color="auto" w:sz="8" w:space="0"/>
              <w:bottom w:val="single" w:color="auto" w:sz="8" w:space="0"/>
            </w:tcBorders>
            <w:vAlign w:val="center"/>
          </w:tcPr>
          <w:p w14:paraId="55B7DD7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从响应文件首次提交截止之日起90</w:t>
            </w:r>
            <w:r>
              <w:rPr>
                <w:rFonts w:hint="eastAsia" w:ascii="仿宋" w:hAnsi="仿宋" w:eastAsia="仿宋" w:cs="仿宋"/>
                <w:color w:val="auto"/>
                <w:sz w:val="24"/>
                <w:szCs w:val="24"/>
              </w:rPr>
              <w:t>日历天</w:t>
            </w:r>
          </w:p>
        </w:tc>
      </w:tr>
      <w:tr w14:paraId="11E3E07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23" w:hRule="exact"/>
          <w:jc w:val="center"/>
        </w:trPr>
        <w:tc>
          <w:tcPr>
            <w:tcW w:w="640" w:type="dxa"/>
            <w:tcBorders>
              <w:top w:val="single" w:color="auto" w:sz="8" w:space="0"/>
              <w:bottom w:val="single" w:color="auto" w:sz="8" w:space="0"/>
              <w:right w:val="single" w:color="auto" w:sz="8" w:space="0"/>
            </w:tcBorders>
            <w:vAlign w:val="center"/>
          </w:tcPr>
          <w:p w14:paraId="0EAD3D4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4F32E0D9">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是否允许递交多个备选磋商方案</w:t>
            </w:r>
          </w:p>
        </w:tc>
        <w:tc>
          <w:tcPr>
            <w:tcW w:w="7316" w:type="dxa"/>
            <w:tcBorders>
              <w:top w:val="single" w:color="auto" w:sz="8" w:space="0"/>
              <w:left w:val="single" w:color="auto" w:sz="8" w:space="0"/>
              <w:bottom w:val="single" w:color="auto" w:sz="8" w:space="0"/>
            </w:tcBorders>
            <w:vAlign w:val="center"/>
          </w:tcPr>
          <w:p w14:paraId="0FD1359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不允许</w:t>
            </w:r>
          </w:p>
        </w:tc>
      </w:tr>
      <w:tr w14:paraId="3777100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99" w:hRule="exact"/>
          <w:jc w:val="center"/>
        </w:trPr>
        <w:tc>
          <w:tcPr>
            <w:tcW w:w="640" w:type="dxa"/>
            <w:tcBorders>
              <w:top w:val="single" w:color="auto" w:sz="8" w:space="0"/>
              <w:bottom w:val="single" w:color="auto" w:sz="8" w:space="0"/>
              <w:right w:val="single" w:color="auto" w:sz="8" w:space="0"/>
            </w:tcBorders>
            <w:vAlign w:val="center"/>
          </w:tcPr>
          <w:p w14:paraId="3E22CB9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30</w:t>
            </w:r>
          </w:p>
        </w:tc>
        <w:tc>
          <w:tcPr>
            <w:tcW w:w="2182" w:type="dxa"/>
            <w:tcBorders>
              <w:top w:val="single" w:color="auto" w:sz="8" w:space="0"/>
              <w:left w:val="single" w:color="auto" w:sz="8" w:space="0"/>
              <w:bottom w:val="single" w:color="auto" w:sz="8" w:space="0"/>
              <w:right w:val="single" w:color="auto" w:sz="8" w:space="0"/>
            </w:tcBorders>
            <w:vAlign w:val="center"/>
          </w:tcPr>
          <w:p w14:paraId="43C932D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磋商</w:t>
            </w:r>
            <w:r>
              <w:rPr>
                <w:rFonts w:hint="eastAsia" w:ascii="仿宋" w:hAnsi="仿宋" w:eastAsia="仿宋" w:cs="仿宋"/>
                <w:color w:val="auto"/>
                <w:sz w:val="24"/>
                <w:szCs w:val="24"/>
                <w:lang w:val="zh-CN"/>
              </w:rPr>
              <w:t>保证金</w:t>
            </w:r>
          </w:p>
        </w:tc>
        <w:tc>
          <w:tcPr>
            <w:tcW w:w="7316" w:type="dxa"/>
            <w:tcBorders>
              <w:top w:val="single" w:color="auto" w:sz="8" w:space="0"/>
              <w:left w:val="single" w:color="auto" w:sz="8" w:space="0"/>
              <w:bottom w:val="single" w:color="auto" w:sz="8" w:space="0"/>
            </w:tcBorders>
            <w:vAlign w:val="center"/>
          </w:tcPr>
          <w:p w14:paraId="42788521">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本项目不收取保证金。</w:t>
            </w:r>
          </w:p>
        </w:tc>
      </w:tr>
      <w:tr w14:paraId="33DF5D2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14" w:hRule="exact"/>
          <w:jc w:val="center"/>
        </w:trPr>
        <w:tc>
          <w:tcPr>
            <w:tcW w:w="640" w:type="dxa"/>
            <w:tcBorders>
              <w:top w:val="single" w:color="auto" w:sz="8" w:space="0"/>
              <w:bottom w:val="single" w:color="auto" w:sz="8" w:space="0"/>
              <w:right w:val="single" w:color="auto" w:sz="8" w:space="0"/>
            </w:tcBorders>
            <w:vAlign w:val="center"/>
          </w:tcPr>
          <w:p w14:paraId="4E81698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31</w:t>
            </w:r>
          </w:p>
        </w:tc>
        <w:tc>
          <w:tcPr>
            <w:tcW w:w="2182" w:type="dxa"/>
            <w:tcBorders>
              <w:top w:val="single" w:color="auto" w:sz="8" w:space="0"/>
              <w:left w:val="single" w:color="auto" w:sz="8" w:space="0"/>
              <w:bottom w:val="single" w:color="auto" w:sz="8" w:space="0"/>
              <w:right w:val="single" w:color="auto" w:sz="8" w:space="0"/>
            </w:tcBorders>
            <w:vAlign w:val="center"/>
          </w:tcPr>
          <w:p w14:paraId="55247D1E">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不予退还磋商保证金</w:t>
            </w:r>
          </w:p>
          <w:p w14:paraId="39C2AF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的情形</w:t>
            </w:r>
          </w:p>
        </w:tc>
        <w:tc>
          <w:tcPr>
            <w:tcW w:w="7316" w:type="dxa"/>
            <w:tcBorders>
              <w:top w:val="single" w:color="auto" w:sz="8" w:space="0"/>
              <w:left w:val="single" w:color="auto" w:sz="8" w:space="0"/>
              <w:bottom w:val="single" w:color="auto" w:sz="8" w:space="0"/>
            </w:tcBorders>
            <w:vAlign w:val="center"/>
          </w:tcPr>
          <w:p w14:paraId="13F1E2D3">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w:t>
            </w:r>
            <w:r>
              <w:rPr>
                <w:rFonts w:hint="eastAsia" w:ascii="仿宋" w:hAnsi="仿宋" w:eastAsia="仿宋" w:cs="仿宋"/>
                <w:color w:val="auto"/>
                <w:sz w:val="24"/>
                <w:szCs w:val="24"/>
              </w:rPr>
              <w:t>供应商须知第4.5.3.2条款</w:t>
            </w:r>
          </w:p>
        </w:tc>
      </w:tr>
      <w:tr w14:paraId="2CB583F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atLeast"/>
          <w:jc w:val="center"/>
        </w:trPr>
        <w:tc>
          <w:tcPr>
            <w:tcW w:w="640" w:type="dxa"/>
            <w:tcBorders>
              <w:top w:val="single" w:color="auto" w:sz="8" w:space="0"/>
              <w:bottom w:val="single" w:color="auto" w:sz="8" w:space="0"/>
              <w:right w:val="single" w:color="auto" w:sz="8" w:space="0"/>
            </w:tcBorders>
            <w:vAlign w:val="center"/>
          </w:tcPr>
          <w:p w14:paraId="20778B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32</w:t>
            </w:r>
          </w:p>
        </w:tc>
        <w:tc>
          <w:tcPr>
            <w:tcW w:w="2182" w:type="dxa"/>
            <w:tcBorders>
              <w:top w:val="single" w:color="auto" w:sz="8" w:space="0"/>
              <w:left w:val="single" w:color="auto" w:sz="8" w:space="0"/>
              <w:bottom w:val="single" w:color="auto" w:sz="8" w:space="0"/>
              <w:right w:val="single" w:color="auto" w:sz="8" w:space="0"/>
            </w:tcBorders>
            <w:vAlign w:val="center"/>
          </w:tcPr>
          <w:p w14:paraId="563CC7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响应文件份数</w:t>
            </w:r>
          </w:p>
        </w:tc>
        <w:tc>
          <w:tcPr>
            <w:tcW w:w="7316" w:type="dxa"/>
            <w:tcBorders>
              <w:top w:val="single" w:color="auto" w:sz="8" w:space="0"/>
              <w:left w:val="single" w:color="auto" w:sz="8" w:space="0"/>
              <w:bottom w:val="single" w:color="auto" w:sz="8" w:space="0"/>
            </w:tcBorders>
            <w:vAlign w:val="center"/>
          </w:tcPr>
          <w:p w14:paraId="2F9FDEE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正本1套、副本</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套和电子文件（U盘</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PDF及广联达计价软件版</w:t>
            </w:r>
            <w:r>
              <w:rPr>
                <w:rFonts w:hint="eastAsia" w:ascii="仿宋" w:hAnsi="仿宋" w:eastAsia="仿宋" w:cs="仿宋"/>
                <w:color w:val="auto"/>
                <w:sz w:val="24"/>
                <w:szCs w:val="24"/>
              </w:rPr>
              <w:t>）2份</w:t>
            </w:r>
          </w:p>
        </w:tc>
      </w:tr>
      <w:tr w14:paraId="36A3EBD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7" w:hRule="exact"/>
          <w:jc w:val="center"/>
        </w:trPr>
        <w:tc>
          <w:tcPr>
            <w:tcW w:w="640" w:type="dxa"/>
            <w:tcBorders>
              <w:top w:val="single" w:color="auto" w:sz="8" w:space="0"/>
              <w:bottom w:val="single" w:color="auto" w:sz="8" w:space="0"/>
              <w:right w:val="single" w:color="auto" w:sz="8" w:space="0"/>
            </w:tcBorders>
            <w:vAlign w:val="center"/>
          </w:tcPr>
          <w:p w14:paraId="7F78A45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5D7F8FE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响应文件签字或盖章</w:t>
            </w:r>
          </w:p>
          <w:p w14:paraId="6794CD4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要求</w:t>
            </w:r>
          </w:p>
        </w:tc>
        <w:tc>
          <w:tcPr>
            <w:tcW w:w="7316" w:type="dxa"/>
            <w:tcBorders>
              <w:top w:val="single" w:color="auto" w:sz="8" w:space="0"/>
              <w:left w:val="single" w:color="auto" w:sz="8" w:space="0"/>
              <w:bottom w:val="single" w:color="auto" w:sz="8" w:space="0"/>
            </w:tcBorders>
            <w:vAlign w:val="center"/>
          </w:tcPr>
          <w:p w14:paraId="312C197F">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供应商必须按照磋商文件的规定和要求签字、盖章</w:t>
            </w:r>
          </w:p>
        </w:tc>
      </w:tr>
      <w:tr w14:paraId="1F799C8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7" w:hRule="exact"/>
          <w:jc w:val="center"/>
        </w:trPr>
        <w:tc>
          <w:tcPr>
            <w:tcW w:w="640" w:type="dxa"/>
            <w:tcBorders>
              <w:top w:val="single" w:color="auto" w:sz="8" w:space="0"/>
              <w:bottom w:val="single" w:color="auto" w:sz="8" w:space="0"/>
              <w:right w:val="single" w:color="auto" w:sz="8" w:space="0"/>
            </w:tcBorders>
            <w:vAlign w:val="center"/>
          </w:tcPr>
          <w:p w14:paraId="6834B2F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45A8DFE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响应文件装订</w:t>
            </w:r>
          </w:p>
        </w:tc>
        <w:tc>
          <w:tcPr>
            <w:tcW w:w="7316" w:type="dxa"/>
            <w:tcBorders>
              <w:top w:val="single" w:color="auto" w:sz="8" w:space="0"/>
              <w:left w:val="single" w:color="auto" w:sz="8" w:space="0"/>
              <w:bottom w:val="single" w:color="auto" w:sz="8" w:space="0"/>
            </w:tcBorders>
            <w:vAlign w:val="center"/>
          </w:tcPr>
          <w:p w14:paraId="09971C0D">
            <w:pPr>
              <w:autoSpaceDE w:val="0"/>
              <w:autoSpaceDN w:val="0"/>
              <w:adjustRightInd w:val="0"/>
              <w:snapToGrid w:val="0"/>
              <w:spacing w:line="360" w:lineRule="exact"/>
              <w:ind w:firstLine="240" w:firstLineChars="100"/>
              <w:rPr>
                <w:rFonts w:hint="eastAsia" w:ascii="仿宋" w:hAnsi="仿宋" w:eastAsia="仿宋" w:cs="仿宋"/>
                <w:color w:val="auto"/>
                <w:kern w:val="0"/>
                <w:sz w:val="24"/>
                <w:szCs w:val="24"/>
                <w:lang w:val="zh-CN" w:eastAsia="zh-CN" w:bidi="ar-SA"/>
              </w:rPr>
            </w:pPr>
            <w:r>
              <w:rPr>
                <w:rFonts w:hint="eastAsia" w:ascii="仿宋" w:hAnsi="仿宋" w:eastAsia="仿宋" w:cs="仿宋"/>
                <w:color w:val="auto"/>
                <w:kern w:val="0"/>
                <w:sz w:val="24"/>
                <w:szCs w:val="24"/>
              </w:rPr>
              <w:t>磋商响应文件应当采用A4页幅、</w:t>
            </w:r>
            <w:r>
              <w:rPr>
                <w:rFonts w:hint="eastAsia" w:ascii="仿宋" w:hAnsi="仿宋" w:eastAsia="仿宋" w:cs="仿宋"/>
                <w:color w:val="auto"/>
                <w:kern w:val="0"/>
                <w:sz w:val="24"/>
                <w:szCs w:val="24"/>
                <w:lang w:val="en-US" w:eastAsia="zh-CN"/>
              </w:rPr>
              <w:t>建议</w:t>
            </w:r>
            <w:r>
              <w:rPr>
                <w:rFonts w:hint="eastAsia" w:ascii="仿宋" w:hAnsi="仿宋" w:eastAsia="仿宋" w:cs="仿宋"/>
                <w:color w:val="auto"/>
                <w:kern w:val="0"/>
                <w:sz w:val="24"/>
                <w:szCs w:val="24"/>
              </w:rPr>
              <w:t>双面打印、左侧胶装方式装订，装订应牢固、不易拆散和换页，</w:t>
            </w:r>
            <w:r>
              <w:rPr>
                <w:rFonts w:hint="eastAsia" w:ascii="仿宋" w:hAnsi="仿宋" w:eastAsia="仿宋" w:cs="仿宋"/>
                <w:color w:val="auto"/>
                <w:sz w:val="24"/>
                <w:szCs w:val="24"/>
              </w:rPr>
              <w:t>正副本分别密封，电子文件置于正本密封袋中。</w:t>
            </w:r>
          </w:p>
        </w:tc>
      </w:tr>
      <w:tr w14:paraId="267B535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62" w:hRule="exact"/>
          <w:jc w:val="center"/>
        </w:trPr>
        <w:tc>
          <w:tcPr>
            <w:tcW w:w="640" w:type="dxa"/>
            <w:tcBorders>
              <w:top w:val="single" w:color="auto" w:sz="8" w:space="0"/>
              <w:bottom w:val="single" w:color="auto" w:sz="8" w:space="0"/>
              <w:right w:val="single" w:color="auto" w:sz="8" w:space="0"/>
            </w:tcBorders>
            <w:vAlign w:val="center"/>
          </w:tcPr>
          <w:p w14:paraId="0A4730C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DE8C194">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响应文件封面标注</w:t>
            </w:r>
          </w:p>
        </w:tc>
        <w:tc>
          <w:tcPr>
            <w:tcW w:w="7316" w:type="dxa"/>
            <w:tcBorders>
              <w:top w:val="single" w:color="auto" w:sz="8" w:space="0"/>
              <w:left w:val="single" w:color="auto" w:sz="8" w:space="0"/>
              <w:bottom w:val="single" w:color="auto" w:sz="8" w:space="0"/>
            </w:tcBorders>
            <w:vAlign w:val="center"/>
          </w:tcPr>
          <w:p w14:paraId="0A1709F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响应文件正本和副本的封面上均应标明：采购项目名称、项目编号、供应商名称、年月日；并分别在右上角标明“正本”和“副本”字样</w:t>
            </w:r>
          </w:p>
        </w:tc>
      </w:tr>
      <w:tr w14:paraId="52864A5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3E3677A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C1CE42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封套上应载明的信息</w:t>
            </w:r>
          </w:p>
        </w:tc>
        <w:tc>
          <w:tcPr>
            <w:tcW w:w="7316" w:type="dxa"/>
            <w:tcBorders>
              <w:top w:val="single" w:color="auto" w:sz="8" w:space="0"/>
              <w:left w:val="single" w:color="auto" w:sz="8" w:space="0"/>
              <w:bottom w:val="single" w:color="auto" w:sz="8" w:space="0"/>
            </w:tcBorders>
            <w:vAlign w:val="center"/>
          </w:tcPr>
          <w:p w14:paraId="3BFBD43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项目编号：“正本”或“副本”字样</w:t>
            </w:r>
          </w:p>
          <w:p w14:paraId="4F0F08CA">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p w14:paraId="2F47FF30">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w:t>
            </w:r>
          </w:p>
          <w:p w14:paraId="1498F1BC">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采购人名称：</w:t>
            </w:r>
          </w:p>
          <w:p w14:paraId="276D892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供应商名称：</w:t>
            </w:r>
          </w:p>
          <w:p w14:paraId="2657EE4E">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在    年  月  日  时  分前不得开启</w:t>
            </w:r>
          </w:p>
        </w:tc>
      </w:tr>
      <w:tr w14:paraId="29C6150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3525CD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5584BD9B">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提交响应文件截至</w:t>
            </w:r>
          </w:p>
          <w:p w14:paraId="2629BAD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时间</w:t>
            </w:r>
          </w:p>
        </w:tc>
        <w:tc>
          <w:tcPr>
            <w:tcW w:w="7316" w:type="dxa"/>
            <w:tcBorders>
              <w:top w:val="single" w:color="auto" w:sz="8" w:space="0"/>
              <w:left w:val="single" w:color="auto" w:sz="8" w:space="0"/>
              <w:bottom w:val="single" w:color="auto" w:sz="8" w:space="0"/>
            </w:tcBorders>
            <w:vAlign w:val="center"/>
          </w:tcPr>
          <w:p w14:paraId="2E6EDA2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6-09</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22</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 xml:space="preserve">:30:00 </w:t>
            </w:r>
          </w:p>
        </w:tc>
      </w:tr>
      <w:tr w14:paraId="7D43213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15" w:hRule="atLeast"/>
          <w:jc w:val="center"/>
        </w:trPr>
        <w:tc>
          <w:tcPr>
            <w:tcW w:w="640" w:type="dxa"/>
            <w:tcBorders>
              <w:top w:val="single" w:color="auto" w:sz="8" w:space="0"/>
              <w:bottom w:val="single" w:color="auto" w:sz="8" w:space="0"/>
              <w:right w:val="single" w:color="auto" w:sz="8" w:space="0"/>
            </w:tcBorders>
            <w:vAlign w:val="center"/>
          </w:tcPr>
          <w:p w14:paraId="7BB2637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3ECB6E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提交响应文件地点</w:t>
            </w:r>
          </w:p>
        </w:tc>
        <w:tc>
          <w:tcPr>
            <w:tcW w:w="7316" w:type="dxa"/>
            <w:tcBorders>
              <w:top w:val="single" w:color="auto" w:sz="8" w:space="0"/>
              <w:left w:val="single" w:color="auto" w:sz="8" w:space="0"/>
              <w:bottom w:val="single" w:color="auto" w:sz="8" w:space="0"/>
            </w:tcBorders>
            <w:vAlign w:val="center"/>
          </w:tcPr>
          <w:p w14:paraId="028264F0">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陕西省咸阳市秦都区人民中路新华大厦1508会议室</w:t>
            </w:r>
            <w:r>
              <w:rPr>
                <w:rFonts w:hint="eastAsia" w:ascii="仿宋" w:hAnsi="仿宋" w:eastAsia="仿宋" w:cs="仿宋"/>
                <w:color w:val="auto"/>
                <w:sz w:val="24"/>
                <w:szCs w:val="24"/>
              </w:rPr>
              <w:t xml:space="preserve"> </w:t>
            </w:r>
          </w:p>
        </w:tc>
      </w:tr>
      <w:tr w14:paraId="04A11B6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1" w:hRule="exact"/>
          <w:jc w:val="center"/>
        </w:trPr>
        <w:tc>
          <w:tcPr>
            <w:tcW w:w="640" w:type="dxa"/>
            <w:tcBorders>
              <w:top w:val="single" w:color="auto" w:sz="8" w:space="0"/>
              <w:bottom w:val="single" w:color="auto" w:sz="8" w:space="0"/>
              <w:right w:val="single" w:color="auto" w:sz="8" w:space="0"/>
            </w:tcBorders>
            <w:vAlign w:val="center"/>
          </w:tcPr>
          <w:p w14:paraId="5F075BC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3063A1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响应文件是否退还</w:t>
            </w:r>
          </w:p>
        </w:tc>
        <w:tc>
          <w:tcPr>
            <w:tcW w:w="7316" w:type="dxa"/>
            <w:tcBorders>
              <w:top w:val="single" w:color="auto" w:sz="8" w:space="0"/>
              <w:left w:val="single" w:color="auto" w:sz="8" w:space="0"/>
              <w:bottom w:val="single" w:color="auto" w:sz="8" w:space="0"/>
            </w:tcBorders>
            <w:vAlign w:val="center"/>
          </w:tcPr>
          <w:p w14:paraId="7C4EA0B2">
            <w:pPr>
              <w:autoSpaceDE w:val="0"/>
              <w:autoSpaceDN w:val="0"/>
              <w:adjustRightInd w:val="0"/>
              <w:snapToGrid w:val="0"/>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否</w:t>
            </w:r>
          </w:p>
        </w:tc>
      </w:tr>
      <w:tr w14:paraId="1DDAD1B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33" w:hRule="exact"/>
          <w:jc w:val="center"/>
        </w:trPr>
        <w:tc>
          <w:tcPr>
            <w:tcW w:w="640" w:type="dxa"/>
            <w:tcBorders>
              <w:top w:val="single" w:color="auto" w:sz="8" w:space="0"/>
              <w:bottom w:val="single" w:color="auto" w:sz="8" w:space="0"/>
              <w:right w:val="single" w:color="auto" w:sz="8" w:space="0"/>
            </w:tcBorders>
            <w:vAlign w:val="center"/>
          </w:tcPr>
          <w:p w14:paraId="21C60F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40</w:t>
            </w:r>
          </w:p>
        </w:tc>
        <w:tc>
          <w:tcPr>
            <w:tcW w:w="2182" w:type="dxa"/>
            <w:tcBorders>
              <w:top w:val="single" w:color="auto" w:sz="8" w:space="0"/>
              <w:left w:val="single" w:color="auto" w:sz="8" w:space="0"/>
              <w:bottom w:val="single" w:color="auto" w:sz="8" w:space="0"/>
              <w:right w:val="single" w:color="auto" w:sz="8" w:space="0"/>
            </w:tcBorders>
            <w:vAlign w:val="center"/>
          </w:tcPr>
          <w:p w14:paraId="34423BB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开启响应文件时间和</w:t>
            </w:r>
          </w:p>
          <w:p w14:paraId="2F80E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2496ED0B">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开启响应文件时间：同提交响应文件截至时间</w:t>
            </w:r>
          </w:p>
          <w:p w14:paraId="19D133E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开启响应文件地点：同提交响应文件地点</w:t>
            </w:r>
          </w:p>
        </w:tc>
      </w:tr>
      <w:tr w14:paraId="77ED46F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99" w:hRule="exact"/>
          <w:jc w:val="center"/>
        </w:trPr>
        <w:tc>
          <w:tcPr>
            <w:tcW w:w="640" w:type="dxa"/>
            <w:tcBorders>
              <w:top w:val="single" w:color="auto" w:sz="8" w:space="0"/>
              <w:bottom w:val="single" w:color="auto" w:sz="8" w:space="0"/>
              <w:right w:val="single" w:color="auto" w:sz="8" w:space="0"/>
            </w:tcBorders>
            <w:vAlign w:val="center"/>
          </w:tcPr>
          <w:p w14:paraId="6290F23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41</w:t>
            </w:r>
          </w:p>
        </w:tc>
        <w:tc>
          <w:tcPr>
            <w:tcW w:w="2182" w:type="dxa"/>
            <w:tcBorders>
              <w:top w:val="single" w:color="auto" w:sz="8" w:space="0"/>
              <w:left w:val="single" w:color="auto" w:sz="8" w:space="0"/>
              <w:bottom w:val="single" w:color="auto" w:sz="8" w:space="0"/>
              <w:right w:val="single" w:color="auto" w:sz="8" w:space="0"/>
            </w:tcBorders>
            <w:vAlign w:val="center"/>
          </w:tcPr>
          <w:p w14:paraId="2EEB97B3">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磋商小组的组建</w:t>
            </w:r>
          </w:p>
        </w:tc>
        <w:tc>
          <w:tcPr>
            <w:tcW w:w="7316" w:type="dxa"/>
            <w:tcBorders>
              <w:top w:val="single" w:color="auto" w:sz="8" w:space="0"/>
              <w:left w:val="single" w:color="auto" w:sz="8" w:space="0"/>
              <w:bottom w:val="single" w:color="auto" w:sz="8" w:space="0"/>
            </w:tcBorders>
            <w:vAlign w:val="center"/>
          </w:tcPr>
          <w:p w14:paraId="19B4D567">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磋商小组构成形式、人数，评审专家确定方式：</w:t>
            </w:r>
          </w:p>
          <w:p w14:paraId="07BC99A5">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详见供应商须知第7.1.1条款</w:t>
            </w:r>
          </w:p>
        </w:tc>
      </w:tr>
      <w:tr w14:paraId="3A946E6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50" w:hRule="atLeast"/>
          <w:jc w:val="center"/>
        </w:trPr>
        <w:tc>
          <w:tcPr>
            <w:tcW w:w="640" w:type="dxa"/>
            <w:tcBorders>
              <w:top w:val="single" w:color="auto" w:sz="8" w:space="0"/>
              <w:bottom w:val="single" w:color="auto" w:sz="8" w:space="0"/>
              <w:right w:val="single" w:color="auto" w:sz="8" w:space="0"/>
            </w:tcBorders>
            <w:vAlign w:val="center"/>
          </w:tcPr>
          <w:p w14:paraId="60367EA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42</w:t>
            </w:r>
          </w:p>
        </w:tc>
        <w:tc>
          <w:tcPr>
            <w:tcW w:w="2182" w:type="dxa"/>
            <w:tcBorders>
              <w:top w:val="single" w:color="auto" w:sz="8" w:space="0"/>
              <w:left w:val="single" w:color="auto" w:sz="8" w:space="0"/>
              <w:bottom w:val="single" w:color="auto" w:sz="8" w:space="0"/>
              <w:right w:val="single" w:color="auto" w:sz="8" w:space="0"/>
            </w:tcBorders>
            <w:vAlign w:val="center"/>
          </w:tcPr>
          <w:p w14:paraId="39422BE7">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磋商办法</w:t>
            </w:r>
          </w:p>
        </w:tc>
        <w:tc>
          <w:tcPr>
            <w:tcW w:w="7316" w:type="dxa"/>
            <w:tcBorders>
              <w:top w:val="single" w:color="auto" w:sz="8" w:space="0"/>
              <w:left w:val="single" w:color="auto" w:sz="8" w:space="0"/>
              <w:bottom w:val="single" w:color="auto" w:sz="8" w:space="0"/>
            </w:tcBorders>
            <w:vAlign w:val="center"/>
          </w:tcPr>
          <w:p w14:paraId="3E711564">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详见第三章磋商办法</w:t>
            </w:r>
          </w:p>
        </w:tc>
      </w:tr>
      <w:tr w14:paraId="7B519057">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5" w:hRule="atLeast"/>
          <w:jc w:val="center"/>
        </w:trPr>
        <w:tc>
          <w:tcPr>
            <w:tcW w:w="640" w:type="dxa"/>
            <w:tcBorders>
              <w:top w:val="single" w:color="auto" w:sz="8" w:space="0"/>
              <w:bottom w:val="single" w:color="auto" w:sz="8" w:space="0"/>
              <w:right w:val="single" w:color="auto" w:sz="8" w:space="0"/>
            </w:tcBorders>
            <w:vAlign w:val="center"/>
          </w:tcPr>
          <w:p w14:paraId="49B274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2E84DB9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磋商小组推荐成交候选供应商的家数</w:t>
            </w:r>
          </w:p>
        </w:tc>
        <w:tc>
          <w:tcPr>
            <w:tcW w:w="7316" w:type="dxa"/>
            <w:tcBorders>
              <w:top w:val="single" w:color="auto" w:sz="8" w:space="0"/>
              <w:left w:val="single" w:color="auto" w:sz="8" w:space="0"/>
              <w:bottom w:val="single" w:color="auto" w:sz="8" w:space="0"/>
            </w:tcBorders>
            <w:vAlign w:val="center"/>
          </w:tcPr>
          <w:p w14:paraId="7C4BD528">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3 </w:t>
            </w:r>
          </w:p>
        </w:tc>
      </w:tr>
      <w:tr w14:paraId="60B1971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640" w:type="dxa"/>
            <w:tcBorders>
              <w:top w:val="single" w:color="auto" w:sz="8" w:space="0"/>
              <w:bottom w:val="single" w:color="auto" w:sz="8" w:space="0"/>
              <w:right w:val="single" w:color="auto" w:sz="8" w:space="0"/>
            </w:tcBorders>
            <w:vAlign w:val="center"/>
          </w:tcPr>
          <w:p w14:paraId="204BD90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DE2320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是否授权磋商小组确定成交供应商</w:t>
            </w:r>
          </w:p>
        </w:tc>
        <w:tc>
          <w:tcPr>
            <w:tcW w:w="7316" w:type="dxa"/>
            <w:tcBorders>
              <w:top w:val="single" w:color="auto" w:sz="8" w:space="0"/>
              <w:left w:val="single" w:color="auto" w:sz="8" w:space="0"/>
              <w:bottom w:val="single" w:color="auto" w:sz="8" w:space="0"/>
            </w:tcBorders>
            <w:vAlign w:val="center"/>
          </w:tcPr>
          <w:p w14:paraId="5F9F4EF3">
            <w:pPr>
              <w:pStyle w:val="28"/>
              <w:tabs>
                <w:tab w:val="left" w:pos="561"/>
              </w:tabs>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否</w:t>
            </w:r>
          </w:p>
        </w:tc>
      </w:tr>
      <w:tr w14:paraId="06004E7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2E0CBE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5B58752D">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发布成交公告的时间、媒介和期限</w:t>
            </w:r>
          </w:p>
        </w:tc>
        <w:tc>
          <w:tcPr>
            <w:tcW w:w="7316" w:type="dxa"/>
            <w:tcBorders>
              <w:top w:val="single" w:color="auto" w:sz="8" w:space="0"/>
              <w:left w:val="single" w:color="auto" w:sz="8" w:space="0"/>
              <w:bottom w:val="single" w:color="auto" w:sz="8" w:space="0"/>
            </w:tcBorders>
            <w:vAlign w:val="center"/>
          </w:tcPr>
          <w:p w14:paraId="6C49972C">
            <w:pPr>
              <w:pStyle w:val="28"/>
              <w:snapToGrid w:val="0"/>
              <w:spacing w:line="360" w:lineRule="exact"/>
              <w:ind w:left="21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公告时间：在确定成交供应商之日起</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val="zh-CN"/>
              </w:rPr>
              <w:t>个工作日内</w:t>
            </w:r>
          </w:p>
          <w:p w14:paraId="6A3AA85E">
            <w:pPr>
              <w:pStyle w:val="28"/>
              <w:snapToGrid w:val="0"/>
              <w:spacing w:line="360" w:lineRule="exact"/>
              <w:ind w:left="21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公告媒介：陕西</w:t>
            </w:r>
            <w:r>
              <w:rPr>
                <w:rFonts w:hint="eastAsia" w:ascii="仿宋" w:hAnsi="仿宋" w:eastAsia="仿宋" w:cs="仿宋"/>
                <w:color w:val="auto"/>
                <w:sz w:val="24"/>
                <w:szCs w:val="24"/>
                <w:lang w:val="en-US" w:eastAsia="zh-CN"/>
              </w:rPr>
              <w:t>省政府采购网</w:t>
            </w:r>
          </w:p>
          <w:p w14:paraId="4349CD5B">
            <w:pPr>
              <w:pStyle w:val="28"/>
              <w:snapToGrid w:val="0"/>
              <w:spacing w:line="360" w:lineRule="exact"/>
              <w:ind w:left="210" w:leftChars="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公告期限：1个工作日</w:t>
            </w:r>
          </w:p>
        </w:tc>
      </w:tr>
      <w:tr w14:paraId="7B861CE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34" w:hRule="atLeast"/>
          <w:jc w:val="center"/>
        </w:trPr>
        <w:tc>
          <w:tcPr>
            <w:tcW w:w="640" w:type="dxa"/>
            <w:tcBorders>
              <w:top w:val="single" w:color="auto" w:sz="8" w:space="0"/>
              <w:bottom w:val="single" w:color="auto" w:sz="8" w:space="0"/>
              <w:right w:val="single" w:color="auto" w:sz="8" w:space="0"/>
            </w:tcBorders>
            <w:vAlign w:val="center"/>
          </w:tcPr>
          <w:p w14:paraId="05DE3E1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2B43539F">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履约保证金</w:t>
            </w:r>
          </w:p>
        </w:tc>
        <w:tc>
          <w:tcPr>
            <w:tcW w:w="7316" w:type="dxa"/>
            <w:tcBorders>
              <w:top w:val="single" w:color="auto" w:sz="8" w:space="0"/>
              <w:left w:val="single" w:color="auto" w:sz="8" w:space="0"/>
              <w:bottom w:val="single" w:color="auto" w:sz="8" w:space="0"/>
            </w:tcBorders>
            <w:vAlign w:val="center"/>
          </w:tcPr>
          <w:p w14:paraId="00B434F2">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不要求</w:t>
            </w:r>
          </w:p>
        </w:tc>
      </w:tr>
      <w:tr w14:paraId="570105E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0" w:type="dxa"/>
            <w:tcBorders>
              <w:top w:val="single" w:color="auto" w:sz="8" w:space="0"/>
              <w:bottom w:val="single" w:color="auto" w:sz="8" w:space="0"/>
              <w:right w:val="single" w:color="auto" w:sz="8" w:space="0"/>
            </w:tcBorders>
            <w:vAlign w:val="center"/>
          </w:tcPr>
          <w:p w14:paraId="0EB5DD0D">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47</w:t>
            </w:r>
          </w:p>
        </w:tc>
        <w:tc>
          <w:tcPr>
            <w:tcW w:w="2182" w:type="dxa"/>
            <w:tcBorders>
              <w:top w:val="single" w:color="auto" w:sz="8" w:space="0"/>
              <w:left w:val="single" w:color="auto" w:sz="8" w:space="0"/>
              <w:bottom w:val="single" w:color="auto" w:sz="8" w:space="0"/>
              <w:right w:val="single" w:color="auto" w:sz="8" w:space="0"/>
            </w:tcBorders>
            <w:vAlign w:val="center"/>
          </w:tcPr>
          <w:p w14:paraId="6C9BB74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供应商信用信息查询截至</w:t>
            </w:r>
            <w:r>
              <w:rPr>
                <w:rFonts w:hint="eastAsia" w:ascii="仿宋" w:hAnsi="仿宋" w:eastAsia="仿宋" w:cs="仿宋"/>
                <w:color w:val="auto"/>
                <w:sz w:val="24"/>
                <w:szCs w:val="24"/>
                <w:lang w:val="en-US" w:eastAsia="zh-CN"/>
              </w:rPr>
              <w:t>时间</w:t>
            </w:r>
          </w:p>
        </w:tc>
        <w:tc>
          <w:tcPr>
            <w:tcW w:w="7316" w:type="dxa"/>
            <w:tcBorders>
              <w:top w:val="single" w:color="auto" w:sz="8" w:space="0"/>
              <w:left w:val="single" w:color="auto" w:sz="8" w:space="0"/>
              <w:bottom w:val="single" w:color="auto" w:sz="8" w:space="0"/>
            </w:tcBorders>
            <w:vAlign w:val="center"/>
          </w:tcPr>
          <w:p w14:paraId="33A551BE">
            <w:pPr>
              <w:adjustRightInd w:val="0"/>
              <w:snapToGrid w:val="0"/>
              <w:spacing w:line="360" w:lineRule="exact"/>
              <w:ind w:left="210" w:leftChars="0" w:right="105" w:rightChars="5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磋商公告期限截至日至</w:t>
            </w:r>
            <w:r>
              <w:rPr>
                <w:rFonts w:hint="eastAsia" w:ascii="仿宋" w:hAnsi="仿宋" w:eastAsia="仿宋" w:cs="仿宋"/>
                <w:color w:val="auto"/>
                <w:sz w:val="24"/>
                <w:szCs w:val="24"/>
                <w:lang w:val="en-US" w:eastAsia="zh-CN"/>
              </w:rPr>
              <w:t>递交截止日</w:t>
            </w:r>
          </w:p>
        </w:tc>
      </w:tr>
      <w:tr w14:paraId="548A91E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3" w:hRule="atLeast"/>
          <w:jc w:val="center"/>
        </w:trPr>
        <w:tc>
          <w:tcPr>
            <w:tcW w:w="640" w:type="dxa"/>
            <w:tcBorders>
              <w:top w:val="single" w:color="auto" w:sz="8" w:space="0"/>
              <w:bottom w:val="single" w:color="auto" w:sz="8" w:space="0"/>
              <w:right w:val="single" w:color="auto" w:sz="8" w:space="0"/>
            </w:tcBorders>
            <w:vAlign w:val="center"/>
          </w:tcPr>
          <w:p w14:paraId="6CF13AFE">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48</w:t>
            </w:r>
          </w:p>
        </w:tc>
        <w:tc>
          <w:tcPr>
            <w:tcW w:w="2182" w:type="dxa"/>
            <w:tcBorders>
              <w:top w:val="single" w:color="auto" w:sz="8" w:space="0"/>
              <w:left w:val="single" w:color="auto" w:sz="8" w:space="0"/>
              <w:bottom w:val="single" w:color="auto" w:sz="8" w:space="0"/>
              <w:right w:val="single" w:color="auto" w:sz="8" w:space="0"/>
            </w:tcBorders>
            <w:vAlign w:val="center"/>
          </w:tcPr>
          <w:p w14:paraId="3C96666C">
            <w:pPr>
              <w:pStyle w:val="28"/>
              <w:snapToGrid w:val="0"/>
              <w:spacing w:line="360" w:lineRule="exact"/>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rPr>
              <w:t>开启响应文件现场是否演示与陈述响应文件</w:t>
            </w:r>
          </w:p>
        </w:tc>
        <w:tc>
          <w:tcPr>
            <w:tcW w:w="7316" w:type="dxa"/>
            <w:tcBorders>
              <w:top w:val="single" w:color="auto" w:sz="8" w:space="0"/>
              <w:left w:val="single" w:color="auto" w:sz="8" w:space="0"/>
              <w:bottom w:val="single" w:color="auto" w:sz="8" w:space="0"/>
            </w:tcBorders>
            <w:vAlign w:val="center"/>
          </w:tcPr>
          <w:p w14:paraId="2C182080">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46D2D2C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80" w:hRule="atLeast"/>
          <w:jc w:val="center"/>
        </w:trPr>
        <w:tc>
          <w:tcPr>
            <w:tcW w:w="640" w:type="dxa"/>
            <w:tcBorders>
              <w:top w:val="single" w:color="auto" w:sz="8" w:space="0"/>
              <w:bottom w:val="single" w:color="auto" w:sz="8" w:space="0"/>
              <w:right w:val="single" w:color="auto" w:sz="8" w:space="0"/>
            </w:tcBorders>
            <w:vAlign w:val="center"/>
          </w:tcPr>
          <w:p w14:paraId="32BEDC35">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49</w:t>
            </w:r>
          </w:p>
        </w:tc>
        <w:tc>
          <w:tcPr>
            <w:tcW w:w="2182" w:type="dxa"/>
            <w:tcBorders>
              <w:top w:val="single" w:color="auto" w:sz="8" w:space="0"/>
              <w:left w:val="single" w:color="auto" w:sz="8" w:space="0"/>
              <w:bottom w:val="single" w:color="auto" w:sz="8" w:space="0"/>
              <w:right w:val="single" w:color="auto" w:sz="8" w:space="0"/>
            </w:tcBorders>
            <w:vAlign w:val="center"/>
          </w:tcPr>
          <w:p w14:paraId="51F6296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开启响应文件现场是否提供样品</w:t>
            </w:r>
          </w:p>
        </w:tc>
        <w:tc>
          <w:tcPr>
            <w:tcW w:w="7316" w:type="dxa"/>
            <w:tcBorders>
              <w:top w:val="single" w:color="auto" w:sz="8" w:space="0"/>
              <w:left w:val="single" w:color="auto" w:sz="8" w:space="0"/>
              <w:bottom w:val="single" w:color="auto" w:sz="8" w:space="0"/>
            </w:tcBorders>
            <w:vAlign w:val="center"/>
          </w:tcPr>
          <w:p w14:paraId="06E14188">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6C201AF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4" w:hRule="atLeast"/>
          <w:jc w:val="center"/>
        </w:trPr>
        <w:tc>
          <w:tcPr>
            <w:tcW w:w="640" w:type="dxa"/>
            <w:tcBorders>
              <w:top w:val="single" w:color="auto" w:sz="8" w:space="0"/>
              <w:bottom w:val="single" w:color="auto" w:sz="8" w:space="0"/>
              <w:right w:val="single" w:color="auto" w:sz="8" w:space="0"/>
            </w:tcBorders>
            <w:vAlign w:val="center"/>
          </w:tcPr>
          <w:p w14:paraId="4FE5B9CB">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50</w:t>
            </w:r>
          </w:p>
        </w:tc>
        <w:tc>
          <w:tcPr>
            <w:tcW w:w="2182" w:type="dxa"/>
            <w:tcBorders>
              <w:top w:val="single" w:color="auto" w:sz="8" w:space="0"/>
              <w:left w:val="single" w:color="auto" w:sz="8" w:space="0"/>
              <w:bottom w:val="single" w:color="auto" w:sz="8" w:space="0"/>
              <w:right w:val="single" w:color="auto" w:sz="8" w:space="0"/>
            </w:tcBorders>
            <w:vAlign w:val="center"/>
          </w:tcPr>
          <w:p w14:paraId="15805C5F">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供应商资格要求</w:t>
            </w:r>
          </w:p>
        </w:tc>
        <w:tc>
          <w:tcPr>
            <w:tcW w:w="7316" w:type="dxa"/>
            <w:tcBorders>
              <w:top w:val="single" w:color="auto" w:sz="8" w:space="0"/>
              <w:left w:val="single" w:color="auto" w:sz="8" w:space="0"/>
              <w:bottom w:val="single" w:color="auto" w:sz="8" w:space="0"/>
            </w:tcBorders>
            <w:vAlign w:val="center"/>
          </w:tcPr>
          <w:p w14:paraId="61E7D19D">
            <w:pPr>
              <w:spacing w:line="360" w:lineRule="auto"/>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（2）供应商需具备建筑工程施工总承包二级（含二级）及以上资质，具有有效的安全生产许可证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（8）投标人应出具参加政府采购活动前 3 年内在经营活动中没有重大违法记录的书面声明；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（9）投标人应出具履行合同所必需的设备和专业技术能力的承诺声明；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sz w:val="24"/>
                <w:szCs w:val="24"/>
                <w:lang w:eastAsia="zh-CN"/>
              </w:rPr>
              <w:t>。</w:t>
            </w:r>
          </w:p>
          <w:p w14:paraId="45C6E156">
            <w:pPr>
              <w:widowControl/>
              <w:snapToGrid w:val="0"/>
              <w:spacing w:line="360" w:lineRule="auto"/>
              <w:ind w:firstLine="480" w:firstLineChars="0"/>
              <w:jc w:val="left"/>
              <w:rPr>
                <w:rFonts w:hint="eastAsia" w:ascii="仿宋" w:hAnsi="仿宋" w:eastAsia="仿宋" w:cs="仿宋"/>
                <w:color w:val="auto"/>
                <w:kern w:val="0"/>
                <w:sz w:val="24"/>
                <w:szCs w:val="24"/>
                <w:lang w:val="en-US" w:eastAsia="zh-CN" w:bidi="ar-SA"/>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r>
              <w:rPr>
                <w:rFonts w:hint="eastAsia" w:ascii="仿宋" w:hAnsi="仿宋" w:eastAsia="仿宋" w:cs="仿宋"/>
                <w:color w:val="auto"/>
                <w:kern w:val="2"/>
                <w:sz w:val="24"/>
                <w:szCs w:val="24"/>
                <w:lang w:val="en-US" w:eastAsia="zh-CN" w:bidi="ar-SA"/>
              </w:rPr>
              <w:t xml:space="preserve"> </w:t>
            </w:r>
          </w:p>
        </w:tc>
      </w:tr>
      <w:tr w14:paraId="64FCA63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F83EEF9">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51</w:t>
            </w:r>
          </w:p>
        </w:tc>
        <w:tc>
          <w:tcPr>
            <w:tcW w:w="2182" w:type="dxa"/>
            <w:tcBorders>
              <w:top w:val="single" w:color="auto" w:sz="8" w:space="0"/>
              <w:left w:val="single" w:color="auto" w:sz="8" w:space="0"/>
              <w:bottom w:val="single" w:color="auto" w:sz="8" w:space="0"/>
              <w:right w:val="single" w:color="auto" w:sz="8" w:space="0"/>
            </w:tcBorders>
            <w:vAlign w:val="center"/>
          </w:tcPr>
          <w:p w14:paraId="2F47ED3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其他</w:t>
            </w:r>
          </w:p>
        </w:tc>
        <w:tc>
          <w:tcPr>
            <w:tcW w:w="7316" w:type="dxa"/>
            <w:tcBorders>
              <w:top w:val="single" w:color="auto" w:sz="8" w:space="0"/>
              <w:left w:val="single" w:color="auto" w:sz="8" w:space="0"/>
              <w:bottom w:val="single" w:color="auto" w:sz="8" w:space="0"/>
            </w:tcBorders>
            <w:vAlign w:val="center"/>
          </w:tcPr>
          <w:p w14:paraId="5616D3B2">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代理服务费账户信息</w:t>
            </w:r>
          </w:p>
          <w:p w14:paraId="4F31AE63">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0CF91D36">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7239B973">
            <w:pPr>
              <w:spacing w:line="360" w:lineRule="auto"/>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账    号：102075807616</w:t>
            </w:r>
          </w:p>
        </w:tc>
      </w:tr>
    </w:tbl>
    <w:p w14:paraId="4A0D35CE">
      <w:pPr>
        <w:spacing w:before="0" w:after="120" w:afterLines="50" w:line="360" w:lineRule="exact"/>
        <w:outlineLvl w:val="9"/>
        <w:rPr>
          <w:rFonts w:hint="eastAsia" w:ascii="仿宋" w:hAnsi="仿宋" w:eastAsia="仿宋" w:cs="仿宋"/>
          <w:bCs/>
          <w:color w:val="auto"/>
          <w:sz w:val="24"/>
          <w:szCs w:val="24"/>
        </w:rPr>
      </w:pPr>
      <w:r>
        <w:rPr>
          <w:color w:val="auto"/>
        </w:rPr>
        <w:br w:type="page"/>
      </w:r>
      <w:bookmarkEnd w:id="9"/>
      <w:bookmarkEnd w:id="10"/>
      <w:bookmarkEnd w:id="11"/>
      <w:bookmarkEnd w:id="12"/>
      <w:bookmarkEnd w:id="15"/>
      <w:bookmarkEnd w:id="16"/>
      <w:bookmarkEnd w:id="17"/>
      <w:bookmarkEnd w:id="18"/>
      <w:bookmarkEnd w:id="19"/>
      <w:bookmarkEnd w:id="20"/>
      <w:bookmarkEnd w:id="21"/>
      <w:bookmarkEnd w:id="22"/>
      <w:bookmarkStart w:id="23" w:name="_Toc183582205"/>
      <w:bookmarkStart w:id="24" w:name="_Toc183682342"/>
      <w:bookmarkStart w:id="25" w:name="_Toc217446034"/>
      <w:r>
        <w:rPr>
          <w:rFonts w:hint="eastAsia" w:ascii="仿宋" w:hAnsi="仿宋" w:eastAsia="仿宋" w:cs="仿宋"/>
          <w:b w:val="0"/>
          <w:color w:val="auto"/>
          <w:sz w:val="24"/>
          <w:szCs w:val="24"/>
        </w:rPr>
        <w:t xml:space="preserve"> </w:t>
      </w:r>
      <w:bookmarkStart w:id="26" w:name="_Toc89075873"/>
      <w:bookmarkStart w:id="27" w:name="_Toc18074967"/>
      <w:bookmarkStart w:id="28" w:name="_Toc77400778"/>
      <w:bookmarkStart w:id="29" w:name="_Toc217446033"/>
      <w:bookmarkStart w:id="30" w:name="_Toc16609"/>
      <w:bookmarkStart w:id="31" w:name="_Toc183582204"/>
      <w:bookmarkStart w:id="32" w:name="_Toc183682341"/>
      <w:r>
        <w:rPr>
          <w:rFonts w:hint="eastAsia" w:ascii="仿宋" w:hAnsi="仿宋" w:eastAsia="仿宋" w:cs="仿宋"/>
          <w:b w:val="0"/>
          <w:color w:val="auto"/>
          <w:sz w:val="24"/>
          <w:szCs w:val="24"/>
        </w:rPr>
        <w:t>1.总  则</w:t>
      </w:r>
      <w:bookmarkEnd w:id="26"/>
      <w:bookmarkEnd w:id="27"/>
      <w:bookmarkEnd w:id="28"/>
      <w:bookmarkEnd w:id="29"/>
      <w:bookmarkEnd w:id="30"/>
      <w:bookmarkEnd w:id="31"/>
      <w:bookmarkEnd w:id="32"/>
    </w:p>
    <w:p w14:paraId="15050D09">
      <w:pPr>
        <w:spacing w:line="360" w:lineRule="auto"/>
        <w:outlineLvl w:val="9"/>
        <w:rPr>
          <w:rFonts w:hint="eastAsia" w:ascii="仿宋" w:hAnsi="仿宋" w:eastAsia="仿宋" w:cs="仿宋"/>
          <w:b/>
          <w:bCs/>
          <w:color w:val="auto"/>
          <w:sz w:val="24"/>
          <w:szCs w:val="24"/>
        </w:rPr>
      </w:pPr>
      <w:bookmarkStart w:id="33" w:name="_Toc18074968"/>
      <w:r>
        <w:rPr>
          <w:rFonts w:hint="eastAsia" w:ascii="仿宋" w:hAnsi="仿宋" w:eastAsia="仿宋" w:cs="仿宋"/>
          <w:b/>
          <w:color w:val="auto"/>
          <w:sz w:val="24"/>
          <w:szCs w:val="24"/>
        </w:rPr>
        <w:t>1.1适用范围</w:t>
      </w:r>
      <w:bookmarkEnd w:id="33"/>
    </w:p>
    <w:p w14:paraId="575EE33A">
      <w:pPr>
        <w:tabs>
          <w:tab w:val="left" w:pos="7665"/>
        </w:tabs>
        <w:spacing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color w:val="auto"/>
          <w:sz w:val="24"/>
          <w:szCs w:val="24"/>
        </w:rPr>
        <w:t>1.1.1本竞争性磋商文件仅适用于本次竞争性磋商（以下简称磋商）所叙述的</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项目采购活动。</w:t>
      </w:r>
    </w:p>
    <w:p w14:paraId="23F5452B">
      <w:pPr>
        <w:tabs>
          <w:tab w:val="left" w:pos="7665"/>
        </w:tabs>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1.1.2供应商须知前附表规定专门面向中小企业采购的，仅适用中小微企业、监狱企业和残疾人福利性单位参加投标的采购活动。</w:t>
      </w:r>
    </w:p>
    <w:p w14:paraId="09C3E423">
      <w:pPr>
        <w:tabs>
          <w:tab w:val="left" w:pos="7665"/>
        </w:tabs>
        <w:spacing w:before="120" w:beforeLines="50" w:after="120" w:afterLines="50" w:line="360" w:lineRule="auto"/>
        <w:ind w:firstLine="1"/>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1.2名词解释</w:t>
      </w:r>
    </w:p>
    <w:p w14:paraId="45EC6629">
      <w:pPr>
        <w:adjustRightInd w:val="0"/>
        <w:snapToGrid w:val="0"/>
        <w:spacing w:before="120" w:beforeLines="50"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1.2.1</w:t>
      </w:r>
      <w:r>
        <w:rPr>
          <w:rFonts w:hint="eastAsia" w:ascii="仿宋" w:hAnsi="仿宋" w:eastAsia="仿宋" w:cs="仿宋"/>
          <w:b/>
          <w:color w:val="auto"/>
          <w:sz w:val="24"/>
          <w:szCs w:val="24"/>
        </w:rPr>
        <w:t>采购人</w:t>
      </w:r>
      <w:r>
        <w:rPr>
          <w:rFonts w:hint="eastAsia" w:ascii="仿宋" w:hAnsi="仿宋" w:eastAsia="仿宋" w:cs="仿宋"/>
          <w:color w:val="auto"/>
          <w:sz w:val="24"/>
          <w:szCs w:val="24"/>
        </w:rPr>
        <w:t>系指依法进行政府采购的国家机关、事业单位、团体组织。本次采购的采购人名称、地址、电话、联系人见供应商须知前附表。</w:t>
      </w:r>
    </w:p>
    <w:p w14:paraId="36DE1E82">
      <w:pPr>
        <w:adjustRightInd w:val="0"/>
        <w:snapToGrid w:val="0"/>
        <w:spacing w:line="360" w:lineRule="auto"/>
        <w:ind w:firstLine="480" w:firstLineChars="200"/>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1.2.2</w:t>
      </w:r>
      <w:r>
        <w:rPr>
          <w:rFonts w:hint="eastAsia" w:ascii="仿宋" w:hAnsi="仿宋" w:eastAsia="仿宋" w:cs="仿宋"/>
          <w:b/>
          <w:color w:val="auto"/>
          <w:sz w:val="24"/>
          <w:szCs w:val="24"/>
        </w:rPr>
        <w:t>监督机构</w:t>
      </w:r>
      <w:r>
        <w:rPr>
          <w:rFonts w:hint="eastAsia" w:ascii="仿宋" w:hAnsi="仿宋" w:eastAsia="仿宋" w:cs="仿宋"/>
          <w:color w:val="auto"/>
          <w:sz w:val="24"/>
          <w:szCs w:val="24"/>
        </w:rPr>
        <w:t>系指政府采购行政监督管理部门。</w:t>
      </w:r>
    </w:p>
    <w:p w14:paraId="5716F17D">
      <w:pPr>
        <w:adjustRightInd w:val="0"/>
        <w:snapToGrid w:val="0"/>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1.2.3</w:t>
      </w:r>
      <w:r>
        <w:rPr>
          <w:rFonts w:hint="eastAsia" w:ascii="仿宋" w:hAnsi="仿宋" w:eastAsia="仿宋" w:cs="仿宋"/>
          <w:b/>
          <w:color w:val="auto"/>
          <w:sz w:val="24"/>
          <w:szCs w:val="24"/>
        </w:rPr>
        <w:t>采购代理机构</w:t>
      </w:r>
      <w:r>
        <w:rPr>
          <w:rFonts w:hint="eastAsia" w:ascii="仿宋" w:hAnsi="仿宋" w:eastAsia="仿宋" w:cs="仿宋"/>
          <w:color w:val="auto"/>
          <w:sz w:val="24"/>
          <w:szCs w:val="24"/>
        </w:rPr>
        <w:t>系指接受采购人委托，代理采购项目的依法经财政部门认定资格的采购代理机构。本次采购的采购代理机构名称、地址、电话、联系人见供应商须知前附表。</w:t>
      </w:r>
    </w:p>
    <w:p w14:paraId="2A3E7FF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1.2.4 </w:t>
      </w:r>
      <w:r>
        <w:rPr>
          <w:rFonts w:hint="eastAsia" w:ascii="仿宋" w:hAnsi="仿宋" w:eastAsia="仿宋" w:cs="仿宋"/>
          <w:b/>
          <w:color w:val="auto"/>
          <w:sz w:val="24"/>
          <w:szCs w:val="24"/>
        </w:rPr>
        <w:t>供应商</w:t>
      </w:r>
      <w:r>
        <w:rPr>
          <w:rFonts w:hint="eastAsia" w:ascii="仿宋" w:hAnsi="仿宋" w:eastAsia="仿宋" w:cs="仿宋"/>
          <w:color w:val="auto"/>
          <w:sz w:val="24"/>
          <w:szCs w:val="24"/>
        </w:rPr>
        <w:t>是指响应和符合竞争性磋商文件（以下简称磋商文件）规定资格条件且参与磋商竞争的法人或其他组织或个人。</w:t>
      </w:r>
    </w:p>
    <w:p w14:paraId="638824AA">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1.2.5 </w:t>
      </w:r>
      <w:r>
        <w:rPr>
          <w:rFonts w:hint="eastAsia" w:ascii="仿宋" w:hAnsi="仿宋" w:eastAsia="仿宋" w:cs="仿宋"/>
          <w:b/>
          <w:bCs/>
          <w:color w:val="auto"/>
          <w:sz w:val="24"/>
          <w:szCs w:val="24"/>
          <w:lang w:val="en-US" w:eastAsia="zh-CN"/>
        </w:rPr>
        <w:t>工程</w:t>
      </w:r>
      <w:r>
        <w:rPr>
          <w:rFonts w:hint="eastAsia" w:ascii="仿宋" w:hAnsi="仿宋" w:eastAsia="仿宋" w:cs="仿宋"/>
          <w:color w:val="auto"/>
          <w:sz w:val="24"/>
          <w:szCs w:val="24"/>
        </w:rPr>
        <w:t>是指本磋商文件中第四章所述所有</w:t>
      </w:r>
      <w:r>
        <w:rPr>
          <w:rFonts w:hint="eastAsia" w:ascii="仿宋" w:hAnsi="仿宋" w:eastAsia="仿宋" w:cs="仿宋"/>
          <w:color w:val="auto"/>
          <w:sz w:val="24"/>
          <w:szCs w:val="24"/>
          <w:lang w:val="en-US" w:eastAsia="zh-CN"/>
        </w:rPr>
        <w:t>建设项目</w:t>
      </w:r>
      <w:r>
        <w:rPr>
          <w:rFonts w:hint="eastAsia" w:ascii="仿宋" w:hAnsi="仿宋" w:eastAsia="仿宋" w:cs="仿宋"/>
          <w:color w:val="auto"/>
          <w:sz w:val="24"/>
          <w:szCs w:val="24"/>
        </w:rPr>
        <w:t>。</w:t>
      </w:r>
    </w:p>
    <w:p w14:paraId="667CAEB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1.2.6 </w:t>
      </w:r>
      <w:r>
        <w:rPr>
          <w:rFonts w:hint="eastAsia" w:ascii="仿宋" w:hAnsi="仿宋" w:eastAsia="仿宋" w:cs="仿宋"/>
          <w:b/>
          <w:color w:val="auto"/>
          <w:sz w:val="24"/>
          <w:szCs w:val="24"/>
        </w:rPr>
        <w:t>服务</w:t>
      </w:r>
      <w:r>
        <w:rPr>
          <w:rFonts w:hint="eastAsia" w:ascii="仿宋" w:hAnsi="仿宋" w:eastAsia="仿宋" w:cs="仿宋"/>
          <w:color w:val="auto"/>
          <w:sz w:val="24"/>
          <w:szCs w:val="24"/>
        </w:rPr>
        <w:t>是指为满足</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文件要求所提供的服务。</w:t>
      </w:r>
    </w:p>
    <w:p w14:paraId="0E030F2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1.2.7 </w:t>
      </w:r>
      <w:r>
        <w:rPr>
          <w:rFonts w:hint="eastAsia" w:ascii="仿宋" w:hAnsi="仿宋" w:eastAsia="仿宋" w:cs="仿宋"/>
          <w:b/>
          <w:color w:val="auto"/>
          <w:sz w:val="24"/>
          <w:szCs w:val="24"/>
        </w:rPr>
        <w:t>节能产品</w:t>
      </w:r>
      <w:r>
        <w:rPr>
          <w:rFonts w:hint="eastAsia" w:ascii="仿宋" w:hAnsi="仿宋" w:eastAsia="仿宋" w:cs="仿宋"/>
          <w:color w:val="auto"/>
          <w:sz w:val="24"/>
          <w:szCs w:val="24"/>
        </w:rPr>
        <w:t>指财政部、发展改革委、生态环境部等部门发布的《节能产品品目清单》中的产品。</w:t>
      </w:r>
    </w:p>
    <w:p w14:paraId="0836371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1.2.8 </w:t>
      </w:r>
      <w:r>
        <w:rPr>
          <w:rFonts w:hint="eastAsia" w:ascii="仿宋" w:hAnsi="仿宋" w:eastAsia="仿宋" w:cs="仿宋"/>
          <w:b/>
          <w:color w:val="auto"/>
          <w:sz w:val="24"/>
          <w:szCs w:val="24"/>
        </w:rPr>
        <w:t>环境标志产品</w:t>
      </w:r>
      <w:r>
        <w:rPr>
          <w:rFonts w:hint="eastAsia" w:ascii="仿宋" w:hAnsi="仿宋" w:eastAsia="仿宋" w:cs="仿宋"/>
          <w:color w:val="auto"/>
          <w:sz w:val="24"/>
          <w:szCs w:val="24"/>
        </w:rPr>
        <w:t>是指财政部、发展改革委、生态环境部等部门发布的《环境标志产品品目清单》中的产品。</w:t>
      </w:r>
    </w:p>
    <w:p w14:paraId="4B241BC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1.2.9 </w:t>
      </w:r>
      <w:r>
        <w:rPr>
          <w:rFonts w:hint="eastAsia" w:ascii="仿宋" w:hAnsi="仿宋" w:eastAsia="仿宋" w:cs="仿宋"/>
          <w:b/>
          <w:color w:val="auto"/>
          <w:kern w:val="0"/>
          <w:sz w:val="24"/>
          <w:szCs w:val="24"/>
        </w:rPr>
        <w:t>进口产品</w:t>
      </w:r>
      <w:r>
        <w:rPr>
          <w:rFonts w:hint="eastAsia" w:ascii="仿宋" w:hAnsi="仿宋" w:eastAsia="仿宋" w:cs="仿宋"/>
          <w:color w:val="auto"/>
          <w:kern w:val="0"/>
          <w:sz w:val="24"/>
          <w:szCs w:val="24"/>
        </w:rPr>
        <w:t>是指通过中国海关报关验放进入中国境内且产自关境外的产品，详见《关于政府采购进口产品管理有关问题的通知》(财库[2007]119号)。</w:t>
      </w:r>
    </w:p>
    <w:p w14:paraId="4D34C89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1.2.10</w:t>
      </w:r>
      <w:r>
        <w:rPr>
          <w:rFonts w:hint="eastAsia" w:ascii="仿宋" w:hAnsi="仿宋" w:eastAsia="仿宋" w:cs="仿宋"/>
          <w:b/>
          <w:color w:val="auto"/>
          <w:sz w:val="24"/>
          <w:szCs w:val="24"/>
        </w:rPr>
        <w:t>中小企业</w:t>
      </w:r>
      <w:r>
        <w:rPr>
          <w:rFonts w:hint="eastAsia" w:ascii="仿宋" w:hAnsi="仿宋" w:eastAsia="仿宋" w:cs="仿宋"/>
          <w:color w:val="auto"/>
          <w:kern w:val="0"/>
          <w:sz w:val="24"/>
          <w:szCs w:val="24"/>
        </w:rPr>
        <w:t>是指在中华人民共和国境内依法设立，依据国务院批准的中小企业划分标准确定的中型企业、小型企业和微型企业，但与大企业的负责人为同一人，或者与大企业存在直接控股、管理关系的除外。</w:t>
      </w:r>
    </w:p>
    <w:p w14:paraId="44B48BE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1.2.11 </w:t>
      </w:r>
      <w:r>
        <w:rPr>
          <w:rFonts w:hint="eastAsia" w:ascii="仿宋" w:hAnsi="仿宋" w:eastAsia="仿宋" w:cs="仿宋"/>
          <w:b/>
          <w:color w:val="auto"/>
          <w:sz w:val="24"/>
          <w:szCs w:val="24"/>
        </w:rPr>
        <w:t>监狱企业</w:t>
      </w:r>
      <w:r>
        <w:rPr>
          <w:rFonts w:hint="eastAsia" w:ascii="仿宋" w:hAnsi="仿宋" w:eastAsia="仿宋" w:cs="仿宋"/>
          <w:color w:val="auto"/>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2DDEAE">
      <w:pPr>
        <w:adjustRightInd w:val="0"/>
        <w:snapToGrid w:val="0"/>
        <w:spacing w:line="360" w:lineRule="auto"/>
        <w:ind w:firstLine="480" w:firstLineChars="200"/>
        <w:rPr>
          <w:rFonts w:ascii="宋体" w:hAnsi="宋体"/>
          <w:color w:val="auto"/>
          <w:szCs w:val="21"/>
        </w:rPr>
      </w:pPr>
      <w:r>
        <w:rPr>
          <w:rFonts w:hint="eastAsia" w:ascii="仿宋" w:hAnsi="仿宋" w:eastAsia="仿宋" w:cs="仿宋"/>
          <w:color w:val="auto"/>
          <w:sz w:val="24"/>
          <w:szCs w:val="24"/>
        </w:rPr>
        <w:t xml:space="preserve">1.2.12 </w:t>
      </w:r>
      <w:r>
        <w:rPr>
          <w:rFonts w:hint="eastAsia" w:ascii="仿宋" w:hAnsi="仿宋" w:eastAsia="仿宋" w:cs="仿宋"/>
          <w:b/>
          <w:color w:val="auto"/>
          <w:kern w:val="0"/>
          <w:sz w:val="24"/>
          <w:szCs w:val="24"/>
        </w:rPr>
        <w:t>残疾人福利性单位</w:t>
      </w:r>
      <w:r>
        <w:rPr>
          <w:rFonts w:hint="eastAsia" w:ascii="仿宋" w:hAnsi="仿宋" w:eastAsia="仿宋" w:cs="仿宋"/>
          <w:color w:val="auto"/>
          <w:kern w:val="0"/>
          <w:sz w:val="24"/>
          <w:szCs w:val="24"/>
        </w:rPr>
        <w:t>是指符合</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〔2017〕141</w:t>
      </w:r>
      <w:r>
        <w:rPr>
          <w:rFonts w:hint="eastAsia" w:ascii="仿宋" w:hAnsi="仿宋" w:eastAsia="仿宋" w:cs="仿宋"/>
          <w:color w:val="auto"/>
          <w:spacing w:val="6"/>
          <w:sz w:val="24"/>
          <w:szCs w:val="24"/>
        </w:rPr>
        <w:t>号）规定条件的单位。</w:t>
      </w:r>
    </w:p>
    <w:p w14:paraId="16458936">
      <w:pPr>
        <w:adjustRightInd w:val="0"/>
        <w:snapToGrid w:val="0"/>
        <w:spacing w:before="120" w:beforeLines="50" w:after="120" w:afterLines="50" w:line="360" w:lineRule="auto"/>
        <w:rPr>
          <w:rFonts w:hint="eastAsia" w:ascii="仿宋" w:hAnsi="仿宋" w:eastAsia="仿宋" w:cs="仿宋"/>
          <w:b/>
          <w:color w:val="auto"/>
          <w:kern w:val="0"/>
          <w:sz w:val="24"/>
          <w:szCs w:val="24"/>
        </w:rPr>
      </w:pPr>
      <w:r>
        <w:rPr>
          <w:rFonts w:hint="eastAsia" w:ascii="仿宋" w:hAnsi="仿宋" w:eastAsia="仿宋" w:cs="仿宋"/>
          <w:b/>
          <w:color w:val="auto"/>
          <w:sz w:val="24"/>
          <w:szCs w:val="24"/>
        </w:rPr>
        <w:t>1.3 合格的供应商</w:t>
      </w:r>
    </w:p>
    <w:p w14:paraId="41DF3D26">
      <w:pPr>
        <w:tabs>
          <w:tab w:val="left" w:pos="7665"/>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1.3.1 合格的供应商应具备以下条件：</w:t>
      </w:r>
    </w:p>
    <w:p w14:paraId="3898B460">
      <w:pPr>
        <w:tabs>
          <w:tab w:val="left" w:pos="7665"/>
        </w:tabs>
        <w:spacing w:line="360" w:lineRule="auto"/>
        <w:ind w:firstLine="480" w:firstLineChars="200"/>
        <w:rPr>
          <w:rFonts w:hint="eastAsia" w:ascii="仿宋" w:hAnsi="仿宋" w:eastAsia="仿宋" w:cs="仿宋"/>
          <w:color w:val="auto"/>
          <w:spacing w:val="-4"/>
          <w:sz w:val="24"/>
          <w:szCs w:val="24"/>
        </w:rPr>
      </w:pPr>
      <w:r>
        <w:rPr>
          <w:rFonts w:hint="eastAsia" w:ascii="仿宋" w:hAnsi="仿宋" w:eastAsia="仿宋" w:cs="仿宋"/>
          <w:color w:val="auto"/>
          <w:sz w:val="24"/>
          <w:szCs w:val="24"/>
        </w:rPr>
        <w:t>（1）具备且满足磋商文件规定的供应商资格条件</w:t>
      </w:r>
      <w:r>
        <w:rPr>
          <w:rFonts w:hint="eastAsia" w:ascii="仿宋" w:hAnsi="仿宋" w:eastAsia="仿宋" w:cs="仿宋"/>
          <w:color w:val="auto"/>
          <w:spacing w:val="-4"/>
          <w:sz w:val="24"/>
          <w:szCs w:val="24"/>
        </w:rPr>
        <w:t>；</w:t>
      </w:r>
    </w:p>
    <w:p w14:paraId="4666764E">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（2）从采购代理机构获取了磋商文件；</w:t>
      </w:r>
    </w:p>
    <w:p w14:paraId="27C4063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（3）向采购代理机构交纳了磋商保证金（仅限供应商须知前附表要求供应商提交保证金的）；</w:t>
      </w:r>
    </w:p>
    <w:p w14:paraId="08A80E0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（4）遵守国家和地方有关的法律法规、规章和规范性文件要求。</w:t>
      </w:r>
    </w:p>
    <w:p w14:paraId="66E2C0D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1.3.2 供应商不得存在下列情形之一：</w:t>
      </w:r>
    </w:p>
    <w:p w14:paraId="1931C1D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（l）与采购人、采购代理机构存在</w:t>
      </w:r>
      <w:r>
        <w:rPr>
          <w:rFonts w:hint="eastAsia" w:ascii="仿宋" w:hAnsi="仿宋" w:eastAsia="仿宋" w:cs="仿宋"/>
          <w:bCs/>
          <w:color w:val="auto"/>
          <w:sz w:val="24"/>
          <w:szCs w:val="24"/>
        </w:rPr>
        <w:t>隶属关系或者其他利害关系，且可能影响磋商公正性；</w:t>
      </w:r>
    </w:p>
    <w:p w14:paraId="64A8EAD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（2）与本采购项目其他供应商的法定代表人（或者负责人）为同一人；</w:t>
      </w:r>
    </w:p>
    <w:p w14:paraId="607F0DCE">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（3）与本采购项目其他供应商存在控股、管理关系；</w:t>
      </w:r>
    </w:p>
    <w:p w14:paraId="23D00FC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（4）为本项目采购代理机构；</w:t>
      </w:r>
    </w:p>
    <w:p w14:paraId="68F4B6A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（5）为本项目代理磋商的为其采购代理机构；</w:t>
      </w:r>
    </w:p>
    <w:p w14:paraId="58286EF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（6）为本项目提供整体设计、规范编制或者项目管理、监理、检测、咨询服务；</w:t>
      </w:r>
    </w:p>
    <w:p w14:paraId="7C458275">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（7）</w:t>
      </w:r>
      <w:r>
        <w:rPr>
          <w:rFonts w:hint="eastAsia" w:ascii="仿宋" w:hAnsi="仿宋" w:eastAsia="仿宋" w:cs="仿宋"/>
          <w:bCs/>
          <w:color w:val="auto"/>
          <w:sz w:val="24"/>
          <w:szCs w:val="24"/>
        </w:rPr>
        <w:t>受到刑事处罚；</w:t>
      </w:r>
    </w:p>
    <w:p w14:paraId="3BEB4424">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（8）受到财政部门5万元以上数额罚款的行政处罚或其他行政部门较大数额罚款的行政处罚（举行听证会的）；</w:t>
      </w:r>
    </w:p>
    <w:p w14:paraId="2ECB56FD">
      <w:pPr>
        <w:adjustRightInd w:val="0"/>
        <w:snapToGrid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（9）被责令停产停业、暂扣或者吊销许可证、暂扣或者吊销执照的行政处罚；</w:t>
      </w:r>
    </w:p>
    <w:p w14:paraId="536CFD4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（10）</w:t>
      </w:r>
      <w:r>
        <w:rPr>
          <w:rFonts w:hint="eastAsia" w:ascii="仿宋" w:hAnsi="仿宋" w:eastAsia="仿宋" w:cs="仿宋"/>
          <w:color w:val="auto"/>
          <w:sz w:val="24"/>
          <w:szCs w:val="24"/>
        </w:rPr>
        <w:t>被列入失信被执行人名单；</w:t>
      </w:r>
    </w:p>
    <w:p w14:paraId="72FE5532">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（11）被列入重大税收违法案件当事人名单；</w:t>
      </w:r>
    </w:p>
    <w:p w14:paraId="5855F34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（12）被禁止在一至三年内参加政府采购活动或存在</w:t>
      </w:r>
      <w:r>
        <w:rPr>
          <w:rFonts w:hint="eastAsia" w:ascii="仿宋" w:hAnsi="仿宋" w:eastAsia="仿宋" w:cs="仿宋"/>
          <w:color w:val="auto"/>
          <w:sz w:val="24"/>
          <w:szCs w:val="24"/>
        </w:rPr>
        <w:t>财政部门认定的其他重大违法记录；</w:t>
      </w:r>
    </w:p>
    <w:p w14:paraId="10103AF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（13）法律法规规定的其他情形。</w:t>
      </w:r>
    </w:p>
    <w:p w14:paraId="048C2F63">
      <w:pPr>
        <w:adjustRightInd w:val="0"/>
        <w:snapToGrid w:val="0"/>
        <w:spacing w:before="120" w:beforeLines="50" w:after="120" w:afterLines="5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1.4 合格的</w:t>
      </w:r>
      <w:r>
        <w:rPr>
          <w:rFonts w:hint="eastAsia" w:ascii="仿宋" w:hAnsi="仿宋" w:eastAsia="仿宋" w:cs="仿宋"/>
          <w:b/>
          <w:bCs/>
          <w:color w:val="auto"/>
          <w:sz w:val="24"/>
          <w:szCs w:val="24"/>
          <w:lang w:val="en-US" w:eastAsia="zh-CN"/>
        </w:rPr>
        <w:t>工程</w:t>
      </w:r>
    </w:p>
    <w:bookmarkEnd w:id="23"/>
    <w:bookmarkEnd w:id="24"/>
    <w:bookmarkEnd w:id="25"/>
    <w:p w14:paraId="31C94463">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bookmarkStart w:id="34" w:name="_Toc217446047"/>
      <w:bookmarkStart w:id="35" w:name="_Toc183682345"/>
      <w:bookmarkStart w:id="36" w:name="_Toc217446037"/>
      <w:bookmarkStart w:id="37" w:name="_Toc183582208"/>
      <w:r>
        <w:rPr>
          <w:rFonts w:hint="eastAsia" w:ascii="仿宋" w:hAnsi="仿宋" w:eastAsia="仿宋" w:cs="仿宋"/>
          <w:color w:val="auto"/>
          <w:sz w:val="24"/>
          <w:szCs w:val="24"/>
          <w:highlight w:val="none"/>
        </w:rPr>
        <w:t>1.4.1 供应商</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的所有</w:t>
      </w:r>
      <w:r>
        <w:rPr>
          <w:rFonts w:hint="eastAsia" w:ascii="仿宋" w:hAnsi="仿宋" w:eastAsia="仿宋" w:cs="仿宋"/>
          <w:color w:val="auto"/>
          <w:sz w:val="24"/>
          <w:szCs w:val="24"/>
          <w:highlight w:val="none"/>
          <w:lang w:val="en-US" w:eastAsia="zh-CN"/>
        </w:rPr>
        <w:t>工程</w:t>
      </w:r>
      <w:r>
        <w:rPr>
          <w:rFonts w:hint="eastAsia" w:ascii="仿宋" w:hAnsi="仿宋" w:eastAsia="仿宋" w:cs="仿宋"/>
          <w:color w:val="auto"/>
          <w:sz w:val="24"/>
          <w:szCs w:val="24"/>
          <w:highlight w:val="none"/>
        </w:rPr>
        <w:t>，符合国家有关标准和规范，并满足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文件规定的</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要求。</w:t>
      </w:r>
    </w:p>
    <w:p w14:paraId="3BB1E0FC">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若本项目包括提供货物的，所供货物亦必须是合法生产、合法来源，符合国家有关标准要求，并满足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文件规定的规格、参数、质量、有效期、售后服务及供应商须承担的运输、安装、技术支持、培训和</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文件规定的其它伴随服务等要求。</w:t>
      </w:r>
    </w:p>
    <w:p w14:paraId="7CDECE3D">
      <w:pPr>
        <w:shd w:val="clear"/>
        <w:tabs>
          <w:tab w:val="left" w:pos="747"/>
        </w:tabs>
        <w:snapToGrid w:val="0"/>
        <w:spacing w:line="360" w:lineRule="auto"/>
        <w:ind w:firstLine="480" w:firstLineChars="200"/>
        <w:rPr>
          <w:rFonts w:ascii="宋体" w:hAnsi="宋体"/>
          <w:color w:val="auto"/>
          <w:szCs w:val="21"/>
          <w:highlight w:val="none"/>
        </w:rPr>
      </w:pPr>
      <w:r>
        <w:rPr>
          <w:rFonts w:hint="eastAsia" w:ascii="仿宋" w:hAnsi="仿宋" w:eastAsia="仿宋" w:cs="仿宋"/>
          <w:color w:val="auto"/>
          <w:sz w:val="24"/>
          <w:szCs w:val="24"/>
          <w:highlight w:val="none"/>
        </w:rPr>
        <w:t>1.4.2 采购人有权拒绝接受任何不合格的</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，由此产生的费用及相关后果均由供应商自行承担。</w:t>
      </w:r>
    </w:p>
    <w:p w14:paraId="246D8E20">
      <w:pPr>
        <w:pStyle w:val="11"/>
        <w:spacing w:before="120" w:beforeLines="50" w:after="120" w:afterLines="50" w:line="360" w:lineRule="auto"/>
        <w:ind w:firstLine="0"/>
        <w:rPr>
          <w:rFonts w:hint="eastAsia" w:ascii="仿宋" w:hAnsi="仿宋" w:eastAsia="仿宋" w:cs="仿宋"/>
          <w:b/>
          <w:bCs/>
          <w:color w:val="auto"/>
          <w:sz w:val="24"/>
          <w:szCs w:val="24"/>
        </w:rPr>
      </w:pPr>
      <w:r>
        <w:rPr>
          <w:rFonts w:hint="eastAsia" w:ascii="仿宋" w:hAnsi="仿宋" w:eastAsia="仿宋" w:cs="仿宋"/>
          <w:b/>
          <w:bCs/>
          <w:color w:val="auto"/>
          <w:sz w:val="24"/>
          <w:szCs w:val="24"/>
        </w:rPr>
        <w:t>1.5 知识产权</w:t>
      </w:r>
      <w:bookmarkEnd w:id="34"/>
    </w:p>
    <w:p w14:paraId="78ED1893">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1.5.1 供应商应保证在本项目提供的任何服务和货物（包括部分使用）时，不会产生因第三方提出侵犯其专利权、商标权或其它知识产权而引起的法律和经济纠纷，如因专利权、商标权或其它知识产权而引起法律和经济纠纷，由供应商承担所有相关责任。</w:t>
      </w:r>
    </w:p>
    <w:p w14:paraId="2D8E5F4B">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采购人享有本项目实施过程中产生的知识成果及知识产权。</w:t>
      </w:r>
    </w:p>
    <w:p w14:paraId="184C7B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76C6ED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1.5.4 如采用供应商所不拥有的知识产权，则在报价中必须包括合法获取该知识产权的相关费用。</w:t>
      </w:r>
    </w:p>
    <w:p w14:paraId="191D5FE6">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磋商费用</w:t>
      </w:r>
      <w:bookmarkEnd w:id="35"/>
      <w:bookmarkEnd w:id="36"/>
      <w:bookmarkEnd w:id="37"/>
    </w:p>
    <w:p w14:paraId="40B57821">
      <w:pPr>
        <w:tabs>
          <w:tab w:val="left" w:pos="7665"/>
        </w:tabs>
        <w:spacing w:line="360" w:lineRule="auto"/>
        <w:ind w:firstLine="491" w:firstLineChars="205"/>
        <w:rPr>
          <w:rFonts w:hint="eastAsia" w:ascii="仿宋" w:hAnsi="仿宋" w:eastAsia="仿宋" w:cs="仿宋"/>
          <w:color w:val="auto"/>
          <w:sz w:val="24"/>
          <w:szCs w:val="24"/>
        </w:rPr>
      </w:pPr>
      <w:r>
        <w:rPr>
          <w:rFonts w:hint="eastAsia" w:ascii="仿宋" w:hAnsi="仿宋" w:eastAsia="仿宋" w:cs="仿宋"/>
          <w:color w:val="auto"/>
          <w:sz w:val="24"/>
          <w:szCs w:val="24"/>
        </w:rPr>
        <w:t>不论磋商结果如何，供应商应自行承担所有与准备和参加磋商相关的全部费用。</w:t>
      </w:r>
      <w:bookmarkStart w:id="38" w:name="_Toc183582209"/>
      <w:bookmarkStart w:id="39" w:name="_Toc217446038"/>
      <w:bookmarkStart w:id="40" w:name="_Toc183682346"/>
      <w:bookmarkStart w:id="41" w:name="_Toc77400779"/>
      <w:bookmarkStart w:id="42" w:name="_Toc89075875"/>
    </w:p>
    <w:p w14:paraId="20F7662E">
      <w:pPr>
        <w:autoSpaceDE w:val="0"/>
        <w:autoSpaceDN w:val="0"/>
        <w:spacing w:before="120" w:beforeLines="50" w:after="120" w:afterLines="50"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1.7 保密</w:t>
      </w:r>
    </w:p>
    <w:p w14:paraId="7F461C4D">
      <w:pPr>
        <w:autoSpaceDE w:val="0"/>
        <w:autoSpaceDN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lang w:val="zh-CN"/>
        </w:rPr>
        <w:t xml:space="preserve">参与采购活动的当事人应对磋商文件和响应文件中的商业秘密、技术秘密和个人隐私等保密，违者应对由此造成的后果承担法律责任。 </w:t>
      </w:r>
    </w:p>
    <w:p w14:paraId="1F478932">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1.8语言文字</w:t>
      </w:r>
    </w:p>
    <w:p w14:paraId="1D4188BA">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1.8.1 磋商文件与响应文件使用的语言为中文。专用术语使用外文的，应附有中文注释。</w:t>
      </w:r>
    </w:p>
    <w:p w14:paraId="7579D85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1.8.2 响应文件中如附有外文资料，必须逐一对应翻译成中文并加盖供应商单位章后附在相关外文资料后面，否则，供应商的响应文件将作为无效响应文件处理。</w:t>
      </w:r>
    </w:p>
    <w:p w14:paraId="3F139526">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1.8.3 响应文件中翻译的中文资料与外文资料如果出现差异和矛盾时，以中文为准。但不能故意错误翻译，否则，供应商的响应文件将作为无效响应文件处理。</w:t>
      </w:r>
      <w:r>
        <w:rPr>
          <w:rFonts w:hint="eastAsia" w:ascii="仿宋" w:hAnsi="仿宋" w:eastAsia="仿宋" w:cs="仿宋"/>
          <w:color w:val="auto"/>
          <w:kern w:val="0"/>
          <w:sz w:val="24"/>
          <w:szCs w:val="24"/>
        </w:rPr>
        <w:t>必要时采购人可以要求供应商提供附有公证书的中文翻译文件或者与原版文件签章相一致的中文翻译文件。</w:t>
      </w:r>
    </w:p>
    <w:p w14:paraId="296D3A2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1.9计量单位</w:t>
      </w:r>
    </w:p>
    <w:p w14:paraId="061BDE2D">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所有计量单位均采用中华人民共和国法定计量单位。</w:t>
      </w:r>
    </w:p>
    <w:p w14:paraId="66BC88A7">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1.10 答疑会或现场考察</w:t>
      </w:r>
    </w:p>
    <w:p w14:paraId="3BC031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1.10.1 根据本采购项目的具体情况，采购代理机构认为有必要，可以组织召磋商前答疑会或组织供应商对项目现场进行考察，澄清供应商提出的问题。答疑会或进行现场考察的时间与地点，采购代理机构将以书面形式通知所有获取了磋商文件的供应商。</w:t>
      </w:r>
    </w:p>
    <w:p w14:paraId="4AEC8D62">
      <w:pPr>
        <w:adjustRightInd w:val="0"/>
        <w:snapToGrid w:val="0"/>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1.10.2 答疑会或现场考察后，采购人或采购代理机构对供应商所提问题的澄清，以书面形式通知所有获取了磋商文件的供应商。该澄清内容为磋商文件的组成部分。</w:t>
      </w:r>
    </w:p>
    <w:p w14:paraId="7D2EB09A">
      <w:pPr>
        <w:adjustRightInd w:val="0"/>
        <w:snapToGrid w:val="0"/>
        <w:spacing w:line="360" w:lineRule="auto"/>
        <w:ind w:firstLine="420" w:firstLineChars="175"/>
        <w:rPr>
          <w:rFonts w:ascii="宋体" w:hAnsi="宋体"/>
          <w:color w:val="auto"/>
          <w:szCs w:val="21"/>
        </w:rPr>
      </w:pPr>
      <w:r>
        <w:rPr>
          <w:rFonts w:hint="eastAsia" w:ascii="仿宋" w:hAnsi="仿宋" w:eastAsia="仿宋" w:cs="仿宋"/>
          <w:color w:val="auto"/>
          <w:sz w:val="24"/>
          <w:szCs w:val="24"/>
        </w:rPr>
        <w:t>1.10.3 采购人或采购代理机构不对供应商现场考察而做出的推论、理解和结论负责。一旦成交，成交供应商不得以任何借口，提出额外补偿，或延长合同期限的要求。</w:t>
      </w:r>
    </w:p>
    <w:p w14:paraId="46D74C63">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1.11响应与偏离</w:t>
      </w:r>
    </w:p>
    <w:p w14:paraId="4B48ADE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1.11.1响应文件应当对磋商文件实质性要求和条件作出满足性或有利于采购人的响应，否则，供应商的响应文件无效。</w:t>
      </w:r>
    </w:p>
    <w:p w14:paraId="5C79FBE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1.11.2</w:t>
      </w:r>
      <w:r>
        <w:rPr>
          <w:rFonts w:hint="eastAsia" w:ascii="仿宋" w:hAnsi="仿宋" w:eastAsia="仿宋" w:cs="仿宋"/>
          <w:b/>
          <w:color w:val="auto"/>
          <w:sz w:val="24"/>
          <w:szCs w:val="24"/>
        </w:rPr>
        <w:t>偏离</w:t>
      </w:r>
      <w:r>
        <w:rPr>
          <w:rFonts w:hint="eastAsia" w:ascii="仿宋" w:hAnsi="仿宋" w:eastAsia="仿宋" w:cs="仿宋"/>
          <w:color w:val="auto"/>
          <w:sz w:val="24"/>
          <w:szCs w:val="24"/>
        </w:rPr>
        <w:t>是指响应文件不响应或者不满足磋商文件提出的要求和条件，分为实质性偏离和非实质性偏离。</w:t>
      </w:r>
    </w:p>
    <w:p w14:paraId="4B18E1EB">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1.11.3除法律、法规和磋商文件规定的其他响应无效情形外，磋商文件中用“</w:t>
      </w:r>
      <w:r>
        <w:rPr>
          <w:rFonts w:hint="eastAsia" w:ascii="仿宋" w:hAnsi="仿宋" w:eastAsia="仿宋" w:cs="仿宋"/>
          <w:bCs/>
          <w:color w:val="auto"/>
          <w:sz w:val="24"/>
          <w:szCs w:val="24"/>
        </w:rPr>
        <w:t>☆</w:t>
      </w:r>
      <w:r>
        <w:rPr>
          <w:rFonts w:hint="eastAsia" w:ascii="仿宋" w:hAnsi="仿宋" w:eastAsia="仿宋" w:cs="仿宋"/>
          <w:color w:val="auto"/>
          <w:sz w:val="24"/>
          <w:szCs w:val="24"/>
        </w:rPr>
        <w:t>”符号标明的条款为实质性要求和条件，响应文件对其中任何一条的偏离，为实质性偏离，其响应文件无效。</w:t>
      </w:r>
    </w:p>
    <w:p w14:paraId="2B5707EF">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1.11.4 响应文件偏离磋商文件的非实质性要求和条件，为非实质性偏离。非实质性偏离的范围和项数应当符合供应商须知前附表的规定，超出偏离范围和最高项数的响应文件无效。</w:t>
      </w:r>
    </w:p>
    <w:p w14:paraId="745C7F9E">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1.11.5 响应文件对磋商文件的全部偏离，均应在响应文件商务条款偏离表和技术参数偏离表中列明，除列明的内容外，视为供应商响应响应磋商文件的全部要求。</w:t>
      </w:r>
    </w:p>
    <w:p w14:paraId="2007BA3D">
      <w:pPr>
        <w:adjustRightInd w:val="0"/>
        <w:snapToGrid w:val="0"/>
        <w:spacing w:line="360" w:lineRule="auto"/>
        <w:ind w:firstLine="480" w:firstLineChars="200"/>
        <w:jc w:val="left"/>
        <w:rPr>
          <w:color w:val="auto"/>
        </w:rPr>
      </w:pPr>
      <w:r>
        <w:rPr>
          <w:rFonts w:hint="eastAsia" w:ascii="仿宋" w:hAnsi="仿宋" w:eastAsia="仿宋" w:cs="仿宋"/>
          <w:color w:val="auto"/>
          <w:sz w:val="24"/>
          <w:szCs w:val="24"/>
        </w:rPr>
        <w:t>1.11.6 在磋商过程中，磋商小组若根据磋商文件和磋商情况实质性变动采购需求中的技术、服务要求以及合同草案条款的，供应商据此重新提交的响应文件，也适用本条款</w:t>
      </w:r>
      <w:r>
        <w:rPr>
          <w:rFonts w:hint="eastAsia" w:ascii="宋体" w:hAnsi="宋体"/>
          <w:color w:val="auto"/>
        </w:rPr>
        <w:t>。</w:t>
      </w:r>
    </w:p>
    <w:p w14:paraId="63E234FA">
      <w:pPr>
        <w:jc w:val="left"/>
        <w:outlineLvl w:val="9"/>
        <w:rPr>
          <w:rFonts w:hint="eastAsia" w:ascii="仿宋" w:hAnsi="仿宋" w:eastAsia="仿宋" w:cs="仿宋"/>
          <w:b w:val="0"/>
          <w:color w:val="auto"/>
          <w:sz w:val="24"/>
          <w:szCs w:val="24"/>
        </w:rPr>
      </w:pPr>
      <w:bookmarkStart w:id="43" w:name="_Toc24496"/>
      <w:r>
        <w:rPr>
          <w:rFonts w:hint="eastAsia" w:ascii="仿宋" w:hAnsi="仿宋" w:eastAsia="仿宋" w:cs="仿宋"/>
          <w:b w:val="0"/>
          <w:color w:val="auto"/>
          <w:sz w:val="24"/>
          <w:szCs w:val="24"/>
        </w:rPr>
        <w:t>2.磋商文件</w:t>
      </w:r>
      <w:bookmarkEnd w:id="38"/>
      <w:bookmarkEnd w:id="39"/>
      <w:bookmarkEnd w:id="40"/>
      <w:bookmarkEnd w:id="41"/>
      <w:bookmarkEnd w:id="42"/>
      <w:bookmarkEnd w:id="43"/>
      <w:bookmarkStart w:id="44" w:name="_Toc183582210"/>
      <w:bookmarkStart w:id="45" w:name="_Toc217446039"/>
      <w:bookmarkStart w:id="46" w:name="_Toc183682347"/>
    </w:p>
    <w:p w14:paraId="6B757EA7">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2.1 磋商文件的</w:t>
      </w:r>
      <w:bookmarkEnd w:id="44"/>
      <w:bookmarkEnd w:id="45"/>
      <w:bookmarkEnd w:id="46"/>
      <w:r>
        <w:rPr>
          <w:rFonts w:hint="eastAsia" w:ascii="仿宋" w:hAnsi="仿宋" w:eastAsia="仿宋" w:cs="仿宋"/>
          <w:b/>
          <w:color w:val="auto"/>
          <w:sz w:val="24"/>
          <w:szCs w:val="24"/>
        </w:rPr>
        <w:t>组成</w:t>
      </w:r>
    </w:p>
    <w:p w14:paraId="3DD3DB30">
      <w:pPr>
        <w:tabs>
          <w:tab w:val="left" w:pos="7665"/>
        </w:tabs>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本磋商文件包括以下内容：</w:t>
      </w:r>
    </w:p>
    <w:p w14:paraId="4240897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（1）竞争性磋商公告；</w:t>
      </w:r>
    </w:p>
    <w:p w14:paraId="2E7E20E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（2）供应商须知；</w:t>
      </w:r>
    </w:p>
    <w:p w14:paraId="2170FFC9">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（3）磋商办法；</w:t>
      </w:r>
    </w:p>
    <w:p w14:paraId="52607094">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（4）采购内容及要求；</w:t>
      </w:r>
    </w:p>
    <w:p w14:paraId="47985458">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（5）合同主要条款；</w:t>
      </w:r>
    </w:p>
    <w:p w14:paraId="47AA93E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（6）响应文件格式要求。</w:t>
      </w:r>
      <w:bookmarkStart w:id="47" w:name="_Toc183682348"/>
      <w:bookmarkStart w:id="48" w:name="_Toc183582211"/>
      <w:bookmarkStart w:id="49" w:name="_Toc217446040"/>
    </w:p>
    <w:p w14:paraId="7032A358">
      <w:pPr>
        <w:tabs>
          <w:tab w:val="left" w:pos="7665"/>
        </w:tabs>
        <w:spacing w:line="360" w:lineRule="auto"/>
        <w:ind w:firstLine="480" w:firstLineChars="200"/>
        <w:rPr>
          <w:rFonts w:ascii="宋体" w:hAnsi="宋体"/>
          <w:color w:val="auto"/>
          <w:szCs w:val="21"/>
        </w:rPr>
      </w:pPr>
      <w:r>
        <w:rPr>
          <w:rFonts w:hint="eastAsia" w:ascii="仿宋" w:hAnsi="仿宋" w:eastAsia="仿宋" w:cs="仿宋"/>
          <w:color w:val="auto"/>
          <w:sz w:val="24"/>
          <w:szCs w:val="24"/>
        </w:rPr>
        <w:t>根据本章第1.10条款、第2.2条款款对磋商文件所作的澄清、修改，构成磋商文件的组成部分</w:t>
      </w:r>
      <w:r>
        <w:rPr>
          <w:rFonts w:hint="eastAsia" w:ascii="宋体" w:hAnsi="宋体"/>
          <w:color w:val="auto"/>
          <w:szCs w:val="21"/>
        </w:rPr>
        <w:t>。</w:t>
      </w:r>
    </w:p>
    <w:p w14:paraId="480AFE34">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2.2 磋商文件的澄清</w:t>
      </w:r>
      <w:bookmarkEnd w:id="47"/>
      <w:bookmarkEnd w:id="48"/>
      <w:r>
        <w:rPr>
          <w:rFonts w:hint="eastAsia" w:ascii="仿宋" w:hAnsi="仿宋" w:eastAsia="仿宋" w:cs="仿宋"/>
          <w:b/>
          <w:color w:val="auto"/>
          <w:sz w:val="24"/>
          <w:szCs w:val="24"/>
        </w:rPr>
        <w:t>和修改</w:t>
      </w:r>
      <w:bookmarkEnd w:id="49"/>
    </w:p>
    <w:p w14:paraId="1BD88B58">
      <w:pPr>
        <w:tabs>
          <w:tab w:val="left" w:pos="72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2.2.1 在提交首次响应文件截止时间前，采购代理机构无论出于何种原因，可以对磋商文件进行澄清或者修改。</w:t>
      </w:r>
    </w:p>
    <w:p w14:paraId="06848B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 采购人或采购代理机构可以对已发出的磋商文件进行必要的澄清或者修改，澄清或修改的内容可能影响响应文件编制的，应当在提交首次响应文件截止时间</w:t>
      </w:r>
      <w:r>
        <w:rPr>
          <w:rFonts w:hint="eastAsia" w:ascii="仿宋" w:hAnsi="仿宋" w:eastAsia="仿宋" w:cs="仿宋"/>
          <w:b/>
          <w:color w:val="auto"/>
          <w:sz w:val="24"/>
          <w:szCs w:val="24"/>
        </w:rPr>
        <w:t>5</w:t>
      </w:r>
      <w:r>
        <w:rPr>
          <w:rFonts w:hint="eastAsia" w:ascii="仿宋" w:hAnsi="仿宋" w:eastAsia="仿宋" w:cs="仿宋"/>
          <w:color w:val="auto"/>
          <w:sz w:val="24"/>
          <w:szCs w:val="24"/>
        </w:rPr>
        <w:t>日前，以书面形式将澄清或者修改的内容通知所有获取磋商文件的供应商，同时在原信息发布媒体上发布变更公告；供应商在收到上述通知后，应立即以书面形式向采购代理机构确认；不足</w:t>
      </w:r>
      <w:r>
        <w:rPr>
          <w:rFonts w:hint="eastAsia" w:ascii="仿宋" w:hAnsi="仿宋" w:eastAsia="仿宋" w:cs="仿宋"/>
          <w:b/>
          <w:color w:val="auto"/>
          <w:sz w:val="24"/>
          <w:szCs w:val="24"/>
        </w:rPr>
        <w:t>5</w:t>
      </w:r>
      <w:r>
        <w:rPr>
          <w:rFonts w:hint="eastAsia" w:ascii="仿宋" w:hAnsi="仿宋" w:eastAsia="仿宋" w:cs="仿宋"/>
          <w:color w:val="auto"/>
          <w:sz w:val="24"/>
          <w:szCs w:val="24"/>
        </w:rPr>
        <w:t>日的，将相应顺延提交首次响应文件截止时间。</w:t>
      </w:r>
    </w:p>
    <w:p w14:paraId="07A376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w:t>
      </w:r>
      <w:r>
        <w:rPr>
          <w:rFonts w:hint="eastAsia" w:ascii="仿宋" w:hAnsi="仿宋" w:eastAsia="仿宋" w:cs="仿宋"/>
          <w:bCs/>
          <w:color w:val="auto"/>
          <w:sz w:val="24"/>
          <w:szCs w:val="24"/>
        </w:rPr>
        <w:t xml:space="preserve">.3 </w:t>
      </w:r>
      <w:r>
        <w:rPr>
          <w:rFonts w:hint="eastAsia" w:ascii="仿宋" w:hAnsi="仿宋" w:eastAsia="仿宋" w:cs="仿宋"/>
          <w:color w:val="auto"/>
          <w:sz w:val="24"/>
          <w:szCs w:val="24"/>
        </w:rPr>
        <w:t>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w:t>
      </w:r>
      <w:r>
        <w:rPr>
          <w:rFonts w:hint="eastAsia" w:ascii="仿宋" w:hAnsi="仿宋" w:eastAsia="仿宋" w:cs="仿宋"/>
          <w:b/>
          <w:color w:val="auto"/>
          <w:sz w:val="24"/>
          <w:szCs w:val="24"/>
        </w:rPr>
        <w:t>3</w:t>
      </w:r>
      <w:r>
        <w:rPr>
          <w:rFonts w:hint="eastAsia" w:ascii="仿宋" w:hAnsi="仿宋" w:eastAsia="仿宋" w:cs="仿宋"/>
          <w:color w:val="auto"/>
          <w:sz w:val="24"/>
          <w:szCs w:val="24"/>
        </w:rPr>
        <w:t>日前按磋商文件中的联系方式，以书面形式向采购代理机构提出，采购代理机构应当在</w:t>
      </w:r>
      <w:r>
        <w:rPr>
          <w:rFonts w:hint="eastAsia" w:ascii="仿宋" w:hAnsi="仿宋" w:eastAsia="仿宋" w:cs="仿宋"/>
          <w:b/>
          <w:color w:val="auto"/>
          <w:sz w:val="24"/>
          <w:szCs w:val="24"/>
        </w:rPr>
        <w:t>2</w:t>
      </w:r>
      <w:r>
        <w:rPr>
          <w:rFonts w:hint="eastAsia" w:ascii="仿宋" w:hAnsi="仿宋" w:eastAsia="仿宋" w:cs="仿宋"/>
          <w:color w:val="auto"/>
          <w:sz w:val="24"/>
          <w:szCs w:val="24"/>
        </w:rPr>
        <w:t>日内，以书面形式予以答复（答复中不包括问题的来源），或认为有必要召开答疑会。超过该时间收到的询问或需要澄清的内容，采购代理机构有权不予答复。</w:t>
      </w:r>
    </w:p>
    <w:p w14:paraId="2FDC884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2.2.4 在提交首次响应文件截止时间前，采购代理机构可以视采购具体情况，延长提交首次响应文件截止时间，并将变更时间以书面形式通知所有获取了磋商文件的供应商，同时在原信息发布媒体上发布变更公告。</w:t>
      </w:r>
      <w:bookmarkStart w:id="50" w:name="_Toc217446041"/>
      <w:bookmarkStart w:id="51" w:name="_Toc208848971"/>
      <w:bookmarkStart w:id="52" w:name="_Toc183582213"/>
      <w:bookmarkStart w:id="53" w:name="_Toc183682350"/>
    </w:p>
    <w:p w14:paraId="45356DB5">
      <w:pPr>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2.2.5 当磋商文件的澄清、答复、修改或补充通知与磋商文件就同一内容表述不一致时，以最后发出的书面文件内容为准。</w:t>
      </w:r>
    </w:p>
    <w:bookmarkEnd w:id="50"/>
    <w:bookmarkEnd w:id="51"/>
    <w:bookmarkEnd w:id="52"/>
    <w:bookmarkEnd w:id="53"/>
    <w:p w14:paraId="49E48B29">
      <w:pPr>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2.3磋商文件的解释权</w:t>
      </w:r>
    </w:p>
    <w:p w14:paraId="0781DA26">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磋商文件的解释权归采购代理机构，如发现磋商文件内容与现行法律法规不相符的情况，以现行法律法规为准。</w:t>
      </w:r>
    </w:p>
    <w:p w14:paraId="6091F67B">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54" w:name="_Toc21394"/>
      <w:bookmarkStart w:id="55" w:name="_Toc77400780"/>
      <w:bookmarkStart w:id="56" w:name="_Toc183682351"/>
      <w:bookmarkStart w:id="57" w:name="_Toc183582214"/>
      <w:bookmarkStart w:id="58" w:name="_Toc89075876"/>
      <w:bookmarkStart w:id="59" w:name="_Toc217446042"/>
      <w:r>
        <w:rPr>
          <w:rFonts w:hint="eastAsia" w:ascii="仿宋" w:hAnsi="仿宋" w:eastAsia="仿宋" w:cs="仿宋"/>
          <w:color w:val="auto"/>
          <w:sz w:val="24"/>
          <w:szCs w:val="24"/>
        </w:rPr>
        <w:t>3.供应商</w:t>
      </w:r>
      <w:bookmarkEnd w:id="54"/>
    </w:p>
    <w:bookmarkEnd w:id="55"/>
    <w:bookmarkEnd w:id="56"/>
    <w:bookmarkEnd w:id="57"/>
    <w:bookmarkEnd w:id="58"/>
    <w:bookmarkEnd w:id="59"/>
    <w:p w14:paraId="13A1A4AD">
      <w:pPr>
        <w:pStyle w:val="8"/>
        <w:keepNext w:val="0"/>
        <w:keepLines w:val="0"/>
        <w:pageBreakBefore w:val="0"/>
        <w:kinsoku/>
        <w:wordWrap/>
        <w:overflowPunct/>
        <w:topLinePunct w:val="0"/>
        <w:autoSpaceDE/>
        <w:autoSpaceDN/>
        <w:bidi w:val="0"/>
        <w:spacing w:after="120" w:afterLines="50" w:line="360" w:lineRule="auto"/>
        <w:ind w:firstLine="0"/>
        <w:rPr>
          <w:rFonts w:hint="eastAsia" w:ascii="仿宋" w:hAnsi="仿宋" w:eastAsia="仿宋" w:cs="仿宋"/>
          <w:b/>
          <w:color w:val="auto"/>
          <w:sz w:val="24"/>
          <w:szCs w:val="24"/>
        </w:rPr>
      </w:pPr>
      <w:bookmarkStart w:id="60" w:name="_Toc217446043"/>
      <w:bookmarkStart w:id="61" w:name="_Toc183582215"/>
      <w:bookmarkStart w:id="62" w:name="_Toc183682352"/>
      <w:r>
        <w:rPr>
          <w:rFonts w:hint="eastAsia" w:ascii="仿宋" w:hAnsi="仿宋" w:eastAsia="仿宋" w:cs="仿宋"/>
          <w:b/>
          <w:color w:val="auto"/>
          <w:sz w:val="24"/>
          <w:szCs w:val="24"/>
        </w:rPr>
        <w:t>3.1供应商资格要求</w:t>
      </w:r>
    </w:p>
    <w:p w14:paraId="434FBF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3.1.1 </w:t>
      </w:r>
      <w:r>
        <w:rPr>
          <w:rFonts w:hint="eastAsia" w:ascii="仿宋" w:hAnsi="仿宋" w:eastAsia="仿宋" w:cs="仿宋"/>
          <w:color w:val="auto"/>
          <w:kern w:val="0"/>
          <w:sz w:val="24"/>
          <w:szCs w:val="24"/>
        </w:rPr>
        <w:t>供应商应符合《中华人民共和国政府采购法》第二十二条规定的资格条件，</w:t>
      </w:r>
      <w:r>
        <w:rPr>
          <w:rFonts w:hint="eastAsia" w:ascii="仿宋" w:hAnsi="仿宋" w:eastAsia="仿宋" w:cs="仿宋"/>
          <w:color w:val="auto"/>
          <w:kern w:val="0"/>
          <w:sz w:val="24"/>
          <w:szCs w:val="24"/>
          <w:lang w:val="zh-CN"/>
        </w:rPr>
        <w:t>并按照《政府采购法实施条例》第十七条规定提供下列材料：</w:t>
      </w:r>
    </w:p>
    <w:p w14:paraId="235F0CE3">
      <w:pPr>
        <w:pStyle w:val="43"/>
        <w:keepNext w:val="0"/>
        <w:keepLines w:val="0"/>
        <w:pageBreakBefore w:val="0"/>
        <w:kinsoku/>
        <w:wordWrap/>
        <w:overflowPunct/>
        <w:topLinePunct w:val="0"/>
        <w:autoSpaceDE/>
        <w:autoSpaceDN/>
        <w:bidi w:val="0"/>
        <w:spacing w:line="360" w:lineRule="auto"/>
        <w:ind w:left="480"/>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004D1AF9">
      <w:pPr>
        <w:widowControl/>
        <w:snapToGrid w:val="0"/>
        <w:spacing w:line="360" w:lineRule="auto"/>
        <w:ind w:firstLine="480"/>
        <w:jc w:val="left"/>
        <w:rPr>
          <w:rFonts w:hint="eastAsia" w:ascii="仿宋" w:hAnsi="仿宋" w:eastAsia="仿宋" w:cs="仿宋"/>
          <w:b/>
          <w:bCs/>
          <w:color w:val="auto"/>
          <w:sz w:val="24"/>
          <w:szCs w:val="24"/>
          <w:shd w:val="clear" w:color="auto" w:fill="FFFFFF"/>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p>
    <w:p w14:paraId="234C6534">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采购人或采购代理机构</w:t>
      </w:r>
      <w:r>
        <w:rPr>
          <w:rFonts w:hint="eastAsia" w:ascii="仿宋" w:hAnsi="仿宋" w:eastAsia="仿宋" w:cs="仿宋"/>
          <w:color w:val="auto"/>
          <w:sz w:val="24"/>
          <w:szCs w:val="24"/>
          <w:shd w:val="clear" w:color="auto" w:fill="FFFFFF"/>
        </w:rPr>
        <w:t>将在磋商截止日当天资格审查阶段通过【信用中国（www.creditchina.gov.cn）】和【中国政府采购网（www.ccgp.gov.cn）】等网站对供应商的信用情况进行查询，并将网页截图附在评审资料中作为留存依据（如相关失信记录已失效，供应商需提供相关证明资料，若没有则此项不需要提供）。</w:t>
      </w:r>
    </w:p>
    <w:p w14:paraId="512DC392">
      <w:pPr>
        <w:snapToGrid w:val="0"/>
        <w:spacing w:line="360" w:lineRule="auto"/>
        <w:ind w:firstLine="482" w:firstLineChars="200"/>
        <w:jc w:val="left"/>
        <w:rPr>
          <w:rFonts w:hint="eastAsia" w:ascii="仿宋" w:hAnsi="仿宋" w:eastAsia="仿宋" w:cs="仿宋"/>
          <w:b/>
          <w:color w:val="000000"/>
          <w:sz w:val="24"/>
          <w:szCs w:val="24"/>
          <w:lang w:val="en-US" w:eastAsia="zh-CN"/>
        </w:rPr>
      </w:pPr>
      <w:r>
        <w:rPr>
          <w:rFonts w:hint="eastAsia" w:ascii="仿宋" w:hAnsi="仿宋" w:eastAsia="仿宋" w:cs="仿宋"/>
          <w:b/>
          <w:bCs/>
          <w:color w:val="000000"/>
          <w:sz w:val="24"/>
          <w:szCs w:val="24"/>
        </w:rPr>
        <w:t>注：</w:t>
      </w:r>
      <w:r>
        <w:rPr>
          <w:rFonts w:hint="eastAsia" w:ascii="仿宋" w:hAnsi="仿宋" w:eastAsia="仿宋" w:cs="仿宋"/>
          <w:b/>
          <w:color w:val="000000"/>
          <w:sz w:val="24"/>
          <w:szCs w:val="24"/>
        </w:rPr>
        <w:t>以上为必备资质，缺一项或某项达不到要求，按无效</w:t>
      </w:r>
      <w:r>
        <w:rPr>
          <w:rFonts w:hint="eastAsia" w:ascii="仿宋" w:hAnsi="仿宋" w:eastAsia="仿宋" w:cs="仿宋"/>
          <w:b/>
          <w:color w:val="000000"/>
          <w:sz w:val="24"/>
          <w:szCs w:val="24"/>
          <w:lang w:val="en-US" w:eastAsia="zh-CN"/>
        </w:rPr>
        <w:t>响应</w:t>
      </w:r>
      <w:r>
        <w:rPr>
          <w:rFonts w:hint="eastAsia" w:ascii="仿宋" w:hAnsi="仿宋" w:eastAsia="仿宋" w:cs="仿宋"/>
          <w:b/>
          <w:color w:val="000000"/>
          <w:sz w:val="24"/>
          <w:szCs w:val="24"/>
        </w:rPr>
        <w:t>处理。上述资格证明文件均须</w:t>
      </w:r>
      <w:bookmarkStart w:id="63" w:name="OLE_LINK5"/>
      <w:r>
        <w:rPr>
          <w:rFonts w:hint="eastAsia" w:ascii="仿宋" w:hAnsi="仿宋" w:eastAsia="仿宋" w:cs="仿宋"/>
          <w:b/>
          <w:color w:val="000000"/>
          <w:sz w:val="24"/>
          <w:szCs w:val="24"/>
        </w:rPr>
        <w:t>加盖公章。</w:t>
      </w:r>
      <w:r>
        <w:rPr>
          <w:rFonts w:hint="eastAsia" w:ascii="仿宋" w:hAnsi="仿宋" w:eastAsia="仿宋" w:cs="仿宋"/>
          <w:b/>
          <w:color w:val="000000"/>
          <w:sz w:val="24"/>
          <w:szCs w:val="24"/>
          <w:lang w:val="en-US" w:eastAsia="zh-CN"/>
        </w:rPr>
        <w:t>资格审查时以响应文件中所附证明材料为准；以采购人或</w:t>
      </w:r>
      <w:bookmarkEnd w:id="63"/>
      <w:r>
        <w:rPr>
          <w:rFonts w:hint="eastAsia" w:ascii="仿宋" w:hAnsi="仿宋" w:eastAsia="仿宋" w:cs="仿宋"/>
          <w:b/>
          <w:color w:val="000000"/>
          <w:sz w:val="24"/>
          <w:szCs w:val="24"/>
          <w:lang w:val="en-US" w:eastAsia="zh-CN"/>
        </w:rPr>
        <w:t>采购代理机构将在磋商响应截止日当天资格审查阶段通过</w:t>
      </w:r>
    </w:p>
    <w:p w14:paraId="033A5EC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bookmarkStart w:id="64" w:name="OLE_LINK6"/>
      <w:r>
        <w:rPr>
          <w:rFonts w:hint="eastAsia" w:ascii="仿宋" w:hAnsi="仿宋" w:eastAsia="仿宋" w:cs="仿宋"/>
          <w:b/>
          <w:color w:val="000000"/>
          <w:sz w:val="24"/>
          <w:szCs w:val="24"/>
          <w:lang w:val="en-US" w:eastAsia="zh-CN"/>
        </w:rPr>
        <w:t>【中国执行信息公开网”（http://zxgk.court.gov.cn）</w:t>
      </w:r>
      <w:bookmarkStart w:id="65" w:name="OLE_LINK3"/>
      <w:r>
        <w:rPr>
          <w:rFonts w:hint="eastAsia" w:ascii="仿宋" w:hAnsi="仿宋" w:eastAsia="仿宋" w:cs="仿宋"/>
          <w:b/>
          <w:color w:val="000000"/>
          <w:sz w:val="24"/>
          <w:szCs w:val="24"/>
          <w:lang w:val="en-US" w:eastAsia="zh-CN"/>
        </w:rPr>
        <w:t>】</w:t>
      </w:r>
      <w:bookmarkEnd w:id="64"/>
    </w:p>
    <w:p w14:paraId="0DDFB32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w:t>
      </w:r>
      <w:bookmarkEnd w:id="65"/>
      <w:r>
        <w:rPr>
          <w:rFonts w:hint="eastAsia" w:ascii="仿宋" w:hAnsi="仿宋" w:eastAsia="仿宋" w:cs="仿宋"/>
          <w:b/>
          <w:color w:val="000000"/>
          <w:sz w:val="24"/>
          <w:szCs w:val="24"/>
          <w:lang w:val="en-US" w:eastAsia="zh-CN"/>
        </w:rPr>
        <w:t>信用中国（www.creditchina.gov.cn）</w:t>
      </w:r>
      <w:bookmarkStart w:id="66" w:name="OLE_LINK4"/>
      <w:r>
        <w:rPr>
          <w:rFonts w:hint="eastAsia" w:ascii="仿宋" w:hAnsi="仿宋" w:eastAsia="仿宋" w:cs="仿宋"/>
          <w:b/>
          <w:color w:val="000000"/>
          <w:sz w:val="24"/>
          <w:szCs w:val="24"/>
          <w:lang w:val="en-US" w:eastAsia="zh-CN"/>
        </w:rPr>
        <w:t>】</w:t>
      </w:r>
      <w:bookmarkEnd w:id="66"/>
    </w:p>
    <w:p w14:paraId="7B5093E1">
      <w:pPr>
        <w:tabs>
          <w:tab w:val="left" w:pos="720"/>
        </w:tabs>
        <w:snapToGrid w:val="0"/>
        <w:spacing w:before="120" w:beforeLines="50" w:after="120" w:afterLines="50" w:line="360" w:lineRule="auto"/>
        <w:ind w:firstLine="482" w:firstLineChars="200"/>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【中国政府采购网（www.ccgp.gov.cn）】网站对供应商的信用情况进行查询为准。（如相关失信记录已失效，供应商需提供相关证明资料，若没有则此项不需要提供）</w:t>
      </w:r>
    </w:p>
    <w:p w14:paraId="1B57DF7F">
      <w:pPr>
        <w:tabs>
          <w:tab w:val="left" w:pos="720"/>
        </w:tabs>
        <w:snapToGrid w:val="0"/>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3.2</w:t>
      </w:r>
      <w:r>
        <w:rPr>
          <w:rFonts w:hint="eastAsia" w:ascii="仿宋" w:hAnsi="仿宋" w:eastAsia="仿宋" w:cs="仿宋"/>
          <w:b/>
          <w:bCs/>
          <w:color w:val="auto"/>
          <w:sz w:val="24"/>
          <w:szCs w:val="24"/>
        </w:rPr>
        <w:t>授权委托</w:t>
      </w:r>
    </w:p>
    <w:p w14:paraId="32CBF427">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3.2.1法定代表人参加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的，提供法定代表人身份证明书（附法定代表人身份证复印件）；法定代表人授权他人参加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的，提供法定代表人授权委托书（附法定代表人身份证复印件及被授权人身份证复印件）</w:t>
      </w:r>
      <w:r>
        <w:rPr>
          <w:rFonts w:hint="eastAsia" w:ascii="仿宋" w:hAnsi="仿宋" w:eastAsia="仿宋" w:cs="仿宋"/>
          <w:b/>
          <w:bCs/>
          <w:color w:val="auto"/>
          <w:sz w:val="24"/>
          <w:szCs w:val="24"/>
          <w:shd w:val="clear" w:color="auto" w:fill="FFFFFF"/>
          <w:lang w:val="en-US" w:eastAsia="zh-CN"/>
        </w:rPr>
        <w:t>及近一个月社保证明材料</w:t>
      </w:r>
      <w:r>
        <w:rPr>
          <w:rFonts w:hint="eastAsia" w:ascii="仿宋" w:hAnsi="仿宋" w:eastAsia="仿宋" w:cs="仿宋"/>
          <w:b/>
          <w:bCs/>
          <w:color w:val="auto"/>
          <w:sz w:val="24"/>
          <w:szCs w:val="24"/>
          <w:shd w:val="clear" w:color="auto" w:fill="FFFFFF"/>
        </w:rPr>
        <w:t>；</w:t>
      </w:r>
    </w:p>
    <w:p w14:paraId="451FBEC1">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3.2.2供应商应当委托本单位正式员工作为磋商代表，且磋商代表只能接受一个供应商的委托参加磋商。</w:t>
      </w:r>
    </w:p>
    <w:p w14:paraId="23000971">
      <w:pPr>
        <w:pStyle w:val="12"/>
        <w:adjustRightInd w:val="0"/>
        <w:snapToGrid w:val="0"/>
        <w:spacing w:before="120" w:beforeLines="50" w:after="120" w:afterLines="50" w:line="360" w:lineRule="auto"/>
        <w:ind w:left="-178" w:leftChars="-85" w:firstLine="176" w:firstLineChars="73"/>
        <w:rPr>
          <w:rFonts w:hint="eastAsia" w:ascii="仿宋" w:hAnsi="仿宋" w:eastAsia="仿宋" w:cs="仿宋"/>
          <w:color w:val="auto"/>
          <w:kern w:val="0"/>
          <w:sz w:val="24"/>
          <w:szCs w:val="24"/>
        </w:rPr>
      </w:pPr>
      <w:r>
        <w:rPr>
          <w:rFonts w:hint="eastAsia" w:ascii="仿宋" w:hAnsi="仿宋" w:eastAsia="仿宋" w:cs="仿宋"/>
          <w:b/>
          <w:color w:val="auto"/>
          <w:sz w:val="24"/>
          <w:szCs w:val="24"/>
        </w:rPr>
        <w:t>3.3联合体磋商</w:t>
      </w:r>
    </w:p>
    <w:p w14:paraId="4D1A1C0E">
      <w:pPr>
        <w:tabs>
          <w:tab w:val="left" w:pos="7665"/>
        </w:tabs>
        <w:spacing w:line="360" w:lineRule="auto"/>
        <w:ind w:left="13" w:leftChars="6"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本项目不允许联合投标。</w:t>
      </w:r>
    </w:p>
    <w:p w14:paraId="052EF6D2">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3.4享受的政府采购政策</w:t>
      </w:r>
    </w:p>
    <w:p w14:paraId="73D0072F">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3.4.1落实促进支持中小企业、监狱企业、残疾人福利性单位发展、脱贫攻坚工作的政策(如为专门面向中小企业的采购项目（或采购包），不执行3.4.1.1，3.4.1.2，3.4.1.3条款。)</w:t>
      </w:r>
    </w:p>
    <w:p w14:paraId="01FE4919">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3.4.1.1 《政府采购促进中小企业发展管理办法》（财库〔2020〕46号）</w:t>
      </w:r>
    </w:p>
    <w:p w14:paraId="40E7E20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在政府采购活动中，供应商提供的货物、工程或者服务符合下列情形的，享受《办法》规定的中小企业扶持政策：</w:t>
      </w:r>
    </w:p>
    <w:p w14:paraId="273F306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(一)在货物采购项目中，货物由中小企业制造，即货物由中小企业生产且使用该中小企业商号或者注册商标；</w:t>
      </w:r>
    </w:p>
    <w:p w14:paraId="0C327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(二)在工程采购项目中，工程由中小企业承建，即工程施工单位为中小企业；</w:t>
      </w:r>
    </w:p>
    <w:p w14:paraId="7BD303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(三)在服务采购项目中，服务由中小企业承接，即提供服务的人员为中小企业依照《中华人民共和国劳动法》订立劳动合同的从业人员。</w:t>
      </w:r>
    </w:p>
    <w:p w14:paraId="72655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在货物采购项目中，供应商提供的货物既有中小企业制造货物，也有大型企业制造货物的，不享受《办法》规定的中小企业扶持政策。</w:t>
      </w:r>
    </w:p>
    <w:p w14:paraId="55BFF9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以联合体形式参加政府采购活动，联合体各方均为中小企业的，联合体视同中小企业。其中，联合体各方均为小微企业的，联合体视同小微企业。</w:t>
      </w:r>
    </w:p>
    <w:p w14:paraId="1DACFA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依据《办法》规定享受扶持政策获得政府采购合同的，小微企业不得将合同分包给大中型企业，中型企业不得将合同分包给大型企业。</w:t>
      </w:r>
    </w:p>
    <w:p w14:paraId="2229E80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21DBA4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5E771B5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1A500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3.4.1.2 《财政部 司法部关于政府采购支持监狱企业发展有关问题的通知》（财库〔2014〕68号） </w:t>
      </w:r>
    </w:p>
    <w:p w14:paraId="032E91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监狱企业参加政府采购活动时，应当提供由省级以上监狱管理局、戒毒管理局（含新疆生产建设兵团）出具的属于监狱企业的证明文件。在政府采购活动中，监狱企业视同小型、微型企业。</w:t>
      </w:r>
    </w:p>
    <w:p w14:paraId="3A28DB8C">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3.4.1.3 《三部门联合发布关于促进残疾人就业政府采购政策的通知》（财库〔2017〕141号）；</w:t>
      </w:r>
    </w:p>
    <w:p w14:paraId="63F97791">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2CF6C75F">
      <w:pPr>
        <w:adjustRightInd w:val="0"/>
        <w:snapToGrid w:val="0"/>
        <w:spacing w:line="360" w:lineRule="auto"/>
        <w:ind w:firstLine="723" w:firstLineChars="3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3.4.1.4《财政部国务院扶贫办关于运用政府采购政策支持脱贫攻坚的通知》--（财库〔2019〕27号）</w:t>
      </w:r>
    </w:p>
    <w:p w14:paraId="382D75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财政部国务院扶贫办关于运用政府采购政策支持脱贫攻坚的通知》--（财库〔2019〕27号）各级预算单位采购农副产品的，同等条件下应优先采购贫困地区农副产品。贫困地区农副产品是指832个国家级贫困县域内注册的企业、农民专业合作社、家庭农场等出产的农副产品。</w:t>
      </w:r>
    </w:p>
    <w:p w14:paraId="5C0F65DF">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各级预算单位使用财政性资金采购物业服务的，有条件的应当优先采购注册地在832个国家级贫困县域内，且聘用建档立卡贫困人员物业公司提供的物业服务。</w:t>
      </w:r>
    </w:p>
    <w:p w14:paraId="6013AA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3.4.2落实优先采购节能、环保产品的政策</w:t>
      </w:r>
    </w:p>
    <w:p w14:paraId="040C425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3.4.2.1 根据《财政部 国家发展改革委关于印发〈节能产品政府采购实施意见〉的通知》（财库〔2004〕185号）规定“政府采购属于节能产品品目清单的，在技术、服务等指标同等条件下，应当优先采购节能品目清单的节能产品。”</w:t>
      </w:r>
    </w:p>
    <w:p w14:paraId="713DA22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37C8DD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6206183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2002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所有投标产品进入 “节能产品政府采购品目清单”的，应提供相关证书复印件，相关证书的颁发机构应来自《参与实施政府采购节能产品认证机构名录》。</w:t>
      </w:r>
    </w:p>
    <w:p w14:paraId="5C706D00">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所有投标产品进入“环境标志产品政府采购品目清单”的，应提供相关证书复印件，相关证书的颁发机构应来自《参与实施政府采购环境标志产品认证机构名录》。</w:t>
      </w:r>
    </w:p>
    <w:p w14:paraId="5D7F00F6">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3.4.2.5  享受中小企业扶持政策的供应商，可以同时享受节能产品、环境标志产品优先采购政策。</w:t>
      </w:r>
    </w:p>
    <w:p w14:paraId="49A12FA2">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3.4.3政府采购信用融资政策</w:t>
      </w:r>
    </w:p>
    <w:p w14:paraId="17BA8ED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http://www.ccgp-shaanxi.gov.cn/zcdservice/zcd/shanxi/）”查询并办理相关业务。</w:t>
      </w:r>
    </w:p>
    <w:p w14:paraId="55A4525A">
      <w:pPr>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color w:val="auto"/>
          <w:sz w:val="24"/>
          <w:szCs w:val="24"/>
        </w:rPr>
        <w:t>3.4.4 供应商提供的《中小企业声明函》或者《残疾人福利性单位声明函》存在明显错误的，磋商小组可以按照第三章第1.3条款的规定，要求供应商作出澄清；澄清后，符合小微企业条件的，供应商可以享受价格扣除优惠政策；否则，不享受价格扣除优惠政策</w:t>
      </w:r>
      <w:r>
        <w:rPr>
          <w:rFonts w:hint="eastAsia" w:ascii="仿宋" w:hAnsi="仿宋" w:eastAsia="仿宋" w:cs="仿宋"/>
          <w:color w:val="auto"/>
          <w:sz w:val="24"/>
          <w:szCs w:val="24"/>
        </w:rPr>
        <w:t>。</w:t>
      </w:r>
    </w:p>
    <w:p w14:paraId="0A564C69">
      <w:pPr>
        <w:pStyle w:val="12"/>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3.4.5 政府采购监督检查、投诉处理及政府采购行政处罚中对中小企业的认定，由服务商注册登记所在地的县级以上人民政府中小企业主管部门负责。</w:t>
      </w:r>
    </w:p>
    <w:p w14:paraId="6C3226C5">
      <w:pPr>
        <w:widowControl/>
        <w:spacing w:before="120" w:beforeLines="50" w:after="120" w:afterLines="50" w:line="360" w:lineRule="auto"/>
        <w:jc w:val="left"/>
        <w:rPr>
          <w:rFonts w:hint="eastAsia" w:ascii="仿宋" w:hAnsi="仿宋" w:eastAsia="仿宋" w:cs="仿宋"/>
          <w:b/>
          <w:bCs/>
          <w:color w:val="auto"/>
          <w:kern w:val="0"/>
          <w:sz w:val="24"/>
          <w:szCs w:val="24"/>
        </w:rPr>
      </w:pPr>
      <w:r>
        <w:rPr>
          <w:rFonts w:hint="eastAsia" w:ascii="仿宋" w:hAnsi="仿宋" w:eastAsia="仿宋" w:cs="仿宋"/>
          <w:b/>
          <w:bCs/>
          <w:color w:val="auto"/>
          <w:sz w:val="24"/>
          <w:szCs w:val="24"/>
        </w:rPr>
        <w:t>3.5</w:t>
      </w:r>
      <w:r>
        <w:rPr>
          <w:rFonts w:hint="eastAsia" w:ascii="仿宋" w:hAnsi="仿宋" w:eastAsia="仿宋" w:cs="仿宋"/>
          <w:b/>
          <w:bCs/>
          <w:color w:val="auto"/>
          <w:kern w:val="0"/>
          <w:sz w:val="24"/>
          <w:szCs w:val="24"/>
        </w:rPr>
        <w:t>转包与分包</w:t>
      </w:r>
    </w:p>
    <w:p w14:paraId="5B1AFFB6">
      <w:pPr>
        <w:widowControl/>
        <w:snapToGrid w:val="0"/>
        <w:spacing w:line="360" w:lineRule="auto"/>
        <w:ind w:firstLine="480" w:firstLineChars="200"/>
        <w:jc w:val="left"/>
        <w:rPr>
          <w:rFonts w:hint="eastAsia" w:ascii="仿宋" w:hAnsi="仿宋" w:eastAsia="仿宋" w:cs="仿宋"/>
          <w:b/>
          <w:bCs/>
          <w:color w:val="auto"/>
          <w:kern w:val="0"/>
          <w:sz w:val="24"/>
          <w:szCs w:val="24"/>
        </w:rPr>
      </w:pPr>
      <w:r>
        <w:rPr>
          <w:rFonts w:hint="eastAsia" w:ascii="仿宋" w:hAnsi="仿宋" w:eastAsia="仿宋" w:cs="仿宋"/>
          <w:color w:val="auto"/>
          <w:sz w:val="24"/>
          <w:szCs w:val="24"/>
        </w:rPr>
        <w:t xml:space="preserve">3.5.1 </w:t>
      </w:r>
      <w:r>
        <w:rPr>
          <w:rFonts w:hint="eastAsia" w:ascii="仿宋" w:hAnsi="仿宋" w:eastAsia="仿宋" w:cs="仿宋"/>
          <w:color w:val="auto"/>
          <w:kern w:val="0"/>
          <w:sz w:val="24"/>
          <w:szCs w:val="24"/>
        </w:rPr>
        <w:t>本项目严禁采取转包或分包方式履行合同。本项项目所称转包，是指中标人将政府采购合同业务转让给第三人，并退出现有政府采购合同当事人双方权利业务关系，受让人（即第三人）成为政府采购合同的另一方当事人的行为。</w:t>
      </w:r>
    </w:p>
    <w:p w14:paraId="72BF00F7">
      <w:pPr>
        <w:widowControl/>
        <w:snapToGrid w:val="0"/>
        <w:spacing w:line="360" w:lineRule="auto"/>
        <w:ind w:firstLine="482"/>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成交供应商</w:t>
      </w:r>
      <w:r>
        <w:rPr>
          <w:rFonts w:hint="eastAsia" w:ascii="仿宋" w:hAnsi="仿宋" w:eastAsia="仿宋" w:cs="仿宋"/>
          <w:color w:val="auto"/>
          <w:kern w:val="0"/>
          <w:sz w:val="24"/>
          <w:szCs w:val="24"/>
        </w:rPr>
        <w:t>转包的，视同拒绝履行政府采购合同业务，将依法追究法律责任。</w:t>
      </w:r>
    </w:p>
    <w:p w14:paraId="4E903B0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3.5.2 </w:t>
      </w:r>
      <w:r>
        <w:rPr>
          <w:rFonts w:hint="eastAsia" w:ascii="仿宋" w:hAnsi="仿宋" w:eastAsia="仿宋" w:cs="仿宋"/>
          <w:color w:val="auto"/>
          <w:sz w:val="24"/>
          <w:szCs w:val="24"/>
        </w:rPr>
        <w:t>享受中小企业扶持政策获得政府采购合同的，小微企业不得将合同分包给大中型企业。否则，将依法追究法律责任。</w:t>
      </w:r>
    </w:p>
    <w:p w14:paraId="606063D8">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3.5.3供应商须知前附表规定允许大中型企业向小微企业分包的，成交供应商可以将采购项目分包给小微企业完成，并在响应文件中提供分包意向协议。</w:t>
      </w:r>
    </w:p>
    <w:p w14:paraId="627ADF27">
      <w:pPr>
        <w:spacing w:line="360" w:lineRule="auto"/>
        <w:ind w:firstLine="480" w:firstLineChars="200"/>
        <w:rPr>
          <w:rFonts w:hint="eastAsia" w:ascii="仿宋" w:hAnsi="仿宋" w:eastAsia="仿宋" w:cs="仿宋"/>
          <w:b/>
          <w:bCs/>
          <w:color w:val="auto"/>
          <w:kern w:val="0"/>
          <w:sz w:val="24"/>
          <w:szCs w:val="24"/>
        </w:rPr>
      </w:pPr>
      <w:r>
        <w:rPr>
          <w:rFonts w:hint="eastAsia" w:ascii="仿宋" w:hAnsi="仿宋" w:eastAsia="仿宋" w:cs="仿宋"/>
          <w:color w:val="auto"/>
          <w:kern w:val="0"/>
          <w:sz w:val="24"/>
          <w:szCs w:val="24"/>
        </w:rPr>
        <w:t>接受分包的供应商不得再次分包。</w:t>
      </w:r>
      <w:r>
        <w:rPr>
          <w:rFonts w:hint="eastAsia" w:ascii="仿宋" w:hAnsi="仿宋" w:eastAsia="仿宋" w:cs="仿宋"/>
          <w:color w:val="auto"/>
          <w:sz w:val="24"/>
          <w:szCs w:val="24"/>
        </w:rPr>
        <w:t>采购合同实行分包履行的，成交供应商就采购项目和分包项目向采购人负责，分包供应商就分包项目承担责任。</w:t>
      </w:r>
    </w:p>
    <w:p w14:paraId="216A9179">
      <w:pPr>
        <w:widowControl/>
        <w:spacing w:before="120" w:beforeLines="50" w:after="120" w:afterLines="50" w:line="360" w:lineRule="auto"/>
        <w:jc w:val="left"/>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rPr>
        <w:t>3.6 供应商的风险</w:t>
      </w:r>
    </w:p>
    <w:p w14:paraId="2023D35A">
      <w:pPr>
        <w:tabs>
          <w:tab w:val="left" w:pos="7665"/>
        </w:tabs>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供应商应认真阅读和充分理解磋商文件中所有的事项、格式条款和规范要求，任何对</w:t>
      </w:r>
      <w:r>
        <w:rPr>
          <w:rFonts w:hint="eastAsia" w:ascii="仿宋" w:hAnsi="仿宋" w:eastAsia="仿宋" w:cs="仿宋"/>
          <w:bCs/>
          <w:color w:val="auto"/>
          <w:sz w:val="24"/>
          <w:szCs w:val="24"/>
        </w:rPr>
        <w:t>磋商</w:t>
      </w:r>
      <w:r>
        <w:rPr>
          <w:rFonts w:hint="eastAsia" w:ascii="仿宋" w:hAnsi="仿宋" w:eastAsia="仿宋" w:cs="仿宋"/>
          <w:color w:val="auto"/>
          <w:sz w:val="24"/>
          <w:szCs w:val="24"/>
        </w:rPr>
        <w:t>文件的忽略或误解不能作为响应文件存在缺陷或瑕疵的理由；供应商</w:t>
      </w:r>
      <w:r>
        <w:rPr>
          <w:rFonts w:hint="eastAsia" w:ascii="仿宋" w:hAnsi="仿宋" w:eastAsia="仿宋" w:cs="仿宋"/>
          <w:color w:val="auto"/>
          <w:kern w:val="0"/>
          <w:sz w:val="24"/>
          <w:szCs w:val="24"/>
        </w:rPr>
        <w:t>没有按照磋商文件要求提供全部资料，</w:t>
      </w:r>
      <w:r>
        <w:rPr>
          <w:rFonts w:hint="eastAsia" w:ascii="仿宋" w:hAnsi="仿宋" w:eastAsia="仿宋" w:cs="仿宋"/>
          <w:color w:val="auto"/>
          <w:sz w:val="24"/>
          <w:szCs w:val="24"/>
        </w:rPr>
        <w:t>或对磋商文件未全面做出实质性响应是供应商的风险，</w:t>
      </w:r>
      <w:r>
        <w:rPr>
          <w:rFonts w:hint="eastAsia" w:ascii="仿宋" w:hAnsi="仿宋" w:eastAsia="仿宋" w:cs="仿宋"/>
          <w:color w:val="auto"/>
          <w:kern w:val="0"/>
          <w:sz w:val="24"/>
          <w:szCs w:val="24"/>
        </w:rPr>
        <w:t>并可能导致其响应文件被拒绝。</w:t>
      </w:r>
    </w:p>
    <w:p w14:paraId="2CBD6C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3.7供应商的纪律要求</w:t>
      </w:r>
    </w:p>
    <w:p w14:paraId="70EF7A27">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3.7.1 有下列情形之一的，属于不合格供应商，其磋商或成交资格将被取消：</w:t>
      </w:r>
    </w:p>
    <w:p w14:paraId="1644F0C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（1）提供虚假材料谋取成交资格；</w:t>
      </w:r>
    </w:p>
    <w:p w14:paraId="4188FA18">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（2）提供假冒伪劣产品；</w:t>
      </w:r>
    </w:p>
    <w:p w14:paraId="4682C65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（3）采取不正当手段诋毁、排挤其他供应商；</w:t>
      </w:r>
    </w:p>
    <w:p w14:paraId="151759A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（4）与采购人、采购代理机构、其他供应商恶意串通；</w:t>
      </w:r>
    </w:p>
    <w:p w14:paraId="4E5393A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（5）向采购人、采购代理机构、磋商小组成员行贿或者提供其他不正当利益；</w:t>
      </w:r>
    </w:p>
    <w:p w14:paraId="67755152">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（6）拒绝有关部门的监督检查或者向监督检查部门提供虚假情况；</w:t>
      </w:r>
    </w:p>
    <w:p w14:paraId="5ADEA606">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（7）法律法规规定的其他情形。</w:t>
      </w:r>
    </w:p>
    <w:p w14:paraId="15F40B9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3.7.2有下列情形之一的，视为供应商相互恶意串通磋商响应，其响应文件无效：</w:t>
      </w:r>
    </w:p>
    <w:p w14:paraId="330256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（1）不同供应商的响应文件由同一单位或者个人编制；</w:t>
      </w:r>
    </w:p>
    <w:p w14:paraId="12BEBBB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（2）不同供应商委托同一单位或者个人办理磋商事宜；</w:t>
      </w:r>
    </w:p>
    <w:p w14:paraId="2AD5E7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（3）不同供应商的响应文件载明的项目管理成员为同一人；</w:t>
      </w:r>
    </w:p>
    <w:p w14:paraId="77D108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（4）不同供应商的响应文件异常一致或者磋商报价呈规律性差异；</w:t>
      </w:r>
    </w:p>
    <w:p w14:paraId="02D2D5E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（5）不同供应商的响应文件相互混装；</w:t>
      </w:r>
    </w:p>
    <w:p w14:paraId="0F7279C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（6）不同供应商的响应文件由同一单位送达。</w:t>
      </w:r>
    </w:p>
    <w:p w14:paraId="78233729">
      <w:pPr>
        <w:spacing w:line="240" w:lineRule="auto"/>
        <w:outlineLvl w:val="9"/>
        <w:rPr>
          <w:rFonts w:hint="eastAsia" w:ascii="仿宋" w:hAnsi="仿宋" w:eastAsia="仿宋" w:cs="仿宋"/>
          <w:b w:val="0"/>
          <w:color w:val="auto"/>
          <w:kern w:val="0"/>
          <w:sz w:val="24"/>
          <w:szCs w:val="24"/>
        </w:rPr>
      </w:pPr>
      <w:bookmarkStart w:id="67" w:name="_Toc18157"/>
      <w:r>
        <w:rPr>
          <w:rFonts w:hint="eastAsia" w:ascii="仿宋" w:hAnsi="仿宋" w:eastAsia="仿宋" w:cs="仿宋"/>
          <w:b w:val="0"/>
          <w:color w:val="auto"/>
          <w:sz w:val="24"/>
          <w:szCs w:val="24"/>
        </w:rPr>
        <w:t>4.响应文件</w:t>
      </w:r>
      <w:bookmarkEnd w:id="67"/>
    </w:p>
    <w:p w14:paraId="67818B71">
      <w:pPr>
        <w:spacing w:line="360" w:lineRule="auto"/>
        <w:rPr>
          <w:rFonts w:hint="eastAsia" w:ascii="仿宋" w:hAnsi="仿宋" w:eastAsia="仿宋" w:cs="仿宋"/>
          <w:b/>
          <w:bCs/>
          <w:color w:val="auto"/>
          <w:sz w:val="24"/>
          <w:szCs w:val="24"/>
        </w:rPr>
      </w:pPr>
      <w:bookmarkStart w:id="68" w:name="_Toc18074969"/>
      <w:r>
        <w:rPr>
          <w:rFonts w:hint="eastAsia" w:ascii="仿宋" w:hAnsi="仿宋" w:eastAsia="仿宋" w:cs="仿宋"/>
          <w:b/>
          <w:bCs/>
          <w:color w:val="auto"/>
          <w:sz w:val="24"/>
          <w:szCs w:val="24"/>
        </w:rPr>
        <w:t>4.1 响应文件的编写原则和要求</w:t>
      </w:r>
      <w:bookmarkEnd w:id="68"/>
    </w:p>
    <w:p w14:paraId="44B488DF">
      <w:pPr>
        <w:tabs>
          <w:tab w:val="left" w:pos="720"/>
        </w:tabs>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4.1.1供应商应仔细阅读磋商文件的所有内容，按照磋商文件规定及要求编写，应当对磋商文件提出的实质性要求做出响应，并提交完整的响应文件。供应商应对采购的货物和服务提供完整详细的技术说明，若供应商对指定的技术要求不能完全响应，应在响应文件中清楚地注明。供应商对本磋商文件的每一项要求所给予的响应必须是唯一的，否则将视为无效响应文件。</w:t>
      </w:r>
    </w:p>
    <w:bookmarkEnd w:id="60"/>
    <w:bookmarkEnd w:id="61"/>
    <w:bookmarkEnd w:id="62"/>
    <w:p w14:paraId="46549142">
      <w:pPr>
        <w:tabs>
          <w:tab w:val="left" w:pos="720"/>
        </w:tabs>
        <w:snapToGrid w:val="0"/>
        <w:spacing w:line="360" w:lineRule="auto"/>
        <w:ind w:firstLine="482" w:firstLineChars="200"/>
        <w:rPr>
          <w:rFonts w:hint="eastAsia" w:ascii="仿宋" w:hAnsi="仿宋" w:eastAsia="仿宋" w:cs="仿宋"/>
          <w:b/>
          <w:color w:val="auto"/>
          <w:sz w:val="24"/>
          <w:szCs w:val="24"/>
        </w:rPr>
      </w:pPr>
      <w:bookmarkStart w:id="69" w:name="_Toc183682354"/>
      <w:bookmarkStart w:id="70" w:name="_Toc217446048"/>
      <w:bookmarkStart w:id="71" w:name="_Toc183582217"/>
      <w:r>
        <w:rPr>
          <w:rFonts w:hint="eastAsia" w:ascii="仿宋" w:hAnsi="仿宋" w:eastAsia="仿宋" w:cs="仿宋"/>
          <w:b/>
          <w:color w:val="auto"/>
          <w:sz w:val="24"/>
          <w:szCs w:val="24"/>
        </w:rPr>
        <w:t>4.1.2 真实性原则</w:t>
      </w:r>
    </w:p>
    <w:p w14:paraId="12995962">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4.1.2.1 供应商应保证所提供的响应文件和所有资料的真实性、准确性和完整性。</w:t>
      </w:r>
    </w:p>
    <w:p w14:paraId="31B8E2B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4.1.2.2 供应商被认定为在政府采购活动中提供不真实材料的，无论其材料是否重要，采购人均有权拒绝，并取消其磋商或成交资格，供应商需承担相应的法律后果。</w:t>
      </w:r>
    </w:p>
    <w:p w14:paraId="4A39C386">
      <w:pPr>
        <w:tabs>
          <w:tab w:val="left" w:pos="720"/>
        </w:tabs>
        <w:snapToGrid w:val="0"/>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4.1.3 报价使用货币</w:t>
      </w:r>
    </w:p>
    <w:p w14:paraId="531EB039">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本项目的报价均以人民币报价。</w:t>
      </w:r>
    </w:p>
    <w:p w14:paraId="4310BB6C">
      <w:pPr>
        <w:tabs>
          <w:tab w:val="left" w:pos="720"/>
        </w:tabs>
        <w:snapToGrid w:val="0"/>
        <w:spacing w:line="360" w:lineRule="auto"/>
        <w:ind w:firstLine="484" w:firstLineChars="201"/>
        <w:rPr>
          <w:rFonts w:hint="eastAsia" w:ascii="仿宋" w:hAnsi="仿宋" w:eastAsia="仿宋" w:cs="仿宋"/>
          <w:b/>
          <w:color w:val="auto"/>
          <w:sz w:val="24"/>
          <w:szCs w:val="24"/>
        </w:rPr>
      </w:pPr>
      <w:r>
        <w:rPr>
          <w:rFonts w:hint="eastAsia" w:ascii="仿宋" w:hAnsi="仿宋" w:eastAsia="仿宋" w:cs="仿宋"/>
          <w:b/>
          <w:color w:val="auto"/>
          <w:sz w:val="24"/>
          <w:szCs w:val="24"/>
        </w:rPr>
        <w:t>4.1.4 响应文件形式</w:t>
      </w:r>
    </w:p>
    <w:p w14:paraId="1CD92914">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本项目响应文件应采用书面文件形式，电报、传真、电子邮件形式的响应文件不予接受。</w:t>
      </w:r>
    </w:p>
    <w:p w14:paraId="3D51630A">
      <w:pPr>
        <w:tabs>
          <w:tab w:val="left" w:pos="720"/>
        </w:tabs>
        <w:snapToGrid w:val="0"/>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4.1.5 备选方案</w:t>
      </w:r>
    </w:p>
    <w:p w14:paraId="7CFF7D7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4.1.5.1 除供应商须知前附表规定允许外，供应商不得递交备选响应方案，响应文件的报价只允许有一个报价，不接受具有附加条件的报价，否则，视为无效响应文件。</w:t>
      </w:r>
    </w:p>
    <w:p w14:paraId="095A7135">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4.1.5.2 允许供应商递交备选响应方案的，只有成交供应商所递交的备选响应方案方可予以考虑。磋商小组认为成交供应商的备选响应方案优于其按照磋商文件要求编制的响应方案的，采购人可以接受该备选方案。</w:t>
      </w:r>
    </w:p>
    <w:p w14:paraId="3460A8BC">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4.1.5.3 供应商提供两个或两个以上磋商报价，或者在响应文件中提供一个磋商报价，但同时提供两个或两个以上</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方案的，视为提供备选方案。</w:t>
      </w:r>
    </w:p>
    <w:p w14:paraId="5091368C">
      <w:pPr>
        <w:tabs>
          <w:tab w:val="left" w:pos="720"/>
        </w:tabs>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4.2 响应文件的组成</w:t>
      </w:r>
    </w:p>
    <w:p w14:paraId="0FD00E8B">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4.2.1响应文件由下列文件组成：</w:t>
      </w:r>
    </w:p>
    <w:p w14:paraId="207EB6CA">
      <w:pPr>
        <w:tabs>
          <w:tab w:val="left" w:pos="2730"/>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（1）资格审查部分；</w:t>
      </w:r>
      <w:r>
        <w:rPr>
          <w:rFonts w:hint="eastAsia" w:ascii="仿宋" w:hAnsi="仿宋" w:eastAsia="仿宋" w:cs="仿宋"/>
          <w:color w:val="auto"/>
          <w:sz w:val="24"/>
          <w:szCs w:val="24"/>
        </w:rPr>
        <w:tab/>
      </w:r>
    </w:p>
    <w:p w14:paraId="4883E9B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（2）商务与技术部分。</w:t>
      </w:r>
    </w:p>
    <w:p w14:paraId="4052ABB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4.2.2 资格审查部分包括本章第3.1.1条款内容。</w:t>
      </w:r>
    </w:p>
    <w:p w14:paraId="1B31525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4.2.3 商务与技术部分主要包括下列内容：</w:t>
      </w:r>
    </w:p>
    <w:bookmarkEnd w:id="69"/>
    <w:bookmarkEnd w:id="70"/>
    <w:bookmarkEnd w:id="71"/>
    <w:p w14:paraId="1B64B377">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（1）竞争性磋商响应函；</w:t>
      </w:r>
    </w:p>
    <w:p w14:paraId="65229DC2">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（2）磋商报价一览表</w:t>
      </w:r>
    </w:p>
    <w:p w14:paraId="2D1BD18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技术方案</w:t>
      </w:r>
    </w:p>
    <w:p w14:paraId="675DC777">
      <w:pPr>
        <w:spacing w:line="360" w:lineRule="auto"/>
        <w:ind w:left="527" w:leftChars="236" w:hanging="31" w:hangingChars="13"/>
        <w:rPr>
          <w:rFonts w:hint="eastAsia" w:ascii="仿宋" w:hAnsi="仿宋" w:eastAsia="仿宋" w:cs="仿宋"/>
          <w:color w:val="auto"/>
          <w:sz w:val="24"/>
          <w:szCs w:val="24"/>
        </w:rPr>
      </w:pPr>
      <w:r>
        <w:rPr>
          <w:rFonts w:hint="eastAsia" w:ascii="仿宋" w:hAnsi="仿宋" w:eastAsia="仿宋" w:cs="仿宋"/>
          <w:color w:val="auto"/>
          <w:sz w:val="24"/>
          <w:szCs w:val="24"/>
        </w:rPr>
        <w:t>（4）商务条款偏离表</w:t>
      </w:r>
    </w:p>
    <w:p w14:paraId="1CBB347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履约能力</w:t>
      </w:r>
    </w:p>
    <w:p w14:paraId="2EBA4B76">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）供应商认为需要提供的其他文件和资料</w:t>
      </w:r>
    </w:p>
    <w:p w14:paraId="13243572">
      <w:pPr>
        <w:spacing w:line="360" w:lineRule="auto"/>
        <w:ind w:left="508" w:leftChars="226" w:hanging="33" w:hangingChars="14"/>
        <w:rPr>
          <w:rFonts w:hint="eastAsia" w:ascii="仿宋" w:hAnsi="仿宋" w:eastAsia="仿宋" w:cs="仿宋"/>
          <w:b/>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）陕西省政府采购供应商拒绝政府采购领域商业贿赂承诺书</w:t>
      </w:r>
    </w:p>
    <w:p w14:paraId="742A50F8">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4.3磋商报价</w:t>
      </w:r>
    </w:p>
    <w:p w14:paraId="27AA8B8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 xml:space="preserve">4.3.1 </w:t>
      </w:r>
      <w:r>
        <w:rPr>
          <w:rFonts w:hint="eastAsia" w:ascii="仿宋" w:hAnsi="仿宋" w:eastAsia="仿宋" w:cs="仿宋"/>
          <w:bCs/>
          <w:color w:val="auto"/>
          <w:sz w:val="24"/>
          <w:szCs w:val="24"/>
        </w:rPr>
        <w:t>供应商应当</w:t>
      </w:r>
      <w:r>
        <w:rPr>
          <w:rFonts w:hint="eastAsia" w:ascii="仿宋" w:hAnsi="仿宋" w:eastAsia="仿宋" w:cs="仿宋"/>
          <w:color w:val="auto"/>
          <w:sz w:val="24"/>
          <w:szCs w:val="24"/>
        </w:rPr>
        <w:t>按照磋商文件要求进行磋商报价，并充分了解本采购项目的总体情况以及影响磋商报价的其他要素。</w:t>
      </w:r>
    </w:p>
    <w:p w14:paraId="544A30C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4.3.2供应商的磋商报价是供应商响应磋商项目要求的全部工作内容的价格体现，包括供应商完成本项目所需的人工费、设备费、管理费、验收费、利润和税金等全部费用。在提供服务的过程中的任何遗漏，均由成交供应商免费提供，采购人将不再支付任何费用。</w:t>
      </w:r>
    </w:p>
    <w:p w14:paraId="6CD7CEA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4.3.3 </w:t>
      </w:r>
      <w:r>
        <w:rPr>
          <w:rFonts w:hint="eastAsia" w:ascii="仿宋" w:hAnsi="仿宋" w:eastAsia="仿宋" w:cs="仿宋"/>
          <w:b/>
          <w:color w:val="auto"/>
          <w:sz w:val="24"/>
          <w:szCs w:val="24"/>
        </w:rPr>
        <w:t>本项目将根据磋商的具体情况来确定磋商轮次，最终一轮磋商报价为最后报价</w:t>
      </w:r>
      <w:r>
        <w:rPr>
          <w:rFonts w:hint="eastAsia" w:ascii="仿宋" w:hAnsi="仿宋" w:eastAsia="仿宋" w:cs="仿宋"/>
          <w:color w:val="auto"/>
          <w:sz w:val="24"/>
          <w:szCs w:val="24"/>
        </w:rPr>
        <w:t>。</w:t>
      </w:r>
    </w:p>
    <w:p w14:paraId="2A80AE1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4.3.4 供应商的各轮次磋商报价不得超过供应商</w:t>
      </w:r>
      <w:r>
        <w:rPr>
          <w:rFonts w:hint="eastAsia" w:ascii="仿宋" w:hAnsi="仿宋" w:eastAsia="仿宋" w:cs="仿宋"/>
          <w:b/>
          <w:color w:val="auto"/>
          <w:sz w:val="24"/>
          <w:szCs w:val="24"/>
        </w:rPr>
        <w:t>须知前附表规定的</w:t>
      </w:r>
      <w:r>
        <w:rPr>
          <w:rFonts w:hint="eastAsia" w:ascii="仿宋" w:hAnsi="仿宋" w:eastAsia="仿宋" w:cs="仿宋"/>
          <w:color w:val="auto"/>
          <w:sz w:val="24"/>
          <w:szCs w:val="24"/>
        </w:rPr>
        <w:t>预算金额，否则，作为不实质性响应磋商文件，按无效响应文件处理；</w:t>
      </w:r>
      <w:r>
        <w:rPr>
          <w:rFonts w:hint="eastAsia" w:ascii="仿宋" w:hAnsi="仿宋" w:eastAsia="仿宋" w:cs="仿宋"/>
          <w:b/>
          <w:color w:val="auto"/>
          <w:sz w:val="24"/>
          <w:szCs w:val="24"/>
        </w:rPr>
        <w:t>供应商须知前附表设定</w:t>
      </w:r>
      <w:r>
        <w:rPr>
          <w:rFonts w:hint="eastAsia" w:ascii="仿宋" w:hAnsi="仿宋" w:eastAsia="仿宋" w:cs="仿宋"/>
          <w:color w:val="auto"/>
          <w:sz w:val="24"/>
          <w:szCs w:val="24"/>
        </w:rPr>
        <w:t>了最高限价的，供应商的各轮次磋商报价也不得超过最高限价，否则，作为不实质性响应磋商文件，按无效响应文件处理。</w:t>
      </w:r>
    </w:p>
    <w:p w14:paraId="4B229864">
      <w:pPr>
        <w:adjustRightInd w:val="0"/>
        <w:snapToGrid w:val="0"/>
        <w:spacing w:line="360" w:lineRule="auto"/>
        <w:ind w:firstLine="480" w:firstLineChars="200"/>
        <w:rPr>
          <w:rFonts w:ascii="宋体" w:hAnsi="宋体" w:cs="宋体"/>
          <w:color w:val="auto"/>
          <w:kern w:val="0"/>
          <w:szCs w:val="21"/>
        </w:rPr>
      </w:pPr>
      <w:r>
        <w:rPr>
          <w:rFonts w:hint="eastAsia" w:ascii="仿宋" w:hAnsi="仿宋" w:eastAsia="仿宋" w:cs="仿宋"/>
          <w:color w:val="auto"/>
          <w:sz w:val="24"/>
          <w:szCs w:val="24"/>
        </w:rPr>
        <w:t>4.3.5 供应商</w:t>
      </w:r>
      <w:r>
        <w:rPr>
          <w:rFonts w:hint="eastAsia" w:ascii="仿宋" w:hAnsi="仿宋" w:eastAsia="仿宋" w:cs="仿宋"/>
          <w:color w:val="auto"/>
          <w:kern w:val="0"/>
          <w:sz w:val="24"/>
          <w:szCs w:val="24"/>
        </w:rPr>
        <w:t>应按</w:t>
      </w:r>
      <w:r>
        <w:rPr>
          <w:rFonts w:hint="eastAsia" w:ascii="仿宋" w:hAnsi="仿宋" w:eastAsia="仿宋" w:cs="仿宋"/>
          <w:color w:val="auto"/>
          <w:sz w:val="24"/>
          <w:szCs w:val="24"/>
        </w:rPr>
        <w:t>“磋商报价一览表”</w:t>
      </w:r>
      <w:r>
        <w:rPr>
          <w:rFonts w:hint="eastAsia" w:ascii="仿宋" w:hAnsi="仿宋" w:eastAsia="仿宋" w:cs="仿宋"/>
          <w:color w:val="auto"/>
          <w:kern w:val="0"/>
          <w:sz w:val="24"/>
          <w:szCs w:val="24"/>
        </w:rPr>
        <w:t>的内容</w:t>
      </w:r>
      <w:r>
        <w:rPr>
          <w:rFonts w:hint="eastAsia" w:ascii="仿宋" w:hAnsi="仿宋" w:eastAsia="仿宋" w:cs="仿宋"/>
          <w:color w:val="auto"/>
          <w:sz w:val="24"/>
          <w:szCs w:val="24"/>
        </w:rPr>
        <w:t>和格式要求填写各项服务的分项价格和总价。磋商报价为各分项报价金额之和。磋商报价与分项报价的合价不一致的，应以各分项合价累计数为准，修正磋商报价；如分项报价中存在遗漏项，视为缺项价格已包含在其他分项报价之中。</w:t>
      </w:r>
    </w:p>
    <w:p w14:paraId="1BE42229">
      <w:pPr>
        <w:adjustRightInd w:val="0"/>
        <w:snapToGrid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kern w:val="0"/>
          <w:sz w:val="24"/>
          <w:szCs w:val="24"/>
        </w:rPr>
        <w:t xml:space="preserve">4.3.6 </w:t>
      </w:r>
      <w:r>
        <w:rPr>
          <w:rFonts w:hint="eastAsia" w:ascii="仿宋" w:hAnsi="仿宋" w:eastAsia="仿宋" w:cs="仿宋"/>
          <w:b/>
          <w:color w:val="auto"/>
          <w:kern w:val="0"/>
          <w:sz w:val="24"/>
          <w:szCs w:val="24"/>
        </w:rPr>
        <w:t>供应商除首次磋商报价外，其余轮次报价只报总价，不报分项价格，由供应商法定代表人签字或者委托代理人签字或者加盖单位章确认。由委托代理人签字的，应附法人代表授权委托书；供应商为自然人的，应当由本人签字。</w:t>
      </w:r>
    </w:p>
    <w:p w14:paraId="649AFDA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4.3.7 成交后供应商不得擅自改变</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内容、</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标准、</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和追加项目预算。磋商报价在合同履行过程中是固定不变的，任何有选择或可调整的报价将不予接受，并按无效响应文件处理。</w:t>
      </w:r>
    </w:p>
    <w:p w14:paraId="4CE3DB0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4.3.8 采购人不接受供应商给予的赠品、回扣或者与采购无关的其他商品、服务。如有赠与行为，其响应文件无效。</w:t>
      </w:r>
    </w:p>
    <w:p w14:paraId="43F33E77">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4.4磋商有效期</w:t>
      </w:r>
    </w:p>
    <w:p w14:paraId="7294937B">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4.4.1磋商有效期见供应商须知前附表。在此期间响应文件对供应商具有法律约束力，从</w:t>
      </w:r>
      <w:r>
        <w:rPr>
          <w:rFonts w:hint="eastAsia" w:ascii="仿宋" w:hAnsi="仿宋" w:eastAsia="仿宋" w:cs="仿宋"/>
          <w:b/>
          <w:color w:val="auto"/>
          <w:sz w:val="24"/>
          <w:szCs w:val="24"/>
        </w:rPr>
        <w:t>供应商须知前附表规定</w:t>
      </w:r>
      <w:r>
        <w:rPr>
          <w:rFonts w:hint="eastAsia" w:ascii="仿宋" w:hAnsi="仿宋" w:eastAsia="仿宋" w:cs="仿宋"/>
          <w:color w:val="auto"/>
          <w:sz w:val="24"/>
          <w:szCs w:val="24"/>
        </w:rPr>
        <w:t>的</w:t>
      </w:r>
      <w:r>
        <w:rPr>
          <w:rFonts w:hint="eastAsia" w:ascii="仿宋" w:hAnsi="仿宋" w:eastAsia="仿宋" w:cs="仿宋"/>
          <w:color w:val="auto"/>
          <w:kern w:val="0"/>
          <w:sz w:val="24"/>
          <w:szCs w:val="24"/>
        </w:rPr>
        <w:t>递交首次响应文件截止时间</w:t>
      </w:r>
      <w:r>
        <w:rPr>
          <w:rFonts w:hint="eastAsia" w:ascii="仿宋" w:hAnsi="仿宋" w:eastAsia="仿宋" w:cs="仿宋"/>
          <w:color w:val="auto"/>
          <w:sz w:val="24"/>
          <w:szCs w:val="24"/>
        </w:rPr>
        <w:t>之日起计算。响应文件中必须载明磋商有效期，载明的磋商有效期可以长于磋商文件规定的期限，但不得短于磋商文件规定的期限，否则，属于非实质性响应，将按无效响应文件处理。</w:t>
      </w:r>
    </w:p>
    <w:p w14:paraId="36E21160">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946C52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4.4.3 在磋商有效期内，供应商撤销响应文件的，应承担磋商文件和法律规定的责任。</w:t>
      </w:r>
    </w:p>
    <w:p w14:paraId="05173826">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4.4.4 成交供应商的磋商有效期自动延长至合同终止为止。</w:t>
      </w:r>
    </w:p>
    <w:p w14:paraId="3208CE7F">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bCs/>
          <w:color w:val="auto"/>
          <w:sz w:val="24"/>
          <w:szCs w:val="24"/>
        </w:rPr>
        <w:t>4.5磋商保证金</w:t>
      </w:r>
    </w:p>
    <w:p w14:paraId="11C11BA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根据</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须知前附表要求，本项目不要求</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提交投标保证金。</w:t>
      </w:r>
    </w:p>
    <w:p w14:paraId="56491B22">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4.6 商务部分</w:t>
      </w:r>
    </w:p>
    <w:p w14:paraId="00BAFCEA">
      <w:pPr>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Cs/>
          <w:color w:val="auto"/>
          <w:sz w:val="24"/>
          <w:szCs w:val="24"/>
        </w:rPr>
        <w:t>4.6.1供应商应</w:t>
      </w:r>
      <w:r>
        <w:rPr>
          <w:rFonts w:hint="eastAsia" w:ascii="仿宋" w:hAnsi="仿宋" w:eastAsia="仿宋" w:cs="仿宋"/>
          <w:color w:val="auto"/>
          <w:sz w:val="24"/>
          <w:szCs w:val="24"/>
        </w:rPr>
        <w:t>按照磋商文件商务要求做出完全响应。未作出商务响应的，作为不实质性响应磋商文件，按无效响应文件处理。</w:t>
      </w:r>
    </w:p>
    <w:p w14:paraId="452BCE5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4.6.2 供应商应对以下（不限于）要求作出承诺：</w:t>
      </w:r>
    </w:p>
    <w:p w14:paraId="3C29F8B9">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w:t>
      </w:r>
      <w:r>
        <w:rPr>
          <w:rFonts w:hint="eastAsia" w:ascii="仿宋" w:hAnsi="仿宋" w:eastAsia="仿宋" w:cs="仿宋"/>
          <w:color w:val="auto"/>
          <w:sz w:val="24"/>
          <w:szCs w:val="24"/>
        </w:rPr>
        <w:t>承诺给予采购人的各种优惠条件；</w:t>
      </w:r>
    </w:p>
    <w:p w14:paraId="772906D3">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（2）服务质量和</w:t>
      </w:r>
      <w:r>
        <w:rPr>
          <w:rFonts w:hint="eastAsia" w:ascii="仿宋" w:hAnsi="仿宋" w:eastAsia="仿宋" w:cs="仿宋"/>
          <w:color w:val="auto"/>
          <w:sz w:val="24"/>
          <w:szCs w:val="24"/>
        </w:rPr>
        <w:t>利于用户的售后服务承诺；</w:t>
      </w:r>
    </w:p>
    <w:p w14:paraId="1CD7BE7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（3）严格按照磋商文件对本项目的要求，精心组织、合理安排提供各项服务和产品（如有）；</w:t>
      </w:r>
    </w:p>
    <w:p w14:paraId="38D2663B">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（4）未经采购人许可，不得将本采购项目采取转包实施的办法，一经发现，立即取消其成交资格，并承担由此产生的一切经济损失和法律后果；</w:t>
      </w:r>
    </w:p>
    <w:p w14:paraId="611F879C">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（5）接受采购人或采购人委托相关单位对项目实施方案、服务进度、服务质量、售后服务、费用支付与结算审核等方面监督和管理；</w:t>
      </w:r>
    </w:p>
    <w:p w14:paraId="1CA99901">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（6）其它承诺。</w:t>
      </w:r>
    </w:p>
    <w:p w14:paraId="739618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4.6.3 其他证明材料不是必备证明材料，仅作为评审因素；供应商未提供的，评审时不予考虑；包括供应商享受政府采购优惠政策的证明材料、类似业绩证明材料等。</w:t>
      </w:r>
    </w:p>
    <w:p w14:paraId="18795DD1">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4.7 技术部分</w:t>
      </w:r>
    </w:p>
    <w:p w14:paraId="4FF542E4">
      <w:pPr>
        <w:pStyle w:val="8"/>
        <w:spacing w:line="360" w:lineRule="auto"/>
        <w:ind w:firstLine="465"/>
        <w:rPr>
          <w:rFonts w:hint="eastAsia" w:ascii="仿宋" w:hAnsi="仿宋" w:eastAsia="仿宋" w:cs="仿宋"/>
          <w:color w:val="auto"/>
          <w:sz w:val="24"/>
          <w:szCs w:val="24"/>
        </w:rPr>
      </w:pPr>
      <w:r>
        <w:rPr>
          <w:rFonts w:hint="eastAsia" w:ascii="仿宋" w:hAnsi="仿宋" w:eastAsia="仿宋" w:cs="仿宋"/>
          <w:color w:val="auto"/>
          <w:sz w:val="24"/>
          <w:szCs w:val="24"/>
        </w:rPr>
        <w:t xml:space="preserve">4.7.1 </w:t>
      </w:r>
      <w:r>
        <w:rPr>
          <w:rFonts w:hint="eastAsia" w:ascii="仿宋" w:hAnsi="仿宋" w:eastAsia="仿宋" w:cs="仿宋"/>
          <w:bCs/>
          <w:color w:val="auto"/>
          <w:sz w:val="24"/>
          <w:szCs w:val="24"/>
        </w:rPr>
        <w:t>供应商应</w:t>
      </w:r>
      <w:r>
        <w:rPr>
          <w:rFonts w:hint="eastAsia" w:ascii="仿宋" w:hAnsi="仿宋" w:eastAsia="仿宋" w:cs="仿宋"/>
          <w:color w:val="auto"/>
          <w:sz w:val="24"/>
          <w:szCs w:val="24"/>
        </w:rPr>
        <w:t xml:space="preserve">按照磋商文件要求做出的技术应答，主要是针对采购项目的技术指标和技术服务要求做出的实质性响应和满足。 </w:t>
      </w:r>
    </w:p>
    <w:p w14:paraId="41F7F924">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4.7.2 证明服务符合磋商文件要求的相关文件，可以是文字资料、图纸、数据、宣传彩页等，所有证明文件，表达意思必须统一。 </w:t>
      </w:r>
    </w:p>
    <w:p w14:paraId="3EE83DC5">
      <w:pPr>
        <w:tabs>
          <w:tab w:val="left" w:pos="7665"/>
        </w:tabs>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4.8 响应文件的制作和签署</w:t>
      </w:r>
    </w:p>
    <w:p w14:paraId="3D9C051F">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4.8.1 响应文件应根据磋商文件的要求制作。供应商应填写全称，同时加盖单位章，签署、盖章和内容应完整，如有遗漏，将被视为无效响应文件。</w:t>
      </w:r>
    </w:p>
    <w:p w14:paraId="05371281">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4.8.2 响应文件格式。供应商应严格按照第六章提供的“响应文件格式”编写相关内容。除明确允许供应商可以自行编写外，供应商不得以“响应文件格式”规定之外的方式填写相关内容。否则，供应商提供的响应文件将作为无效响应文件处理。</w:t>
      </w:r>
    </w:p>
    <w:p w14:paraId="435BD21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4.8.3 对于没有格式要求的响应文件由供应商自行编写。</w:t>
      </w:r>
    </w:p>
    <w:p w14:paraId="08251F81">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4.8.4 供应商应按“供应商须知前附表”规定的份数准备响应文件正本、副本和相应的电子文件。正本和副本封面右上角应清楚地标明“正本”或“副本”字样。当副本和正本有不一致的内容，以正本书面响应文件为准。</w:t>
      </w:r>
    </w:p>
    <w:p w14:paraId="1DBE7B8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4.8.5 响应文件的正本和副本均需打印或用不褪色、不变质的墨水书写，并由供应商的法定代表人或其委托代理人在规定签章处签字和盖章。响应文件副本可采用正本的复印件。</w:t>
      </w:r>
    </w:p>
    <w:p w14:paraId="44D90361">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4.8.6 响应文件的打印或书写应清楚工整，尽量避免行间插字、涂改或增删。如出现上述情况，改动之处应由供应商的法定代表人或其委托代理人签字或盖单位章。字迹潦草、表达不清或可能导致非唯一理解的响应文件可能视为无效响应文件。</w:t>
      </w:r>
    </w:p>
    <w:p w14:paraId="4F89C003">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4.8.7 响应文件的正本和副本</w:t>
      </w:r>
      <w:r>
        <w:rPr>
          <w:rFonts w:hint="eastAsia" w:ascii="仿宋" w:hAnsi="仿宋" w:eastAsia="仿宋" w:cs="仿宋"/>
          <w:color w:val="auto"/>
          <w:sz w:val="24"/>
          <w:szCs w:val="24"/>
          <w:lang w:val="zh-CN"/>
        </w:rPr>
        <w:t>一律采用A4纸幅面，并</w:t>
      </w:r>
      <w:r>
        <w:rPr>
          <w:rFonts w:hint="eastAsia" w:ascii="仿宋" w:hAnsi="仿宋" w:eastAsia="仿宋" w:cs="仿宋"/>
          <w:color w:val="auto"/>
          <w:sz w:val="24"/>
          <w:szCs w:val="24"/>
        </w:rPr>
        <w:t>分别装订和编制目录。响应文件需分册装订的，具体分册装订要求见</w:t>
      </w:r>
      <w:r>
        <w:rPr>
          <w:rFonts w:hint="eastAsia" w:ascii="仿宋" w:hAnsi="仿宋" w:eastAsia="仿宋" w:cs="仿宋"/>
          <w:color w:val="auto"/>
          <w:sz w:val="24"/>
          <w:szCs w:val="24"/>
          <w:lang w:val="zh-CN"/>
        </w:rPr>
        <w:t>供应商须知前附表的规定。响应文件</w:t>
      </w:r>
      <w:r>
        <w:rPr>
          <w:rFonts w:hint="eastAsia" w:ascii="仿宋" w:hAnsi="仿宋" w:eastAsia="仿宋" w:cs="仿宋"/>
          <w:color w:val="auto"/>
          <w:sz w:val="24"/>
          <w:szCs w:val="24"/>
        </w:rPr>
        <w:t>胶装后，页面不可抽取，不得有活动页，无破损、不可拆分。</w:t>
      </w:r>
    </w:p>
    <w:p w14:paraId="455F0D44">
      <w:pPr>
        <w:spacing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4.8.8 电子文件制作要求。电子文件与纸质正本响应文件的内容应保持一致，具有同等法律效力。电子文件应具有项目名称和供应商名称标识。</w:t>
      </w:r>
      <w:bookmarkStart w:id="72" w:name="_Toc5"/>
    </w:p>
    <w:p w14:paraId="29A2B8D7">
      <w:pPr>
        <w:pStyle w:val="8"/>
        <w:spacing w:before="120" w:beforeLines="50" w:after="120" w:afterLines="50" w:line="360" w:lineRule="auto"/>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5.响应文件的提交</w:t>
      </w:r>
      <w:bookmarkEnd w:id="72"/>
    </w:p>
    <w:p w14:paraId="79D87500">
      <w:pPr>
        <w:tabs>
          <w:tab w:val="left" w:pos="1080"/>
        </w:tabs>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5.1 响应文件内容要求</w:t>
      </w:r>
    </w:p>
    <w:p w14:paraId="5304A085">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供应商应仔细阅读磋商文件中的所有事项、格式、条款和要求，对磋商文件的全部内容及要求作出实质性响应，提交相应资料。若分包，应以包为单位提交，不得在其中选项提交或将其中内容再行分解；否则，响应文件将视为无效响应文件。</w:t>
      </w:r>
    </w:p>
    <w:p w14:paraId="11DF3F5E">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5.2 响应文件的密封和标记</w:t>
      </w:r>
    </w:p>
    <w:p w14:paraId="4E79A76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5.2.1 </w:t>
      </w:r>
      <w:r>
        <w:rPr>
          <w:rFonts w:hint="eastAsia" w:ascii="仿宋" w:hAnsi="仿宋" w:eastAsia="仿宋" w:cs="仿宋"/>
          <w:color w:val="auto"/>
          <w:kern w:val="0"/>
          <w:sz w:val="24"/>
          <w:szCs w:val="24"/>
        </w:rPr>
        <w:t>开启响应文件前，供应商应将响应文件所有正本、副本、电子文件全部密封。</w:t>
      </w:r>
    </w:p>
    <w:p w14:paraId="66E3AB6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5.2.2 </w:t>
      </w:r>
      <w:r>
        <w:rPr>
          <w:rFonts w:hint="eastAsia" w:ascii="仿宋" w:hAnsi="仿宋" w:eastAsia="仿宋" w:cs="仿宋"/>
          <w:color w:val="auto"/>
          <w:sz w:val="24"/>
          <w:szCs w:val="24"/>
        </w:rPr>
        <w:t>响应文件装订、密封、装袋要求见供应商须知前附表，并在封套的封口处（缝隙处）加贴封条，应粘贴牢固，加盖密封章（供应商单位章）。</w:t>
      </w:r>
    </w:p>
    <w:p w14:paraId="0DE0081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5.2.3 响应文件封套上应写明的内容见供应商须知前附表。</w:t>
      </w:r>
    </w:p>
    <w:p w14:paraId="40E819BC">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5.2.4 未按要求密封的响应文件，采购代理机构将予以拒收。</w:t>
      </w:r>
    </w:p>
    <w:p w14:paraId="4206322F">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5.3 响应文件的提交</w:t>
      </w:r>
    </w:p>
    <w:p w14:paraId="71822850">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5.3.1 供应商应在供应商须知前附表规定的提交响应文件截止时间前提交响应文件。</w:t>
      </w:r>
    </w:p>
    <w:p w14:paraId="7F531989">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5.3.2 供应商提交响应文件地点：见供应商须知前附表。</w:t>
      </w:r>
    </w:p>
    <w:p w14:paraId="49EA6966">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5.3.3 除供应商须知前附表另有规定外，供应商提交的响应文件不予退还。</w:t>
      </w:r>
    </w:p>
    <w:p w14:paraId="2B54A34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5.3.4采购代理机构收到响应文件后，应当如实记载响应文件的送达时间、份数、密封情况和提交人等信息。</w:t>
      </w:r>
    </w:p>
    <w:p w14:paraId="051F5246">
      <w:pPr>
        <w:tabs>
          <w:tab w:val="left" w:pos="851"/>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5.3.5 逾期送达的响应文件，采购代理机构将予以拒收。</w:t>
      </w:r>
    </w:p>
    <w:p w14:paraId="140334B8">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5.3.6 本次磋商不接受邮寄的响应文件。</w:t>
      </w:r>
    </w:p>
    <w:p w14:paraId="140917A4">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5.3.7 需要供应商提供样品的，同响应文件一起提交。</w:t>
      </w:r>
    </w:p>
    <w:p w14:paraId="1BBE73A4">
      <w:pPr>
        <w:pStyle w:val="8"/>
        <w:spacing w:before="120" w:beforeLines="50" w:after="120" w:afterLines="50" w:line="360" w:lineRule="auto"/>
        <w:ind w:firstLine="0"/>
        <w:jc w:val="left"/>
        <w:rPr>
          <w:rFonts w:hint="eastAsia" w:ascii="仿宋" w:hAnsi="仿宋" w:eastAsia="仿宋" w:cs="仿宋"/>
          <w:b/>
          <w:color w:val="auto"/>
          <w:sz w:val="24"/>
          <w:szCs w:val="24"/>
        </w:rPr>
      </w:pPr>
      <w:r>
        <w:rPr>
          <w:rFonts w:hint="eastAsia" w:ascii="仿宋" w:hAnsi="仿宋" w:eastAsia="仿宋" w:cs="仿宋"/>
          <w:b/>
          <w:bCs/>
          <w:color w:val="auto"/>
          <w:sz w:val="24"/>
          <w:szCs w:val="24"/>
        </w:rPr>
        <w:t>5.4 响应文件的修改和撤回</w:t>
      </w:r>
    </w:p>
    <w:p w14:paraId="4535949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5.4.1 在本章第5.3.1项规定的提交响应文件截止时间前，供应商可以补充、修改或者撤回已提交的响应文件，但应以书面形式通知采购代理机构。</w:t>
      </w:r>
    </w:p>
    <w:p w14:paraId="3B7C5D1C">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5.4.2 供应商的补充、修改或者撤回通知书，应由其法定代表人或委托代理人签署并盖单位章。补充、修改或者撤回通知书应按本章第5.2.2项规定进行密封，并在密封袋上标注“响应文件补充、修改”或“响应文件撤回通知”字样，“补充、修改文件”作为响应文件的组成部分。补充、修改内容与响应文件不一致的，以补充、修改的内容为准。</w:t>
      </w:r>
    </w:p>
    <w:p w14:paraId="62C7843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5.4.3 供应商撤回响应文件的，采购代理机构自收到供应商书面撤回通知之日起5个工作日内退还已收取的磋商保证金。</w:t>
      </w:r>
    </w:p>
    <w:p w14:paraId="4CF4CBAF">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5.4.4 在提交响应文件截止时间之后，供应商不得对其提交的响应文件做任何补充、修改或者撤销响应文件。</w:t>
      </w:r>
    </w:p>
    <w:p w14:paraId="62BD3050">
      <w:pPr>
        <w:pStyle w:val="8"/>
        <w:spacing w:before="120" w:beforeLines="50" w:after="120" w:afterLines="50" w:line="360" w:lineRule="auto"/>
        <w:ind w:firstLine="0"/>
        <w:outlineLvl w:val="9"/>
        <w:rPr>
          <w:rFonts w:hint="eastAsia" w:ascii="仿宋" w:hAnsi="仿宋" w:eastAsia="仿宋" w:cs="仿宋"/>
          <w:bCs/>
          <w:color w:val="auto"/>
          <w:sz w:val="24"/>
          <w:szCs w:val="24"/>
        </w:rPr>
      </w:pPr>
      <w:bookmarkStart w:id="73" w:name="_Toc23218"/>
      <w:r>
        <w:rPr>
          <w:rFonts w:hint="eastAsia" w:ascii="仿宋" w:hAnsi="仿宋" w:eastAsia="仿宋" w:cs="仿宋"/>
          <w:bCs/>
          <w:color w:val="auto"/>
          <w:sz w:val="24"/>
          <w:szCs w:val="24"/>
        </w:rPr>
        <w:t>6.开启响应文件</w:t>
      </w:r>
      <w:bookmarkEnd w:id="73"/>
    </w:p>
    <w:p w14:paraId="16E65FE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6.1开启响应文件的时间和地点</w:t>
      </w:r>
    </w:p>
    <w:p w14:paraId="3BCF49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6.1.1 采购代理机构在供应商须知前附表中规定的开启响应文件时间和地点开启响应文件，并邀请采购人、所有获取磋商文件的供应商派代表准时参加并签到以证明其出席。</w:t>
      </w:r>
    </w:p>
    <w:p w14:paraId="50176058">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6.1.2</w:t>
      </w:r>
      <w:r>
        <w:rPr>
          <w:rFonts w:hint="eastAsia" w:ascii="仿宋" w:hAnsi="仿宋" w:eastAsia="仿宋" w:cs="仿宋"/>
          <w:color w:val="auto"/>
          <w:sz w:val="24"/>
          <w:szCs w:val="24"/>
        </w:rPr>
        <w:t>投标人未参加开标的，视同认可开标结果</w:t>
      </w:r>
      <w:r>
        <w:rPr>
          <w:rFonts w:hint="eastAsia" w:ascii="仿宋" w:hAnsi="仿宋" w:eastAsia="仿宋" w:cs="仿宋"/>
          <w:color w:val="auto"/>
          <w:sz w:val="24"/>
          <w:szCs w:val="24"/>
          <w:lang w:val="en-US" w:eastAsia="zh-CN"/>
        </w:rPr>
        <w:t>。</w:t>
      </w:r>
    </w:p>
    <w:p w14:paraId="4A3EC4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 xml:space="preserve"> 采购代理机构将邀请有关监督管理机构对开启响应文件现场进行监督。</w:t>
      </w:r>
    </w:p>
    <w:p w14:paraId="0594402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供应商不足3家的，不得开启响应文件。</w:t>
      </w:r>
    </w:p>
    <w:p w14:paraId="4DD63C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6.2 开启响应文件程序</w:t>
      </w:r>
    </w:p>
    <w:p w14:paraId="62AE47FB">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6.2.1 根据财政部《政府采购竞争性磋商采购方式管理暂行办法》（财库[2014]214号）第五条规定，开启响应文件和每轮磋商结束时均不公开报价。</w:t>
      </w:r>
    </w:p>
    <w:p w14:paraId="674930D0">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6.2.2开启响应文件由采购代理机构主持。主持人按照磋商文件规定的开启响应文件时间宣布开启响应文件开始，并按下列程序进行（但不限于）：</w:t>
      </w:r>
    </w:p>
    <w:p w14:paraId="1DF23B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（1）宣布开启响应文件开始和开启录音录像设备并致辞；</w:t>
      </w:r>
    </w:p>
    <w:p w14:paraId="67956EA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（2）宣布开启响应文件纪律和有关注意事项；</w:t>
      </w:r>
    </w:p>
    <w:p w14:paraId="198C19A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（3）公布在提交响应文件截止时间前提交响应文件的供应商名称；</w:t>
      </w:r>
    </w:p>
    <w:p w14:paraId="183782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（4）宣布参加开启响应文件的现场监督人员和主持人、会议记录等有关工作人员；</w:t>
      </w:r>
    </w:p>
    <w:p w14:paraId="21D1FDC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（5）检查并宣布响应文件的密封情况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或者其推选的代表检查其自己递交的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文件的密封情况，以确认各</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 xml:space="preserve">文件密封情况是否与递交时一致，没有被提前启封等异常情况，经检查无误后，签字确认； </w:t>
      </w:r>
    </w:p>
    <w:p w14:paraId="4D7C4BC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（6）启封响应文件；</w:t>
      </w:r>
    </w:p>
    <w:p w14:paraId="7BDF40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（7）启封响应文件结束，供应商退场；</w:t>
      </w:r>
    </w:p>
    <w:p w14:paraId="48CCD2E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（8）向采购人及监督人员宣布供应商首次磋商报价，并由监督人员确认；</w:t>
      </w:r>
    </w:p>
    <w:p w14:paraId="6D038E8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（9）开启响应文件结束。</w:t>
      </w:r>
    </w:p>
    <w:p w14:paraId="5A3A18B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6.2.3 所有提交了响应文件的供应商在退场后，不要远离会场并保持通讯设备的畅通，以方便后续磋商和在评审过程中磋商小组要求供应商对响应文件的必要澄清。</w:t>
      </w:r>
    </w:p>
    <w:p w14:paraId="092EEBE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6.2.4 检查响应文件密封情况是指，由供应商或者其推选的代表检查其自己提交的响应文件的密封情况，经检查无误后，签字确认。</w:t>
      </w:r>
    </w:p>
    <w:p w14:paraId="653A72F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6.2.5 供应商或者其推选的代表确认响应文件情况，仅限于确认其自己提交的响应文件的密封情况，不代表对其他供应商的响应文件的密封情况确认。供应商或者其推选的代表检对其他供应商的响应文件密封情况有异议的，可以当场反映开启响应文件主持人或者现场监督人员，要求开启响应文件现场记录人员予以记录，但不得干扰、阻挠开启响应文件工作的正常进行。</w:t>
      </w:r>
    </w:p>
    <w:p w14:paraId="416D7B7A">
      <w:pPr>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6.2.6 供应商认为采购人、采购代理机构相关工作人员有需要回避情形的，应当场提出询问或者回避申请。采购人、采购代理机构对供应商提出的询问或者回避申请应当及时处理，并制作记录。</w:t>
      </w:r>
    </w:p>
    <w:p w14:paraId="28EC7154">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74" w:name="_Toc14972"/>
      <w:r>
        <w:rPr>
          <w:rFonts w:hint="eastAsia" w:ascii="仿宋" w:hAnsi="仿宋" w:eastAsia="仿宋" w:cs="仿宋"/>
          <w:color w:val="auto"/>
          <w:sz w:val="24"/>
          <w:szCs w:val="24"/>
        </w:rPr>
        <w:t>7.磋商</w:t>
      </w:r>
      <w:bookmarkEnd w:id="74"/>
    </w:p>
    <w:p w14:paraId="7D0200F1">
      <w:pPr>
        <w:spacing w:before="120" w:beforeLines="50" w:after="120" w:afterLines="50" w:line="360" w:lineRule="auto"/>
        <w:ind w:left="117" w:leftChars="50" w:hanging="12" w:hangingChars="5"/>
        <w:rPr>
          <w:rFonts w:hint="eastAsia" w:ascii="仿宋" w:hAnsi="仿宋" w:eastAsia="仿宋" w:cs="仿宋"/>
          <w:color w:val="auto"/>
          <w:sz w:val="24"/>
          <w:szCs w:val="24"/>
        </w:rPr>
      </w:pPr>
      <w:bookmarkStart w:id="75" w:name="_Toc217446058"/>
      <w:r>
        <w:rPr>
          <w:rFonts w:hint="eastAsia" w:ascii="仿宋" w:hAnsi="仿宋" w:eastAsia="仿宋" w:cs="仿宋"/>
          <w:b/>
          <w:color w:val="auto"/>
          <w:sz w:val="24"/>
          <w:szCs w:val="24"/>
        </w:rPr>
        <w:t>7.1 磋商小组</w:t>
      </w:r>
    </w:p>
    <w:p w14:paraId="3D6EE406">
      <w:pPr>
        <w:pStyle w:val="20"/>
        <w:spacing w:before="0" w:beforeAutospacing="0" w:after="0" w:afterAutospacing="0" w:line="360" w:lineRule="auto"/>
        <w:ind w:firstLine="480" w:firstLineChars="200"/>
        <w:rPr>
          <w:rFonts w:hint="eastAsia" w:ascii="仿宋" w:hAnsi="仿宋" w:eastAsia="仿宋" w:cs="仿宋"/>
          <w:color w:val="auto"/>
          <w:spacing w:val="6"/>
          <w:sz w:val="24"/>
          <w:szCs w:val="24"/>
        </w:rPr>
      </w:pPr>
      <w:r>
        <w:rPr>
          <w:rFonts w:hint="eastAsia" w:ascii="仿宋" w:hAnsi="仿宋" w:eastAsia="仿宋" w:cs="仿宋"/>
          <w:color w:val="auto"/>
          <w:sz w:val="24"/>
          <w:szCs w:val="24"/>
        </w:rPr>
        <w:t>7.1.1 磋商由采购代理机构依法组建的磋商小组负责。磋商小组由采购人代表和评审专家组成，成员由3人以上单数组成，或者达到公开招标限额标准的项目由5人以上单数组成</w:t>
      </w:r>
      <w:r>
        <w:rPr>
          <w:rFonts w:hint="eastAsia" w:ascii="仿宋" w:hAnsi="仿宋" w:eastAsia="仿宋" w:cs="仿宋"/>
          <w:color w:val="auto"/>
          <w:spacing w:val="6"/>
          <w:sz w:val="24"/>
          <w:szCs w:val="24"/>
        </w:rPr>
        <w:t>，其中评审专家不得少于成员总数的三分之二。采购人代表不得以评审专家身份参加本单位或者本部门采购项目的评审。</w:t>
      </w:r>
    </w:p>
    <w:p w14:paraId="39F15415">
      <w:pPr>
        <w:pStyle w:val="20"/>
        <w:spacing w:before="0" w:beforeAutospacing="0" w:after="0" w:afterAutospacing="0" w:line="360" w:lineRule="auto"/>
        <w:ind w:firstLine="504" w:firstLineChars="200"/>
        <w:rPr>
          <w:rFonts w:hint="eastAsia" w:ascii="仿宋" w:hAnsi="仿宋" w:eastAsia="仿宋" w:cs="仿宋"/>
          <w:bCs/>
          <w:color w:val="auto"/>
          <w:kern w:val="2"/>
          <w:sz w:val="24"/>
          <w:szCs w:val="24"/>
        </w:rPr>
      </w:pPr>
      <w:r>
        <w:rPr>
          <w:rFonts w:hint="eastAsia" w:ascii="仿宋" w:hAnsi="仿宋" w:eastAsia="仿宋" w:cs="仿宋"/>
          <w:color w:val="auto"/>
          <w:spacing w:val="6"/>
          <w:sz w:val="24"/>
          <w:szCs w:val="24"/>
        </w:rPr>
        <w:t>7.1.2 评审</w:t>
      </w:r>
      <w:r>
        <w:rPr>
          <w:rFonts w:hint="eastAsia" w:ascii="仿宋" w:hAnsi="仿宋" w:eastAsia="仿宋" w:cs="仿宋"/>
          <w:color w:val="auto"/>
          <w:sz w:val="24"/>
          <w:szCs w:val="24"/>
        </w:rPr>
        <w:t>专家应当从省级财政部门设立的政府采购评审专家库内相关专业的专家名单中随机抽取。</w:t>
      </w:r>
      <w:r>
        <w:rPr>
          <w:rFonts w:hint="eastAsia" w:ascii="仿宋" w:hAnsi="仿宋" w:eastAsia="仿宋" w:cs="仿宋"/>
          <w:bCs/>
          <w:color w:val="auto"/>
          <w:kern w:val="2"/>
          <w:sz w:val="24"/>
          <w:szCs w:val="24"/>
        </w:rPr>
        <w:t>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7890F08B">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7.1.3 磋商小组成员到位后，推荐一名评审专家担任磋商小组组长，并由磋商小组组长牵头组织该项目磋商工作，采购人代表，不得担任磋商小组组长。</w:t>
      </w:r>
    </w:p>
    <w:p w14:paraId="39E8A53D">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7.1.4 磋商小组成员有下列情形之一的，应当回避：</w:t>
      </w:r>
    </w:p>
    <w:p w14:paraId="1E228A3C">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（1）采购人或供应商的主要负责人的近亲属；</w:t>
      </w:r>
    </w:p>
    <w:p w14:paraId="254B80C1">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（2）与供应商有经济利益关系，可能影响对响应文件公正评审的；</w:t>
      </w:r>
    </w:p>
    <w:p w14:paraId="1B7F2B2F">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（3）曾因在招标、评审以及其他与招标投标有关活动中从事违法行为而受过行政处罚或刑事处罚的。</w:t>
      </w:r>
    </w:p>
    <w:p w14:paraId="260E3819">
      <w:pPr>
        <w:autoSpaceDE w:val="0"/>
        <w:autoSpaceDN w:val="0"/>
        <w:spacing w:line="360" w:lineRule="auto"/>
        <w:ind w:firstLine="480" w:firstLineChars="200"/>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7.1.5 </w:t>
      </w:r>
      <w:r>
        <w:rPr>
          <w:rFonts w:hint="eastAsia" w:ascii="仿宋" w:hAnsi="仿宋" w:eastAsia="仿宋" w:cs="仿宋"/>
          <w:color w:val="auto"/>
          <w:kern w:val="0"/>
          <w:sz w:val="24"/>
          <w:szCs w:val="24"/>
        </w:rPr>
        <w:t>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起响应文件、磋商和评审资料，依法重新组建磋商小组进行磋商。原磋商小组所作出的评审意见无效。</w:t>
      </w:r>
      <w:r>
        <w:rPr>
          <w:rFonts w:hint="eastAsia" w:ascii="仿宋" w:hAnsi="仿宋" w:eastAsia="仿宋" w:cs="仿宋"/>
          <w:color w:val="auto"/>
          <w:kern w:val="0"/>
          <w:sz w:val="24"/>
          <w:szCs w:val="24"/>
          <w:lang w:val="zh-CN"/>
        </w:rPr>
        <w:t>采购代理机构</w:t>
      </w:r>
      <w:r>
        <w:rPr>
          <w:rFonts w:hint="eastAsia" w:ascii="仿宋" w:hAnsi="仿宋" w:eastAsia="仿宋" w:cs="仿宋"/>
          <w:color w:val="auto"/>
          <w:kern w:val="0"/>
          <w:sz w:val="24"/>
          <w:szCs w:val="24"/>
        </w:rPr>
        <w:t>应当将变更、重新组建磋商小组的情况予以记录，并随采购文件一并存档。</w:t>
      </w:r>
    </w:p>
    <w:p w14:paraId="68EA4B6C">
      <w:pPr>
        <w:autoSpaceDE w:val="0"/>
        <w:autoSpaceDN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7.1.6 磋商小组成员名单在成交结果公告前，应当保密。</w:t>
      </w:r>
    </w:p>
    <w:p w14:paraId="5EB8575A">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7.1.7 磋商小组及其成员，在磋商中不得有下列行为：</w:t>
      </w:r>
    </w:p>
    <w:p w14:paraId="67F63F3C">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（1）确定参与磋商至磋商结束前私自接触供应商；</w:t>
      </w:r>
    </w:p>
    <w:p w14:paraId="7B881B9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（2）接受供应商提出的与响应文件不一致的澄清和说明；</w:t>
      </w:r>
    </w:p>
    <w:p w14:paraId="0F4016EE">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（3）未集中与单一供应商分别进行磋商或者未给予所有参加磋商的供应商平等的磋商机会；</w:t>
      </w:r>
    </w:p>
    <w:p w14:paraId="2EC51CDF">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（4）违反评审纪律发表倾向性意见或者</w:t>
      </w:r>
      <w:r>
        <w:rPr>
          <w:rFonts w:hint="eastAsia" w:ascii="仿宋" w:hAnsi="仿宋" w:eastAsia="仿宋" w:cs="仿宋"/>
          <w:color w:val="auto"/>
          <w:sz w:val="24"/>
          <w:szCs w:val="24"/>
        </w:rPr>
        <w:t>征询采购人的倾向性意见；</w:t>
      </w:r>
    </w:p>
    <w:p w14:paraId="0EF8D130">
      <w:pPr>
        <w:widowControl/>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对需要专业判断的主观评审因素协商评分；</w:t>
      </w:r>
    </w:p>
    <w:p w14:paraId="7E2A8368">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（6）在磋商或评审环节擅离职守，影响磋商或评审程序正常进行的；</w:t>
      </w:r>
    </w:p>
    <w:p w14:paraId="521E463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（7）记录、复制或带走任何评审资料；</w:t>
      </w:r>
    </w:p>
    <w:p w14:paraId="3C25EE53">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（8）</w:t>
      </w:r>
      <w:r>
        <w:rPr>
          <w:rFonts w:hint="eastAsia" w:ascii="仿宋" w:hAnsi="仿宋" w:eastAsia="仿宋" w:cs="仿宋"/>
          <w:color w:val="auto"/>
          <w:kern w:val="0"/>
          <w:sz w:val="24"/>
          <w:szCs w:val="24"/>
        </w:rPr>
        <w:t>其他不遵守评审纪律的行为。</w:t>
      </w:r>
    </w:p>
    <w:p w14:paraId="7E49FCD4">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磋商小组成员有前款第一至五项行为之一的，其评审意见无效，</w:t>
      </w:r>
      <w:r>
        <w:rPr>
          <w:rFonts w:hint="eastAsia" w:ascii="仿宋" w:hAnsi="仿宋" w:eastAsia="仿宋" w:cs="仿宋"/>
          <w:color w:val="auto"/>
          <w:kern w:val="0"/>
          <w:sz w:val="24"/>
          <w:szCs w:val="24"/>
        </w:rPr>
        <w:t>并不得获取评审劳务报酬和报销异地评审差旅费。</w:t>
      </w:r>
    </w:p>
    <w:p w14:paraId="5283660C">
      <w:pPr>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7.2 磋商原则</w:t>
      </w:r>
    </w:p>
    <w:p w14:paraId="6AA2910D">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7.2.1“客观、公正、审慎”为本次磋商的基本原则，磋商小组按照这一原则的要求，公正、平等地对待各供应商。同时，在磋商中恪守以下原则：</w:t>
      </w:r>
    </w:p>
    <w:p w14:paraId="5D33D0A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（1）统一性原则：磋商小组将按照统一的磋商原则和方法，用统一标准进行评审。</w:t>
      </w:r>
    </w:p>
    <w:p w14:paraId="52D21A8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（2）独立性原则:磋商工作在磋商小组内部独立进行，不受外界任何因素的干扰和影响。磋商小组成员对其出具的意见承担个人责任。</w:t>
      </w:r>
      <w:r>
        <w:rPr>
          <w:rFonts w:hint="eastAsia" w:ascii="仿宋" w:hAnsi="仿宋" w:eastAsia="仿宋" w:cs="仿宋"/>
          <w:color w:val="auto"/>
          <w:kern w:val="0"/>
          <w:sz w:val="24"/>
          <w:szCs w:val="24"/>
        </w:rPr>
        <w:t>供应商试图影响或干预评审的任何行为，将导致其丧失磋商的资格，并承担相应的法律责任。</w:t>
      </w:r>
    </w:p>
    <w:p w14:paraId="35065AA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（3）物有所值原则：通过首轮的磋商报价，激发供应商展开竞争，进一步优化方案，并使报价符合预期目标。</w:t>
      </w:r>
    </w:p>
    <w:p w14:paraId="6C1CFCE3">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（4）客观性原则：磋商小组将严格按照磋商文件要求，对供应商的响应文件进行认真评审；磋商小组对响应文件的评审仅依据响应文件本身，而不依据响应文件以外的任何因素。</w:t>
      </w:r>
    </w:p>
    <w:p w14:paraId="3DA91EF5">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（5）保密性原则：采购代理机构应当采取必要的措施，保证评审在严格保密情况下进行。</w:t>
      </w:r>
    </w:p>
    <w:p w14:paraId="4A8BD224">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（6）综合性原则:磋商小组将综合分析、评审供应商的各项指标，而不以单项指标的优劣评定出成交供应商。</w:t>
      </w:r>
    </w:p>
    <w:p w14:paraId="35B7098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7.2.2 磋商小组有权对整个磋商和评审过程中出现的所有问题，可根据《中华人民共和国政府采购法》及实施条例和《政府采购竞争性磋商采购方式管理暂行办法》等相关规定进行处理。</w:t>
      </w:r>
    </w:p>
    <w:p w14:paraId="3105A6DF">
      <w:pPr>
        <w:pStyle w:val="20"/>
        <w:spacing w:before="120" w:beforeLines="50" w:beforeAutospacing="0" w:after="120" w:afterLines="50" w:afterAutospacing="0" w:line="360" w:lineRule="auto"/>
        <w:rPr>
          <w:rFonts w:hint="eastAsia" w:ascii="仿宋" w:hAnsi="仿宋" w:eastAsia="仿宋" w:cs="仿宋"/>
          <w:b/>
          <w:color w:val="auto"/>
          <w:kern w:val="2"/>
          <w:sz w:val="24"/>
          <w:szCs w:val="24"/>
        </w:rPr>
      </w:pPr>
      <w:r>
        <w:rPr>
          <w:rFonts w:hint="eastAsia" w:ascii="仿宋" w:hAnsi="仿宋" w:eastAsia="仿宋" w:cs="仿宋"/>
          <w:b/>
          <w:color w:val="auto"/>
          <w:kern w:val="2"/>
          <w:sz w:val="24"/>
          <w:szCs w:val="24"/>
        </w:rPr>
        <w:t>7.3磋商</w:t>
      </w:r>
    </w:p>
    <w:p w14:paraId="3E02A8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7.3.1 磋商小组根据磋商文件第三章“磋商办法”规定的方法、评审因素、标准和程序，在与单一供应商进行反复磋商的基础上，对其响应文件进行评审。第三章“磋商办法”没有规定的方法、评审因素和标准，不作为评审依据。</w:t>
      </w:r>
    </w:p>
    <w:p w14:paraId="41F7F71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7.3.2 磋商小组负责具体磋商事务，并独立履行下列职责：</w:t>
      </w:r>
    </w:p>
    <w:p w14:paraId="326FC8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（1）审查、评价响应文件是否符合磋商文件的商务、技术、服务等实质性要求；</w:t>
      </w:r>
    </w:p>
    <w:p w14:paraId="445A10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（2）要求供应商对响应文件有关事项作出澄清或者说明；</w:t>
      </w:r>
    </w:p>
    <w:p w14:paraId="1DED4E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（3）与合格的供应商分别就技术和商务事务进行磋商；</w:t>
      </w:r>
    </w:p>
    <w:p w14:paraId="001AD77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（4）对响应文件进行比较和评价；</w:t>
      </w:r>
    </w:p>
    <w:p w14:paraId="10F24BE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（5）推荐成交候选人名单，或者根据采购人委托直接确定成交供应商；</w:t>
      </w:r>
    </w:p>
    <w:p w14:paraId="223EA25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（6）向采购人、采购代理机构或者有关部门报告非法干预磋商工作的行为。</w:t>
      </w:r>
    </w:p>
    <w:p w14:paraId="5867E0AB">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7.3.3磋商小组成员应当履行下列义务：</w:t>
      </w:r>
    </w:p>
    <w:p w14:paraId="05F9D5A0">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（1）遵纪守法，客观、公正、廉洁地履行职责；</w:t>
      </w:r>
    </w:p>
    <w:p w14:paraId="7365E843">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（2）根据采购文件的规定独立进行评审，对个人的评审意见承担法律责任；</w:t>
      </w:r>
    </w:p>
    <w:p w14:paraId="46C2940F">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（3）参与评审报告的起草；</w:t>
      </w:r>
    </w:p>
    <w:p w14:paraId="0DAC10B6">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（4）配合采购人、采购代理机构答复供应商提出的质疑；</w:t>
      </w:r>
    </w:p>
    <w:p w14:paraId="4D84011B">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（5）配合财政部门的投诉处理和监督检查工作。</w:t>
      </w:r>
    </w:p>
    <w:p w14:paraId="1435C91A">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szCs w:val="24"/>
        </w:rPr>
        <w:t xml:space="preserve">7.3.4 </w:t>
      </w:r>
      <w:r>
        <w:rPr>
          <w:rFonts w:hint="eastAsia" w:ascii="仿宋" w:hAnsi="仿宋" w:eastAsia="仿宋" w:cs="仿宋"/>
          <w:color w:val="auto"/>
          <w:kern w:val="2"/>
          <w:sz w:val="24"/>
          <w:szCs w:val="24"/>
        </w:rPr>
        <w:t>采购代理机构负责组织磋商工作并履行下列职责：</w:t>
      </w:r>
    </w:p>
    <w:p w14:paraId="1B5F875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（1）核对评审专家身份和采购人代表授权函，</w:t>
      </w:r>
      <w:r>
        <w:rPr>
          <w:rFonts w:hint="eastAsia" w:ascii="仿宋" w:hAnsi="仿宋" w:eastAsia="仿宋" w:cs="仿宋"/>
          <w:color w:val="auto"/>
          <w:sz w:val="24"/>
          <w:szCs w:val="24"/>
        </w:rPr>
        <w:t>对评审专家在政府采购活动中的职责履行情况予以记录，并及时将有关违法违规行为向财政部门报告；</w:t>
      </w:r>
    </w:p>
    <w:p w14:paraId="7F9FC4FD">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（2）宣布磋商纪律和开启录音录像设备；</w:t>
      </w:r>
    </w:p>
    <w:p w14:paraId="4C974B2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（3）公布提交了响应文件的供应商名单，告知评审专家应当回避的情形；</w:t>
      </w:r>
    </w:p>
    <w:p w14:paraId="66EA92EE">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（4）组织磋商小组成员推选磋商小组组长，采购人代表不得担任组长；</w:t>
      </w:r>
    </w:p>
    <w:p w14:paraId="1BE57485">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在磋商期间采取必要的通讯管理措施，保证磋商活动不受外界干扰；</w:t>
      </w:r>
    </w:p>
    <w:p w14:paraId="1B64DC6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（6）根据磋商小组的要求介绍政府采购相关政策法规、磋商文件；</w:t>
      </w:r>
    </w:p>
    <w:p w14:paraId="64BCC202">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（7）维护磋商秩序，监督磋商小组依照磋商文件规定的磋商程序、评审方法和标准进行独立评审，对采购人代表、磋商小组成员的倾向性言论或违法违规行为及时制止和纠正；</w:t>
      </w:r>
    </w:p>
    <w:p w14:paraId="42E74061">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（8）核对评审结果，有《政府采购竞争性磋商采购方式暂行管理办法》第三十二条第一款规定情形的，要求磋商小组复核或书面说明理由，磋商小组拒绝的，应予记录并向采购人本级财政部门报告；</w:t>
      </w:r>
    </w:p>
    <w:p w14:paraId="02D4B802">
      <w:pPr>
        <w:widowControl/>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（9）</w:t>
      </w:r>
      <w:r>
        <w:rPr>
          <w:rFonts w:hint="eastAsia" w:ascii="仿宋" w:hAnsi="仿宋" w:eastAsia="仿宋" w:cs="仿宋"/>
          <w:bCs/>
          <w:color w:val="auto"/>
          <w:sz w:val="24"/>
          <w:szCs w:val="24"/>
        </w:rPr>
        <w:t>磋商</w:t>
      </w:r>
      <w:r>
        <w:rPr>
          <w:rFonts w:hint="eastAsia" w:ascii="仿宋" w:hAnsi="仿宋" w:eastAsia="仿宋" w:cs="仿宋"/>
          <w:color w:val="auto"/>
          <w:kern w:val="0"/>
          <w:sz w:val="24"/>
          <w:szCs w:val="24"/>
        </w:rPr>
        <w:t>工作完成后，按照规定向评审专家支付劳务报酬和异地评审差旅费，不得向评审专家以外的其他人员支付评审劳务报酬；</w:t>
      </w:r>
    </w:p>
    <w:p w14:paraId="019DEE96">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（10）处理与磋商有关的其他事项。</w:t>
      </w:r>
    </w:p>
    <w:p w14:paraId="455F394A">
      <w:pPr>
        <w:spacing w:line="360" w:lineRule="auto"/>
        <w:ind w:firstLine="504" w:firstLineChars="210"/>
        <w:rPr>
          <w:rFonts w:hint="eastAsia" w:ascii="仿宋" w:hAnsi="仿宋" w:eastAsia="仿宋" w:cs="仿宋"/>
          <w:color w:val="auto"/>
          <w:sz w:val="24"/>
          <w:szCs w:val="24"/>
        </w:rPr>
      </w:pPr>
      <w:r>
        <w:rPr>
          <w:rFonts w:hint="eastAsia" w:ascii="仿宋" w:hAnsi="仿宋" w:eastAsia="仿宋" w:cs="仿宋"/>
          <w:color w:val="auto"/>
          <w:sz w:val="24"/>
          <w:szCs w:val="24"/>
        </w:rPr>
        <w:t>7.3.5 采购人可以在磋商前介绍项目背景和采购需求，介绍内容不得含有歧视性、倾向性意见，不得超出磋商文件所述范围。介绍应当提交书面介绍材料，并随采购文件一并存档。</w:t>
      </w:r>
    </w:p>
    <w:p w14:paraId="4F7C4483">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7.3.6 磋商过程严格保密</w:t>
      </w:r>
    </w:p>
    <w:p w14:paraId="1AD05BF5">
      <w:pPr>
        <w:autoSpaceDE w:val="0"/>
        <w:autoSpaceDN w:val="0"/>
        <w:spacing w:line="360" w:lineRule="auto"/>
        <w:ind w:firstLine="720" w:firstLineChars="300"/>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7.3.6.1 </w:t>
      </w:r>
      <w:r>
        <w:rPr>
          <w:rFonts w:hint="eastAsia" w:ascii="仿宋" w:hAnsi="仿宋" w:eastAsia="仿宋" w:cs="仿宋"/>
          <w:color w:val="auto"/>
          <w:kern w:val="0"/>
          <w:sz w:val="24"/>
          <w:szCs w:val="24"/>
        </w:rPr>
        <w:t>采购人、采购代理机构应当采取必要措施，保证磋商在严格保密的情况下进行。除采购人代表、磋商现场组织人员外，采购人的其他工作人员以及与磋商工作无关的人员不得进入磋商现场。</w:t>
      </w:r>
    </w:p>
    <w:p w14:paraId="3DD960C5">
      <w:pPr>
        <w:autoSpaceDE w:val="0"/>
        <w:autoSpaceDN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kern w:val="0"/>
          <w:sz w:val="24"/>
          <w:szCs w:val="24"/>
        </w:rPr>
        <w:t>7.3.6.2 有关人员对磋商情况以及在磋商过程中获悉的国家秘密、商业秘密负有保密责任。</w:t>
      </w:r>
      <w:r>
        <w:rPr>
          <w:rFonts w:hint="eastAsia" w:ascii="仿宋" w:hAnsi="仿宋" w:eastAsia="仿宋" w:cs="仿宋"/>
          <w:color w:val="auto"/>
          <w:sz w:val="24"/>
          <w:szCs w:val="24"/>
        </w:rPr>
        <w:t>开启响应文件后，直至授予成交供应商合同为止，凡属于对响应文件的审查、澄清、评价和比较的有关资料以及成交候选人的推荐情况，与磋商有关的其他任何情况均严格保密。</w:t>
      </w:r>
    </w:p>
    <w:p w14:paraId="310B2D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7.3.7 供应商对磋商小组的磋商过程或合同授予决定施加影响的任何行为都可能导致其响应文件无效。</w:t>
      </w:r>
    </w:p>
    <w:p w14:paraId="77DC6D03">
      <w:pPr>
        <w:tabs>
          <w:tab w:val="left" w:pos="426"/>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7.3.8 磋商完成后，磋商小组应当向采购人提交书面评审报告，并由采购代理机构转送。</w:t>
      </w:r>
    </w:p>
    <w:p w14:paraId="6D4D9939">
      <w:pPr>
        <w:outlineLvl w:val="9"/>
        <w:rPr>
          <w:rFonts w:hint="eastAsia" w:ascii="仿宋" w:hAnsi="仿宋" w:eastAsia="仿宋" w:cs="仿宋"/>
          <w:b w:val="0"/>
          <w:bCs/>
          <w:color w:val="auto"/>
          <w:sz w:val="24"/>
          <w:szCs w:val="24"/>
        </w:rPr>
      </w:pPr>
      <w:bookmarkStart w:id="76" w:name="_Toc1689"/>
      <w:r>
        <w:rPr>
          <w:rFonts w:hint="eastAsia" w:ascii="仿宋" w:hAnsi="仿宋" w:eastAsia="仿宋" w:cs="仿宋"/>
          <w:b w:val="0"/>
          <w:bCs/>
          <w:color w:val="auto"/>
          <w:sz w:val="24"/>
          <w:szCs w:val="24"/>
        </w:rPr>
        <w:t>8</w:t>
      </w:r>
      <w:bookmarkStart w:id="77" w:name="_Toc217446061"/>
      <w:r>
        <w:rPr>
          <w:rFonts w:hint="eastAsia" w:ascii="仿宋" w:hAnsi="仿宋" w:eastAsia="仿宋" w:cs="仿宋"/>
          <w:b w:val="0"/>
          <w:bCs/>
          <w:color w:val="auto"/>
          <w:sz w:val="24"/>
          <w:szCs w:val="24"/>
        </w:rPr>
        <w:t>.确定成交供应商</w:t>
      </w:r>
      <w:bookmarkEnd w:id="76"/>
    </w:p>
    <w:p w14:paraId="6006A1C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8.1确定成交供应商原则</w:t>
      </w:r>
      <w:bookmarkEnd w:id="77"/>
    </w:p>
    <w:p w14:paraId="266196F2">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采购人或其授权的磋商小组按照评审报告中提出的成交候选人中，按照顺序由高到低的原则确定成交供应商。</w:t>
      </w:r>
      <w:bookmarkStart w:id="78" w:name="_Toc217446062"/>
    </w:p>
    <w:p w14:paraId="4F97148F">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8.2 确定成交供应商程序</w:t>
      </w:r>
      <w:bookmarkEnd w:id="78"/>
    </w:p>
    <w:p w14:paraId="712712F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8.2.1磋商小组将评审情况写出书面报告，推荐3个成交候选人，并按照综合得分高低标明排列顺序。得分相同的，按照最后报价由低到高顺序排列；得分且最后报价相同的按照技术指标优劣顺序排列。</w:t>
      </w:r>
    </w:p>
    <w:p w14:paraId="22BACE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8.2.2 采购代理机构在评审结束后2个工作日内将评审报告送采购人确认。</w:t>
      </w:r>
    </w:p>
    <w:p w14:paraId="78F62C5E">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8.2.3 采购人应当在收到评审报告后5个工作日内，按照评审报告中推荐的成交候选人中，按照顺序由高到低确定成交供应商。同时，将确定成交供应商的结果复函至采购代理机构。</w:t>
      </w:r>
    </w:p>
    <w:p w14:paraId="49FB05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shd w:val="clear" w:color="auto" w:fill="FFFFFF"/>
        </w:rPr>
        <w:t>采购人在收到评审报告5个工作日内未按评审报告推荐的成交候人中顺序确定成交供应商，又不能说明合法理由的，视同按照评审报告推荐的顺序确定排名第一的成交候选人为成交供应商。</w:t>
      </w:r>
    </w:p>
    <w:p w14:paraId="0D893408">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8.2.4 采购代理机构应当在收到采购人“确定成交供应商结果”复函之日起2个工作日内，根据采购人确定的成交供应商，在省级以上财政部门指定的媒体上发布成交公告，同时向成交供应商发出《成交通知书》。</w:t>
      </w:r>
    </w:p>
    <w:p w14:paraId="38BB4CAB">
      <w:pPr>
        <w:widowControl/>
        <w:spacing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8.2.5 采购代理机构，应当</w:t>
      </w:r>
      <w:r>
        <w:rPr>
          <w:rFonts w:hint="eastAsia" w:ascii="仿宋" w:hAnsi="仿宋" w:eastAsia="仿宋" w:cs="仿宋"/>
          <w:color w:val="auto"/>
          <w:kern w:val="0"/>
          <w:sz w:val="24"/>
          <w:szCs w:val="24"/>
        </w:rPr>
        <w:t>对未通过资格审查或者符合性审查的供应商，告知其未通过的原因。</w:t>
      </w:r>
      <w:r>
        <w:rPr>
          <w:rFonts w:hint="eastAsia" w:ascii="宋体" w:hAnsi="宋体"/>
          <w:color w:val="auto"/>
          <w:szCs w:val="21"/>
        </w:rPr>
        <w:t xml:space="preserve"> </w:t>
      </w:r>
    </w:p>
    <w:p w14:paraId="634BB95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8.3 成交通知书</w:t>
      </w:r>
    </w:p>
    <w:p w14:paraId="443D2856">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w:t>
      </w:r>
      <w:r>
        <w:rPr>
          <w:rFonts w:hint="eastAsia" w:ascii="仿宋" w:hAnsi="仿宋" w:eastAsia="仿宋" w:cs="仿宋"/>
          <w:b/>
          <w:bCs/>
          <w:color w:val="auto"/>
          <w:sz w:val="24"/>
          <w:szCs w:val="24"/>
        </w:rPr>
        <w:t>.</w:t>
      </w:r>
      <w:r>
        <w:rPr>
          <w:rFonts w:hint="eastAsia" w:ascii="仿宋" w:hAnsi="仿宋" w:eastAsia="仿宋" w:cs="仿宋"/>
          <w:color w:val="auto"/>
          <w:sz w:val="24"/>
          <w:szCs w:val="24"/>
        </w:rPr>
        <w:t>1 成交通知书为签订政府采购合同的依据之一，是合同的有效组成部分。</w:t>
      </w:r>
    </w:p>
    <w:p w14:paraId="71B139C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8.3.2 成交通知书对采购人和成交供应商均具有法律效力。</w:t>
      </w:r>
      <w:r>
        <w:rPr>
          <w:rFonts w:hint="eastAsia" w:ascii="仿宋" w:hAnsi="仿宋" w:eastAsia="仿宋" w:cs="仿宋"/>
          <w:color w:val="auto"/>
          <w:sz w:val="24"/>
          <w:szCs w:val="24"/>
          <w:shd w:val="clear" w:color="auto" w:fill="FFFFFF"/>
        </w:rPr>
        <w:t>成交通知书发出后，采购人不得违法改变成交结果，成交供应商无正当理由不得放弃成交资格。否则，</w:t>
      </w:r>
      <w:r>
        <w:rPr>
          <w:rFonts w:hint="eastAsia" w:ascii="仿宋" w:hAnsi="仿宋" w:eastAsia="仿宋" w:cs="仿宋"/>
          <w:color w:val="auto"/>
          <w:sz w:val="24"/>
          <w:szCs w:val="24"/>
        </w:rPr>
        <w:t>应当承担相应的法律责任。</w:t>
      </w:r>
    </w:p>
    <w:p w14:paraId="4C88EBE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8.3.3 成交供应商应当在接到采购代理机构通知之日起2个工作日内领取《成交通知书》。</w:t>
      </w:r>
    </w:p>
    <w:p w14:paraId="48031AAD">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8.3.4 在《成交通知书》发出后，发现成交供应商有政府采购法律法规规章制度规定的成交无效情形的，采购代理机构应当宣布发出的成交通知书无效，并收回发出的成交通知书（成交供应商也应当交回），依法重新确定成交供应商或者重新开展采购活动，同时向同级财政部门报告。</w:t>
      </w:r>
      <w:bookmarkEnd w:id="75"/>
      <w:bookmarkStart w:id="79" w:name="_Toc217446064"/>
      <w:bookmarkStart w:id="80" w:name="_Toc183582240"/>
      <w:bookmarkStart w:id="81" w:name="_Toc217446065"/>
      <w:bookmarkStart w:id="82" w:name="_Toc183682377"/>
    </w:p>
    <w:p w14:paraId="1C23D175">
      <w:pPr>
        <w:outlineLvl w:val="9"/>
        <w:rPr>
          <w:rFonts w:hint="eastAsia" w:ascii="仿宋" w:hAnsi="仿宋" w:eastAsia="仿宋" w:cs="仿宋"/>
          <w:b w:val="0"/>
          <w:bCs/>
          <w:color w:val="auto"/>
          <w:sz w:val="24"/>
          <w:szCs w:val="24"/>
        </w:rPr>
      </w:pPr>
      <w:bookmarkStart w:id="83" w:name="_Toc28420"/>
      <w:r>
        <w:rPr>
          <w:rFonts w:hint="eastAsia" w:ascii="仿宋" w:hAnsi="仿宋" w:eastAsia="仿宋" w:cs="仿宋"/>
          <w:b w:val="0"/>
          <w:bCs/>
          <w:color w:val="auto"/>
          <w:sz w:val="24"/>
          <w:szCs w:val="24"/>
        </w:rPr>
        <w:t>9.合同</w:t>
      </w:r>
      <w:bookmarkEnd w:id="79"/>
      <w:r>
        <w:rPr>
          <w:rFonts w:hint="eastAsia" w:ascii="仿宋" w:hAnsi="仿宋" w:eastAsia="仿宋" w:cs="仿宋"/>
          <w:b w:val="0"/>
          <w:bCs/>
          <w:color w:val="auto"/>
          <w:sz w:val="24"/>
          <w:szCs w:val="24"/>
        </w:rPr>
        <w:t>授予</w:t>
      </w:r>
      <w:bookmarkEnd w:id="83"/>
    </w:p>
    <w:p w14:paraId="71B798FC">
      <w:pPr>
        <w:tabs>
          <w:tab w:val="left" w:pos="7665"/>
        </w:tabs>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9.1 履约保证金</w:t>
      </w:r>
    </w:p>
    <w:p w14:paraId="0654300F">
      <w:pPr>
        <w:tabs>
          <w:tab w:val="left" w:pos="7665"/>
        </w:tabs>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9.1.1本项目按照供应商须知前附表规定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566B3FBF">
      <w:pPr>
        <w:tabs>
          <w:tab w:val="left" w:pos="7665"/>
        </w:tabs>
        <w:spacing w:line="360" w:lineRule="auto"/>
        <w:ind w:firstLine="482"/>
        <w:rPr>
          <w:rFonts w:hint="eastAsia" w:ascii="仿宋" w:hAnsi="仿宋" w:eastAsia="仿宋" w:cs="仿宋"/>
          <w:b/>
          <w:color w:val="auto"/>
          <w:sz w:val="24"/>
          <w:szCs w:val="24"/>
        </w:rPr>
      </w:pPr>
      <w:r>
        <w:rPr>
          <w:rFonts w:hint="eastAsia" w:ascii="仿宋" w:hAnsi="仿宋" w:eastAsia="仿宋" w:cs="仿宋"/>
          <w:color w:val="auto"/>
          <w:sz w:val="24"/>
          <w:szCs w:val="24"/>
        </w:rPr>
        <w:t>9.1.2 成交供应商</w:t>
      </w:r>
      <w:r>
        <w:rPr>
          <w:rFonts w:hint="eastAsia" w:ascii="仿宋" w:hAnsi="仿宋" w:eastAsia="仿宋" w:cs="仿宋"/>
          <w:color w:val="auto"/>
          <w:spacing w:val="4"/>
          <w:sz w:val="24"/>
          <w:szCs w:val="24"/>
        </w:rPr>
        <w:t>不能按照本章第9.1.1项规定</w:t>
      </w:r>
      <w:r>
        <w:rPr>
          <w:rFonts w:hint="eastAsia" w:ascii="仿宋" w:hAnsi="仿宋" w:eastAsia="仿宋" w:cs="仿宋"/>
          <w:color w:val="auto"/>
          <w:sz w:val="24"/>
          <w:szCs w:val="24"/>
        </w:rPr>
        <w:t>提交履约保证金或履约担保的</w:t>
      </w:r>
      <w:r>
        <w:rPr>
          <w:rFonts w:hint="eastAsia" w:ascii="仿宋" w:hAnsi="仿宋" w:eastAsia="仿宋" w:cs="仿宋"/>
          <w:color w:val="auto"/>
          <w:spacing w:val="4"/>
          <w:sz w:val="24"/>
          <w:szCs w:val="24"/>
        </w:rPr>
        <w:t>，视为放弃</w:t>
      </w:r>
      <w:r>
        <w:rPr>
          <w:rFonts w:hint="eastAsia" w:ascii="仿宋" w:hAnsi="仿宋" w:eastAsia="仿宋" w:cs="仿宋"/>
          <w:color w:val="auto"/>
          <w:sz w:val="24"/>
          <w:szCs w:val="24"/>
        </w:rPr>
        <w:t>成交资格</w:t>
      </w:r>
      <w:r>
        <w:rPr>
          <w:rFonts w:hint="eastAsia" w:ascii="仿宋" w:hAnsi="仿宋" w:eastAsia="仿宋" w:cs="仿宋"/>
          <w:color w:val="auto"/>
          <w:spacing w:val="4"/>
          <w:sz w:val="24"/>
          <w:szCs w:val="24"/>
        </w:rPr>
        <w:t>，</w:t>
      </w:r>
      <w:r>
        <w:rPr>
          <w:rFonts w:hint="eastAsia" w:ascii="仿宋" w:hAnsi="仿宋" w:eastAsia="仿宋" w:cs="仿宋"/>
          <w:color w:val="auto"/>
          <w:spacing w:val="2"/>
          <w:sz w:val="24"/>
          <w:szCs w:val="24"/>
        </w:rPr>
        <w:t>其磋商保证金不予退还，给采购人造成损失的，成交供应商应当予以赔偿。</w:t>
      </w:r>
    </w:p>
    <w:p w14:paraId="1E8EA00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9.2 签订合同</w:t>
      </w:r>
    </w:p>
    <w:p w14:paraId="2A6742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9.2.1 采购人应当自《成交通知书》发出之日起</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日内，按照磋商文件和成交供应商响应文件的的规定，与成交供应商签订书面合同。成交供应商无正当理由拒签合同，或者在签订合同时向采购人提出附件条件，采购人有权取消其成交资格，其磋商保证金不予退还，给采购人造成损失的，</w:t>
      </w:r>
      <w:r>
        <w:rPr>
          <w:rFonts w:hint="eastAsia" w:ascii="仿宋" w:hAnsi="仿宋" w:eastAsia="仿宋" w:cs="仿宋"/>
          <w:color w:val="auto"/>
          <w:spacing w:val="2"/>
          <w:sz w:val="24"/>
          <w:szCs w:val="24"/>
        </w:rPr>
        <w:t>成交供应商应当予以赔偿。采购人可以</w:t>
      </w:r>
      <w:r>
        <w:rPr>
          <w:rFonts w:hint="eastAsia" w:ascii="仿宋" w:hAnsi="仿宋" w:eastAsia="仿宋" w:cs="仿宋"/>
          <w:color w:val="auto"/>
          <w:sz w:val="24"/>
          <w:szCs w:val="24"/>
        </w:rPr>
        <w:t>按照评审报告推荐的成交候选人名单排序确定下一候选人为成交供应商，并签订合同或者重新开展采购活动。拒绝签订政府采购合同的成交供应商不得参加对该项目重新开展的采购活动。</w:t>
      </w:r>
    </w:p>
    <w:p w14:paraId="22C294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9.2.2 发出成交通知书后，采购人不得向成交供应商提出任何不合理要求，作为签订合的条件，不得与成交供应商私下订立背离合同实质性内容的任何协议，所签订的合同不得对磋商文件确定的事项和成交供应商响应文件做实质性修改。</w:t>
      </w:r>
    </w:p>
    <w:bookmarkEnd w:id="80"/>
    <w:bookmarkEnd w:id="81"/>
    <w:bookmarkEnd w:id="82"/>
    <w:p w14:paraId="62826366">
      <w:pPr>
        <w:spacing w:line="360" w:lineRule="auto"/>
        <w:ind w:firstLine="480" w:firstLineChars="200"/>
        <w:rPr>
          <w:rFonts w:hint="eastAsia" w:ascii="仿宋" w:hAnsi="仿宋" w:eastAsia="仿宋" w:cs="仿宋"/>
          <w:color w:val="auto"/>
          <w:sz w:val="24"/>
          <w:szCs w:val="24"/>
        </w:rPr>
      </w:pPr>
      <w:bookmarkStart w:id="84" w:name="_Toc217446081"/>
      <w:r>
        <w:rPr>
          <w:rFonts w:hint="eastAsia" w:ascii="仿宋" w:hAnsi="仿宋" w:eastAsia="仿宋" w:cs="仿宋"/>
          <w:color w:val="auto"/>
          <w:sz w:val="24"/>
          <w:szCs w:val="24"/>
        </w:rPr>
        <w:t>9.2.3 联合体成交的，联合体各方应当与采购人签订采购合同，就成交项目向采购人承担连带责任。</w:t>
      </w:r>
    </w:p>
    <w:p w14:paraId="38905408">
      <w:pPr>
        <w:tabs>
          <w:tab w:val="left" w:pos="426"/>
        </w:tabs>
        <w:autoSpaceDE w:val="0"/>
        <w:autoSpaceDN w:val="0"/>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9.3 合同履行</w:t>
      </w:r>
    </w:p>
    <w:p w14:paraId="480E1136">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9.3.1 政府采购合同的履行、违约责任和解决争议的方法等适用《中华人民共和国民法典》。</w:t>
      </w:r>
    </w:p>
    <w:p w14:paraId="15048136">
      <w:pPr>
        <w:tabs>
          <w:tab w:val="left" w:pos="426"/>
        </w:tabs>
        <w:autoSpaceDE w:val="0"/>
        <w:autoSpaceDN w:val="0"/>
        <w:adjustRightInd w:val="0"/>
        <w:snapToGrid w:val="0"/>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9.3.2 </w:t>
      </w:r>
      <w:r>
        <w:rPr>
          <w:rFonts w:hint="eastAsia" w:ascii="仿宋" w:hAnsi="仿宋" w:eastAsia="仿宋" w:cs="仿宋"/>
          <w:color w:val="auto"/>
          <w:sz w:val="24"/>
          <w:szCs w:val="24"/>
          <w:lang w:eastAsia="zh-TW"/>
        </w:rPr>
        <w:t>政府采购合同订立后，合同各方不得擅自变更</w:t>
      </w:r>
      <w:r>
        <w:rPr>
          <w:rFonts w:hint="eastAsia" w:ascii="仿宋" w:hAnsi="仿宋" w:eastAsia="仿宋" w:cs="仿宋"/>
          <w:color w:val="auto"/>
          <w:sz w:val="24"/>
          <w:szCs w:val="24"/>
        </w:rPr>
        <w:t>或者</w:t>
      </w:r>
      <w:r>
        <w:rPr>
          <w:rFonts w:hint="eastAsia" w:ascii="仿宋" w:hAnsi="仿宋" w:eastAsia="仿宋" w:cs="仿宋"/>
          <w:color w:val="auto"/>
          <w:sz w:val="24"/>
          <w:szCs w:val="24"/>
          <w:lang w:eastAsia="zh-TW"/>
        </w:rPr>
        <w:t>中止或者终止合同。政府采购合同需要变更的，采购人应将有关合同变更内容，以书面形式报政府采购监督管理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备案；因特殊情况需要中止或终止合同的，采购人应将中止或终止合同的理由以及相应措施，以书面形式报政府采购监督管理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w:t>
      </w:r>
    </w:p>
    <w:p w14:paraId="56B63FAF">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lang w:eastAsia="zh-TW"/>
        </w:rPr>
      </w:pPr>
      <w:r>
        <w:rPr>
          <w:rFonts w:hint="eastAsia" w:ascii="仿宋" w:hAnsi="仿宋" w:eastAsia="仿宋" w:cs="仿宋"/>
          <w:color w:val="auto"/>
          <w:sz w:val="24"/>
          <w:szCs w:val="24"/>
        </w:rPr>
        <w:t xml:space="preserve">9.3.3 </w:t>
      </w:r>
      <w:r>
        <w:rPr>
          <w:rFonts w:hint="eastAsia" w:ascii="仿宋" w:hAnsi="仿宋" w:eastAsia="仿宋" w:cs="仿宋"/>
          <w:color w:val="auto"/>
          <w:sz w:val="24"/>
          <w:szCs w:val="24"/>
          <w:lang w:eastAsia="zh-TW"/>
        </w:rPr>
        <w:t>政府采购合同履行中，采购人需追加与合同标的相同的货物的，在不改变合同其他条款的前提下，可以与</w:t>
      </w:r>
      <w:r>
        <w:rPr>
          <w:rFonts w:hint="eastAsia" w:ascii="仿宋" w:hAnsi="仿宋" w:eastAsia="仿宋" w:cs="仿宋"/>
          <w:color w:val="auto"/>
          <w:sz w:val="24"/>
          <w:szCs w:val="24"/>
        </w:rPr>
        <w:t>成交供应商</w:t>
      </w:r>
      <w:r>
        <w:rPr>
          <w:rFonts w:hint="eastAsia" w:ascii="仿宋" w:hAnsi="仿宋" w:eastAsia="仿宋" w:cs="仿宋"/>
          <w:color w:val="auto"/>
          <w:sz w:val="24"/>
          <w:szCs w:val="24"/>
          <w:lang w:eastAsia="zh-TW"/>
        </w:rPr>
        <w:t>签订补充合同，但所补充合同的采购金额不得超过原</w:t>
      </w:r>
      <w:r>
        <w:rPr>
          <w:rFonts w:hint="eastAsia" w:ascii="仿宋" w:hAnsi="仿宋" w:eastAsia="仿宋" w:cs="仿宋"/>
          <w:color w:val="auto"/>
          <w:sz w:val="24"/>
          <w:szCs w:val="24"/>
        </w:rPr>
        <w:t>合同</w:t>
      </w:r>
      <w:r>
        <w:rPr>
          <w:rFonts w:hint="eastAsia" w:ascii="仿宋" w:hAnsi="仿宋" w:eastAsia="仿宋" w:cs="仿宋"/>
          <w:color w:val="auto"/>
          <w:sz w:val="24"/>
          <w:szCs w:val="24"/>
          <w:lang w:eastAsia="zh-TW"/>
        </w:rPr>
        <w:t>采购金额的百分之十。签订补充合同的</w:t>
      </w:r>
      <w:r>
        <w:rPr>
          <w:rFonts w:hint="eastAsia" w:ascii="仿宋" w:hAnsi="仿宋" w:eastAsia="仿宋" w:cs="仿宋"/>
          <w:color w:val="auto"/>
          <w:sz w:val="24"/>
          <w:szCs w:val="24"/>
        </w:rPr>
        <w:t>应</w:t>
      </w:r>
      <w:r>
        <w:rPr>
          <w:rFonts w:hint="eastAsia" w:ascii="仿宋" w:hAnsi="仿宋" w:eastAsia="仿宋" w:cs="仿宋"/>
          <w:color w:val="auto"/>
          <w:sz w:val="24"/>
          <w:szCs w:val="24"/>
          <w:lang w:eastAsia="zh-TW"/>
        </w:rPr>
        <w:t>按规定备案。</w:t>
      </w:r>
    </w:p>
    <w:p w14:paraId="79438430">
      <w:pPr>
        <w:tabs>
          <w:tab w:val="left" w:pos="426"/>
        </w:tabs>
        <w:autoSpaceDE w:val="0"/>
        <w:autoSpaceDN w:val="0"/>
        <w:adjustRightInd w:val="0"/>
        <w:snapToGrid w:val="0"/>
        <w:spacing w:line="360" w:lineRule="auto"/>
        <w:ind w:firstLine="480" w:firstLineChars="200"/>
        <w:rPr>
          <w:color w:val="auto"/>
        </w:rPr>
      </w:pPr>
      <w:r>
        <w:rPr>
          <w:rFonts w:hint="eastAsia" w:ascii="仿宋" w:hAnsi="仿宋" w:eastAsia="仿宋" w:cs="仿宋"/>
          <w:color w:val="auto"/>
          <w:sz w:val="24"/>
          <w:szCs w:val="24"/>
        </w:rPr>
        <w:t>9.3.4 供应商须知前附表规定允许合同分包的，成交供应商享受了中小企业政府采购扶持政策，在履行合同时，未按分包意向协议约定的比例分包给小微企业的，视为提供虚假材料谋取中标情形，采购人将依法追究其法律责任。</w:t>
      </w:r>
    </w:p>
    <w:p w14:paraId="4BDDFC40">
      <w:pPr>
        <w:outlineLvl w:val="9"/>
        <w:rPr>
          <w:rFonts w:hint="eastAsia" w:ascii="仿宋" w:hAnsi="仿宋" w:eastAsia="仿宋" w:cs="仿宋"/>
          <w:b w:val="0"/>
          <w:bCs/>
          <w:color w:val="auto"/>
          <w:sz w:val="24"/>
          <w:szCs w:val="24"/>
        </w:rPr>
      </w:pPr>
      <w:bookmarkStart w:id="85" w:name="_Toc25071"/>
      <w:r>
        <w:rPr>
          <w:rFonts w:hint="eastAsia" w:ascii="仿宋" w:hAnsi="仿宋" w:eastAsia="仿宋" w:cs="仿宋"/>
          <w:b w:val="0"/>
          <w:bCs/>
          <w:color w:val="auto"/>
          <w:sz w:val="24"/>
          <w:szCs w:val="24"/>
        </w:rPr>
        <w:t>10.终止磋商</w:t>
      </w:r>
      <w:bookmarkEnd w:id="85"/>
    </w:p>
    <w:p w14:paraId="68A8CD78">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10.1出现下列情形之一的，采购人或者采购代理机构应当终止本次竞争性磋商采购活动，发布终止公告并说明原因，重新开展采购活动：</w:t>
      </w:r>
    </w:p>
    <w:p w14:paraId="15FA00EA">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（1）因情况变化，不再符合规定的竞争性磋商采购方式适用情形的；</w:t>
      </w:r>
    </w:p>
    <w:p w14:paraId="70EFBBFF">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（2）出现影响采购公正的违法、违规行为的；</w:t>
      </w:r>
    </w:p>
    <w:p w14:paraId="028354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（3）除《政府采购竞争性磋商采购方式管理暂行办法》办法第21条第3款规定的情形外，在采购过程中符合要求的供应商或者磋商报价未超过采购预算的供应商不足3家的。</w:t>
      </w:r>
    </w:p>
    <w:p w14:paraId="382A0151">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10.2在采购活动中因重大变故，采购任务取消的，采购人或者采购代理机构应当终止</w:t>
      </w:r>
      <w:r>
        <w:rPr>
          <w:rFonts w:hint="eastAsia" w:ascii="仿宋" w:hAnsi="仿宋" w:eastAsia="仿宋" w:cs="仿宋"/>
          <w:bCs/>
          <w:snapToGrid w:val="0"/>
          <w:color w:val="auto"/>
          <w:kern w:val="0"/>
          <w:sz w:val="24"/>
          <w:szCs w:val="24"/>
        </w:rPr>
        <w:t>项目</w:t>
      </w:r>
      <w:r>
        <w:rPr>
          <w:rFonts w:hint="eastAsia" w:ascii="仿宋" w:hAnsi="仿宋" w:eastAsia="仿宋" w:cs="仿宋"/>
          <w:snapToGrid w:val="0"/>
          <w:color w:val="auto"/>
          <w:kern w:val="0"/>
          <w:sz w:val="24"/>
          <w:szCs w:val="24"/>
        </w:rPr>
        <w:t>采购活动，通知所有参加采购活动的供应商，并将项目实施情况和采购任务取消原因报送本级财政部门。</w:t>
      </w:r>
    </w:p>
    <w:p w14:paraId="33008B7E">
      <w:pPr>
        <w:outlineLvl w:val="9"/>
        <w:rPr>
          <w:rFonts w:hint="eastAsia" w:ascii="仿宋" w:hAnsi="仿宋" w:eastAsia="仿宋" w:cs="仿宋"/>
          <w:b w:val="0"/>
          <w:bCs/>
          <w:color w:val="auto"/>
          <w:sz w:val="24"/>
          <w:szCs w:val="24"/>
        </w:rPr>
      </w:pPr>
      <w:bookmarkStart w:id="86" w:name="_Toc3421"/>
      <w:r>
        <w:rPr>
          <w:rFonts w:hint="eastAsia" w:ascii="仿宋" w:hAnsi="仿宋" w:eastAsia="仿宋" w:cs="仿宋"/>
          <w:b w:val="0"/>
          <w:bCs/>
          <w:color w:val="auto"/>
          <w:sz w:val="24"/>
          <w:szCs w:val="24"/>
        </w:rPr>
        <w:t>11.采购代理服务费</w:t>
      </w:r>
      <w:bookmarkEnd w:id="86"/>
    </w:p>
    <w:p w14:paraId="5A3B94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11.1 </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采购代理服务费</w:t>
      </w:r>
      <w:r>
        <w:rPr>
          <w:rFonts w:hint="eastAsia" w:ascii="仿宋" w:hAnsi="仿宋" w:eastAsia="仿宋" w:cs="仿宋"/>
          <w:color w:val="auto"/>
          <w:sz w:val="24"/>
          <w:szCs w:val="24"/>
          <w:lang w:val="en-US" w:eastAsia="zh-CN"/>
        </w:rPr>
        <w:t>由成交单位支付</w:t>
      </w:r>
      <w:r>
        <w:rPr>
          <w:rFonts w:hint="eastAsia" w:ascii="仿宋" w:hAnsi="仿宋" w:eastAsia="仿宋" w:cs="仿宋"/>
          <w:color w:val="auto"/>
          <w:sz w:val="24"/>
          <w:szCs w:val="24"/>
        </w:rPr>
        <w:t>。</w:t>
      </w:r>
    </w:p>
    <w:p w14:paraId="182C068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11.2 采购代理服务费依据《国家计委关于印发招标代理服务收费管理暂行办法的通知》（计价格【2002】1980号）和国家发改委办公厅颁发的《关于招标代理服务收费有关问题的通知》（发改办价格【2003】857号）文件规定</w:t>
      </w:r>
      <w:r>
        <w:rPr>
          <w:rFonts w:hint="eastAsia" w:ascii="仿宋" w:hAnsi="仿宋" w:eastAsia="仿宋" w:cs="仿宋"/>
          <w:color w:val="auto"/>
          <w:sz w:val="24"/>
          <w:szCs w:val="24"/>
          <w:lang w:val="en-US" w:eastAsia="zh-CN"/>
        </w:rPr>
        <w:t>下浮5%</w:t>
      </w:r>
      <w:r>
        <w:rPr>
          <w:rFonts w:hint="eastAsia" w:ascii="仿宋" w:hAnsi="仿宋" w:eastAsia="仿宋" w:cs="仿宋"/>
          <w:color w:val="auto"/>
          <w:sz w:val="24"/>
          <w:szCs w:val="24"/>
        </w:rPr>
        <w:t>收取。</w:t>
      </w:r>
    </w:p>
    <w:p w14:paraId="78DC698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11.3 采购代理服务费，可以采取现金、支票、银行汇票、电汇、网银等方式交纳。</w:t>
      </w:r>
    </w:p>
    <w:p w14:paraId="7282096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11.4代理服务费账户信息</w:t>
      </w:r>
    </w:p>
    <w:p w14:paraId="5F22A6B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27F4D69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4AA563F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账    号：102075807616</w:t>
      </w:r>
    </w:p>
    <w:p w14:paraId="40816527">
      <w:pPr>
        <w:outlineLvl w:val="9"/>
        <w:rPr>
          <w:rFonts w:hint="eastAsia" w:ascii="仿宋" w:hAnsi="仿宋" w:eastAsia="仿宋" w:cs="仿宋"/>
          <w:b w:val="0"/>
          <w:bCs/>
          <w:color w:val="auto"/>
          <w:sz w:val="24"/>
          <w:szCs w:val="24"/>
        </w:rPr>
      </w:pPr>
      <w:bookmarkStart w:id="87" w:name="_Toc9328"/>
      <w:r>
        <w:rPr>
          <w:rFonts w:hint="eastAsia" w:ascii="仿宋" w:hAnsi="仿宋" w:eastAsia="仿宋" w:cs="仿宋"/>
          <w:b w:val="0"/>
          <w:bCs/>
          <w:color w:val="auto"/>
          <w:sz w:val="24"/>
          <w:szCs w:val="24"/>
        </w:rPr>
        <w:t>12.质疑与投诉</w:t>
      </w:r>
      <w:bookmarkEnd w:id="87"/>
    </w:p>
    <w:p w14:paraId="60C94A4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12.1质疑</w:t>
      </w:r>
    </w:p>
    <w:p w14:paraId="0B6DBED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12.1.1如供应商对本次采购活动有疑问，认为需要提出质疑和投诉的，应当按照《政府采购质疑投诉办法》（财政部94号令）的有关规定办理。</w:t>
      </w:r>
    </w:p>
    <w:p w14:paraId="26EB3366">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12.1.2 供应商对采购文件、采购过程或成交结果使自身的合法权益受到损害，应当在法定期限内，按照质疑函范本格式要求以书面形式向采购代理机构或采购人提出质疑，并附必要的证明材料</w:t>
      </w:r>
      <w:r>
        <w:rPr>
          <w:rFonts w:hint="eastAsia" w:ascii="宋体" w:hAnsi="宋体"/>
          <w:color w:val="auto"/>
          <w:szCs w:val="21"/>
        </w:rPr>
        <w:t>。</w:t>
      </w:r>
    </w:p>
    <w:p w14:paraId="3385FE1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12.1.3 质疑函应当包括下列内容：</w:t>
      </w:r>
    </w:p>
    <w:p w14:paraId="5B271A6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供应商的姓名或者名称、地址、邮编、联系人及联系电话；</w:t>
      </w:r>
    </w:p>
    <w:p w14:paraId="1D1E56B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（2）质疑项目的名称、编号；</w:t>
      </w:r>
    </w:p>
    <w:p w14:paraId="128A1D0F">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（3）具体、明确的质疑事项和与质疑事项相关的请求；</w:t>
      </w:r>
    </w:p>
    <w:p w14:paraId="0588EA32">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（4）事实依据；</w:t>
      </w:r>
    </w:p>
    <w:p w14:paraId="152382C0">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（5）必要的法律依据；</w:t>
      </w:r>
    </w:p>
    <w:p w14:paraId="1B68381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（6）提出质疑的日期。</w:t>
      </w:r>
    </w:p>
    <w:p w14:paraId="578D7950">
      <w:pPr>
        <w:widowControl/>
        <w:spacing w:line="360" w:lineRule="auto"/>
        <w:ind w:right="227"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供应商为自然人的，应当由本人签字；供应商为法人或者其他组织的，应当由法定代表人、主要负责人，或者其委托代理人签字或者盖章，并加盖单位章。</w:t>
      </w:r>
    </w:p>
    <w:p w14:paraId="70562CF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12.1.4质疑人可以委托代理人办理质疑事项，代理人办理质疑事项时，除提交质疑函外，还应当提交质疑人的授权委托书及代理人的有效身份证明，授权委托书应当载明委托代理的具体权限期限和相关事项。</w:t>
      </w:r>
    </w:p>
    <w:p w14:paraId="175A45D7">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12.1.5 质疑函范本格式在中国政府采购网站（http://www.ccgp.gov.cn/）自行下载。</w:t>
      </w:r>
    </w:p>
    <w:p w14:paraId="5F9BC451">
      <w:pPr>
        <w:widowControl/>
        <w:spacing w:line="360" w:lineRule="auto"/>
        <w:ind w:right="225"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12.1.6 </w:t>
      </w:r>
      <w:r>
        <w:rPr>
          <w:rFonts w:hint="eastAsia" w:ascii="仿宋" w:hAnsi="仿宋" w:eastAsia="仿宋" w:cs="仿宋"/>
          <w:color w:val="auto"/>
          <w:kern w:val="0"/>
          <w:sz w:val="24"/>
          <w:szCs w:val="24"/>
        </w:rPr>
        <w:t>接收质疑函的联系部门、联系电话和通讯地址同磋商公告。</w:t>
      </w:r>
    </w:p>
    <w:p w14:paraId="1C0C8074">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12.1.7 有下列情形之一的，属于无效质疑，采购代理机构和采购人不予受理：</w:t>
      </w:r>
    </w:p>
    <w:p w14:paraId="2BD9C66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（1）质疑人不是参与本次政府采购项目的供应商；</w:t>
      </w:r>
    </w:p>
    <w:p w14:paraId="45EA405A">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（2）质疑人与质疑事项不存在利害关系的；</w:t>
      </w:r>
    </w:p>
    <w:p w14:paraId="21AAAFB3">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（3）未在法定期限内提出质疑的；</w:t>
      </w:r>
    </w:p>
    <w:p w14:paraId="06B35595">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（4）质疑未以书面形式提出，以传真、电子邮件、移动通信等形式即时收悉提交的质疑材料；</w:t>
      </w:r>
    </w:p>
    <w:p w14:paraId="35814762">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（5）质疑未按质疑函范本格式提出的；</w:t>
      </w:r>
    </w:p>
    <w:p w14:paraId="36C3AC0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（6）未提交营业执照或法人证书复印件，由授权代表签字的，未提交授权委托书；</w:t>
      </w:r>
    </w:p>
    <w:p w14:paraId="682B3846">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（7）质疑书没有合法有效的签字、盖章的；</w:t>
      </w:r>
    </w:p>
    <w:p w14:paraId="31AAFF1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（8）以非法手段取得证据、材料的；</w:t>
      </w:r>
    </w:p>
    <w:p w14:paraId="526EBE00">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（9）质疑答复后，同一质疑人就同一事项再次提出质疑的；</w:t>
      </w:r>
    </w:p>
    <w:p w14:paraId="1F9951B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（10）不符合法律、法规、规章和政府采购监管机构规定的其他条件的。</w:t>
      </w:r>
    </w:p>
    <w:p w14:paraId="49996798">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12.1.8 采购代理机构或采购人将在收到书面质疑后7个工作日内做出答复，并以书面形式通知质疑人和其他有关供应商。</w:t>
      </w:r>
    </w:p>
    <w:p w14:paraId="5CD1B9E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12.2 投诉</w:t>
      </w:r>
    </w:p>
    <w:p w14:paraId="4184C8D9">
      <w:pPr>
        <w:widowControl/>
        <w:tabs>
          <w:tab w:val="left" w:pos="8931"/>
        </w:tabs>
        <w:spacing w:line="360" w:lineRule="auto"/>
        <w:ind w:right="-113"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12.2.1 质疑人对采购代理机构或采购人的答复不满意，</w:t>
      </w:r>
      <w:r>
        <w:rPr>
          <w:rFonts w:hint="eastAsia" w:ascii="仿宋" w:hAnsi="仿宋" w:eastAsia="仿宋" w:cs="仿宋"/>
          <w:color w:val="auto"/>
          <w:kern w:val="0"/>
          <w:sz w:val="24"/>
          <w:szCs w:val="24"/>
        </w:rPr>
        <w:t>或者采购人、采购代理机构未在规定时间内作出答复的，可以在答复期满后15个工作日内财政部门提起投诉。</w:t>
      </w:r>
    </w:p>
    <w:p w14:paraId="129EF348">
      <w:pPr>
        <w:widowControl/>
        <w:spacing w:line="360" w:lineRule="auto"/>
        <w:ind w:right="28"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12.2.2 </w:t>
      </w:r>
      <w:r>
        <w:rPr>
          <w:rFonts w:hint="eastAsia" w:ascii="仿宋" w:hAnsi="仿宋" w:eastAsia="仿宋" w:cs="仿宋"/>
          <w:color w:val="auto"/>
          <w:kern w:val="0"/>
          <w:sz w:val="24"/>
          <w:szCs w:val="24"/>
        </w:rPr>
        <w:t>供应商投诉时,应当提交投诉书和必要的证明材料，并按照被投诉采购人、采购代理机构（以下简称被投诉人）和与投诉事项有关的供应商数量提供投诉书的副本。投诉书应当包括下列内容：</w:t>
      </w:r>
    </w:p>
    <w:p w14:paraId="455D0796">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（1）投诉人和被投诉人的姓名或者名称、通讯地址、邮编、联系人及联系电话；</w:t>
      </w:r>
    </w:p>
    <w:p w14:paraId="46CCBD58">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（2）质疑和质疑答复情况说明及相关证明材料；</w:t>
      </w:r>
    </w:p>
    <w:p w14:paraId="08D10AA1">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（3）具体、明确的投诉事项和与投诉事项相关的投诉请求；</w:t>
      </w:r>
    </w:p>
    <w:p w14:paraId="46A6EF03">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（4）事实依据；</w:t>
      </w:r>
    </w:p>
    <w:p w14:paraId="77A2BFD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（5）法律依据；</w:t>
      </w:r>
    </w:p>
    <w:p w14:paraId="31CFCEA0">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（6）提起投诉的日期。</w:t>
      </w:r>
    </w:p>
    <w:p w14:paraId="58C0E318">
      <w:pPr>
        <w:widowControl/>
        <w:spacing w:line="360" w:lineRule="auto"/>
        <w:ind w:left="105" w:right="227" w:hanging="120" w:hangingChars="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投诉人为自然人的，应当由本人签字；投诉人为法人或者其他组织的，应当由法定代表人、主要负责人，或者其委托代理人签字或者盖章，并加盖单位章。</w:t>
      </w:r>
    </w:p>
    <w:p w14:paraId="4B4CA76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13.2.3 投诉书范本格式在中国政府采购网站（http：//www.ccgp.gov.cn/）自行下载。</w:t>
      </w:r>
    </w:p>
    <w:p w14:paraId="3F6F16C6">
      <w:pPr>
        <w:widowControl/>
        <w:spacing w:line="360" w:lineRule="auto"/>
        <w:ind w:left="301" w:right="227" w:firstLine="120" w:firstLineChars="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13.2.4 </w:t>
      </w:r>
      <w:r>
        <w:rPr>
          <w:rFonts w:hint="eastAsia" w:ascii="仿宋" w:hAnsi="仿宋" w:eastAsia="仿宋" w:cs="仿宋"/>
          <w:color w:val="auto"/>
          <w:kern w:val="0"/>
          <w:sz w:val="24"/>
          <w:szCs w:val="24"/>
        </w:rPr>
        <w:t>投诉人提起投诉应当符合下列条件：</w:t>
      </w:r>
    </w:p>
    <w:p w14:paraId="1842FF74">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（1）提起投诉前已依法进行质疑；</w:t>
      </w:r>
    </w:p>
    <w:p w14:paraId="14CAD4B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（2）投诉书内容符合财政部94号令的规定；</w:t>
      </w:r>
    </w:p>
    <w:p w14:paraId="0152DCB2">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（3）在投诉有效期限内提起投诉；</w:t>
      </w:r>
    </w:p>
    <w:p w14:paraId="0C54A5AE">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（4）同一投诉事项未经财政部门投诉处理；</w:t>
      </w:r>
    </w:p>
    <w:p w14:paraId="585F230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（5）财政部规定的其他条件。</w:t>
      </w:r>
    </w:p>
    <w:p w14:paraId="26816634">
      <w:pPr>
        <w:widowControl/>
        <w:spacing w:line="360" w:lineRule="auto"/>
        <w:ind w:right="28"/>
        <w:jc w:val="left"/>
        <w:rPr>
          <w:rFonts w:ascii="宋体" w:hAnsi="宋体" w:cs="Arial"/>
          <w:color w:val="auto"/>
          <w:kern w:val="0"/>
          <w:szCs w:val="21"/>
        </w:rPr>
      </w:pPr>
      <w:r>
        <w:rPr>
          <w:rFonts w:hint="eastAsia" w:ascii="仿宋" w:hAnsi="仿宋" w:eastAsia="仿宋" w:cs="仿宋"/>
          <w:color w:val="auto"/>
          <w:kern w:val="0"/>
          <w:sz w:val="24"/>
          <w:szCs w:val="24"/>
        </w:rPr>
        <w:t>　  13.2.5  投诉人投诉的事项不得超出已质疑事项的范围，但基于质疑答复内容提出的投诉事项除外。</w:t>
      </w:r>
    </w:p>
    <w:p w14:paraId="689D1D8F">
      <w:pPr>
        <w:outlineLvl w:val="9"/>
        <w:rPr>
          <w:rFonts w:hint="eastAsia" w:ascii="仿宋" w:hAnsi="仿宋" w:eastAsia="仿宋" w:cs="仿宋"/>
          <w:b w:val="0"/>
          <w:color w:val="auto"/>
          <w:sz w:val="24"/>
          <w:szCs w:val="24"/>
        </w:rPr>
      </w:pPr>
      <w:bookmarkStart w:id="88" w:name="_Toc24910"/>
      <w:r>
        <w:rPr>
          <w:rFonts w:hint="eastAsia" w:ascii="仿宋" w:hAnsi="仿宋" w:eastAsia="仿宋" w:cs="仿宋"/>
          <w:b w:val="0"/>
          <w:color w:val="auto"/>
          <w:sz w:val="24"/>
          <w:szCs w:val="24"/>
        </w:rPr>
        <w:t>13.其他</w:t>
      </w:r>
      <w:bookmarkEnd w:id="88"/>
    </w:p>
    <w:p w14:paraId="0AD9526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13.1成交供应商融资</w:t>
      </w:r>
    </w:p>
    <w:p w14:paraId="1518BE7F">
      <w:pPr>
        <w:spacing w:before="120" w:beforeLines="50" w:after="120" w:afterLines="50"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本着</w:t>
      </w:r>
      <w:r>
        <w:rPr>
          <w:rFonts w:hint="eastAsia" w:ascii="仿宋" w:hAnsi="仿宋" w:eastAsia="仿宋" w:cs="仿宋"/>
          <w:color w:val="auto"/>
          <w:sz w:val="24"/>
          <w:szCs w:val="24"/>
          <w:lang w:val="en"/>
        </w:rPr>
        <w:t xml:space="preserve"> “银企自愿，风险自担”的原则，</w:t>
      </w:r>
      <w:r>
        <w:rPr>
          <w:rFonts w:hint="eastAsia" w:ascii="仿宋" w:hAnsi="仿宋" w:eastAsia="仿宋" w:cs="仿宋"/>
          <w:color w:val="auto"/>
          <w:sz w:val="24"/>
          <w:szCs w:val="24"/>
        </w:rPr>
        <w:t>成交供应商为中小企业的可以自愿选择</w:t>
      </w:r>
      <w:r>
        <w:rPr>
          <w:rFonts w:hint="eastAsia" w:ascii="仿宋" w:hAnsi="仿宋" w:eastAsia="仿宋" w:cs="仿宋"/>
          <w:color w:val="auto"/>
          <w:sz w:val="24"/>
          <w:szCs w:val="24"/>
          <w:lang w:val="en"/>
        </w:rPr>
        <w:t>政府采购贷款进行融资，通过“陕西省政府采购合同融资平台”（http://www.ccgp-shaanxi.gov.cn/）实施。</w:t>
      </w:r>
    </w:p>
    <w:p w14:paraId="3425D4C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13.2陕西省中小企业政府采购信用融资办法及说明</w:t>
      </w:r>
    </w:p>
    <w:p w14:paraId="452E7D62">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陕西省中小企业政府采购信用融资办法</w:t>
      </w:r>
    </w:p>
    <w:p w14:paraId="2DE8F4FE">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第一条 为进一步贯彻落实国务院和我省关于支持中小企业发展的政策措施，发挥政府采购政策导向作用，充分利用信息化技术，通过搭建信息对称、相互对接的平台，有效缓解中小企业融资难、融资贵问题。根据《政府采购法》以及《政府采购促进中小企业发展暂行办法》等有关规定，结合本省实际，制定本办法。</w:t>
      </w:r>
    </w:p>
    <w:p w14:paraId="72B4672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第二条  本办法所称“中小企业”包括中型、小型及微型企业，其划型标准按照《关于印发中小企业划型标准规定的通知》（工信部联企业〔2011〕300号）规定执行。</w:t>
      </w:r>
    </w:p>
    <w:p w14:paraId="7DDDC14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3A31CE1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第四条  开展政府采购信用融资的银行，应当为在陕西省境内注册或设立分支机构，并经财政部门审核且在我省政府采购信息系统搭建服务链接窗口的金融机构。</w:t>
      </w:r>
    </w:p>
    <w:p w14:paraId="74BECB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第五条  政府采购信用融资应当坚持“财政引导，市场运行，银企自愿，互惠共赢”的原则。</w:t>
      </w:r>
    </w:p>
    <w:p w14:paraId="32AA3806">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第六条 省财政厅以全省统一的电子化政府采购系统为平台，对接银行信息化系统，推进政府采购中标成交信息、合同信息、融资信息、支付信息和信用信息等信息资源共享。</w:t>
      </w:r>
    </w:p>
    <w:p w14:paraId="0726616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第七条 各级财政部门应当以政府采购诚信考核和信息化建设为基础，积极为中小企业信用融资搭建平台，提供银企对接的机会和相关的服务支持，但不得为相关贷款项目提供任何形式的担保。</w:t>
      </w:r>
    </w:p>
    <w:p w14:paraId="685D42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75D39E01">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6110459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25E836A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FBCEB3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第十二条 银行应按规定对申请信用融资的供应商的政府采购合同信息进行审查，必要时可通过陕西政府采购网对该政府采购合同进行审核，以确保政府采购合同的真实性和有效性。</w:t>
      </w:r>
    </w:p>
    <w:p w14:paraId="27EA4DB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BDCFAA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1E54DFCD">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第十五条 省本级政府采购资金支付时，各采购单位必须将采购资金支付到备案合同中指定的融资银行及收款账号，以保障贷款资金的安全回收。</w:t>
      </w:r>
    </w:p>
    <w:p w14:paraId="157255E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第十六条 各市县操作程序由各地结合本地实际自行拟定，但应当体现“便捷高效、监管有效、风险可控”的原则。</w:t>
      </w:r>
    </w:p>
    <w:p w14:paraId="208E5D9B">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0756ED0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第十八条 本办法由陕西省财政厅负责解释。</w:t>
      </w:r>
    </w:p>
    <w:p w14:paraId="6FD0697F">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供应商融资申请操作手册</w:t>
      </w:r>
    </w:p>
    <w:p w14:paraId="61C9679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是指在地方财政部门引导下，参与政府采购中标（成交）的供应商可凭政府采购合同向银行申请信用融资，银行按优于一般中小企业贷款利率发放贷款的融资模式。这种融资模式以国库集中支付作为履约保障的政府采购合同为基础，借力政府采购诚信保障，提供了银企对接的机会，缓解了企业融资困境。</w:t>
      </w:r>
    </w:p>
    <w:p w14:paraId="623F2D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申请获批的必要条件是，供应商将意向申请银行指定的资金受监管账户签入采购合同，获得银行认可，以保障银行回收贷款路径安全。企业可在签署采购合同前完成在意向申请银行开户，并将开户账号签入采购合同作为唯一收款账户；如申请融资时已签署采购合同的，企业应将意向申请银行开户账号通过采购合同变更的方式，将开户账号签入采购合同作为唯一收款账户，无论哪种情况，最终的采购合同都需要获得银行的认可，才能获得银行的正式授信。</w:t>
      </w:r>
    </w:p>
    <w:p w14:paraId="790CD8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办理平台（http://www.ccgp-shaanxi.gov.cn/zcdservice/zcd/shanxi/）</w:t>
      </w:r>
    </w:p>
    <w:p w14:paraId="352DD49A">
      <w:pPr>
        <w:autoSpaceDE w:val="0"/>
        <w:autoSpaceDN w:val="0"/>
        <w:adjustRightInd w:val="0"/>
        <w:spacing w:line="460" w:lineRule="exact"/>
        <w:ind w:right="6" w:firstLine="480" w:firstLineChars="200"/>
        <w:rPr>
          <w:rFonts w:ascii="宋体" w:hAnsi="宋体" w:cs="宋体"/>
          <w:color w:val="auto"/>
        </w:rPr>
      </w:pPr>
      <w:r>
        <w:rPr>
          <w:rFonts w:hint="eastAsia" w:ascii="仿宋" w:hAnsi="仿宋" w:eastAsia="仿宋" w:cs="仿宋"/>
          <w:color w:val="auto"/>
          <w:sz w:val="24"/>
          <w:szCs w:val="24"/>
        </w:rPr>
        <w:t>中标人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w:t>
      </w:r>
      <w:r>
        <w:rPr>
          <w:rFonts w:hint="eastAsia" w:ascii="仿宋" w:hAnsi="仿宋" w:eastAsia="仿宋" w:cs="仿宋"/>
          <w:color w:val="auto"/>
          <w:sz w:val="24"/>
          <w:szCs w:val="24"/>
          <w:lang w:eastAsia="zh-CN"/>
        </w:rPr>
        <w:t>陕西采购与招标网</w:t>
      </w:r>
      <w:r>
        <w:rPr>
          <w:rFonts w:hint="eastAsia" w:ascii="仿宋" w:hAnsi="仿宋" w:eastAsia="仿宋" w:cs="仿宋"/>
          <w:color w:val="auto"/>
          <w:sz w:val="24"/>
          <w:szCs w:val="24"/>
        </w:rPr>
        <w:t>(www.ccgp-shaanxi.gov.cn)重要通知专栏中查询了解</w:t>
      </w:r>
      <w:r>
        <w:rPr>
          <w:rFonts w:hint="eastAsia" w:ascii="宋体" w:hAnsi="宋体" w:cs="宋体"/>
          <w:color w:val="auto"/>
        </w:rPr>
        <w:t>。</w:t>
      </w:r>
    </w:p>
    <w:p w14:paraId="2FF5799F">
      <w:pPr>
        <w:widowControl/>
        <w:jc w:val="left"/>
        <w:rPr>
          <w:color w:val="auto"/>
        </w:rPr>
      </w:pPr>
    </w:p>
    <w:p w14:paraId="00EE0CB7">
      <w:pPr>
        <w:rPr>
          <w:color w:val="auto"/>
        </w:rPr>
      </w:pPr>
      <w:r>
        <w:rPr>
          <w:color w:val="auto"/>
        </w:rPr>
        <w:br w:type="page"/>
      </w:r>
    </w:p>
    <w:p w14:paraId="4261CA31">
      <w:pPr>
        <w:widowControl/>
        <w:jc w:val="left"/>
        <w:rPr>
          <w:color w:val="auto"/>
        </w:rPr>
      </w:pPr>
      <w:r>
        <w:rPr>
          <w:color w:val="auto"/>
        </w:rPr>
        <w:t>业务流程简图如下：</w:t>
      </w:r>
    </w:p>
    <w:p w14:paraId="39AEFE43">
      <w:pPr>
        <w:widowControl/>
        <w:jc w:val="left"/>
        <w:rPr>
          <w:color w:val="auto"/>
        </w:rPr>
      </w:pPr>
      <w:r>
        <w:rPr>
          <w:color w:val="auto"/>
        </w:rPr>
        <w:drawing>
          <wp:anchor distT="0" distB="0" distL="114935" distR="114935" simplePos="0" relativeHeight="251659264" behindDoc="1" locked="0" layoutInCell="1" allowOverlap="1">
            <wp:simplePos x="0" y="0"/>
            <wp:positionH relativeFrom="column">
              <wp:posOffset>165100</wp:posOffset>
            </wp:positionH>
            <wp:positionV relativeFrom="paragraph">
              <wp:posOffset>436880</wp:posOffset>
            </wp:positionV>
            <wp:extent cx="5252085" cy="3052445"/>
            <wp:effectExtent l="0" t="0" r="5715" b="14605"/>
            <wp:wrapThrough wrapText="bothSides">
              <wp:wrapPolygon>
                <wp:start x="0" y="0"/>
                <wp:lineTo x="0" y="21434"/>
                <wp:lineTo x="21545" y="21434"/>
                <wp:lineTo x="21545" y="0"/>
                <wp:lineTo x="0" y="0"/>
              </wp:wrapPolygon>
            </wp:wrapThrough>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24"/>
                    <a:stretch>
                      <a:fillRect/>
                    </a:stretch>
                  </pic:blipFill>
                  <pic:spPr>
                    <a:xfrm>
                      <a:off x="0" y="0"/>
                      <a:ext cx="5252085" cy="3052445"/>
                    </a:xfrm>
                    <a:prstGeom prst="rect">
                      <a:avLst/>
                    </a:prstGeom>
                    <a:noFill/>
                    <a:ln>
                      <a:noFill/>
                    </a:ln>
                  </pic:spPr>
                </pic:pic>
              </a:graphicData>
            </a:graphic>
          </wp:anchor>
        </w:drawing>
      </w:r>
      <w:r>
        <w:rPr>
          <w:color w:val="auto"/>
        </w:rPr>
        <w:drawing>
          <wp:anchor distT="0" distB="0" distL="114300" distR="114300" simplePos="0" relativeHeight="251660288" behindDoc="1" locked="0" layoutInCell="1" allowOverlap="1">
            <wp:simplePos x="0" y="0"/>
            <wp:positionH relativeFrom="column">
              <wp:posOffset>193675</wp:posOffset>
            </wp:positionH>
            <wp:positionV relativeFrom="paragraph">
              <wp:posOffset>3800475</wp:posOffset>
            </wp:positionV>
            <wp:extent cx="5268595" cy="3027680"/>
            <wp:effectExtent l="0" t="0" r="8255" b="1270"/>
            <wp:wrapThrough wrapText="bothSides">
              <wp:wrapPolygon>
                <wp:start x="0" y="0"/>
                <wp:lineTo x="0" y="21473"/>
                <wp:lineTo x="21556" y="21473"/>
                <wp:lineTo x="21556" y="0"/>
                <wp:lineTo x="0" y="0"/>
              </wp:wrapPolygon>
            </wp:wrapThrough>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5"/>
                    <a:stretch>
                      <a:fillRect/>
                    </a:stretch>
                  </pic:blipFill>
                  <pic:spPr>
                    <a:xfrm>
                      <a:off x="0" y="0"/>
                      <a:ext cx="5268595" cy="3027680"/>
                    </a:xfrm>
                    <a:prstGeom prst="rect">
                      <a:avLst/>
                    </a:prstGeom>
                    <a:noFill/>
                    <a:ln>
                      <a:noFill/>
                    </a:ln>
                  </pic:spPr>
                </pic:pic>
              </a:graphicData>
            </a:graphic>
          </wp:anchor>
        </w:drawing>
      </w:r>
      <w:r>
        <w:rPr>
          <w:color w:val="auto"/>
        </w:rPr>
        <w:br w:type="page"/>
      </w:r>
    </w:p>
    <w:p w14:paraId="2D230BDF">
      <w:pPr>
        <w:pStyle w:val="12"/>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陕西省政府采购支持中小企业信用融资合作银行目录（参考）</w:t>
      </w:r>
    </w:p>
    <w:p w14:paraId="1E05259C">
      <w:pPr>
        <w:jc w:val="left"/>
        <w:rPr>
          <w:rFonts w:hint="eastAsia" w:ascii="仿宋" w:hAnsi="仿宋" w:eastAsia="仿宋" w:cs="仿宋"/>
          <w:color w:val="auto"/>
          <w:sz w:val="24"/>
          <w:szCs w:val="24"/>
        </w:rPr>
      </w:pPr>
    </w:p>
    <w:tbl>
      <w:tblPr>
        <w:tblStyle w:val="23"/>
        <w:tblW w:w="9417" w:type="dxa"/>
        <w:jc w:val="center"/>
        <w:shd w:val="clear" w:color="auto" w:fill="FFFFFF"/>
        <w:tblLayout w:type="autofit"/>
        <w:tblCellMar>
          <w:top w:w="0" w:type="dxa"/>
          <w:left w:w="0" w:type="dxa"/>
          <w:bottom w:w="0" w:type="dxa"/>
          <w:right w:w="0" w:type="dxa"/>
        </w:tblCellMar>
      </w:tblPr>
      <w:tblGrid>
        <w:gridCol w:w="722"/>
        <w:gridCol w:w="1539"/>
        <w:gridCol w:w="3061"/>
        <w:gridCol w:w="1708"/>
        <w:gridCol w:w="2387"/>
      </w:tblGrid>
      <w:tr w14:paraId="0EF42F8D">
        <w:tblPrEx>
          <w:shd w:val="clear" w:color="auto" w:fill="FFFFFF"/>
          <w:tblCellMar>
            <w:top w:w="0" w:type="dxa"/>
            <w:left w:w="0" w:type="dxa"/>
            <w:bottom w:w="0" w:type="dxa"/>
            <w:right w:w="0" w:type="dxa"/>
          </w:tblCellMar>
        </w:tblPrEx>
        <w:trPr>
          <w:trHeight w:val="47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0048B8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392707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银行名称</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E84F7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授信额度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96D867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贷款期限</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F4F616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贷款利率</w:t>
            </w:r>
          </w:p>
        </w:tc>
      </w:tr>
      <w:tr w14:paraId="12166F82">
        <w:tblPrEx>
          <w:shd w:val="clear" w:color="auto" w:fill="FFFFFF"/>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74748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0A8A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上海浦东发展银行股份有限公司西安分行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C36632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融资申请人为公司的额度不低于300万元；</w:t>
            </w:r>
          </w:p>
          <w:p w14:paraId="09BD267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融资申请人为个人的，额度不高于（含）300万元；</w:t>
            </w:r>
          </w:p>
          <w:p w14:paraId="2FFF891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单笔额度不高于订单金额的70%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5EA09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55FC3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1、不超过中小企业同期市场利率水平2、利率浮动区间（1年期LPR-1年期LPR+194bps）</w:t>
            </w:r>
          </w:p>
        </w:tc>
      </w:tr>
      <w:tr w14:paraId="7184075D">
        <w:tblPrEx>
          <w:shd w:val="clear" w:color="auto" w:fill="FFFFFF"/>
          <w:tblCellMar>
            <w:top w:w="0" w:type="dxa"/>
            <w:left w:w="0" w:type="dxa"/>
            <w:bottom w:w="0" w:type="dxa"/>
            <w:right w:w="0" w:type="dxa"/>
          </w:tblCellMar>
        </w:tblPrEx>
        <w:trPr>
          <w:trHeight w:val="118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5791C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25E8E3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中国建设银行陕西省分行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1E0C4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根据单笔政府采购合同金额核定，最高融资金额为合同金额的90%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7C44F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最长不超月或（360）天或（12）个月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E150F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p w14:paraId="0824B6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2、利率浮动区间（4.5%-5%）</w:t>
            </w:r>
          </w:p>
        </w:tc>
      </w:tr>
      <w:tr w14:paraId="5AA8E129">
        <w:tblPrEx>
          <w:shd w:val="clear" w:color="auto" w:fill="FFFFFF"/>
          <w:tblCellMar>
            <w:top w:w="0" w:type="dxa"/>
            <w:left w:w="0" w:type="dxa"/>
            <w:bottom w:w="0" w:type="dxa"/>
            <w:right w:w="0" w:type="dxa"/>
          </w:tblCellMar>
        </w:tblPrEx>
        <w:trPr>
          <w:trHeight w:val="11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371CB0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D6829C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中国光大银行股份有限公司西安分行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EA52B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原则上单户贷款金额最高不超过1000万元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2ECE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38B5C2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46E51960">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45E8C2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B77A8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中信银行股份有限公司西安分行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FB83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232E1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55B6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1D9CAA38">
        <w:tblPrEx>
          <w:shd w:val="clear" w:color="auto" w:fill="FFFFFF"/>
          <w:tblCellMar>
            <w:top w:w="0" w:type="dxa"/>
            <w:left w:w="0" w:type="dxa"/>
            <w:bottom w:w="0" w:type="dxa"/>
            <w:right w:w="0" w:type="dxa"/>
          </w:tblCellMar>
        </w:tblPrEx>
        <w:trPr>
          <w:trHeight w:val="225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1AE93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8DBCD5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北京银行股份有限公司西安分行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0906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不超过1000万元，我行依据中标供应商通过政府公开招投标程序中中标并执行的采购合同，通常提供不超过采购资金缺口70%的额度，对于优质客户可放宽至80%（采购资金缺口=合同金额-已付/预付货款-质保金）</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E068C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2年期综合授信（提前期1年，每笔业务期限不超过1年）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0105DA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386F14A4">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29AE83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C8E2E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235F6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463F3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1E2FE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利率浮动区间（6%-8%）</w:t>
            </w:r>
          </w:p>
        </w:tc>
      </w:tr>
      <w:tr w14:paraId="674DB61A">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E570B6">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0ADA9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兴业银行股份有限公司西安分行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BFCAE9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不超过1000万元（首次申贷客户不超过500万元）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ED62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BB85C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0DEF9CE2">
        <w:tblPrEx>
          <w:shd w:val="clear" w:color="auto" w:fill="FFFFFF"/>
          <w:tblCellMar>
            <w:top w:w="0" w:type="dxa"/>
            <w:left w:w="0" w:type="dxa"/>
            <w:bottom w:w="0" w:type="dxa"/>
            <w:right w:w="0" w:type="dxa"/>
          </w:tblCellMar>
        </w:tblPrEx>
        <w:trPr>
          <w:trHeight w:val="138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6DB544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27EC1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陕西秦农农村商业银行股份有限公司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4978B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最高授信额度1000万元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56516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原则上不超过1年，最长不超过2年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E307E8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06CBBB9">
        <w:tblPrEx>
          <w:shd w:val="clear" w:color="auto" w:fill="FFFFFF"/>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3E742B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39B0A6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中国工商银行股份有限公司陕西省分行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3A73BD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经营快贷-政采贷单户不超过500万元且不超过订单金额的90%，线上供应链根据订单和应收贷款合理确定贷款额度。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A616AE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最长不超过（36）个月或3年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F185B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1、按照全国银行间同业拆借中心发布的贷款市场报价利率（LPR）确定；2、利率浮动去电（最高不超过LPR+50bp）</w:t>
            </w:r>
          </w:p>
        </w:tc>
      </w:tr>
      <w:tr w14:paraId="52DB7B5B">
        <w:tblPrEx>
          <w:shd w:val="clear" w:color="auto" w:fill="FFFFFF"/>
          <w:tblCellMar>
            <w:top w:w="0" w:type="dxa"/>
            <w:left w:w="0" w:type="dxa"/>
            <w:bottom w:w="0" w:type="dxa"/>
            <w:right w:w="0"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9E2ABD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9E571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招商银行股份有限公司西安分行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F32E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最高3000万元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F0DB4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非工程类不超过1年，工程类不超过3年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B6E84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D6A0FD1">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7E1199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FA5BFB6">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93C076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最高不超过1000万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6BD1F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EE619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利率浮动区间（依据总行利率指导价执行）</w:t>
            </w:r>
          </w:p>
        </w:tc>
      </w:tr>
      <w:tr w14:paraId="758331F0">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0E475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F3D8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6D8C99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中标合同金额70%，最高1000万元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95F0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最长不超过（24）个月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5FF03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7449CE1">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5049B8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E3CFFB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中国邮政储蓄银行陕西省分行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47169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97D0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2960E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不超过中小企业同期市场利率水平，利率浮动区间为3.85%-5.95%</w:t>
            </w:r>
          </w:p>
        </w:tc>
      </w:tr>
      <w:tr w14:paraId="0D8E199A">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01426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892ED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西安银行股份有限公司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502F6A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C7D99B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DD0F5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45D6A1D">
        <w:tblPrEx>
          <w:shd w:val="clear" w:color="auto" w:fill="FFFFFF"/>
          <w:tblCellMar>
            <w:top w:w="0" w:type="dxa"/>
            <w:left w:w="0" w:type="dxa"/>
            <w:bottom w:w="0" w:type="dxa"/>
            <w:right w:w="0" w:type="dxa"/>
          </w:tblCellMar>
        </w:tblPrEx>
        <w:trPr>
          <w:trHeight w:val="101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3848D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36E7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中国民生银行股份有限公司西安分行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D890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9B5F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23319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A88A630">
        <w:tblPrEx>
          <w:tblCellMar>
            <w:top w:w="0" w:type="dxa"/>
            <w:left w:w="0" w:type="dxa"/>
            <w:bottom w:w="0" w:type="dxa"/>
            <w:right w:w="0" w:type="dxa"/>
          </w:tblCellMar>
        </w:tblPrEx>
        <w:trPr>
          <w:trHeight w:val="114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964580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BE1147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中国农业银行股份有限公司陕西省分行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AD94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3000万元以下</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FFE06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4465B2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不超过中小企业同期市场利率水平，利率浮动期间（3.85%-4.35%）</w:t>
            </w:r>
          </w:p>
        </w:tc>
      </w:tr>
      <w:tr w14:paraId="69BA99A8">
        <w:tblPrEx>
          <w:shd w:val="clear" w:color="auto" w:fill="FFFFFF"/>
          <w:tblCellMar>
            <w:top w:w="0" w:type="dxa"/>
            <w:left w:w="0" w:type="dxa"/>
            <w:bottom w:w="0" w:type="dxa"/>
            <w:right w:w="0" w:type="dxa"/>
          </w:tblCellMar>
        </w:tblPrEx>
        <w:trPr>
          <w:trHeight w:val="7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9AC7B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6B633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浙江网商银行股份有限公司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A236A0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C31D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DCE27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5%-7%</w:t>
            </w:r>
          </w:p>
        </w:tc>
      </w:tr>
      <w:tr w14:paraId="3252CAF5">
        <w:tblPrEx>
          <w:shd w:val="clear" w:color="auto" w:fill="FFFFFF"/>
          <w:tblCellMar>
            <w:top w:w="0" w:type="dxa"/>
            <w:left w:w="0" w:type="dxa"/>
            <w:bottom w:w="0" w:type="dxa"/>
            <w:right w:w="0" w:type="dxa"/>
          </w:tblCellMar>
        </w:tblPrEx>
        <w:trPr>
          <w:trHeight w:val="79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CCDC3C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A13E6A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602D6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B2CFC8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07D4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5%-9%</w:t>
            </w:r>
          </w:p>
        </w:tc>
      </w:tr>
    </w:tbl>
    <w:p w14:paraId="5BBAB4D6">
      <w:pPr>
        <w:widowControl/>
        <w:jc w:val="left"/>
        <w:rPr>
          <w:rFonts w:hint="eastAsia" w:ascii="仿宋" w:hAnsi="仿宋" w:eastAsia="仿宋" w:cs="仿宋"/>
          <w:color w:val="auto"/>
          <w:kern w:val="0"/>
          <w:sz w:val="24"/>
          <w:szCs w:val="24"/>
        </w:rPr>
      </w:pPr>
    </w:p>
    <w:p w14:paraId="3130DB6F">
      <w:pPr>
        <w:rPr>
          <w:rFonts w:hint="eastAsia" w:ascii="仿宋" w:hAnsi="仿宋" w:eastAsia="仿宋" w:cs="仿宋"/>
          <w:b/>
          <w:bCs/>
          <w:color w:val="auto"/>
          <w:sz w:val="24"/>
          <w:szCs w:val="24"/>
        </w:rPr>
      </w:pPr>
      <w:r>
        <w:rPr>
          <w:rFonts w:hint="eastAsia" w:ascii="仿宋" w:hAnsi="仿宋" w:eastAsia="仿宋" w:cs="仿宋"/>
          <w:color w:val="auto"/>
          <w:sz w:val="24"/>
          <w:szCs w:val="24"/>
        </w:rPr>
        <w:t>注：以上银行合作有效时间及授信额度、贷款期限、贷款利率仅供参考，</w:t>
      </w:r>
      <w:r>
        <w:rPr>
          <w:rFonts w:hint="eastAsia" w:ascii="仿宋" w:hAnsi="仿宋" w:eastAsia="仿宋" w:cs="仿宋"/>
          <w:bCs/>
          <w:color w:val="auto"/>
          <w:sz w:val="24"/>
          <w:szCs w:val="24"/>
        </w:rPr>
        <w:t>具体规定可登陆</w:t>
      </w:r>
      <w:r>
        <w:rPr>
          <w:rFonts w:hint="eastAsia" w:ascii="仿宋" w:hAnsi="仿宋" w:eastAsia="仿宋" w:cs="仿宋"/>
          <w:bCs/>
          <w:color w:val="auto"/>
          <w:sz w:val="24"/>
          <w:szCs w:val="24"/>
          <w:lang w:eastAsia="zh-CN"/>
        </w:rPr>
        <w:t>陕西采购与招标网</w:t>
      </w:r>
      <w:r>
        <w:rPr>
          <w:rFonts w:hint="eastAsia" w:ascii="仿宋" w:hAnsi="仿宋" w:eastAsia="仿宋" w:cs="仿宋"/>
          <w:bCs/>
          <w:color w:val="auto"/>
          <w:sz w:val="24"/>
          <w:szCs w:val="24"/>
        </w:rPr>
        <w:t>(www.ccgp-shaanxi.gov.cn/)重要通知专栏中查询了解。</w:t>
      </w:r>
    </w:p>
    <w:p w14:paraId="69C45E28">
      <w:pPr>
        <w:spacing w:before="120" w:beforeLines="50" w:after="120" w:afterLines="50" w:line="360" w:lineRule="auto"/>
        <w:jc w:val="left"/>
        <w:rPr>
          <w:rFonts w:hint="eastAsia" w:ascii="仿宋" w:hAnsi="仿宋" w:eastAsia="仿宋" w:cs="仿宋"/>
          <w:b/>
          <w:color w:val="auto"/>
          <w:sz w:val="24"/>
          <w:szCs w:val="24"/>
        </w:rPr>
      </w:pPr>
    </w:p>
    <w:p w14:paraId="7BF9CE0A">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 录音录像</w:t>
      </w:r>
    </w:p>
    <w:p w14:paraId="27A32B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采购代理机构对开启响应文件、磋商和评审过程进行全程录音录像、文字记录，并存档备查。</w:t>
      </w:r>
    </w:p>
    <w:p w14:paraId="23C41E32">
      <w:pPr>
        <w:spacing w:before="120" w:before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13.3需要补充的其他内容</w:t>
      </w:r>
    </w:p>
    <w:p w14:paraId="3CF2E41C">
      <w:pPr>
        <w:adjustRightInd w:val="0"/>
        <w:snapToGrid w:val="0"/>
        <w:spacing w:before="120" w:beforeLines="50"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招标文件需要补充的其他内容见</w:t>
      </w:r>
      <w:r>
        <w:rPr>
          <w:rFonts w:hint="eastAsia" w:ascii="仿宋" w:hAnsi="仿宋" w:eastAsia="仿宋" w:cs="仿宋"/>
          <w:b/>
          <w:color w:val="auto"/>
          <w:sz w:val="24"/>
          <w:szCs w:val="24"/>
        </w:rPr>
        <w:t>投标须知前附表</w:t>
      </w:r>
      <w:r>
        <w:rPr>
          <w:rFonts w:hint="eastAsia" w:ascii="宋体" w:hAnsi="宋体"/>
          <w:color w:val="auto"/>
          <w:szCs w:val="21"/>
        </w:rPr>
        <w:t>。</w:t>
      </w:r>
    </w:p>
    <w:p w14:paraId="29B32E4E">
      <w:pPr>
        <w:spacing w:line="360" w:lineRule="auto"/>
        <w:rPr>
          <w:color w:val="auto"/>
          <w:sz w:val="24"/>
        </w:rPr>
      </w:pPr>
      <w:r>
        <w:rPr>
          <w:color w:val="auto"/>
          <w:sz w:val="24"/>
        </w:rPr>
        <w:br w:type="page"/>
      </w:r>
    </w:p>
    <w:p w14:paraId="23569ECB">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24"/>
        </w:rPr>
      </w:pPr>
      <w:bookmarkStart w:id="89" w:name="_Toc31201"/>
      <w:bookmarkStart w:id="90" w:name="_Toc24960"/>
      <w:r>
        <w:rPr>
          <w:rFonts w:hint="eastAsia" w:ascii="宋体" w:hAnsi="宋体"/>
          <w:color w:val="auto"/>
          <w:sz w:val="44"/>
          <w:szCs w:val="44"/>
        </w:rPr>
        <w:t>第三章</w:t>
      </w:r>
      <w:bookmarkStart w:id="91" w:name="_Toc217446093"/>
      <w:r>
        <w:rPr>
          <w:rFonts w:hint="eastAsia" w:ascii="宋体" w:hAnsi="宋体"/>
          <w:color w:val="auto"/>
          <w:sz w:val="44"/>
          <w:szCs w:val="44"/>
        </w:rPr>
        <w:t xml:space="preserve"> 磋商办法</w:t>
      </w:r>
      <w:bookmarkEnd w:id="89"/>
      <w:bookmarkEnd w:id="90"/>
    </w:p>
    <w:p w14:paraId="56CF56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根据《中华人民共和国政府采购法》及其实施条例和财政部《政府采购竞争性磋商采购方式管理暂行办法》（财库【2014】214号）等法律法规的规定，结合采购项目特点，制定本磋商办法。</w:t>
      </w:r>
    </w:p>
    <w:p w14:paraId="297A6F78">
      <w:pPr>
        <w:outlineLvl w:val="9"/>
        <w:rPr>
          <w:rFonts w:hint="eastAsia" w:ascii="仿宋" w:hAnsi="仿宋" w:eastAsia="仿宋" w:cs="仿宋"/>
          <w:b w:val="0"/>
          <w:bCs/>
          <w:color w:val="auto"/>
          <w:sz w:val="24"/>
          <w:szCs w:val="24"/>
        </w:rPr>
      </w:pPr>
      <w:bookmarkStart w:id="92" w:name="_Toc595"/>
      <w:r>
        <w:rPr>
          <w:rFonts w:hint="eastAsia" w:ascii="仿宋" w:hAnsi="仿宋" w:eastAsia="仿宋" w:cs="仿宋"/>
          <w:b w:val="0"/>
          <w:bCs/>
          <w:color w:val="auto"/>
          <w:sz w:val="24"/>
          <w:szCs w:val="24"/>
        </w:rPr>
        <w:t>1.磋商程序</w:t>
      </w:r>
      <w:bookmarkEnd w:id="92"/>
    </w:p>
    <w:p w14:paraId="32D763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 磋商按下列程序进行：</w:t>
      </w:r>
    </w:p>
    <w:p w14:paraId="399DE7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（1）响应文件初步评审；</w:t>
      </w:r>
    </w:p>
    <w:p w14:paraId="6F8996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（2）响应文件的澄清；</w:t>
      </w:r>
    </w:p>
    <w:p w14:paraId="0CB1048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（3）磋商（包括技术磋商、商务磋商、提交最后报价）；</w:t>
      </w:r>
    </w:p>
    <w:p w14:paraId="56FDBD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（4）响应文件详细评审；</w:t>
      </w:r>
    </w:p>
    <w:p w14:paraId="4CA4C5D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（5）复核与核对评审结果；</w:t>
      </w:r>
    </w:p>
    <w:p w14:paraId="2BE9AB1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（6）确定成交候选人名单；</w:t>
      </w:r>
    </w:p>
    <w:p w14:paraId="50E232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（7）编写评审报告。</w:t>
      </w:r>
    </w:p>
    <w:p w14:paraId="02A362D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 响应文件初步评审</w:t>
      </w:r>
    </w:p>
    <w:p w14:paraId="64310A31">
      <w:pPr>
        <w:tabs>
          <w:tab w:val="left" w:pos="0"/>
        </w:tabs>
        <w:adjustRightInd w:val="0"/>
        <w:snapToGrid w:val="0"/>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1.2.1 资格性审查</w:t>
      </w:r>
    </w:p>
    <w:p w14:paraId="14311AF5">
      <w:pPr>
        <w:spacing w:before="120" w:beforeLines="50" w:after="120" w:afterLines="50"/>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1.2.1.1资格审查人员</w:t>
      </w:r>
    </w:p>
    <w:p w14:paraId="4AD1CCF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磋商会议结束后，</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按照《中华人民共和国政府采购法》，对响应文件正本中的供应商资格证明文件进行审查。资格审查结束后，资格审查人员对审查结果进行签字确认，若供应商资格审查未通过，注明未通过原因并告知供应商。</w:t>
      </w:r>
    </w:p>
    <w:p w14:paraId="6BE58292">
      <w:pPr>
        <w:snapToGrid w:val="0"/>
        <w:spacing w:before="120" w:beforeLines="50" w:after="120" w:afterLines="50" w:line="360" w:lineRule="auto"/>
        <w:ind w:firstLine="420"/>
        <w:rPr>
          <w:rFonts w:hint="eastAsia" w:ascii="仿宋" w:hAnsi="仿宋" w:eastAsia="仿宋" w:cs="仿宋"/>
          <w:b/>
          <w:color w:val="auto"/>
          <w:sz w:val="24"/>
          <w:szCs w:val="24"/>
        </w:rPr>
      </w:pPr>
      <w:r>
        <w:rPr>
          <w:rFonts w:hint="eastAsia" w:ascii="仿宋" w:hAnsi="仿宋" w:eastAsia="仿宋" w:cs="仿宋"/>
          <w:b/>
          <w:color w:val="auto"/>
          <w:sz w:val="24"/>
          <w:szCs w:val="24"/>
        </w:rPr>
        <w:t>1.2.2资格审查办法</w:t>
      </w:r>
    </w:p>
    <w:p w14:paraId="709D4A4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1.2.2.1资格审查在开标之后评标之前进行。</w:t>
      </w:r>
    </w:p>
    <w:p w14:paraId="39920768">
      <w:pPr>
        <w:snapToGrid w:val="0"/>
        <w:spacing w:line="360" w:lineRule="auto"/>
        <w:ind w:firstLine="420"/>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1.2.2.2资格审查人员将依据供应商响应文件，按照磋商文件第三章3.1条款所述资格要求对供应商进行资格审查，以确定其是否具备相应资格。如果供应商不具备资格、不满足磋商文件所规定的资格条件,将被视为未实质性响应磋商文件,按无效投标处理，资格审查不合格的供应商，不得进入下一评审环节。</w:t>
      </w:r>
    </w:p>
    <w:p w14:paraId="289D3A8D">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1.2.2.3 供应商须知前附表规定本项目专门面向中小企业采购的，供应商应符合政府采购政策规定的中小企业条件，并提供相应证明材料：《中小企业声明函》或者《残疾人福利性单位声明函》或者监狱企业的证明。不提供或提供有瑕疵的，不得进入下一评标环节。</w:t>
      </w:r>
    </w:p>
    <w:p w14:paraId="4B82C9D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1.2.2.4供应商信用查询结果使用，凡存在下列情形之一的，审查不予通过：</w:t>
      </w:r>
    </w:p>
    <w:p w14:paraId="4490DF10">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（1）列入严重违法失信名单的；</w:t>
      </w:r>
    </w:p>
    <w:p w14:paraId="2938AD8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（2）列入政府采购严重违法失信行为记录名单的；</w:t>
      </w:r>
    </w:p>
    <w:p w14:paraId="158D7B7F">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（3）列入重大税收违法案件当事人名单的；</w:t>
      </w:r>
    </w:p>
    <w:p w14:paraId="07C2FD99">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（4）近3年内受到暂扣或者吊销许可证、暂扣或者吊销执照行政处罚的；</w:t>
      </w:r>
    </w:p>
    <w:p w14:paraId="62A970F5">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（5）近3年内受到责令停产停业行政处罚的；</w:t>
      </w:r>
    </w:p>
    <w:p w14:paraId="653EA96A">
      <w:pPr>
        <w:snapToGrid w:val="0"/>
        <w:spacing w:before="0" w:after="0"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b w:val="0"/>
          <w:color w:val="auto"/>
          <w:sz w:val="24"/>
          <w:szCs w:val="24"/>
        </w:rPr>
        <w:t>（6）法律法规规定的其他情形的。</w:t>
      </w:r>
    </w:p>
    <w:p w14:paraId="5522EBA7">
      <w:pPr>
        <w:tabs>
          <w:tab w:val="left" w:pos="0"/>
        </w:tabs>
        <w:adjustRightInd w:val="0"/>
        <w:snapToGrid w:val="0"/>
        <w:spacing w:line="360" w:lineRule="auto"/>
        <w:ind w:firstLine="826" w:firstLineChars="343"/>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1.2.3基本资格条件的审查标准：</w:t>
      </w:r>
    </w:p>
    <w:p w14:paraId="65E1A9CC">
      <w:pPr>
        <w:tabs>
          <w:tab w:val="left" w:pos="0"/>
        </w:tabs>
        <w:adjustRightInd w:val="0"/>
        <w:snapToGrid w:val="0"/>
        <w:spacing w:after="120" w:afterLines="50" w:line="360" w:lineRule="auto"/>
        <w:ind w:firstLine="840" w:firstLineChars="35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采购人将按下表所列举的审查标准对供应商的基本资格条件进行</w:t>
      </w:r>
      <w:r>
        <w:rPr>
          <w:rFonts w:hint="eastAsia" w:ascii="仿宋" w:hAnsi="仿宋" w:eastAsia="仿宋" w:cs="仿宋"/>
          <w:bCs/>
          <w:color w:val="auto"/>
          <w:sz w:val="24"/>
          <w:szCs w:val="24"/>
        </w:rPr>
        <w:t>审查，供应商若</w:t>
      </w:r>
      <w:r>
        <w:rPr>
          <w:rFonts w:hint="eastAsia" w:ascii="仿宋" w:hAnsi="仿宋" w:eastAsia="仿宋" w:cs="仿宋"/>
          <w:color w:val="auto"/>
          <w:kern w:val="0"/>
          <w:sz w:val="24"/>
          <w:szCs w:val="24"/>
        </w:rPr>
        <w:t>有一项不合格，即判定其基本资格条件审查结果为不合格，将不具备磋商资格，按无效响应文件处理。</w:t>
      </w:r>
    </w:p>
    <w:tbl>
      <w:tblPr>
        <w:tblStyle w:val="23"/>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5785"/>
        <w:gridCol w:w="3541"/>
      </w:tblGrid>
      <w:tr w14:paraId="677F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3" w:type="dxa"/>
            <w:vAlign w:val="center"/>
          </w:tcPr>
          <w:p w14:paraId="71849F0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序号</w:t>
            </w:r>
          </w:p>
        </w:tc>
        <w:tc>
          <w:tcPr>
            <w:tcW w:w="5785" w:type="dxa"/>
            <w:vAlign w:val="center"/>
          </w:tcPr>
          <w:p w14:paraId="29A6833F">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审查因素</w:t>
            </w:r>
          </w:p>
        </w:tc>
        <w:tc>
          <w:tcPr>
            <w:tcW w:w="3541" w:type="dxa"/>
            <w:vAlign w:val="center"/>
          </w:tcPr>
          <w:p w14:paraId="60D7D5C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审查标准</w:t>
            </w:r>
          </w:p>
        </w:tc>
      </w:tr>
      <w:tr w14:paraId="58B2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vAlign w:val="center"/>
          </w:tcPr>
          <w:p w14:paraId="06714D19">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5785" w:type="dxa"/>
            <w:vAlign w:val="center"/>
          </w:tcPr>
          <w:p w14:paraId="12C7C060">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color w:val="auto"/>
                <w:kern w:val="2"/>
                <w:sz w:val="24"/>
                <w:szCs w:val="24"/>
                <w:lang w:val="en-US" w:eastAsia="zh-CN" w:bidi="ar-SA"/>
              </w:rPr>
              <w:t>具有独立承担民事责任能力的法人、其他组织或自然人，提供合法有效的统一社会信用代码营业执照（事业单位提供事业单位法人证书，自然人提供身份证明）；</w:t>
            </w:r>
          </w:p>
        </w:tc>
        <w:tc>
          <w:tcPr>
            <w:tcW w:w="3541" w:type="dxa"/>
            <w:vAlign w:val="center"/>
          </w:tcPr>
          <w:p w14:paraId="4787A85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0832B0">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4C0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763" w:type="dxa"/>
            <w:vAlign w:val="center"/>
          </w:tcPr>
          <w:p w14:paraId="1A49793F">
            <w:pPr>
              <w:tabs>
                <w:tab w:val="left" w:pos="0"/>
              </w:tabs>
              <w:adjustRightInd w:val="0"/>
              <w:snapToGrid w:val="0"/>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5785" w:type="dxa"/>
            <w:vAlign w:val="center"/>
          </w:tcPr>
          <w:p w14:paraId="5376A71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b w:val="0"/>
                <w:bCs w:val="0"/>
                <w:color w:val="auto"/>
                <w:sz w:val="24"/>
                <w:szCs w:val="24"/>
                <w:shd w:val="clear" w:color="auto" w:fill="FFFFFF"/>
              </w:rPr>
              <w:t>供应商需具备建筑工程施工总承包二级（含二级）及以上资质，具有有效的安全生产许可证；</w:t>
            </w:r>
          </w:p>
        </w:tc>
        <w:tc>
          <w:tcPr>
            <w:tcW w:w="3541" w:type="dxa"/>
            <w:vAlign w:val="center"/>
          </w:tcPr>
          <w:p w14:paraId="7C9329D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1B42ECE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6051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63" w:type="dxa"/>
            <w:vAlign w:val="center"/>
          </w:tcPr>
          <w:p w14:paraId="04F22D27">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3</w:t>
            </w:r>
          </w:p>
        </w:tc>
        <w:tc>
          <w:tcPr>
            <w:tcW w:w="5785" w:type="dxa"/>
            <w:vAlign w:val="center"/>
          </w:tcPr>
          <w:p w14:paraId="314345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2"/>
                <w:sz w:val="24"/>
                <w:szCs w:val="24"/>
                <w:lang w:val="en-US" w:eastAsia="zh-CN" w:bidi="ar-SA"/>
              </w:rPr>
            </w:pPr>
            <w:r>
              <w:rPr>
                <w:rFonts w:hint="eastAsia" w:ascii="仿宋" w:hAnsi="仿宋" w:eastAsia="仿宋" w:cs="仿宋"/>
                <w:b w:val="0"/>
                <w:bCs w:val="0"/>
                <w:color w:val="auto"/>
                <w:sz w:val="24"/>
                <w:szCs w:val="24"/>
                <w:shd w:val="clear" w:color="auto" w:fill="FFFFFF"/>
              </w:rPr>
              <w:t>拟派项目经理需具备建筑工程专业二级（含二级）及以上注册建造师证书，具有有效的安全生产考核合格证（B 证）书，且未担任其他在建工程项目的项目经理</w:t>
            </w:r>
          </w:p>
        </w:tc>
        <w:tc>
          <w:tcPr>
            <w:tcW w:w="3541" w:type="dxa"/>
            <w:vAlign w:val="center"/>
          </w:tcPr>
          <w:p w14:paraId="608A0DF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0BFD2355">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B4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63" w:type="dxa"/>
            <w:vAlign w:val="center"/>
          </w:tcPr>
          <w:p w14:paraId="6556DC94">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5785" w:type="dxa"/>
            <w:vAlign w:val="center"/>
          </w:tcPr>
          <w:p w14:paraId="3341E7F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b w:val="0"/>
                <w:bCs w:val="0"/>
                <w:color w:val="333333"/>
                <w:sz w:val="24"/>
                <w:szCs w:val="24"/>
                <w:shd w:val="clear" w:color="auto" w:fill="FFFFFF"/>
                <w:lang w:val="en-US" w:eastAsia="zh-CN"/>
              </w:rPr>
            </w:pPr>
            <w:r>
              <w:rPr>
                <w:rFonts w:hint="eastAsia" w:ascii="仿宋" w:hAnsi="仿宋" w:eastAsia="仿宋" w:cs="仿宋"/>
                <w:sz w:val="24"/>
                <w:szCs w:val="24"/>
              </w:rPr>
              <w:t>法定代表人授权代表参加投标的， 提供法定代表人授权委托书及被授权人身份证原件；法定代表人参加投标时,提供法定代表人身份证明及本人身份证原件</w:t>
            </w:r>
          </w:p>
        </w:tc>
        <w:tc>
          <w:tcPr>
            <w:tcW w:w="3541" w:type="dxa"/>
            <w:vAlign w:val="center"/>
          </w:tcPr>
          <w:p w14:paraId="3D24F5A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C3EBF7">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0FA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763" w:type="dxa"/>
            <w:vAlign w:val="center"/>
          </w:tcPr>
          <w:p w14:paraId="2F7DD136">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5</w:t>
            </w:r>
          </w:p>
        </w:tc>
        <w:tc>
          <w:tcPr>
            <w:tcW w:w="5785" w:type="dxa"/>
            <w:vAlign w:val="center"/>
          </w:tcPr>
          <w:p w14:paraId="5A413858">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p>
        </w:tc>
        <w:tc>
          <w:tcPr>
            <w:tcW w:w="3541" w:type="dxa"/>
            <w:vAlign w:val="center"/>
          </w:tcPr>
          <w:p w14:paraId="50EC401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23591D98">
            <w:pPr>
              <w:numPr>
                <w:ilvl w:val="0"/>
                <w:numId w:val="0"/>
              </w:numPr>
              <w:tabs>
                <w:tab w:val="left" w:pos="0"/>
              </w:tabs>
              <w:adjustRightInd w:val="0"/>
              <w:snapToGrid w:val="0"/>
              <w:ind w:leftChars="-253" w:firstLine="1920" w:firstLineChars="8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970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63" w:type="dxa"/>
            <w:vAlign w:val="center"/>
          </w:tcPr>
          <w:p w14:paraId="1A91D85A">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6</w:t>
            </w:r>
          </w:p>
        </w:tc>
        <w:tc>
          <w:tcPr>
            <w:tcW w:w="5785" w:type="dxa"/>
            <w:vAlign w:val="center"/>
          </w:tcPr>
          <w:p w14:paraId="32DAB30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kern w:val="2"/>
                <w:sz w:val="24"/>
                <w:szCs w:val="24"/>
                <w:lang w:val="en-US" w:eastAsia="zh-CN" w:bidi="ar-SA"/>
              </w:rPr>
              <w:t>；</w:t>
            </w:r>
          </w:p>
        </w:tc>
        <w:tc>
          <w:tcPr>
            <w:tcW w:w="3541" w:type="dxa"/>
            <w:vAlign w:val="center"/>
          </w:tcPr>
          <w:p w14:paraId="018E5C43">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405B2A19">
            <w:pPr>
              <w:adjustRightInd w:val="0"/>
              <w:snapToGrid w:val="0"/>
              <w:ind w:left="594" w:leftChars="-3" w:hanging="600" w:hangingChars="25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1E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63" w:type="dxa"/>
            <w:vAlign w:val="center"/>
          </w:tcPr>
          <w:p w14:paraId="30204310">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7</w:t>
            </w:r>
          </w:p>
        </w:tc>
        <w:tc>
          <w:tcPr>
            <w:tcW w:w="5785" w:type="dxa"/>
            <w:vAlign w:val="center"/>
          </w:tcPr>
          <w:p w14:paraId="60577B26">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p>
        </w:tc>
        <w:tc>
          <w:tcPr>
            <w:tcW w:w="3541" w:type="dxa"/>
            <w:vAlign w:val="center"/>
          </w:tcPr>
          <w:p w14:paraId="528B4E91">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6469ACE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002D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3" w:type="dxa"/>
            <w:vAlign w:val="center"/>
          </w:tcPr>
          <w:p w14:paraId="00BCB899">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8</w:t>
            </w:r>
          </w:p>
        </w:tc>
        <w:tc>
          <w:tcPr>
            <w:tcW w:w="5785" w:type="dxa"/>
            <w:vAlign w:val="center"/>
          </w:tcPr>
          <w:p w14:paraId="2D2BB38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投标人应出具参加政府采购活动前 3 年内在经营活动中没有重大违法记录的书面声明</w:t>
            </w:r>
          </w:p>
        </w:tc>
        <w:tc>
          <w:tcPr>
            <w:tcW w:w="3541" w:type="dxa"/>
            <w:vAlign w:val="center"/>
          </w:tcPr>
          <w:p w14:paraId="5117DBF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7E6D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63" w:type="dxa"/>
            <w:vAlign w:val="center"/>
          </w:tcPr>
          <w:p w14:paraId="0CD9CE6F">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9</w:t>
            </w:r>
          </w:p>
        </w:tc>
        <w:tc>
          <w:tcPr>
            <w:tcW w:w="5785" w:type="dxa"/>
            <w:vAlign w:val="center"/>
          </w:tcPr>
          <w:p w14:paraId="095A31F3">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投标人应出具履行合同所必需的设备和专业技术能力的承诺声明</w:t>
            </w:r>
          </w:p>
        </w:tc>
        <w:tc>
          <w:tcPr>
            <w:tcW w:w="3541" w:type="dxa"/>
            <w:vAlign w:val="center"/>
          </w:tcPr>
          <w:p w14:paraId="55FFB6F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4DB4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3" w:type="dxa"/>
            <w:vAlign w:val="center"/>
          </w:tcPr>
          <w:p w14:paraId="4E4E9938">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10</w:t>
            </w:r>
          </w:p>
        </w:tc>
        <w:tc>
          <w:tcPr>
            <w:tcW w:w="5785" w:type="dxa"/>
            <w:vAlign w:val="center"/>
          </w:tcPr>
          <w:p w14:paraId="36CC61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zh-CN"/>
              </w:rPr>
            </w:pPr>
            <w:r>
              <w:rPr>
                <w:rFonts w:hint="eastAsia" w:ascii="仿宋" w:hAnsi="仿宋" w:eastAsia="仿宋" w:cs="仿宋"/>
                <w:sz w:val="24"/>
                <w:szCs w:val="24"/>
              </w:rPr>
              <w:t>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kern w:val="2"/>
                <w:sz w:val="24"/>
                <w:szCs w:val="24"/>
                <w:lang w:val="en-US" w:eastAsia="zh-CN" w:bidi="ar-SA"/>
              </w:rPr>
              <w:t>；</w:t>
            </w:r>
          </w:p>
        </w:tc>
        <w:tc>
          <w:tcPr>
            <w:tcW w:w="3541" w:type="dxa"/>
            <w:vAlign w:val="center"/>
          </w:tcPr>
          <w:p w14:paraId="5408ABF4">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bl>
    <w:p w14:paraId="1EB713B8">
      <w:pPr>
        <w:pStyle w:val="2"/>
        <w:rPr>
          <w:rFonts w:hint="eastAsia" w:ascii="宋体" w:hAnsi="宋体" w:cs="宋体"/>
          <w:b/>
          <w:bCs/>
          <w:color w:val="auto"/>
          <w:kern w:val="0"/>
          <w:szCs w:val="21"/>
          <w:lang w:val="en-US" w:eastAsia="zh-CN"/>
        </w:rPr>
      </w:pPr>
    </w:p>
    <w:p w14:paraId="225849D7">
      <w:pPr>
        <w:tabs>
          <w:tab w:val="left" w:pos="0"/>
        </w:tabs>
        <w:adjustRightInd w:val="0"/>
        <w:snapToGrid w:val="0"/>
        <w:spacing w:before="240" w:beforeLines="100" w:line="360" w:lineRule="auto"/>
        <w:ind w:firstLine="711" w:firstLineChars="29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1.2.3.1供应商落实政府采购政策资格条件审查</w:t>
      </w:r>
    </w:p>
    <w:p w14:paraId="55A56309">
      <w:pPr>
        <w:tabs>
          <w:tab w:val="left" w:pos="0"/>
        </w:tabs>
        <w:adjustRightInd w:val="0"/>
        <w:snapToGrid w:val="0"/>
        <w:spacing w:before="240" w:beforeLines="100" w:line="360" w:lineRule="auto"/>
        <w:ind w:firstLine="693" w:firstLineChars="289"/>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rPr>
        <w:t>本项目属于专门面向中小企业的采购项目。</w:t>
      </w:r>
    </w:p>
    <w:p w14:paraId="1BBDCBAE">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r>
        <w:rPr>
          <w:rFonts w:hint="eastAsia" w:ascii="仿宋" w:hAnsi="仿宋" w:eastAsia="仿宋" w:cs="仿宋"/>
          <w:color w:val="auto"/>
          <w:sz w:val="24"/>
          <w:szCs w:val="24"/>
          <w:shd w:val="clear" w:color="auto" w:fill="FFFFFF"/>
        </w:rPr>
        <w:t>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165F1ED6">
      <w:pPr>
        <w:tabs>
          <w:tab w:val="left" w:pos="0"/>
        </w:tabs>
        <w:adjustRightInd w:val="0"/>
        <w:snapToGrid w:val="0"/>
        <w:spacing w:line="360" w:lineRule="auto"/>
        <w:ind w:firstLine="40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1.2.3.2审查标准如下：</w:t>
      </w:r>
    </w:p>
    <w:p w14:paraId="7280F0C7">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（1）供应商存在第二章第1.3</w:t>
      </w:r>
      <w:r>
        <w:rPr>
          <w:rFonts w:hint="eastAsia" w:ascii="仿宋" w:hAnsi="仿宋" w:eastAsia="仿宋" w:cs="仿宋"/>
          <w:color w:val="auto"/>
          <w:sz w:val="24"/>
          <w:szCs w:val="24"/>
        </w:rPr>
        <w:t>条列举</w:t>
      </w:r>
      <w:r>
        <w:rPr>
          <w:rFonts w:hint="eastAsia" w:ascii="仿宋" w:hAnsi="仿宋" w:eastAsia="仿宋" w:cs="仿宋"/>
          <w:color w:val="auto"/>
          <w:kern w:val="0"/>
          <w:sz w:val="24"/>
          <w:szCs w:val="24"/>
        </w:rPr>
        <w:t>情形之一的，审查不予通过，即判定其资格条件审查结果为不合格，将不具备磋商资格，按无效响应文件处理。</w:t>
      </w:r>
    </w:p>
    <w:p w14:paraId="27BCD8B8">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（2）供应商须知前附表规定接受联合体磋商的，联合体任何一方存在第三章第</w:t>
      </w:r>
      <w:r>
        <w:rPr>
          <w:rFonts w:hint="eastAsia" w:ascii="仿宋" w:hAnsi="仿宋" w:eastAsia="仿宋" w:cs="仿宋"/>
          <w:color w:val="auto"/>
          <w:sz w:val="24"/>
          <w:szCs w:val="24"/>
        </w:rPr>
        <w:t>3.1条列举</w:t>
      </w:r>
      <w:r>
        <w:rPr>
          <w:rFonts w:hint="eastAsia" w:ascii="仿宋" w:hAnsi="仿宋" w:eastAsia="仿宋" w:cs="仿宋"/>
          <w:color w:val="auto"/>
          <w:kern w:val="0"/>
          <w:sz w:val="24"/>
          <w:szCs w:val="24"/>
        </w:rPr>
        <w:t>情形之一的，视同联合体存在相同情形，审查不予通过，即判定其限定资格条件审查结果为不合格，将不具备磋商资格，按无效响应文件处理。</w:t>
      </w:r>
    </w:p>
    <w:p w14:paraId="515B6C71">
      <w:pPr>
        <w:tabs>
          <w:tab w:val="left" w:pos="0"/>
        </w:tabs>
        <w:adjustRightInd w:val="0"/>
        <w:snapToGrid w:val="0"/>
        <w:spacing w:line="360" w:lineRule="auto"/>
        <w:ind w:firstLine="711" w:firstLineChars="295"/>
        <w:rPr>
          <w:rFonts w:hint="eastAsia" w:ascii="仿宋" w:hAnsi="仿宋" w:eastAsia="仿宋" w:cs="仿宋"/>
          <w:b/>
          <w:color w:val="auto"/>
          <w:sz w:val="24"/>
          <w:szCs w:val="24"/>
        </w:rPr>
      </w:pPr>
      <w:r>
        <w:rPr>
          <w:rFonts w:hint="eastAsia" w:ascii="仿宋" w:hAnsi="仿宋" w:eastAsia="仿宋" w:cs="仿宋"/>
          <w:b/>
          <w:color w:val="auto"/>
          <w:kern w:val="0"/>
          <w:sz w:val="24"/>
          <w:szCs w:val="24"/>
        </w:rPr>
        <w:t xml:space="preserve">1.2.3.3 </w:t>
      </w:r>
      <w:r>
        <w:rPr>
          <w:rFonts w:hint="eastAsia" w:ascii="仿宋" w:hAnsi="仿宋" w:eastAsia="仿宋" w:cs="仿宋"/>
          <w:b/>
          <w:color w:val="auto"/>
          <w:sz w:val="24"/>
          <w:szCs w:val="24"/>
        </w:rPr>
        <w:t>未通过资格审查的供应商，不得进入后续磋商环节。</w:t>
      </w:r>
    </w:p>
    <w:p w14:paraId="3ACA3806">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1.2.4 符合性审查</w:t>
      </w:r>
    </w:p>
    <w:p w14:paraId="5E87DB4A">
      <w:pPr>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1.2.4.1 磋商小组依法对符合资格条件的供应商的响应文件进行符合性审查。磋商小组从响应文件的有效性、完整性和对磋商文件的响应程度进行审查，以确定其是否对磋商文件实质性内容作出响应</w:t>
      </w:r>
      <w:r>
        <w:rPr>
          <w:rFonts w:hint="eastAsia" w:ascii="仿宋" w:hAnsi="仿宋" w:eastAsia="仿宋" w:cs="仿宋"/>
          <w:color w:val="auto"/>
          <w:kern w:val="0"/>
          <w:sz w:val="24"/>
          <w:szCs w:val="24"/>
        </w:rPr>
        <w:t>（采购人可根据具体项目的情况对实质性要求作特别的具体规定）</w:t>
      </w:r>
      <w:r>
        <w:rPr>
          <w:rFonts w:hint="eastAsia" w:ascii="仿宋" w:hAnsi="仿宋" w:eastAsia="仿宋" w:cs="仿宋"/>
          <w:color w:val="auto"/>
          <w:sz w:val="24"/>
          <w:szCs w:val="24"/>
        </w:rPr>
        <w:t>。</w:t>
      </w:r>
    </w:p>
    <w:p w14:paraId="429306DA">
      <w:pPr>
        <w:tabs>
          <w:tab w:val="left" w:pos="0"/>
        </w:tabs>
        <w:adjustRightInd w:val="0"/>
        <w:snapToGrid w:val="0"/>
        <w:spacing w:after="120" w:afterLines="50" w:line="360" w:lineRule="auto"/>
        <w:ind w:firstLine="840" w:firstLineChars="350"/>
        <w:rPr>
          <w:rFonts w:hint="eastAsia" w:ascii="仿宋" w:hAnsi="仿宋" w:eastAsia="仿宋" w:cs="仿宋"/>
          <w:color w:val="auto"/>
          <w:kern w:val="0"/>
          <w:sz w:val="24"/>
          <w:szCs w:val="24"/>
        </w:rPr>
      </w:pPr>
      <w:r>
        <w:rPr>
          <w:rFonts w:hint="eastAsia" w:ascii="仿宋" w:hAnsi="仿宋" w:eastAsia="仿宋" w:cs="仿宋"/>
          <w:color w:val="auto"/>
          <w:sz w:val="24"/>
          <w:szCs w:val="24"/>
        </w:rPr>
        <w:t>1.2.4.2 磋商小组将按下列评审标准对供应商的响应文件进行符合性审查，</w:t>
      </w:r>
      <w:r>
        <w:rPr>
          <w:rFonts w:hint="eastAsia" w:ascii="仿宋" w:hAnsi="仿宋" w:eastAsia="仿宋" w:cs="仿宋"/>
          <w:bCs/>
          <w:color w:val="auto"/>
          <w:sz w:val="24"/>
          <w:szCs w:val="24"/>
        </w:rPr>
        <w:t>供应商若</w:t>
      </w:r>
      <w:r>
        <w:rPr>
          <w:rFonts w:hint="eastAsia" w:ascii="仿宋" w:hAnsi="仿宋" w:eastAsia="仿宋" w:cs="仿宋"/>
          <w:color w:val="auto"/>
          <w:kern w:val="0"/>
          <w:sz w:val="24"/>
          <w:szCs w:val="24"/>
        </w:rPr>
        <w:t>有一项不合格，即判定其符合性审查结果为不合格，将不具备磋商资格，按无效响应文件处理。</w:t>
      </w:r>
    </w:p>
    <w:tbl>
      <w:tblPr>
        <w:tblStyle w:val="23"/>
        <w:tblpPr w:leftFromText="180" w:rightFromText="180" w:vertAnchor="text" w:horzAnchor="page" w:tblpX="1432" w:tblpY="260"/>
        <w:tblOverlap w:val="never"/>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85"/>
        <w:gridCol w:w="2685"/>
        <w:gridCol w:w="4888"/>
      </w:tblGrid>
      <w:tr w14:paraId="1365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80" w:type="dxa"/>
            <w:vAlign w:val="center"/>
          </w:tcPr>
          <w:p w14:paraId="553CB2D5">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3570" w:type="dxa"/>
            <w:gridSpan w:val="2"/>
            <w:vAlign w:val="center"/>
          </w:tcPr>
          <w:p w14:paraId="200097B0">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4888" w:type="dxa"/>
            <w:vAlign w:val="center"/>
          </w:tcPr>
          <w:p w14:paraId="4BB24DEF">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审查</w:t>
            </w:r>
            <w:r>
              <w:rPr>
                <w:rFonts w:hint="eastAsia" w:ascii="仿宋" w:hAnsi="仿宋" w:eastAsia="仿宋" w:cs="仿宋"/>
                <w:b/>
                <w:color w:val="auto"/>
                <w:sz w:val="24"/>
                <w:szCs w:val="24"/>
              </w:rPr>
              <w:t>标准</w:t>
            </w:r>
          </w:p>
        </w:tc>
      </w:tr>
      <w:tr w14:paraId="7AFA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780" w:type="dxa"/>
            <w:vMerge w:val="restart"/>
            <w:vAlign w:val="center"/>
          </w:tcPr>
          <w:p w14:paraId="76AD76CA">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85" w:type="dxa"/>
            <w:vMerge w:val="restart"/>
            <w:vAlign w:val="center"/>
          </w:tcPr>
          <w:p w14:paraId="0E12FA9F">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有效性审查</w:t>
            </w:r>
          </w:p>
        </w:tc>
        <w:tc>
          <w:tcPr>
            <w:tcW w:w="2685" w:type="dxa"/>
            <w:vAlign w:val="center"/>
          </w:tcPr>
          <w:p w14:paraId="79AE44C2">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（1）响应文件的签署盖章</w:t>
            </w:r>
          </w:p>
        </w:tc>
        <w:tc>
          <w:tcPr>
            <w:tcW w:w="4888" w:type="dxa"/>
            <w:vAlign w:val="center"/>
          </w:tcPr>
          <w:p w14:paraId="1720FAD8">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响应文件上法定代表人或其委托代理人的签字或盖章齐全，并加盖单位章</w:t>
            </w:r>
          </w:p>
        </w:tc>
      </w:tr>
      <w:tr w14:paraId="41A3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7BDABB68">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46EE6BA">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543EE8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（2）响应文件格式、语言、计量单位、报价货币</w:t>
            </w:r>
          </w:p>
        </w:tc>
        <w:tc>
          <w:tcPr>
            <w:tcW w:w="4888" w:type="dxa"/>
            <w:vAlign w:val="center"/>
          </w:tcPr>
          <w:p w14:paraId="000E80D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应符合“响应文件格式”和响应文件要求</w:t>
            </w:r>
          </w:p>
        </w:tc>
      </w:tr>
      <w:tr w14:paraId="540E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780" w:type="dxa"/>
            <w:vMerge w:val="continue"/>
          </w:tcPr>
          <w:p w14:paraId="1D671F27">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344CB214">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4CC795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（3）报价唯一</w:t>
            </w:r>
          </w:p>
        </w:tc>
        <w:tc>
          <w:tcPr>
            <w:tcW w:w="4888" w:type="dxa"/>
            <w:vAlign w:val="center"/>
          </w:tcPr>
          <w:p w14:paraId="627CFD1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只能有一个有效报价，不得提交选择性报价，且报价不超过采购预算金额</w:t>
            </w:r>
          </w:p>
        </w:tc>
      </w:tr>
      <w:tr w14:paraId="032B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restart"/>
            <w:vAlign w:val="center"/>
          </w:tcPr>
          <w:p w14:paraId="505B138F">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885" w:type="dxa"/>
            <w:vMerge w:val="restart"/>
            <w:vAlign w:val="center"/>
          </w:tcPr>
          <w:p w14:paraId="7DF5BA6A">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完整性审查</w:t>
            </w:r>
          </w:p>
        </w:tc>
        <w:tc>
          <w:tcPr>
            <w:tcW w:w="2685" w:type="dxa"/>
            <w:vAlign w:val="center"/>
          </w:tcPr>
          <w:p w14:paraId="12FD679D">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（4）响应文件份数</w:t>
            </w:r>
          </w:p>
        </w:tc>
        <w:tc>
          <w:tcPr>
            <w:tcW w:w="4888" w:type="dxa"/>
            <w:vAlign w:val="center"/>
          </w:tcPr>
          <w:p w14:paraId="3BBF5C3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应符合“供应商须知前附表”规定的正本、副本、电子文件数量</w:t>
            </w:r>
          </w:p>
        </w:tc>
      </w:tr>
      <w:tr w14:paraId="3630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80" w:type="dxa"/>
            <w:vMerge w:val="continue"/>
          </w:tcPr>
          <w:p w14:paraId="43A81215">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9D91CDF">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1AD2D3C7">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（5）响应文件内容</w:t>
            </w:r>
          </w:p>
        </w:tc>
        <w:tc>
          <w:tcPr>
            <w:tcW w:w="4888" w:type="dxa"/>
            <w:vAlign w:val="center"/>
          </w:tcPr>
          <w:p w14:paraId="29B5F64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Hans"/>
              </w:rPr>
              <w:t>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val="en-US" w:eastAsia="zh-Hans"/>
              </w:rPr>
              <w:t>文件要求</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在要求格式内</w:t>
            </w:r>
            <w:r>
              <w:rPr>
                <w:rFonts w:hint="eastAsia" w:ascii="仿宋" w:hAnsi="仿宋" w:eastAsia="仿宋" w:cs="仿宋"/>
                <w:color w:val="auto"/>
                <w:sz w:val="24"/>
                <w:szCs w:val="24"/>
                <w:highlight w:val="none"/>
              </w:rPr>
              <w:t>响应文件</w:t>
            </w:r>
            <w:r>
              <w:rPr>
                <w:rFonts w:hint="eastAsia" w:ascii="仿宋" w:hAnsi="仿宋" w:eastAsia="仿宋" w:cs="仿宋"/>
                <w:color w:val="auto"/>
                <w:sz w:val="24"/>
                <w:szCs w:val="24"/>
                <w:highlight w:val="none"/>
                <w:lang w:val="en-US" w:eastAsia="zh-Hans"/>
              </w:rPr>
              <w:t>各项</w:t>
            </w:r>
            <w:r>
              <w:rPr>
                <w:rFonts w:hint="eastAsia" w:ascii="仿宋" w:hAnsi="仿宋" w:eastAsia="仿宋" w:cs="仿宋"/>
                <w:color w:val="auto"/>
                <w:sz w:val="24"/>
                <w:szCs w:val="24"/>
                <w:highlight w:val="none"/>
              </w:rPr>
              <w:t>内容齐全、无遗漏</w:t>
            </w:r>
          </w:p>
        </w:tc>
      </w:tr>
      <w:tr w14:paraId="7CC0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80" w:type="dxa"/>
            <w:vMerge w:val="restart"/>
            <w:vAlign w:val="center"/>
          </w:tcPr>
          <w:p w14:paraId="257B1214">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885" w:type="dxa"/>
            <w:vMerge w:val="restart"/>
            <w:vAlign w:val="center"/>
          </w:tcPr>
          <w:p w14:paraId="72BDC0BC">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响应性审查</w:t>
            </w:r>
          </w:p>
        </w:tc>
        <w:tc>
          <w:tcPr>
            <w:tcW w:w="2685" w:type="dxa"/>
            <w:vAlign w:val="center"/>
          </w:tcPr>
          <w:p w14:paraId="1C031BA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（6）对磋商文件响应程度</w:t>
            </w:r>
          </w:p>
        </w:tc>
        <w:tc>
          <w:tcPr>
            <w:tcW w:w="4888" w:type="dxa"/>
            <w:vAlign w:val="center"/>
          </w:tcPr>
          <w:p w14:paraId="4B5046AA">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要求全面响应，不能有任何采购人不能接受的附加条件</w:t>
            </w:r>
          </w:p>
        </w:tc>
      </w:tr>
      <w:tr w14:paraId="342B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80" w:type="dxa"/>
            <w:vMerge w:val="continue"/>
            <w:vAlign w:val="center"/>
          </w:tcPr>
          <w:p w14:paraId="30DA6459">
            <w:pPr>
              <w:tabs>
                <w:tab w:val="left" w:pos="0"/>
              </w:tabs>
              <w:adjustRightInd w:val="0"/>
              <w:snapToGrid w:val="0"/>
              <w:spacing w:line="360" w:lineRule="auto"/>
              <w:jc w:val="center"/>
              <w:rPr>
                <w:rFonts w:hint="eastAsia" w:ascii="仿宋" w:hAnsi="仿宋" w:eastAsia="仿宋" w:cs="仿宋"/>
                <w:color w:val="auto"/>
                <w:sz w:val="24"/>
                <w:szCs w:val="24"/>
              </w:rPr>
            </w:pPr>
          </w:p>
        </w:tc>
        <w:tc>
          <w:tcPr>
            <w:tcW w:w="885" w:type="dxa"/>
            <w:vMerge w:val="continue"/>
            <w:vAlign w:val="center"/>
          </w:tcPr>
          <w:p w14:paraId="0616487E">
            <w:pPr>
              <w:tabs>
                <w:tab w:val="left" w:pos="0"/>
              </w:tabs>
              <w:adjustRightInd w:val="0"/>
              <w:snapToGrid w:val="0"/>
              <w:jc w:val="center"/>
              <w:rPr>
                <w:rFonts w:hint="eastAsia" w:ascii="仿宋" w:hAnsi="仿宋" w:eastAsia="仿宋" w:cs="仿宋"/>
                <w:color w:val="auto"/>
                <w:sz w:val="24"/>
                <w:szCs w:val="24"/>
              </w:rPr>
            </w:pPr>
          </w:p>
        </w:tc>
        <w:tc>
          <w:tcPr>
            <w:tcW w:w="2685" w:type="dxa"/>
            <w:vAlign w:val="center"/>
          </w:tcPr>
          <w:p w14:paraId="4CE79C3A">
            <w:pPr>
              <w:tabs>
                <w:tab w:val="left" w:pos="0"/>
              </w:tabs>
              <w:adjustRightInd w:val="0"/>
              <w:snapToGrid w:val="0"/>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施工技术方案</w:t>
            </w:r>
          </w:p>
        </w:tc>
        <w:tc>
          <w:tcPr>
            <w:tcW w:w="4888" w:type="dxa"/>
            <w:vAlign w:val="center"/>
          </w:tcPr>
          <w:p w14:paraId="4EB2FE07">
            <w:pPr>
              <w:tabs>
                <w:tab w:val="left" w:pos="0"/>
              </w:tabs>
              <w:adjustRightInd w:val="0"/>
              <w:snapToGrid w:val="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应满足磋商文件提出的技术要求</w:t>
            </w:r>
          </w:p>
        </w:tc>
      </w:tr>
      <w:tr w14:paraId="5375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80" w:type="dxa"/>
            <w:vMerge w:val="continue"/>
          </w:tcPr>
          <w:p w14:paraId="093EE03E">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5562793">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646E5981">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工期</w:t>
            </w:r>
          </w:p>
        </w:tc>
        <w:tc>
          <w:tcPr>
            <w:tcW w:w="4888" w:type="dxa"/>
            <w:vAlign w:val="center"/>
          </w:tcPr>
          <w:p w14:paraId="55B429B6">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应满足磋商文件中要求的</w:t>
            </w:r>
            <w:r>
              <w:rPr>
                <w:rFonts w:hint="eastAsia" w:ascii="仿宋" w:hAnsi="仿宋" w:eastAsia="仿宋" w:cs="仿宋"/>
                <w:color w:val="auto"/>
                <w:sz w:val="24"/>
                <w:szCs w:val="24"/>
                <w:lang w:val="en-US" w:eastAsia="zh-CN"/>
              </w:rPr>
              <w:t>工期</w:t>
            </w:r>
          </w:p>
        </w:tc>
      </w:tr>
      <w:tr w14:paraId="44B1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3D74F1D0">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63FFF6FC">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059A4F94">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（9）磋商有效期</w:t>
            </w:r>
          </w:p>
        </w:tc>
        <w:tc>
          <w:tcPr>
            <w:tcW w:w="4888" w:type="dxa"/>
            <w:vAlign w:val="center"/>
          </w:tcPr>
          <w:p w14:paraId="77CF587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应满足磋商文件中的规定</w:t>
            </w:r>
          </w:p>
        </w:tc>
      </w:tr>
    </w:tbl>
    <w:p w14:paraId="5982D32F">
      <w:pPr>
        <w:rPr>
          <w:rFonts w:ascii="宋体" w:hAnsi="宋体" w:cs="宋体"/>
          <w:color w:val="auto"/>
          <w:kern w:val="0"/>
          <w:szCs w:val="21"/>
        </w:rPr>
      </w:pPr>
    </w:p>
    <w:p w14:paraId="115FDE9B">
      <w:pPr>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1.2.4.3 未通过符合性检查的供应商，不得进入后续磋商环节。</w:t>
      </w:r>
    </w:p>
    <w:p w14:paraId="29D2086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1.3 响应文件的澄清</w:t>
      </w:r>
    </w:p>
    <w:p w14:paraId="56E2D278">
      <w:pPr>
        <w:adjustRightInd w:val="0"/>
        <w:snapToGrid w:val="0"/>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7AD8363">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14:paraId="16B0700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 xml:space="preserve">1.3.3 </w:t>
      </w:r>
      <w:r>
        <w:rPr>
          <w:rFonts w:hint="eastAsia" w:ascii="仿宋" w:hAnsi="仿宋" w:eastAsia="仿宋" w:cs="仿宋"/>
          <w:color w:val="auto"/>
          <w:sz w:val="24"/>
          <w:szCs w:val="24"/>
        </w:rPr>
        <w:t>供应商拒不按照要求对响应文件进行澄清、说明或者更正的，磋商小组可以拒绝其响应文件。磋商小组不接受供应商主动提出的澄清、说明或者更正。</w:t>
      </w:r>
    </w:p>
    <w:p w14:paraId="32DD1D1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1.3.4 有效的书面澄清、说明或者更正材料，是响应文件的补充材料，并构成响应文件的组成部分。</w:t>
      </w:r>
    </w:p>
    <w:p w14:paraId="47E0013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1.3.5 磋商小组对供应商提交的澄清、说明或者更正有疑问的，可以要求供应商进一步澄清、说明或者更正，直至满足磋商小组的要求。</w:t>
      </w:r>
    </w:p>
    <w:p w14:paraId="71B3A999">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1.4 磋商</w:t>
      </w:r>
    </w:p>
    <w:p w14:paraId="2CB376D3">
      <w:pPr>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1.4.1磋商方式：</w:t>
      </w:r>
    </w:p>
    <w:p w14:paraId="4E1647F0">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1.4.1.1 对资格性审查和符合性审查合格的供应商，进入本次磋商环节。</w:t>
      </w:r>
    </w:p>
    <w:p w14:paraId="173C17C7">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1.4.1.2 在磋商期间，供应商应派代表参加磋商，代表人数不超过</w:t>
      </w:r>
      <w:r>
        <w:rPr>
          <w:rFonts w:hint="eastAsia" w:ascii="仿宋" w:hAnsi="仿宋" w:eastAsia="仿宋" w:cs="仿宋"/>
          <w:color w:val="auto"/>
          <w:kern w:val="0"/>
          <w:sz w:val="24"/>
          <w:szCs w:val="24"/>
          <w:u w:val="single"/>
        </w:rPr>
        <w:t>1</w:t>
      </w:r>
      <w:r>
        <w:rPr>
          <w:rFonts w:hint="eastAsia" w:ascii="仿宋" w:hAnsi="仿宋" w:eastAsia="仿宋" w:cs="仿宋"/>
          <w:color w:val="auto"/>
          <w:kern w:val="0"/>
          <w:sz w:val="24"/>
          <w:szCs w:val="24"/>
        </w:rPr>
        <w:t>人。</w:t>
      </w:r>
    </w:p>
    <w:p w14:paraId="0F1BA7E3">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1.4.1.3 磋商小组将通过随机方式确定供应商进行磋商的顺序，所有成员集中与单一供应商按照顺序分别进行磋商，</w:t>
      </w:r>
      <w:r>
        <w:rPr>
          <w:rFonts w:hint="eastAsia" w:ascii="仿宋" w:hAnsi="仿宋" w:eastAsia="仿宋" w:cs="仿宋"/>
          <w:color w:val="auto"/>
          <w:sz w:val="24"/>
          <w:szCs w:val="24"/>
        </w:rPr>
        <w:t>并给予所有参加磋商的供应商平等的磋商机会</w:t>
      </w:r>
      <w:r>
        <w:rPr>
          <w:rFonts w:hint="eastAsia" w:ascii="仿宋" w:hAnsi="仿宋" w:eastAsia="仿宋" w:cs="仿宋"/>
          <w:color w:val="auto"/>
          <w:kern w:val="0"/>
          <w:sz w:val="24"/>
          <w:szCs w:val="24"/>
        </w:rPr>
        <w:t>。磋商的任何一方不得透露与磋商有关的其他供应商的技术资料、价格和其他信息。</w:t>
      </w:r>
    </w:p>
    <w:p w14:paraId="16B889F0">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1.4.1.4 技术磋商。</w:t>
      </w:r>
      <w:r>
        <w:rPr>
          <w:rFonts w:hint="eastAsia" w:ascii="仿宋" w:hAnsi="仿宋" w:eastAsia="仿宋" w:cs="仿宋"/>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01182253">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sz w:val="24"/>
          <w:szCs w:val="24"/>
        </w:rPr>
        <w:t>对磋商文件作出的实质性变动是磋商文件的有效组成部分，磋商小组应当及时以书面形式同时通知所有参加磋商的供应商。</w:t>
      </w:r>
    </w:p>
    <w:p w14:paraId="1316B317">
      <w:pPr>
        <w:widowControl/>
        <w:spacing w:line="360" w:lineRule="auto"/>
        <w:ind w:firstLine="840" w:firstLineChars="35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供应商应当按照磋商文件的变动情况和磋商小组的要求重新提交响应文件，并由其法定代表人或委托代理人签字或者加盖公章。</w:t>
      </w:r>
      <w:r>
        <w:rPr>
          <w:rFonts w:hint="eastAsia" w:ascii="仿宋" w:hAnsi="仿宋" w:eastAsia="仿宋" w:cs="仿宋"/>
          <w:snapToGrid w:val="0"/>
          <w:color w:val="auto"/>
          <w:kern w:val="0"/>
          <w:sz w:val="24"/>
          <w:szCs w:val="24"/>
        </w:rPr>
        <w:t>由委托代理人签字的，应当附法定代表人授权书。供应商为自然人的，应当由本人签字并附身份证明。</w:t>
      </w:r>
    </w:p>
    <w:p w14:paraId="6B4D4657">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磋商小组应当</w:t>
      </w:r>
      <w:r>
        <w:rPr>
          <w:rFonts w:hint="eastAsia" w:ascii="仿宋" w:hAnsi="仿宋" w:eastAsia="仿宋" w:cs="仿宋"/>
          <w:color w:val="auto"/>
          <w:sz w:val="24"/>
          <w:szCs w:val="24"/>
        </w:rPr>
        <w:t>根据规定</w:t>
      </w:r>
      <w:r>
        <w:rPr>
          <w:rFonts w:hint="eastAsia" w:ascii="仿宋" w:hAnsi="仿宋" w:eastAsia="仿宋" w:cs="仿宋"/>
          <w:color w:val="auto"/>
          <w:kern w:val="0"/>
          <w:sz w:val="24"/>
          <w:szCs w:val="24"/>
        </w:rPr>
        <w:t>对供应商重新提交的响应文件进行符合性审查。供应商重新提交的响应文件未通过符合性审查的，不得进入商务磋商，也不得要求提交最后报价。</w:t>
      </w:r>
    </w:p>
    <w:p w14:paraId="54001C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1.4.1.5 商务磋商。在技术磋商结束后，进行商务磋商。磋商文件能够详细列明采购标的的技术、服务要求的，磋商小组应当要求所有实质性响应的供应商在规定时间内提交最后报价，提交最后报价的供应商不得少于3家。</w:t>
      </w:r>
    </w:p>
    <w:p w14:paraId="0124F0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w:t>
      </w:r>
    </w:p>
    <w:p w14:paraId="09A398FD">
      <w:pPr>
        <w:widowControl/>
        <w:spacing w:line="360" w:lineRule="auto"/>
        <w:ind w:firstLine="878" w:firstLineChars="366"/>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符合《政府采购竞争性磋商采购方式管理暂行办法》第三条第四项情形的，或者本项目为政府购买服务指导性目录中的，提交最后报价的供应商可以为2家。</w:t>
      </w:r>
    </w:p>
    <w:p w14:paraId="45F7ABAE">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1.4.1.6 已提交响应文件的供应商，在提交最后报价之前，可以根据磋商情况退出磋商，采购代理机构应当退还其磋商保证金。</w:t>
      </w:r>
    </w:p>
    <w:p w14:paraId="5FFC2F1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1.4.2磋商步骤：</w:t>
      </w:r>
    </w:p>
    <w:p w14:paraId="79A97056">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1.4.2.1 第一轮磋商。磋商小组对进入第一轮磋商的供应商再次进行评审、质疑和澄清。在此阶段，磋商小组依据参加磋商的供应商递交的响应文件进行技术和商务磋商。</w:t>
      </w:r>
    </w:p>
    <w:p w14:paraId="4921DB13">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53F40F73">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1.4.2.2 第二轮磋商。对第一轮磋商结果不满意，磋商小组可以再次要求参加磋商的供应商进行第二轮磋商，磋商内容及要求与第一轮磋商相同。</w:t>
      </w:r>
    </w:p>
    <w:p w14:paraId="3DEC3E22">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47F12802">
      <w:pPr>
        <w:spacing w:line="360" w:lineRule="auto"/>
        <w:ind w:firstLine="942" w:firstLineChars="391"/>
        <w:rPr>
          <w:rFonts w:hint="eastAsia" w:ascii="仿宋" w:hAnsi="仿宋" w:eastAsia="仿宋" w:cs="仿宋"/>
          <w:color w:val="auto"/>
          <w:sz w:val="24"/>
          <w:szCs w:val="24"/>
        </w:rPr>
      </w:pPr>
      <w:r>
        <w:rPr>
          <w:rFonts w:hint="eastAsia" w:ascii="仿宋" w:hAnsi="仿宋" w:eastAsia="仿宋" w:cs="仿宋"/>
          <w:b/>
          <w:color w:val="auto"/>
          <w:sz w:val="24"/>
          <w:szCs w:val="24"/>
        </w:rPr>
        <w:t>后一轮磋商报价高于前一轮磋商报价的供应商，视为其自动退出磋商，有磋商保证金的予以退还。</w:t>
      </w:r>
    </w:p>
    <w:p w14:paraId="66A322D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1.4.2.4 磋商小组应在最后一轮磋商前告知所有符合磋商要求的供应商是否是最后一次磋商。</w:t>
      </w:r>
    </w:p>
    <w:p w14:paraId="32D8753D">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1.4.2.5 最后一轮磋商结束后，磋商小组将对进入最后一轮的供应商的响应文件进行详细评审。</w:t>
      </w:r>
    </w:p>
    <w:p w14:paraId="1FC79AE2">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1.5 最后报价</w:t>
      </w:r>
    </w:p>
    <w:p w14:paraId="6D00C290">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1.5.1 供应商应当以书面形式提交最后报价（最后报价将作为综合评分法中价格分的计算依据），并由其法定代表人或者委托代理人签字或者加盖单位章。</w:t>
      </w:r>
      <w:r>
        <w:rPr>
          <w:rFonts w:hint="eastAsia" w:ascii="仿宋" w:hAnsi="仿宋" w:eastAsia="仿宋" w:cs="仿宋"/>
          <w:snapToGrid w:val="0"/>
          <w:color w:val="auto"/>
          <w:kern w:val="0"/>
          <w:sz w:val="24"/>
          <w:szCs w:val="24"/>
        </w:rPr>
        <w:t>由委托代理人签字的，应具有法定代表人授权书。供应商为自然人的，应当由本人签字并附身份证明。</w:t>
      </w:r>
    </w:p>
    <w:p w14:paraId="7723FFF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最后报价是供应商响应文件的有效组成部分。</w:t>
      </w:r>
    </w:p>
    <w:p w14:paraId="6019E80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1.5.3 最后报价仅向采购人及监督人员宣布，并由监督人员确认。</w:t>
      </w:r>
    </w:p>
    <w:p w14:paraId="6AA0407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响应文件详细评审</w:t>
      </w:r>
    </w:p>
    <w:p w14:paraId="79994CC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经磋商确定最终采购需求和提交最后报价的供应商后，由磋商小组采用</w:t>
      </w:r>
      <w:r>
        <w:rPr>
          <w:rFonts w:hint="eastAsia" w:ascii="仿宋" w:hAnsi="仿宋" w:eastAsia="仿宋" w:cs="仿宋"/>
          <w:b/>
          <w:color w:val="auto"/>
          <w:sz w:val="24"/>
          <w:szCs w:val="24"/>
        </w:rPr>
        <w:t>综合评分法</w:t>
      </w:r>
      <w:r>
        <w:rPr>
          <w:rFonts w:hint="eastAsia" w:ascii="仿宋" w:hAnsi="仿宋" w:eastAsia="仿宋" w:cs="仿宋"/>
          <w:color w:val="auto"/>
          <w:sz w:val="24"/>
          <w:szCs w:val="24"/>
        </w:rPr>
        <w:t>对提交最后报价的供应商的响应文件和最后报价进行综合评分。</w:t>
      </w:r>
    </w:p>
    <w:p w14:paraId="39CCD1F5">
      <w:pPr>
        <w:spacing w:before="120" w:before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1.7 复核与核对评审结果</w:t>
      </w:r>
    </w:p>
    <w:p w14:paraId="139A0CA1">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1.7.1 评分汇总结束后，磋商小组应当进行复核，特别要对拟推荐成交候选人的、最后报价最低的、响应文件被认定无效的进行重点复核。</w:t>
      </w:r>
    </w:p>
    <w:p w14:paraId="50197ECF">
      <w:pPr>
        <w:pStyle w:val="29"/>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1.7.2 评审结果汇总完成后，评审报告签署前，采购代理机构应当</w:t>
      </w:r>
      <w:r>
        <w:rPr>
          <w:rFonts w:hint="eastAsia" w:ascii="仿宋" w:hAnsi="仿宋" w:eastAsia="仿宋" w:cs="仿宋"/>
          <w:bCs/>
          <w:color w:val="auto"/>
          <w:sz w:val="24"/>
          <w:szCs w:val="24"/>
        </w:rPr>
        <w:t>核对评审结果，</w:t>
      </w:r>
      <w:r>
        <w:rPr>
          <w:rFonts w:hint="eastAsia" w:ascii="仿宋" w:hAnsi="仿宋" w:eastAsia="仿宋" w:cs="仿宋"/>
          <w:color w:val="auto"/>
          <w:sz w:val="24"/>
          <w:szCs w:val="24"/>
        </w:rPr>
        <w:t>除下列情形外，任何人不得修改评审结果：</w:t>
      </w:r>
    </w:p>
    <w:p w14:paraId="2214996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（1）资格性认定错误的；</w:t>
      </w:r>
    </w:p>
    <w:p w14:paraId="7FC7A9C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（2）分值汇总计算错误的；</w:t>
      </w:r>
    </w:p>
    <w:p w14:paraId="4F9ABEC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（3）分项评分超出评分标准范围的；</w:t>
      </w:r>
    </w:p>
    <w:p w14:paraId="77AAFBF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（4）磋商小组对客观评审因素评分不一致的；</w:t>
      </w:r>
    </w:p>
    <w:p w14:paraId="5CBBD39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（5）经磋商小组一致认定评分畸高、畸低的。</w:t>
      </w:r>
    </w:p>
    <w:p w14:paraId="0132BE1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经复核发现存在以上情形之一的，磋商小组应当当场修改评审结果，并在评审报告中记载。</w:t>
      </w:r>
    </w:p>
    <w:p w14:paraId="61ECAC6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 确定成交候选人名单</w:t>
      </w:r>
    </w:p>
    <w:p w14:paraId="2F369953">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确定成交候选人程序祥见第二章第8.1、8.2条款。</w:t>
      </w:r>
    </w:p>
    <w:p w14:paraId="1CC5A6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 编写评审报告</w:t>
      </w:r>
    </w:p>
    <w:p w14:paraId="711117B4">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1.9.1 磋商小组在确定成交候选人名单后，应当编写评审报告并向采购人出具。评审报告应当包括以下主要内容：</w:t>
      </w:r>
    </w:p>
    <w:p w14:paraId="2783365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snapToGrid w:val="0"/>
          <w:color w:val="auto"/>
          <w:kern w:val="0"/>
          <w:sz w:val="24"/>
          <w:szCs w:val="24"/>
        </w:rPr>
        <w:t>邀请供应商参加采购活动的具体方式和相关情况；</w:t>
      </w:r>
    </w:p>
    <w:p w14:paraId="53BB7345">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（2）响应文件开启日期和地点；</w:t>
      </w:r>
    </w:p>
    <w:p w14:paraId="26380BC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（3）获取磋商文件的供应商名单和磋商小组成员名单；</w:t>
      </w:r>
    </w:p>
    <w:p w14:paraId="6EDEDC09">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（4）评审情况记录和说明，包括对供应商的资格审查情况、供应商响应文件评审情况、磋商情况（含磋商文件实质性变动情况）、报价情况等；</w:t>
      </w:r>
    </w:p>
    <w:p w14:paraId="32E394B2">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（5）提出的成交候选人的排序名单及理由。</w:t>
      </w:r>
    </w:p>
    <w:p w14:paraId="51FB2872">
      <w:pPr>
        <w:spacing w:line="360" w:lineRule="auto"/>
        <w:ind w:firstLine="482"/>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1F5123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 xml:space="preserve">1.9.2 </w:t>
      </w:r>
      <w:r>
        <w:rPr>
          <w:rFonts w:hint="eastAsia" w:ascii="仿宋" w:hAnsi="仿宋" w:eastAsia="仿宋" w:cs="仿宋"/>
          <w:snapToGrid w:val="0"/>
          <w:color w:val="auto"/>
          <w:kern w:val="0"/>
          <w:sz w:val="24"/>
          <w:szCs w:val="24"/>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CA90570">
      <w:pPr>
        <w:outlineLvl w:val="9"/>
        <w:rPr>
          <w:rFonts w:hint="eastAsia" w:ascii="仿宋" w:hAnsi="仿宋" w:eastAsia="仿宋" w:cs="仿宋"/>
          <w:b w:val="0"/>
          <w:bCs/>
          <w:color w:val="auto"/>
          <w:sz w:val="24"/>
          <w:szCs w:val="24"/>
        </w:rPr>
      </w:pPr>
      <w:bookmarkStart w:id="93" w:name="_Toc29547"/>
      <w:r>
        <w:rPr>
          <w:rFonts w:hint="eastAsia" w:ascii="仿宋" w:hAnsi="仿宋" w:eastAsia="仿宋" w:cs="仿宋"/>
          <w:b w:val="0"/>
          <w:bCs/>
          <w:color w:val="auto"/>
          <w:sz w:val="24"/>
          <w:szCs w:val="24"/>
        </w:rPr>
        <w:t>2.评审方法</w:t>
      </w:r>
      <w:bookmarkEnd w:id="93"/>
    </w:p>
    <w:p w14:paraId="2C63E7B8">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2.1 综合评分法</w:t>
      </w:r>
    </w:p>
    <w:p w14:paraId="786B58C2">
      <w:pPr>
        <w:spacing w:line="360" w:lineRule="auto"/>
        <w:ind w:firstLine="470" w:firstLineChars="196"/>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2.1.1 本采购项目评审方法采用综合评分法，</w:t>
      </w:r>
      <w:r>
        <w:rPr>
          <w:rFonts w:hint="eastAsia" w:ascii="仿宋" w:hAnsi="仿宋" w:eastAsia="仿宋" w:cs="仿宋"/>
          <w:snapToGrid w:val="0"/>
          <w:color w:val="auto"/>
          <w:kern w:val="0"/>
          <w:sz w:val="24"/>
          <w:szCs w:val="24"/>
        </w:rPr>
        <w:t>是指响应文件满足磋商文件全部实质性要求且按评审因素的量化指标评审得分最高的供应商为成交候选供应商的评审方法。</w:t>
      </w:r>
    </w:p>
    <w:p w14:paraId="56EB488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2.1.2 综合评分法评审标准中的分值设置应当与评审因素的量化指标相对应。磋商文件中没有规定的评审标准不得作为评审依据。</w:t>
      </w:r>
    </w:p>
    <w:p w14:paraId="39628DFA">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2.2 评审细则及标准</w:t>
      </w:r>
    </w:p>
    <w:p w14:paraId="7E48096F">
      <w:pPr>
        <w:pStyle w:val="12"/>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2.2.1 </w:t>
      </w:r>
      <w:r>
        <w:rPr>
          <w:rFonts w:hint="eastAsia" w:ascii="仿宋" w:hAnsi="仿宋" w:eastAsia="仿宋" w:cs="仿宋"/>
          <w:bCs/>
          <w:color w:val="auto"/>
          <w:sz w:val="24"/>
          <w:szCs w:val="24"/>
        </w:rPr>
        <w:t>磋商小组将综合分析供应商的各项评审因素，而不以单项评审因素的优劣评选出成交供应商。对所有供应商的响应评估，都采用相同的程序和标准，严格按照磋商文件的要求和条件进行。</w:t>
      </w:r>
    </w:p>
    <w:p w14:paraId="47909C43">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2.2.2评审因素包括：</w:t>
      </w:r>
      <w:r>
        <w:rPr>
          <w:rFonts w:hint="eastAsia" w:ascii="仿宋" w:hAnsi="仿宋" w:eastAsia="仿宋" w:cs="仿宋"/>
          <w:color w:val="auto"/>
          <w:kern w:val="0"/>
          <w:sz w:val="24"/>
          <w:szCs w:val="24"/>
        </w:rPr>
        <w:t>磋商报价、服务方案等</w:t>
      </w:r>
      <w:r>
        <w:rPr>
          <w:rFonts w:hint="eastAsia" w:ascii="仿宋" w:hAnsi="仿宋" w:eastAsia="仿宋" w:cs="仿宋"/>
          <w:color w:val="auto"/>
          <w:sz w:val="24"/>
          <w:szCs w:val="24"/>
        </w:rPr>
        <w:t>对磋商文件的响应程度，以及相应的比重或者权值等，但不包括“供应商须知”第3.1条</w:t>
      </w:r>
      <w:r>
        <w:rPr>
          <w:rFonts w:hint="eastAsia" w:ascii="仿宋" w:hAnsi="仿宋" w:eastAsia="仿宋" w:cs="仿宋"/>
          <w:color w:val="auto"/>
          <w:kern w:val="0"/>
          <w:sz w:val="24"/>
          <w:szCs w:val="24"/>
          <w:lang w:val="zh-CN"/>
        </w:rPr>
        <w:t>款</w:t>
      </w:r>
      <w:r>
        <w:rPr>
          <w:rFonts w:hint="eastAsia" w:ascii="仿宋" w:hAnsi="仿宋" w:eastAsia="仿宋" w:cs="仿宋"/>
          <w:color w:val="auto"/>
          <w:sz w:val="24"/>
          <w:szCs w:val="24"/>
        </w:rPr>
        <w:t>规定的供应商资格条件。</w:t>
      </w:r>
    </w:p>
    <w:p w14:paraId="09336E16">
      <w:pPr>
        <w:pStyle w:val="12"/>
        <w:adjustRightInd w:val="0"/>
        <w:snapToGrid w:val="0"/>
        <w:spacing w:line="360" w:lineRule="auto"/>
        <w:ind w:left="865" w:leftChars="203" w:hanging="439" w:hangingChars="183"/>
        <w:rPr>
          <w:rFonts w:hint="eastAsia" w:ascii="仿宋" w:hAnsi="仿宋" w:eastAsia="仿宋" w:cs="仿宋"/>
          <w:bCs/>
          <w:color w:val="auto"/>
          <w:sz w:val="24"/>
          <w:szCs w:val="24"/>
        </w:rPr>
      </w:pPr>
      <w:r>
        <w:rPr>
          <w:rFonts w:hint="eastAsia" w:ascii="仿宋" w:hAnsi="仿宋" w:eastAsia="仿宋" w:cs="仿宋"/>
          <w:bCs/>
          <w:color w:val="auto"/>
          <w:sz w:val="24"/>
          <w:szCs w:val="24"/>
        </w:rPr>
        <w:t>2.2.3 磋商小组按以下操作程序对供应商的响应文件进行综合评分：</w:t>
      </w:r>
    </w:p>
    <w:p w14:paraId="021ACE48">
      <w:pPr>
        <w:pStyle w:val="13"/>
        <w:widowControl/>
        <w:tabs>
          <w:tab w:val="left" w:pos="1506"/>
        </w:tabs>
        <w:adjustRightInd w:val="0"/>
        <w:snapToGrid w:val="0"/>
        <w:spacing w:line="360" w:lineRule="auto"/>
        <w:ind w:left="0" w:leftChars="0"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2.2.3.1 根据磋商文件和磋商原则，按《综合评分明细表》所列评分因素和各评分因素的权重进行评审。</w:t>
      </w:r>
    </w:p>
    <w:p w14:paraId="6533571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2.2.3.2 供应商的价格分，按照财政部财库[2014]214号文件第二十四条和财库[2020]46号文件的规定，采用低价优先法计算，以本次满足磋商文件要求的</w:t>
      </w:r>
      <w:r>
        <w:rPr>
          <w:rFonts w:hint="eastAsia" w:ascii="仿宋" w:hAnsi="仿宋" w:eastAsia="仿宋" w:cs="仿宋"/>
          <w:b/>
          <w:color w:val="auto"/>
          <w:sz w:val="24"/>
          <w:szCs w:val="24"/>
        </w:rPr>
        <w:t>最低磋商评审价为磋商基准价</w:t>
      </w:r>
      <w:r>
        <w:rPr>
          <w:rFonts w:hint="eastAsia" w:ascii="仿宋" w:hAnsi="仿宋" w:eastAsia="仿宋" w:cs="仿宋"/>
          <w:color w:val="auto"/>
          <w:sz w:val="24"/>
          <w:szCs w:val="24"/>
        </w:rPr>
        <w:t>，其价格为满分。</w:t>
      </w:r>
    </w:p>
    <w:p w14:paraId="6C6F6F2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2.2.3.3供应商的价格分，统一按照下列公式</w:t>
      </w:r>
      <w:r>
        <w:rPr>
          <w:rFonts w:hint="eastAsia" w:ascii="仿宋" w:hAnsi="仿宋" w:eastAsia="仿宋" w:cs="仿宋"/>
          <w:bCs/>
          <w:color w:val="auto"/>
          <w:sz w:val="24"/>
          <w:szCs w:val="24"/>
        </w:rPr>
        <w:t>计算：</w:t>
      </w:r>
    </w:p>
    <w:p w14:paraId="13AE2CB8">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磋商评审价=最后报价</w:t>
      </w:r>
    </w:p>
    <w:p w14:paraId="2B4A85DA">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磋商报价得分=(磋商基准价／磋商评审价)×报价分值</w:t>
      </w:r>
    </w:p>
    <w:p w14:paraId="1AD69D6E">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2.2.3.4 由磋商小组成员独立地根据各项因素的评分标准，结合每个供应商的实际情况，分别就磋商报价以外的各项评审因素对每个供应商独立打分。</w:t>
      </w:r>
    </w:p>
    <w:p w14:paraId="18E105BF">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2.2.3.5将所有评审因素所得实际评审分数相加，即为该供应商的评审总得分。评审总得分按下例公式计算：</w:t>
      </w:r>
    </w:p>
    <w:p w14:paraId="69C57BF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评审总得分＝F1＋F2＋……＋Fn</w:t>
      </w:r>
    </w:p>
    <w:p w14:paraId="052E688E">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F1、F2……Fn分别为各项评审因素的汇总得分</w:t>
      </w:r>
    </w:p>
    <w:p w14:paraId="0288F494">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2.2.3.6评审过程中，不得去掉最后报价中的最高报价和最低报价。</w:t>
      </w:r>
    </w:p>
    <w:p w14:paraId="22BC110A">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2.2.3.7评审时，磋商小组成员应当独立对满足磋商文件全部实质性要求供应商的响应文件进行评价、评分，然后汇总每个供应商每项评分因素的得分。每个供应商的最终得分为所有磋商小组成员评分的算术平均值。</w:t>
      </w:r>
    </w:p>
    <w:p w14:paraId="5538E1DC">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2.2.4 供应商报价磋商报价折扣幅度如下：</w:t>
      </w:r>
    </w:p>
    <w:p w14:paraId="22A8E94F">
      <w:pPr>
        <w:spacing w:line="360" w:lineRule="auto"/>
        <w:ind w:firstLine="830" w:firstLineChars="346"/>
        <w:rPr>
          <w:rFonts w:hint="eastAsia" w:ascii="仿宋" w:hAnsi="仿宋" w:eastAsia="仿宋" w:cs="仿宋"/>
          <w:color w:val="auto"/>
          <w:sz w:val="24"/>
          <w:szCs w:val="24"/>
        </w:rPr>
      </w:pPr>
      <w:r>
        <w:rPr>
          <w:rFonts w:hint="eastAsia" w:ascii="仿宋" w:hAnsi="仿宋" w:eastAsia="仿宋" w:cs="仿宋"/>
          <w:color w:val="auto"/>
          <w:sz w:val="24"/>
          <w:szCs w:val="24"/>
        </w:rPr>
        <w:t>2.2.4.1供应商为小微企业的，给予最后报价扣除</w:t>
      </w:r>
      <w:r>
        <w:rPr>
          <w:rFonts w:hint="eastAsia" w:ascii="仿宋" w:hAnsi="仿宋" w:eastAsia="仿宋" w:cs="仿宋"/>
          <w:color w:val="auto"/>
          <w:sz w:val="24"/>
          <w:szCs w:val="24"/>
          <w:u w:val="single"/>
        </w:rPr>
        <w:t>10%</w:t>
      </w:r>
      <w:r>
        <w:rPr>
          <w:rFonts w:hint="eastAsia" w:ascii="仿宋" w:hAnsi="仿宋" w:eastAsia="仿宋" w:cs="仿宋"/>
          <w:color w:val="auto"/>
          <w:sz w:val="24"/>
          <w:szCs w:val="24"/>
        </w:rPr>
        <w:t>优惠政策，只要有大中型企业提供服务的，就不能享受价格扣除优惠政策。</w:t>
      </w:r>
    </w:p>
    <w:p w14:paraId="14048DB7">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2.2.5 非实质性偏离（非技术参数）</w:t>
      </w:r>
    </w:p>
    <w:p w14:paraId="25036A5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非实质性偏离（非技术参数）是指响应文件在实质上响应磋商文件的要求，但在个别地方存在一些不规则、不一致、不完整的内容，并且澄清、说明或者更正这些内容不会改变响应文件的实质性内容。以下情况属于非实质性偏离：</w:t>
      </w:r>
    </w:p>
    <w:p w14:paraId="6C02C98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（1）文字表述的内容含义不明确；</w:t>
      </w:r>
    </w:p>
    <w:p w14:paraId="3516854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（2）同类问题表述不一致；</w:t>
      </w:r>
    </w:p>
    <w:p w14:paraId="7005709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（3）有明显文字和计算错误；</w:t>
      </w:r>
    </w:p>
    <w:p w14:paraId="053BC8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（4）提供的服务信息和数据资料不完整；</w:t>
      </w:r>
    </w:p>
    <w:p w14:paraId="185827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（5）正副本数量齐全、密封完好，只是未按照磋商文件要求进行分装或者统装；</w:t>
      </w:r>
    </w:p>
    <w:p w14:paraId="652126C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（6）响应文件应当盖章签字的地方，不超过3处仅有签字或盖章（授权委托书、竞争性磋商响应函除外）；</w:t>
      </w:r>
    </w:p>
    <w:p w14:paraId="16E4298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（7）响应文件未按磋商文件要求进行装订或未编制目录、页码或者页码混乱；</w:t>
      </w:r>
    </w:p>
    <w:p w14:paraId="7D0150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（8）磋商小组认定的其他非实质性偏离。</w:t>
      </w:r>
    </w:p>
    <w:p w14:paraId="297FBF05">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w:t>
      </w:r>
    </w:p>
    <w:p w14:paraId="4AB08AE6">
      <w:pPr>
        <w:tabs>
          <w:tab w:val="left" w:pos="7665"/>
        </w:tabs>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2.2.6综合评分明细表</w:t>
      </w:r>
    </w:p>
    <w:p w14:paraId="26AB7B8C">
      <w:pPr>
        <w:tabs>
          <w:tab w:val="left" w:pos="7665"/>
        </w:tabs>
        <w:spacing w:line="360" w:lineRule="auto"/>
        <w:ind w:firstLine="840" w:firstLineChars="350"/>
        <w:rPr>
          <w:rFonts w:ascii="宋体" w:hAnsi="宋体"/>
          <w:color w:val="auto"/>
          <w:szCs w:val="21"/>
        </w:rPr>
      </w:pPr>
      <w:r>
        <w:rPr>
          <w:rFonts w:hint="eastAsia" w:ascii="仿宋" w:hAnsi="仿宋" w:eastAsia="仿宋" w:cs="仿宋"/>
          <w:color w:val="auto"/>
          <w:sz w:val="24"/>
          <w:szCs w:val="24"/>
        </w:rPr>
        <w:t>2.2.6.1综合评分明细表的制定以科学合理、降低评委会自由裁量权为原则。</w:t>
      </w:r>
    </w:p>
    <w:p w14:paraId="38AF5711">
      <w:pPr>
        <w:rPr>
          <w:rFonts w:ascii="宋体" w:hAnsi="宋体"/>
          <w:b/>
          <w:color w:val="auto"/>
          <w:szCs w:val="32"/>
        </w:rPr>
      </w:pPr>
      <w:r>
        <w:rPr>
          <w:rFonts w:hint="eastAsia" w:ascii="宋体" w:hAnsi="宋体"/>
          <w:b/>
          <w:color w:val="auto"/>
          <w:szCs w:val="32"/>
        </w:rPr>
        <w:br w:type="page"/>
      </w:r>
    </w:p>
    <w:p w14:paraId="168D2954">
      <w:pPr>
        <w:pStyle w:val="11"/>
        <w:tabs>
          <w:tab w:val="left" w:pos="600"/>
        </w:tabs>
        <w:spacing w:before="240" w:beforeLines="100" w:line="360" w:lineRule="auto"/>
        <w:ind w:firstLine="0"/>
        <w:jc w:val="center"/>
        <w:rPr>
          <w:rFonts w:hint="eastAsia" w:ascii="宋体" w:hAnsi="宋体" w:eastAsia="宋体"/>
          <w:b/>
          <w:bCs/>
          <w:color w:val="auto"/>
          <w:szCs w:val="32"/>
          <w:lang w:eastAsia="zh-CN"/>
        </w:rPr>
      </w:pPr>
      <w:r>
        <w:rPr>
          <w:rFonts w:hint="eastAsia" w:ascii="宋体" w:hAnsi="宋体"/>
          <w:b/>
          <w:bCs/>
          <w:color w:val="auto"/>
          <w:szCs w:val="32"/>
        </w:rPr>
        <w:t>综合评分明细表</w:t>
      </w:r>
    </w:p>
    <w:tbl>
      <w:tblPr>
        <w:tblStyle w:val="23"/>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578"/>
        <w:gridCol w:w="7362"/>
      </w:tblGrid>
      <w:tr w14:paraId="07F6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5FC05F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评标分项</w:t>
            </w:r>
          </w:p>
        </w:tc>
        <w:tc>
          <w:tcPr>
            <w:tcW w:w="770" w:type="pct"/>
            <w:vAlign w:val="center"/>
          </w:tcPr>
          <w:p w14:paraId="28CE4A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最高分值</w:t>
            </w:r>
          </w:p>
        </w:tc>
        <w:tc>
          <w:tcPr>
            <w:tcW w:w="3592" w:type="pct"/>
            <w:vAlign w:val="center"/>
          </w:tcPr>
          <w:p w14:paraId="1709DB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评分标准</w:t>
            </w:r>
          </w:p>
        </w:tc>
      </w:tr>
      <w:tr w14:paraId="1623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0AE217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磋商报价</w:t>
            </w:r>
          </w:p>
          <w:p w14:paraId="2698FA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770" w:type="pct"/>
            <w:vAlign w:val="center"/>
          </w:tcPr>
          <w:p w14:paraId="548CF1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3592" w:type="pct"/>
            <w:vAlign w:val="center"/>
          </w:tcPr>
          <w:p w14:paraId="62E2B9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以满足磋商文件要求且价格最低的最终报价为评标基准价,其价格分为满分</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分,其他供应商的价格分按照下列公式计算</w:t>
            </w:r>
            <w:r>
              <w:rPr>
                <w:rFonts w:hint="eastAsia" w:ascii="仿宋" w:hAnsi="仿宋" w:eastAsia="仿宋" w:cs="仿宋"/>
                <w:bCs/>
                <w:color w:val="auto"/>
                <w:sz w:val="24"/>
                <w:szCs w:val="24"/>
                <w:lang w:eastAsia="zh-CN"/>
              </w:rPr>
              <w:t>：</w:t>
            </w:r>
          </w:p>
          <w:p w14:paraId="45270B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最终报价得分=(</w:t>
            </w:r>
            <w:r>
              <w:rPr>
                <w:rFonts w:hint="eastAsia" w:ascii="仿宋" w:hAnsi="仿宋" w:eastAsia="仿宋" w:cs="仿宋"/>
                <w:bCs/>
                <w:color w:val="auto"/>
                <w:sz w:val="24"/>
                <w:szCs w:val="24"/>
                <w:lang w:val="en-US" w:eastAsia="zh-CN"/>
              </w:rPr>
              <w:t>磋商</w:t>
            </w:r>
            <w:r>
              <w:rPr>
                <w:rFonts w:hint="eastAsia" w:ascii="仿宋" w:hAnsi="仿宋" w:eastAsia="仿宋" w:cs="仿宋"/>
                <w:bCs/>
                <w:color w:val="auto"/>
                <w:sz w:val="24"/>
                <w:szCs w:val="24"/>
              </w:rPr>
              <w:t>基准价/</w:t>
            </w:r>
            <w:r>
              <w:rPr>
                <w:rFonts w:hint="eastAsia" w:ascii="仿宋" w:hAnsi="仿宋" w:eastAsia="仿宋" w:cs="仿宋"/>
                <w:bCs/>
                <w:color w:val="auto"/>
                <w:sz w:val="24"/>
                <w:szCs w:val="24"/>
                <w:lang w:val="en-US" w:eastAsia="zh-CN"/>
              </w:rPr>
              <w:t>磋商评审价</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w:t>
            </w:r>
          </w:p>
          <w:p w14:paraId="74E462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磋商小组</w:t>
            </w:r>
            <w:r>
              <w:rPr>
                <w:rFonts w:hint="eastAsia" w:ascii="仿宋" w:hAnsi="仿宋" w:eastAsia="仿宋" w:cs="仿宋"/>
                <w:sz w:val="24"/>
                <w:szCs w:val="24"/>
              </w:rPr>
              <w:t>认为</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的报价明显低于其他通过符合性审查</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的报价，有可能影响质量或者不能诚信履约的，应当要求其在</w:t>
            </w:r>
            <w:r>
              <w:rPr>
                <w:rFonts w:hint="eastAsia" w:ascii="仿宋" w:hAnsi="仿宋" w:eastAsia="仿宋" w:cs="仿宋"/>
                <w:sz w:val="24"/>
                <w:szCs w:val="24"/>
                <w:lang w:val="en-US" w:eastAsia="zh-CN"/>
              </w:rPr>
              <w:t>磋商</w:t>
            </w:r>
            <w:r>
              <w:rPr>
                <w:rFonts w:hint="eastAsia" w:ascii="仿宋" w:hAnsi="仿宋" w:eastAsia="仿宋" w:cs="仿宋"/>
                <w:sz w:val="24"/>
                <w:szCs w:val="24"/>
              </w:rPr>
              <w:t>现场合理的时间内提供书面说明，必要时提交相关证明材料；</w:t>
            </w:r>
            <w:r>
              <w:rPr>
                <w:rFonts w:hint="eastAsia" w:ascii="仿宋" w:hAnsi="仿宋" w:eastAsia="仿宋" w:cs="仿宋"/>
                <w:sz w:val="24"/>
                <w:szCs w:val="24"/>
                <w:lang w:val="en-US" w:eastAsia="zh-CN"/>
              </w:rPr>
              <w:t>供应商</w:t>
            </w:r>
            <w:r>
              <w:rPr>
                <w:rFonts w:hint="eastAsia" w:ascii="仿宋" w:hAnsi="仿宋" w:eastAsia="仿宋" w:cs="仿宋"/>
                <w:sz w:val="24"/>
                <w:szCs w:val="24"/>
              </w:rPr>
              <w:t>不能证明其报价合理性的，</w:t>
            </w:r>
            <w:r>
              <w:rPr>
                <w:rFonts w:hint="eastAsia" w:ascii="仿宋" w:hAnsi="仿宋" w:eastAsia="仿宋" w:cs="仿宋"/>
                <w:sz w:val="24"/>
                <w:szCs w:val="24"/>
                <w:lang w:val="en-US" w:eastAsia="zh-CN"/>
              </w:rPr>
              <w:t>磋商小组</w:t>
            </w:r>
            <w:r>
              <w:rPr>
                <w:rFonts w:hint="eastAsia" w:ascii="仿宋" w:hAnsi="仿宋" w:eastAsia="仿宋" w:cs="仿宋"/>
                <w:sz w:val="24"/>
                <w:szCs w:val="24"/>
              </w:rPr>
              <w:t>应当将其作为无效投标处理。</w:t>
            </w:r>
          </w:p>
          <w:p w14:paraId="1EC2DE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专门面向中小企业采购的项目或者采购包，不再执行价格评审优惠的扶持</w:t>
            </w:r>
            <w:r>
              <w:rPr>
                <w:rFonts w:hint="eastAsia" w:ascii="仿宋" w:hAnsi="仿宋" w:eastAsia="仿宋" w:cs="仿宋"/>
                <w:bCs/>
                <w:color w:val="auto"/>
                <w:sz w:val="24"/>
                <w:szCs w:val="24"/>
                <w:lang w:val="en-US" w:eastAsia="zh-CN"/>
              </w:rPr>
              <w:t>政</w:t>
            </w:r>
            <w:r>
              <w:rPr>
                <w:rFonts w:hint="eastAsia" w:ascii="仿宋" w:hAnsi="仿宋" w:eastAsia="仿宋" w:cs="仿宋"/>
                <w:bCs/>
                <w:color w:val="auto"/>
                <w:sz w:val="24"/>
                <w:szCs w:val="24"/>
              </w:rPr>
              <w:t>策。</w:t>
            </w:r>
          </w:p>
        </w:tc>
      </w:tr>
      <w:tr w14:paraId="0A8F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2E8D7F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技术部分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770" w:type="pct"/>
            <w:vAlign w:val="center"/>
          </w:tcPr>
          <w:p w14:paraId="245089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施工组织设计</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3592" w:type="pct"/>
            <w:vAlign w:val="center"/>
          </w:tcPr>
          <w:tbl>
            <w:tblPr>
              <w:tblStyle w:val="23"/>
              <w:tblW w:w="514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46"/>
            </w:tblGrid>
            <w:tr w14:paraId="3802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7A19B9EC">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1.项目经理:具有中级及以上技术职称得3分，没有得0分;</w:t>
                  </w:r>
                </w:p>
                <w:p w14:paraId="4BB1093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技术负责人:具有中级技术职称及以上的得2分，没有得0分;</w:t>
                  </w:r>
                </w:p>
                <w:p w14:paraId="1228BC1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其他技术人员配备:施工员、安全员、质量员、材料员、资料</w:t>
                  </w:r>
                </w:p>
                <w:p w14:paraId="478AC136">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员配备齐全，且均持证上岗(安全员提供安全生产考核合格证</w:t>
                  </w:r>
                </w:p>
                <w:p w14:paraId="0A6C4FF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)，各岗位人员配备齐全，得5分，缺少任一岗位人员扣1分。</w:t>
                  </w:r>
                </w:p>
                <w:p w14:paraId="0262A57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满分10分。</w:t>
                  </w:r>
                </w:p>
              </w:tc>
            </w:tr>
            <w:tr w14:paraId="03605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jc w:val="center"/>
              </w:trPr>
              <w:tc>
                <w:tcPr>
                  <w:tcW w:w="5000" w:type="pct"/>
                  <w:shd w:val="clear" w:color="auto" w:fill="auto"/>
                  <w:vAlign w:val="center"/>
                </w:tcPr>
                <w:p w14:paraId="3BC2D23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2.施工方案，根据具体情况赋分计0～10.0分，（若出现缺项或只有标题无内容或内容有严重错误者，该项得0分）。</w:t>
                  </w:r>
                </w:p>
              </w:tc>
            </w:tr>
            <w:tr w14:paraId="07881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5000" w:type="pct"/>
                  <w:shd w:val="clear" w:color="auto" w:fill="auto"/>
                  <w:vAlign w:val="center"/>
                </w:tcPr>
                <w:p w14:paraId="2BD8495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3.施工部署及施工总平面布置，根据具体情况赋分计0～5.0分，（若出现缺项或只有标题无内容或内容有严重错误者，该项得0分）。</w:t>
                  </w:r>
                </w:p>
              </w:tc>
            </w:tr>
            <w:tr w14:paraId="17626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54613D83">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4.主要施工机械、设备和材料配备计划，根据具体情况赋分计0～5.0分，（若出现缺项或只有标题无内容或内容有严重错误者，该项得0分）。</w:t>
                  </w:r>
                </w:p>
              </w:tc>
            </w:tr>
            <w:tr w14:paraId="12F4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498F65F5">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5.确保工期的技术组织措施，根据具体情况赋分计0～5.0分，（若出现缺项或只有标题无内容或内容有严重错误者，该项得0分）。</w:t>
                  </w:r>
                </w:p>
              </w:tc>
            </w:tr>
            <w:tr w14:paraId="0D1B3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3E61FE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6.确保工程质量的技术组织措施，根据具体情况赋分计0～5.0分，（若出现缺项或只有标题无内容或内容有严重错误者，该项得0分）。</w:t>
                  </w:r>
                </w:p>
              </w:tc>
            </w:tr>
            <w:tr w14:paraId="3719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6CFAAC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7.确保安全施工的技术组织措施，根据具体情况赋分计0～5.0分，（若出现缺项或只有标题无内容或内容有严重错误者，该项得0分）。</w:t>
                  </w:r>
                </w:p>
              </w:tc>
            </w:tr>
            <w:tr w14:paraId="174A8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6C7ED5E4">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8.确保文明施工的技术组织措施及环境保护措施，根据具体情况赋分计0～5.0分，（若出现缺项或只有标题无内容或内容有严重错误者，该项得0分）。</w:t>
                  </w:r>
                </w:p>
              </w:tc>
            </w:tr>
            <w:tr w14:paraId="5B88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5F3D65F">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9.劳动力计划，根据具体情况赋分计0～5.0分，（若出现缺项或只有标题无内容或内容有严重错误者，该项得0分）。</w:t>
                  </w:r>
                </w:p>
              </w:tc>
            </w:tr>
            <w:tr w14:paraId="79C13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36F93F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10施工现场治污减霾及扬尘治理措施，根据具体情况赋分计0～5.0分，（若出现缺项或只有标题无内容或内容有严重错误者，该项得0分）。</w:t>
                  </w:r>
                </w:p>
              </w:tc>
            </w:tr>
          </w:tbl>
          <w:p w14:paraId="7078DD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p>
        </w:tc>
      </w:tr>
      <w:tr w14:paraId="6980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restart"/>
            <w:vAlign w:val="center"/>
          </w:tcPr>
          <w:p w14:paraId="4650BE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履约能力部分</w:t>
            </w:r>
          </w:p>
          <w:p w14:paraId="709CB8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10</w:t>
            </w:r>
            <w:r>
              <w:rPr>
                <w:rFonts w:hint="eastAsia" w:ascii="仿宋" w:hAnsi="仿宋" w:eastAsia="仿宋" w:cs="仿宋"/>
                <w:bCs/>
                <w:color w:val="auto"/>
                <w:sz w:val="24"/>
                <w:szCs w:val="24"/>
              </w:rPr>
              <w:t>分）</w:t>
            </w:r>
          </w:p>
        </w:tc>
        <w:tc>
          <w:tcPr>
            <w:tcW w:w="770" w:type="pct"/>
            <w:vAlign w:val="center"/>
          </w:tcPr>
          <w:p w14:paraId="2F2D32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业绩</w:t>
            </w:r>
          </w:p>
          <w:p w14:paraId="1103A5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3D093A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rPr>
              <w:t>20</w:t>
            </w:r>
            <w:r>
              <w:rPr>
                <w:rFonts w:hint="eastAsia" w:ascii="仿宋" w:hAnsi="仿宋" w:eastAsia="仿宋" w:cs="仿宋"/>
                <w:bCs/>
                <w:color w:val="auto"/>
                <w:sz w:val="24"/>
                <w:szCs w:val="24"/>
                <w:lang w:val="en-US" w:eastAsia="zh-CN"/>
              </w:rPr>
              <w:t>23</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9</w:t>
            </w:r>
            <w:r>
              <w:rPr>
                <w:rFonts w:hint="eastAsia" w:ascii="仿宋" w:hAnsi="仿宋" w:eastAsia="仿宋" w:cs="仿宋"/>
                <w:bCs/>
                <w:color w:val="auto"/>
                <w:sz w:val="24"/>
                <w:szCs w:val="24"/>
              </w:rPr>
              <w:t>月1日至今</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以合同签订日期为准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具有</w:t>
            </w:r>
            <w:r>
              <w:rPr>
                <w:rFonts w:hint="eastAsia" w:ascii="仿宋" w:hAnsi="仿宋" w:eastAsia="仿宋" w:cs="仿宋"/>
                <w:bCs/>
                <w:color w:val="auto"/>
                <w:sz w:val="24"/>
                <w:szCs w:val="24"/>
                <w:lang w:val="en-US" w:eastAsia="zh-CN"/>
              </w:rPr>
              <w:t>类似项目</w:t>
            </w:r>
            <w:r>
              <w:rPr>
                <w:rFonts w:hint="eastAsia" w:ascii="仿宋" w:hAnsi="仿宋" w:eastAsia="仿宋" w:cs="仿宋"/>
                <w:bCs/>
                <w:color w:val="auto"/>
                <w:sz w:val="24"/>
                <w:szCs w:val="24"/>
              </w:rPr>
              <w:t>业绩,每提供一</w:t>
            </w:r>
            <w:r>
              <w:rPr>
                <w:rFonts w:hint="eastAsia" w:ascii="仿宋" w:hAnsi="仿宋" w:eastAsia="仿宋" w:cs="仿宋"/>
                <w:bCs/>
                <w:color w:val="auto"/>
                <w:sz w:val="24"/>
                <w:szCs w:val="24"/>
                <w:lang w:val="en-US" w:eastAsia="zh-CN"/>
              </w:rPr>
              <w:t>份</w:t>
            </w:r>
            <w:r>
              <w:rPr>
                <w:rFonts w:hint="eastAsia" w:ascii="仿宋" w:hAnsi="仿宋" w:eastAsia="仿宋" w:cs="仿宋"/>
                <w:bCs/>
                <w:color w:val="auto"/>
                <w:sz w:val="24"/>
                <w:szCs w:val="24"/>
              </w:rPr>
              <w:t>业绩得1分，最高得5分。业绩要求提供：合同文件复印件加盖公章</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未提供</w:t>
            </w:r>
            <w:r>
              <w:rPr>
                <w:rFonts w:hint="eastAsia" w:ascii="仿宋" w:hAnsi="仿宋" w:eastAsia="仿宋" w:cs="仿宋"/>
                <w:bCs/>
                <w:color w:val="auto"/>
                <w:sz w:val="24"/>
                <w:szCs w:val="24"/>
                <w:lang w:val="en-US" w:eastAsia="zh-CN"/>
              </w:rPr>
              <w:t>或者不齐全</w:t>
            </w:r>
            <w:r>
              <w:rPr>
                <w:rFonts w:hint="eastAsia" w:ascii="仿宋" w:hAnsi="仿宋" w:eastAsia="仿宋" w:cs="仿宋"/>
                <w:bCs/>
                <w:color w:val="auto"/>
                <w:sz w:val="24"/>
                <w:szCs w:val="24"/>
              </w:rPr>
              <w:t>不计分</w:t>
            </w:r>
            <w:r>
              <w:rPr>
                <w:rFonts w:hint="eastAsia" w:ascii="仿宋" w:hAnsi="仿宋" w:eastAsia="仿宋" w:cs="仿宋"/>
                <w:bCs/>
                <w:color w:val="auto"/>
                <w:sz w:val="24"/>
                <w:szCs w:val="24"/>
                <w:lang w:eastAsia="zh-CN"/>
              </w:rPr>
              <w:t>。</w:t>
            </w:r>
          </w:p>
        </w:tc>
      </w:tr>
      <w:tr w14:paraId="695A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continue"/>
            <w:vAlign w:val="center"/>
          </w:tcPr>
          <w:p w14:paraId="661330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p>
        </w:tc>
        <w:tc>
          <w:tcPr>
            <w:tcW w:w="770" w:type="pct"/>
            <w:vAlign w:val="center"/>
          </w:tcPr>
          <w:p w14:paraId="6D6C27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售后服务</w:t>
            </w:r>
          </w:p>
          <w:p w14:paraId="35574E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1AED1952">
            <w:pPr>
              <w:keepNext w:val="0"/>
              <w:keepLines w:val="0"/>
              <w:pageBreakBefore w:val="0"/>
              <w:widowControl w:val="0"/>
              <w:suppressLineNumbers w:val="0"/>
              <w:kinsoku/>
              <w:wordWrap/>
              <w:overflowPunct/>
              <w:topLinePunct w:val="0"/>
              <w:autoSpaceDN/>
              <w:bidi w:val="0"/>
              <w:adjustRightInd/>
              <w:snapToGrid w:val="0"/>
              <w:spacing w:before="0" w:beforeAutospacing="0" w:after="0" w:afterAutospacing="0" w:line="360" w:lineRule="auto"/>
              <w:ind w:left="0" w:right="0"/>
              <w:jc w:val="both"/>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kern w:val="2"/>
                <w:sz w:val="24"/>
                <w:szCs w:val="24"/>
                <w:lang w:val="en-US" w:eastAsia="zh-CN" w:bidi="ar"/>
              </w:rPr>
              <w:t>后续服务：针对本项目提供详细的工程完工后服务方案及其人员组成、方案完整及人员组成合理性、质保期处理保修服务的时效和服务承诺，根据处理质保问题是否得当、以及时效性赋0-5分。</w:t>
            </w:r>
          </w:p>
        </w:tc>
      </w:tr>
    </w:tbl>
    <w:p w14:paraId="3F798342">
      <w:pPr>
        <w:pStyle w:val="2"/>
        <w:numPr>
          <w:ilvl w:val="0"/>
          <w:numId w:val="0"/>
        </w:numPr>
        <w:rPr>
          <w:rFonts w:hint="eastAsia" w:ascii="宋体" w:hAnsi="宋体" w:eastAsia="宋体" w:cs="宋体"/>
          <w:b/>
          <w:bCs/>
          <w:kern w:val="2"/>
          <w:szCs w:val="21"/>
          <w:lang w:val="en-US" w:eastAsia="zh-CN"/>
        </w:rPr>
      </w:pPr>
    </w:p>
    <w:p w14:paraId="7D891598">
      <w:pPr>
        <w:pStyle w:val="2"/>
        <w:numPr>
          <w:ilvl w:val="0"/>
          <w:numId w:val="0"/>
        </w:numPr>
        <w:spacing w:line="360" w:lineRule="auto"/>
        <w:ind w:firstLine="482" w:firstLineChars="200"/>
        <w:rPr>
          <w:rFonts w:hint="eastAsia" w:ascii="仿宋" w:hAnsi="仿宋" w:eastAsia="仿宋" w:cs="仿宋"/>
          <w:b/>
          <w:bCs/>
          <w:kern w:val="2"/>
          <w:sz w:val="24"/>
          <w:szCs w:val="24"/>
          <w:lang w:val="zh-CN" w:eastAsia="zh-CN"/>
        </w:rPr>
      </w:pPr>
      <w:r>
        <w:rPr>
          <w:rFonts w:hint="eastAsia" w:ascii="仿宋" w:hAnsi="仿宋" w:eastAsia="仿宋" w:cs="仿宋"/>
          <w:b/>
          <w:bCs/>
          <w:kern w:val="2"/>
          <w:sz w:val="24"/>
          <w:szCs w:val="24"/>
          <w:lang w:val="en-US" w:eastAsia="zh-CN"/>
        </w:rPr>
        <w:t>1、各标包供应商兼投不兼中。</w:t>
      </w:r>
    </w:p>
    <w:p w14:paraId="610FD930">
      <w:pPr>
        <w:snapToGrid w:val="0"/>
        <w:spacing w:line="360" w:lineRule="auto"/>
        <w:ind w:firstLine="420"/>
        <w:rPr>
          <w:rFonts w:hint="eastAsia" w:ascii="仿宋" w:hAnsi="仿宋" w:eastAsia="仿宋" w:cs="仿宋"/>
          <w:sz w:val="24"/>
          <w:szCs w:val="24"/>
          <w:highlight w:val="none"/>
        </w:rPr>
      </w:pPr>
      <w:r>
        <w:rPr>
          <w:rFonts w:hint="eastAsia" w:ascii="仿宋" w:hAnsi="仿宋" w:eastAsia="仿宋" w:cs="仿宋"/>
          <w:b w:val="0"/>
          <w:kern w:val="2"/>
          <w:sz w:val="24"/>
          <w:szCs w:val="24"/>
          <w:lang w:val="en-US" w:eastAsia="zh-CN"/>
        </w:rPr>
        <w:t>2、磋商小组各评委独立评分，按评审后综合得分由高到低顺序排列，推荐3名中标候选人。得分相同的，按投标报价由低到高顺序排列，得分且投标报价相同的，比较技术得分，此技术得分高者排在前。</w:t>
      </w:r>
    </w:p>
    <w:p w14:paraId="6235A1D3">
      <w:pPr>
        <w:rPr>
          <w:rFonts w:hint="eastAsia"/>
        </w:rPr>
      </w:pPr>
    </w:p>
    <w:p w14:paraId="5EA2123B">
      <w:pPr>
        <w:rPr>
          <w:rFonts w:hint="eastAsia" w:ascii="仿宋" w:hAnsi="仿宋" w:eastAsia="仿宋" w:cs="仿宋"/>
          <w:b/>
          <w:color w:val="auto"/>
          <w:sz w:val="24"/>
          <w:szCs w:val="24"/>
        </w:rPr>
      </w:pPr>
      <w:r>
        <w:rPr>
          <w:rFonts w:hint="eastAsia" w:ascii="仿宋" w:hAnsi="仿宋" w:eastAsia="仿宋" w:cs="仿宋"/>
          <w:b/>
          <w:color w:val="auto"/>
          <w:sz w:val="24"/>
          <w:szCs w:val="24"/>
        </w:rPr>
        <w:t>2.3无效响应文件的认定</w:t>
      </w:r>
    </w:p>
    <w:p w14:paraId="673B1CCE">
      <w:pPr>
        <w:pStyle w:val="11"/>
        <w:tabs>
          <w:tab w:val="left" w:pos="600"/>
        </w:tabs>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在评审过程中，出现下列情形之一的，响应文件无效：</w:t>
      </w:r>
    </w:p>
    <w:p w14:paraId="185F1D9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不具备磋商文件规定资格条件和要求的；</w:t>
      </w:r>
    </w:p>
    <w:p w14:paraId="22F91E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（2）响应文件未按照磋商文件要求签署、盖章的；</w:t>
      </w:r>
    </w:p>
    <w:p w14:paraId="622EF04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（3）响应文件未按照磋商文件规定的格式要求编制的；</w:t>
      </w:r>
    </w:p>
    <w:p w14:paraId="09EA00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（4）磋商报价超过了磋商文件中规定的预算金额或最高限价的；</w:t>
      </w:r>
    </w:p>
    <w:p w14:paraId="60254C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（5）响应内容出现漏项或数量与要求不符的；</w:t>
      </w:r>
    </w:p>
    <w:p w14:paraId="65E1CE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（6）磋商有效期、</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内容等商务条款不满足磋商文件要求的；</w:t>
      </w:r>
    </w:p>
    <w:p w14:paraId="4A47F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（7）响应文件中附有采购人不能接受的附加条件的；</w:t>
      </w:r>
    </w:p>
    <w:p w14:paraId="2C3941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（8）所提供产品属于强制性认证产品的未提供强制性产品认证证书复印件；</w:t>
      </w:r>
    </w:p>
    <w:p w14:paraId="53633B0D">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（9）响应文件的关键内容字迹模糊和无法辨认的；</w:t>
      </w:r>
    </w:p>
    <w:p w14:paraId="06045F3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（10）法律法规和磋商文件规定的其他情形的。</w:t>
      </w:r>
    </w:p>
    <w:p w14:paraId="4146E6BE">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2.4 特殊情况的处理</w:t>
      </w:r>
    </w:p>
    <w:p w14:paraId="7F587415">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2.4.1 响应文件中如果出现前后不一致的，按照下列规定修正：</w:t>
      </w:r>
    </w:p>
    <w:p w14:paraId="5E3A572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（1）响应文件中的大写金额与小写金额不一致的，以大写金额为准；</w:t>
      </w:r>
    </w:p>
    <w:p w14:paraId="28AEFA3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（2）响应文件中的总报价与按单价计算的汇总报价不一致的，以单价计算的汇总报价为准；</w:t>
      </w:r>
    </w:p>
    <w:p w14:paraId="44DF75E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（3）响应文件中的报价有明显小数点错误的，以总报价为准，并修改报价；</w:t>
      </w:r>
    </w:p>
    <w:p w14:paraId="16F147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（4）响应文件中有关分项表内容与“磋商报价一览表”不一致的，以“磋商报价一览表”为准；</w:t>
      </w:r>
    </w:p>
    <w:p w14:paraId="791B6B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（5）响应文件中图表与文字表述不一致的，以文字表述为准；</w:t>
      </w:r>
    </w:p>
    <w:p w14:paraId="57E6B0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（6）响应文件正本与副本不一致的，以正本为准；</w:t>
      </w:r>
    </w:p>
    <w:p w14:paraId="644EAF9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（7）对不同文字文本响应文件的解释发生异议的，以中文文本为准。</w:t>
      </w:r>
    </w:p>
    <w:p w14:paraId="023C4ED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按上述修正错误的方法调整的报价应对供应商具有约束力。如果供应商不接受修正后的价格，其响应文件将被拒绝。</w:t>
      </w:r>
    </w:p>
    <w:p w14:paraId="10BC739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2.4.2</w:t>
      </w:r>
      <w:r>
        <w:rPr>
          <w:rFonts w:hint="eastAsia" w:ascii="仿宋" w:hAnsi="仿宋" w:eastAsia="仿宋" w:cs="仿宋"/>
          <w:b/>
          <w:color w:val="auto"/>
          <w:sz w:val="24"/>
          <w:szCs w:val="24"/>
        </w:rPr>
        <w:t>磋商</w:t>
      </w:r>
      <w:r>
        <w:rPr>
          <w:rFonts w:hint="eastAsia" w:ascii="仿宋" w:hAnsi="仿宋" w:eastAsia="仿宋" w:cs="仿宋"/>
          <w:b/>
          <w:color w:val="auto"/>
          <w:kern w:val="0"/>
          <w:sz w:val="24"/>
          <w:szCs w:val="24"/>
        </w:rPr>
        <w:t>报价异常处理</w:t>
      </w:r>
    </w:p>
    <w:p w14:paraId="48D64FF1">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2.4.2.1 响应文件中，若某项有不合理报价（或零报价、漏报价）的，经磋商小组评审后，此项得分为零，不参与磋商报价分值的计算。</w:t>
      </w:r>
    </w:p>
    <w:p w14:paraId="4278813D">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2.4.2.2</w:t>
      </w:r>
      <w:r>
        <w:rPr>
          <w:rFonts w:hint="eastAsia" w:ascii="仿宋" w:hAnsi="仿宋" w:eastAsia="仿宋" w:cs="仿宋"/>
          <w:color w:val="auto"/>
          <w:kern w:val="0"/>
          <w:sz w:val="24"/>
          <w:szCs w:val="24"/>
        </w:rPr>
        <w:t>磋商小组认为供应商的最后报价明显低于其他通过资格性、符合性审查供应商的最后报价，有可能影响服务质量或者不能诚信履约的，应当要求其在评审现场合理的时间内提供书面说明，</w:t>
      </w:r>
      <w:r>
        <w:rPr>
          <w:rFonts w:hint="eastAsia" w:ascii="仿宋" w:hAnsi="仿宋" w:eastAsia="仿宋" w:cs="仿宋"/>
          <w:b/>
          <w:color w:val="auto"/>
          <w:kern w:val="0"/>
          <w:sz w:val="24"/>
          <w:szCs w:val="24"/>
        </w:rPr>
        <w:t>必要时</w:t>
      </w:r>
      <w:r>
        <w:rPr>
          <w:rFonts w:hint="eastAsia" w:ascii="仿宋" w:hAnsi="仿宋" w:eastAsia="仿宋" w:cs="仿宋"/>
          <w:color w:val="auto"/>
          <w:kern w:val="0"/>
          <w:sz w:val="24"/>
          <w:szCs w:val="24"/>
        </w:rPr>
        <w:t>提交相关证明材料；供应商不能证明其最后报价合理性的，磋商小组</w:t>
      </w:r>
      <w:r>
        <w:rPr>
          <w:rFonts w:hint="eastAsia" w:ascii="仿宋" w:hAnsi="仿宋" w:eastAsia="仿宋" w:cs="仿宋"/>
          <w:b/>
          <w:color w:val="auto"/>
          <w:kern w:val="0"/>
          <w:sz w:val="24"/>
          <w:szCs w:val="24"/>
        </w:rPr>
        <w:t>应当</w:t>
      </w:r>
      <w:r>
        <w:rPr>
          <w:rFonts w:hint="eastAsia" w:ascii="仿宋" w:hAnsi="仿宋" w:eastAsia="仿宋" w:cs="仿宋"/>
          <w:color w:val="auto"/>
          <w:kern w:val="0"/>
          <w:sz w:val="24"/>
          <w:szCs w:val="24"/>
        </w:rPr>
        <w:t>将其作为无效响应文件处理。</w:t>
      </w:r>
    </w:p>
    <w:p w14:paraId="707B1719">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2.4.3 磋商小组成员打分超过得分界限或未按本办法赋分时，该成员的打分，按废票处理。</w:t>
      </w:r>
    </w:p>
    <w:p w14:paraId="765F432E">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2.4.4 评审过程中，各种数字的计算结果，均保留两位小数，第三位“四舍五入”。</w:t>
      </w:r>
    </w:p>
    <w:p w14:paraId="0F0F1A6D">
      <w:pPr>
        <w:pStyle w:val="2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2.4.5 评审过程中，若出现本磋商办法以外的特殊情况时，将暂停评审，待磋商小组商榷后，再进行评审。</w:t>
      </w:r>
    </w:p>
    <w:p w14:paraId="3A70880C">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合格供应商少于3家的处理</w:t>
      </w:r>
    </w:p>
    <w:p w14:paraId="3A5D81C0">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.1评审过程中，若出现合格供应商只有2家时，符合《政府采购竞争性磋商采购方式管理暂行办法》第3条第4项情形的，</w:t>
      </w:r>
      <w:r>
        <w:rPr>
          <w:rFonts w:hint="eastAsia" w:ascii="仿宋" w:hAnsi="仿宋" w:eastAsia="仿宋" w:cs="仿宋"/>
          <w:b/>
          <w:snapToGrid w:val="0"/>
          <w:color w:val="auto"/>
          <w:kern w:val="0"/>
          <w:sz w:val="24"/>
          <w:szCs w:val="24"/>
        </w:rPr>
        <w:t>或者本项目为政府购买服务指导性目录中的，</w:t>
      </w:r>
      <w:r>
        <w:rPr>
          <w:rFonts w:hint="eastAsia" w:ascii="仿宋" w:hAnsi="仿宋" w:eastAsia="仿宋" w:cs="仿宋"/>
          <w:b/>
          <w:color w:val="auto"/>
          <w:sz w:val="24"/>
          <w:szCs w:val="24"/>
        </w:rPr>
        <w:t>可以继续进行；只有1家时，采购人将依法重新组织采购活动。</w:t>
      </w:r>
    </w:p>
    <w:p w14:paraId="43012358">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2.4.7 评审过程中，除符合本章第2.4.6.1条款规定情形外，若出现合格供应商少于3家时，采购人将依法重新组织采购活动。</w:t>
      </w:r>
    </w:p>
    <w:p w14:paraId="7A7F51B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2.4.8 评审报告签署后，采购人或者采购代理机构发现存在本章第1.7.2条款情形之一的，应当组织原磋商小组进行重新评审，重新评审改变成交结果的，书面报告本级财政部门。</w:t>
      </w:r>
    </w:p>
    <w:p w14:paraId="3AB7EBC1">
      <w:pPr>
        <w:widowControl/>
        <w:spacing w:line="360" w:lineRule="auto"/>
        <w:ind w:firstLine="488" w:firstLineChars="200"/>
        <w:rPr>
          <w:rFonts w:hint="eastAsia" w:ascii="仿宋" w:hAnsi="仿宋" w:eastAsia="仿宋" w:cs="仿宋"/>
          <w:snapToGrid w:val="0"/>
          <w:color w:val="auto"/>
          <w:kern w:val="0"/>
          <w:sz w:val="24"/>
          <w:szCs w:val="24"/>
        </w:rPr>
      </w:pPr>
      <w:r>
        <w:rPr>
          <w:rFonts w:hint="eastAsia" w:ascii="仿宋" w:hAnsi="仿宋" w:eastAsia="仿宋" w:cs="仿宋"/>
          <w:color w:val="auto"/>
          <w:spacing w:val="2"/>
          <w:sz w:val="24"/>
          <w:szCs w:val="24"/>
        </w:rPr>
        <w:t xml:space="preserve">2.4.9 </w:t>
      </w:r>
      <w:r>
        <w:rPr>
          <w:rFonts w:hint="eastAsia" w:ascii="仿宋" w:hAnsi="仿宋" w:eastAsia="仿宋" w:cs="仿宋"/>
          <w:snapToGrid w:val="0"/>
          <w:color w:val="auto"/>
          <w:kern w:val="0"/>
          <w:sz w:val="24"/>
          <w:szCs w:val="24"/>
        </w:rPr>
        <w:t>采购人、采购代理机构发现磋商小组未按照磋商文件规定的评审标准进行评审的，应当重新开展采购活动，并同时书面报告本级财政部门。</w:t>
      </w:r>
    </w:p>
    <w:p w14:paraId="1105BABC">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2.4.10评审争议处理原则</w:t>
      </w:r>
    </w:p>
    <w:p w14:paraId="41F101C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磋商文件规定的，应当及时向采购人书面反映，采购人收到书面反映后，应当及时向同级财政部门报告依法处理。</w:t>
      </w:r>
    </w:p>
    <w:p w14:paraId="625CD29A">
      <w:pPr>
        <w:pStyle w:val="8"/>
        <w:spacing w:line="360" w:lineRule="auto"/>
        <w:ind w:firstLine="482" w:firstLineChars="200"/>
        <w:rPr>
          <w:rFonts w:hint="eastAsia" w:ascii="仿宋" w:hAnsi="仿宋" w:eastAsia="仿宋" w:cs="仿宋"/>
          <w:b/>
          <w:color w:val="auto"/>
          <w:sz w:val="24"/>
          <w:szCs w:val="24"/>
        </w:rPr>
      </w:pPr>
      <w:bookmarkStart w:id="94" w:name="_Toc20651224"/>
      <w:r>
        <w:rPr>
          <w:rFonts w:hint="eastAsia" w:ascii="仿宋" w:hAnsi="仿宋" w:eastAsia="仿宋" w:cs="仿宋"/>
          <w:b/>
          <w:color w:val="auto"/>
          <w:sz w:val="24"/>
          <w:szCs w:val="24"/>
        </w:rPr>
        <w:t>2.4.11停止评</w:t>
      </w:r>
      <w:bookmarkEnd w:id="94"/>
      <w:r>
        <w:rPr>
          <w:rFonts w:hint="eastAsia" w:ascii="仿宋" w:hAnsi="仿宋" w:eastAsia="仿宋" w:cs="仿宋"/>
          <w:b/>
          <w:color w:val="auto"/>
          <w:sz w:val="24"/>
          <w:szCs w:val="24"/>
        </w:rPr>
        <w:t>审</w:t>
      </w:r>
    </w:p>
    <w:p w14:paraId="1AAACA7B">
      <w:pPr>
        <w:pStyle w:val="11"/>
        <w:tabs>
          <w:tab w:val="left" w:pos="600"/>
        </w:tabs>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磋商小组发现磋商文件存在歧义、重大缺陷导致评审工作无法进行，或者磋商文件内容违反国家有关强制性规定的，应当停止评审工作，与采购人、采购代理机构沟通并作书面记录。</w:t>
      </w:r>
      <w:r>
        <w:rPr>
          <w:rFonts w:hint="eastAsia" w:ascii="仿宋" w:hAnsi="仿宋" w:eastAsia="仿宋" w:cs="仿宋"/>
          <w:b/>
          <w:color w:val="auto"/>
          <w:sz w:val="24"/>
          <w:szCs w:val="24"/>
        </w:rPr>
        <w:t>采购人、采购代理机构应当确认和修改磋商文件后，重新组织采购活动。</w:t>
      </w:r>
    </w:p>
    <w:p w14:paraId="62665677">
      <w:pPr>
        <w:widowControl/>
        <w:spacing w:line="360" w:lineRule="auto"/>
        <w:ind w:firstLine="480" w:firstLineChars="200"/>
        <w:rPr>
          <w:rFonts w:hint="eastAsia" w:ascii="仿宋" w:hAnsi="仿宋" w:eastAsia="仿宋" w:cs="仿宋"/>
          <w:color w:val="auto"/>
          <w:sz w:val="24"/>
          <w:szCs w:val="24"/>
        </w:rPr>
      </w:pPr>
      <w:bookmarkStart w:id="95" w:name="_Toc20651225"/>
      <w:r>
        <w:rPr>
          <w:rFonts w:hint="eastAsia" w:ascii="仿宋" w:hAnsi="仿宋" w:eastAsia="仿宋" w:cs="仿宋"/>
          <w:color w:val="auto"/>
          <w:sz w:val="24"/>
          <w:szCs w:val="24"/>
        </w:rPr>
        <w:t>2.4.12采购人、采购代理机构发现磋商小组未按照磋商文件规定的评审标准进行评审的，应当重新开展采购活动，并同时书面报告本级财政部门。</w:t>
      </w:r>
    </w:p>
    <w:bookmarkEnd w:id="95"/>
    <w:p w14:paraId="04B50228">
      <w:pPr>
        <w:pStyle w:val="3"/>
        <w:keepNext/>
        <w:keepLines/>
        <w:pageBreakBefore w:val="0"/>
        <w:widowControl w:val="0"/>
        <w:kinsoku/>
        <w:wordWrap/>
        <w:overflowPunct/>
        <w:topLinePunct w:val="0"/>
        <w:autoSpaceDE/>
        <w:autoSpaceDN/>
        <w:bidi w:val="0"/>
        <w:adjustRightInd/>
        <w:snapToGrid w:val="0"/>
        <w:spacing w:before="0" w:after="0" w:line="480" w:lineRule="auto"/>
        <w:jc w:val="center"/>
        <w:textAlignment w:val="auto"/>
        <w:rPr>
          <w:rFonts w:ascii="黑体" w:hAnsi="宋体"/>
          <w:color w:val="auto"/>
          <w:sz w:val="44"/>
          <w:szCs w:val="44"/>
        </w:rPr>
      </w:pPr>
      <w:r>
        <w:rPr>
          <w:rFonts w:ascii="宋体" w:hAnsi="宋体"/>
          <w:color w:val="auto"/>
          <w:spacing w:val="2"/>
          <w:szCs w:val="21"/>
        </w:rPr>
        <w:br w:type="page"/>
      </w:r>
      <w:bookmarkEnd w:id="91"/>
      <w:bookmarkStart w:id="96" w:name="_Toc15882"/>
      <w:bookmarkStart w:id="97" w:name="_Toc6620"/>
      <w:bookmarkStart w:id="98" w:name="_Toc18074970"/>
      <w:r>
        <w:rPr>
          <w:rFonts w:hint="eastAsia" w:ascii="宋体" w:hAnsi="宋体"/>
          <w:color w:val="auto"/>
          <w:sz w:val="44"/>
          <w:szCs w:val="44"/>
        </w:rPr>
        <w:t>第四章 采购内容及</w:t>
      </w:r>
      <w:r>
        <w:rPr>
          <w:rFonts w:hint="eastAsia" w:ascii="宋体" w:hAnsi="宋体"/>
          <w:color w:val="auto"/>
          <w:sz w:val="44"/>
          <w:szCs w:val="44"/>
          <w:lang w:val="en-US" w:eastAsia="zh-CN"/>
        </w:rPr>
        <w:t>商务</w:t>
      </w:r>
      <w:r>
        <w:rPr>
          <w:rFonts w:hint="eastAsia" w:ascii="宋体" w:hAnsi="宋体"/>
          <w:color w:val="auto"/>
          <w:sz w:val="44"/>
          <w:szCs w:val="44"/>
        </w:rPr>
        <w:t>要求</w:t>
      </w:r>
      <w:bookmarkEnd w:id="96"/>
      <w:bookmarkEnd w:id="97"/>
      <w:bookmarkEnd w:id="98"/>
    </w:p>
    <w:p w14:paraId="44BB42C8">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auto"/>
          <w:sz w:val="24"/>
          <w:szCs w:val="24"/>
          <w:highlight w:val="none"/>
          <w:lang w:eastAsia="zh-CN"/>
        </w:rPr>
      </w:pPr>
      <w:bookmarkStart w:id="99" w:name="_Toc3304"/>
      <w:r>
        <w:rPr>
          <w:rFonts w:hint="eastAsia" w:ascii="仿宋" w:hAnsi="仿宋" w:eastAsia="仿宋" w:cs="仿宋"/>
          <w:b/>
          <w:color w:val="auto"/>
          <w:sz w:val="24"/>
          <w:szCs w:val="24"/>
          <w:highlight w:val="none"/>
          <w:lang w:eastAsia="zh-CN"/>
        </w:rPr>
        <w:t>一、工程概况</w:t>
      </w:r>
    </w:p>
    <w:p w14:paraId="088BF2C5">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lang w:val="en-US" w:eastAsia="zh-CN"/>
        </w:rPr>
        <w:t>2026年大庄镇大东村、大西村、布王村集体经济建设项目一标段</w:t>
      </w:r>
    </w:p>
    <w:p w14:paraId="330CF999">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2、预算金额：1,632,401.13元。</w:t>
      </w:r>
    </w:p>
    <w:p w14:paraId="5F6468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工程地点：</w:t>
      </w:r>
      <w:r>
        <w:rPr>
          <w:rFonts w:hint="eastAsia" w:ascii="仿宋" w:hAnsi="仿宋" w:eastAsia="仿宋" w:cs="仿宋"/>
          <w:color w:val="auto"/>
          <w:sz w:val="24"/>
          <w:szCs w:val="24"/>
          <w:highlight w:val="none"/>
          <w:lang w:val="en-US" w:eastAsia="zh-CN"/>
        </w:rPr>
        <w:t>采购人指定地点</w:t>
      </w:r>
    </w:p>
    <w:p w14:paraId="1D22CE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4、工程范围及内容：大东村：</w:t>
      </w:r>
    </w:p>
    <w:p w14:paraId="102E16B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①新建储存300t冷库一座，冷库净尺寸为长 32m，宽8m，高6m；</w:t>
      </w:r>
    </w:p>
    <w:p w14:paraId="77F5142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②硬化周边场地 1672.21㎡；</w:t>
      </w:r>
    </w:p>
    <w:p w14:paraId="16252AF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③购置安装智能变频冷库机组型号（REAEB-015HBP）4 台、高效冷风机（型号XBDDE-28.8/160）4台、风幕机4台、管道、管件及保温4套、控制箱（手机远程精密控制 P15）4 台、落地式配电箱 1台、埋设低压电缆（YJV22-0.6/1kV 4×70+1×35mm²）70m 等；</w:t>
      </w:r>
    </w:p>
    <w:p w14:paraId="5901DF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④新修 6m 宽 C30 混凝土入场道路 49m</w:t>
      </w:r>
      <w:r>
        <w:rPr>
          <w:rFonts w:hint="eastAsia" w:ascii="仿宋" w:hAnsi="仿宋" w:eastAsia="仿宋" w:cs="仿宋"/>
          <w:color w:val="auto"/>
          <w:sz w:val="24"/>
          <w:szCs w:val="24"/>
          <w:highlight w:val="none"/>
        </w:rPr>
        <w:t>。</w:t>
      </w:r>
    </w:p>
    <w:p w14:paraId="03116DA7">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二、采购要求</w:t>
      </w:r>
    </w:p>
    <w:p w14:paraId="1BFD44BC">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0BD29D84">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2、本工程其他技术标准及要求执行图纸及甲方实际需求。</w:t>
      </w:r>
    </w:p>
    <w:p w14:paraId="25DD212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3、乙方在施工过程中使用或参考上述标准、规范以外的技术部分准、规范时，应征得业主或业主指定代表人的同意。</w:t>
      </w:r>
    </w:p>
    <w:p w14:paraId="6558A3E3">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4、在施工过程中，如果国家或有关部门颁布了新的技术部分准或规范，则乙方应采用新的标准或规范进行施工。</w:t>
      </w:r>
    </w:p>
    <w:p w14:paraId="5ABAC01A">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5、招标人提供工程的施工图纸和相关技术文件，是招标人现有的能被投标人利用的资料，招标人对投标人做出的任何推论、理解均不负责任。</w:t>
      </w:r>
    </w:p>
    <w:p w14:paraId="165C1C5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投标人应先到工地踏勘以充分了解工地位置、地质情况、进出场道路、储存空间、运输能力、装卸限制、行车干扰及任何其它足以影响承包价格的情况，了解设计图纸、施工规范、标准以及施工现场实际等情况，并应考虑现有人、材、机市场水平和供应、投标风险、不利的施工因素等，任何因忽视或误解工地情况而导致的索赔或工期延长申请将不获批准。</w:t>
      </w:r>
    </w:p>
    <w:p w14:paraId="1170DE22">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val="0"/>
          <w:bCs w:val="0"/>
          <w:kern w:val="2"/>
          <w:sz w:val="24"/>
          <w:szCs w:val="24"/>
        </w:rPr>
      </w:pPr>
      <w:r>
        <w:rPr>
          <w:rFonts w:hint="eastAsia" w:ascii="仿宋" w:hAnsi="仿宋" w:eastAsia="仿宋" w:cs="仿宋"/>
          <w:b/>
          <w:bCs/>
          <w:kern w:val="2"/>
          <w:sz w:val="24"/>
          <w:szCs w:val="24"/>
          <w:lang w:val="en-US" w:eastAsia="zh-CN" w:bidi="ar"/>
        </w:rPr>
        <w:t>三、工期：</w:t>
      </w:r>
      <w:r>
        <w:rPr>
          <w:rFonts w:hint="eastAsia" w:ascii="仿宋" w:hAnsi="仿宋" w:eastAsia="仿宋" w:cs="仿宋"/>
          <w:b w:val="0"/>
          <w:bCs w:val="0"/>
          <w:kern w:val="2"/>
          <w:sz w:val="24"/>
          <w:szCs w:val="24"/>
          <w:lang w:val="en-US" w:eastAsia="zh-CN" w:bidi="ar"/>
        </w:rPr>
        <w:t>合同签订之日起90日历天内完成。</w:t>
      </w:r>
    </w:p>
    <w:p w14:paraId="25041D29">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四、安全要求</w:t>
      </w:r>
    </w:p>
    <w:p w14:paraId="3E1925E5">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遵守国家的相关安全规定。合同执行过程中供应商应对自身安全负责，施工期内的人员伤亡及财产损失等问题由成交供应商负责并承担相关责任及费用。运输、施工期间，工伤保险由乙方购买，所有安全责任由乙方负责。</w:t>
      </w:r>
    </w:p>
    <w:p w14:paraId="29910F5F">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五、质量标准：</w:t>
      </w:r>
      <w:r>
        <w:rPr>
          <w:rFonts w:hint="eastAsia" w:ascii="仿宋" w:hAnsi="仿宋" w:eastAsia="仿宋" w:cs="仿宋"/>
          <w:kern w:val="2"/>
          <w:sz w:val="24"/>
          <w:szCs w:val="24"/>
          <w:lang w:val="en-US" w:eastAsia="zh-CN" w:bidi="ar"/>
        </w:rPr>
        <w:t>达到国家现行验收规范合格标准。</w:t>
      </w:r>
    </w:p>
    <w:p w14:paraId="79C49AA0">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六、执行的法律法规、技术规范</w:t>
      </w:r>
    </w:p>
    <w:p w14:paraId="5AFBCE51">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（一）</w:t>
      </w:r>
      <w:r>
        <w:rPr>
          <w:rFonts w:hint="eastAsia" w:ascii="仿宋" w:hAnsi="仿宋" w:eastAsia="仿宋" w:cs="仿宋"/>
          <w:b w:val="0"/>
          <w:bCs/>
          <w:kern w:val="2"/>
          <w:sz w:val="24"/>
          <w:szCs w:val="24"/>
          <w:lang w:val="en-US" w:eastAsia="zh-CN" w:bidi="ar"/>
        </w:rPr>
        <w:t>执行国家、省、市现行的相关规定及标准文件。具体技术要求包括但不限于以下规定、标准、规范</w:t>
      </w:r>
      <w:r>
        <w:rPr>
          <w:rFonts w:hint="eastAsia" w:ascii="仿宋" w:hAnsi="仿宋" w:eastAsia="仿宋" w:cs="仿宋"/>
          <w:kern w:val="2"/>
          <w:sz w:val="24"/>
          <w:szCs w:val="24"/>
          <w:lang w:val="en-US" w:eastAsia="zh-CN" w:bidi="ar"/>
        </w:rPr>
        <w:t>：</w:t>
      </w:r>
    </w:p>
    <w:p w14:paraId="49F50786">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《中华人民共和国安全生产法》；</w:t>
      </w:r>
    </w:p>
    <w:p w14:paraId="7F3993AB">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《陕西省建设工程质量安全管理条例》；</w:t>
      </w:r>
    </w:p>
    <w:p w14:paraId="26703D61">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《施工现场临时用电安全技术规范》；</w:t>
      </w:r>
    </w:p>
    <w:p w14:paraId="7578CF68">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《中华人民共和国建筑法》；</w:t>
      </w:r>
    </w:p>
    <w:p w14:paraId="2A7B1B9A">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《咸阳市建筑垃圾管理办法》；</w:t>
      </w:r>
    </w:p>
    <w:p w14:paraId="5882CB5F">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《咸阳市治污减霾网格化管理工作实施方案》；</w:t>
      </w:r>
    </w:p>
    <w:p w14:paraId="57B002CE">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《建设工程安全生产管理条例》。</w:t>
      </w:r>
    </w:p>
    <w:p w14:paraId="1B1104A0">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以上规范、标准如遇调整或最新规范时，以调整后或最新规范内容为准。</w:t>
      </w:r>
    </w:p>
    <w:p w14:paraId="05E7DFB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七、验收标准：</w:t>
      </w:r>
      <w:r>
        <w:rPr>
          <w:rFonts w:hint="eastAsia" w:ascii="仿宋" w:hAnsi="仿宋" w:eastAsia="仿宋" w:cs="仿宋"/>
          <w:kern w:val="2"/>
          <w:sz w:val="24"/>
          <w:szCs w:val="24"/>
          <w:lang w:val="en-US" w:eastAsia="zh-CN" w:bidi="ar"/>
        </w:rPr>
        <w:t>达到国家现行《建筑工程施工质量验收合格标准》。</w:t>
      </w:r>
    </w:p>
    <w:p w14:paraId="345B5B0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八、最高限价编制依据</w:t>
      </w:r>
    </w:p>
    <w:p w14:paraId="43AB415C">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1、《2026年大庄镇大东村、大西村、布王村集体经济建设项目一标段》财政评审文件；</w:t>
      </w:r>
    </w:p>
    <w:p w14:paraId="5189862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2、正常的施工组织及方法；</w:t>
      </w:r>
    </w:p>
    <w:p w14:paraId="0DD5949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3、施工规范和验收规范；</w:t>
      </w:r>
    </w:p>
    <w:p w14:paraId="4C1AA60D">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4、计价标准按陕西省工程建设标准《建设工程工程量清单计价标准》（DB61/T5126-2025）、陕西省建设工程费用规则（2025版）；</w:t>
      </w:r>
    </w:p>
    <w:p w14:paraId="3B64EB48">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5、计量标准按陕西省《房屋建筑与装饰工程工程量计算标准》（DB 61/T5129-2025）、《通用安装工程工程量计算标准》（DB 61/T5130-2025）；</w:t>
      </w:r>
    </w:p>
    <w:p w14:paraId="29BD94AA">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6、定额标准按《陕西省房屋建筑与装饰工程消耗量定额》、《陕西省通用安装工程消耗量定额》、《陕西省建设工程施工机械台班费用定额》、《陕西省建设工程施工仪器仪表台班费用定额》及其配套的基价表；</w:t>
      </w:r>
    </w:p>
    <w:p w14:paraId="7CC8AE1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7、税率按一般计税；</w:t>
      </w:r>
    </w:p>
    <w:p w14:paraId="3C86AC8B">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8、材料价格按《咸阳工程造价信息》2026年第3期信息价（武功县除税价），信息价没有的按市场询价综合计入。</w:t>
      </w:r>
    </w:p>
    <w:p w14:paraId="38E48024">
      <w:pPr>
        <w:pStyle w:val="8"/>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bCs w:val="0"/>
          <w:color w:val="0000FF"/>
          <w:kern w:val="44"/>
          <w:sz w:val="21"/>
          <w:szCs w:val="21"/>
        </w:rPr>
      </w:pPr>
      <w:r>
        <w:rPr>
          <w:rFonts w:hint="eastAsia" w:ascii="仿宋" w:hAnsi="仿宋" w:eastAsia="仿宋" w:cs="仿宋"/>
          <w:b w:val="0"/>
          <w:bCs w:val="0"/>
          <w:kern w:val="2"/>
          <w:sz w:val="24"/>
          <w:szCs w:val="24"/>
          <w:lang w:val="en-US" w:eastAsia="zh-CN" w:bidi="ar"/>
        </w:rPr>
        <w:t>9、本工程采用广联达云计</w:t>
      </w:r>
      <w:bookmarkStart w:id="268" w:name="_GoBack"/>
      <w:bookmarkEnd w:id="268"/>
      <w:r>
        <w:rPr>
          <w:rFonts w:hint="eastAsia" w:ascii="仿宋" w:hAnsi="仿宋" w:eastAsia="仿宋" w:cs="仿宋"/>
          <w:b w:val="0"/>
          <w:bCs w:val="0"/>
          <w:kern w:val="2"/>
          <w:sz w:val="24"/>
          <w:szCs w:val="24"/>
          <w:lang w:val="en-US" w:eastAsia="zh-CN" w:bidi="ar"/>
        </w:rPr>
        <w:t>价平台GCCP7.0（陕西7.5000.23.3版本）编制。</w:t>
      </w:r>
    </w:p>
    <w:p w14:paraId="134E0E59">
      <w:pPr>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val="0"/>
          <w:bCs/>
          <w:color w:val="FF0000"/>
          <w:kern w:val="2"/>
          <w:sz w:val="24"/>
          <w:szCs w:val="24"/>
        </w:rPr>
      </w:pPr>
      <w:r>
        <w:rPr>
          <w:rFonts w:hint="eastAsia" w:ascii="仿宋" w:hAnsi="仿宋" w:eastAsia="仿宋" w:cs="仿宋"/>
          <w:b/>
          <w:bCs/>
          <w:kern w:val="2"/>
          <w:sz w:val="24"/>
          <w:szCs w:val="24"/>
          <w:lang w:val="en-US" w:eastAsia="zh-CN" w:bidi="ar"/>
        </w:rPr>
        <w:t>九、工程量清单</w:t>
      </w:r>
    </w:p>
    <w:p w14:paraId="7A8DC326">
      <w:pPr>
        <w:pStyle w:val="20"/>
        <w:keepNext w:val="0"/>
        <w:keepLines w:val="0"/>
        <w:widowControl w:val="0"/>
        <w:suppressLineNumbers w:val="0"/>
        <w:autoSpaceDE w:val="0"/>
        <w:autoSpaceDN/>
        <w:snapToGrid w:val="0"/>
        <w:spacing w:before="0" w:beforeAutospacing="0" w:after="0" w:afterAutospacing="0" w:line="360" w:lineRule="auto"/>
        <w:ind w:left="0" w:right="0" w:firstLine="3792" w:firstLineChars="1574"/>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w:t>
      </w:r>
      <w:r>
        <w:rPr>
          <w:rFonts w:hint="eastAsia" w:ascii="仿宋" w:hAnsi="仿宋" w:eastAsia="仿宋" w:cs="仿宋"/>
          <w:kern w:val="2"/>
          <w:sz w:val="24"/>
          <w:szCs w:val="24"/>
          <w:lang w:val="en-US" w:eastAsia="zh-CN" w:bidi="ar"/>
        </w:rPr>
        <w:t>广联达版电子文档另附</w:t>
      </w:r>
      <w:r>
        <w:rPr>
          <w:rFonts w:hint="eastAsia" w:ascii="仿宋" w:hAnsi="仿宋" w:eastAsia="仿宋" w:cs="仿宋"/>
          <w:b/>
          <w:bCs/>
          <w:kern w:val="2"/>
          <w:sz w:val="24"/>
          <w:szCs w:val="24"/>
          <w:lang w:val="en-US" w:eastAsia="zh-CN" w:bidi="ar"/>
        </w:rPr>
        <w:t>）</w:t>
      </w:r>
    </w:p>
    <w:p w14:paraId="58C031C2">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十、商务条款</w:t>
      </w:r>
    </w:p>
    <w:p w14:paraId="011EF4B8">
      <w:pPr>
        <w:pStyle w:val="8"/>
        <w:pageBreakBefore w:val="0"/>
        <w:widowControl w:val="0"/>
        <w:kinsoku/>
        <w:wordWrap/>
        <w:overflowPunct/>
        <w:topLinePunct w:val="0"/>
        <w:autoSpaceDE/>
        <w:autoSpaceDN/>
        <w:bidi w:val="0"/>
        <w:snapToGrid w:val="0"/>
        <w:spacing w:line="360" w:lineRule="auto"/>
        <w:textAlignment w:val="auto"/>
        <w:rPr>
          <w:rFonts w:hint="default"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1、工期：合同签订之日起90日历天。合同类型：固定单价合同</w:t>
      </w:r>
    </w:p>
    <w:p w14:paraId="6E4FB0AB">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kern w:val="2"/>
          <w:sz w:val="24"/>
          <w:szCs w:val="24"/>
          <w:lang w:val="en-US" w:eastAsia="zh-CN" w:bidi="ar"/>
        </w:rPr>
        <w:t>2、质保期：2年。</w:t>
      </w:r>
    </w:p>
    <w:p w14:paraId="23B2E79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b w:val="0"/>
          <w:bCs w:val="0"/>
          <w:kern w:val="2"/>
          <w:sz w:val="24"/>
          <w:szCs w:val="24"/>
          <w:lang w:val="en-US" w:eastAsia="zh-CN" w:bidi="ar"/>
        </w:rPr>
        <w:t>3、付款方式：</w:t>
      </w:r>
      <w:r>
        <w:rPr>
          <w:rFonts w:hint="eastAsia" w:ascii="仿宋" w:hAnsi="仿宋" w:eastAsia="仿宋" w:cs="仿宋"/>
          <w:kern w:val="0"/>
          <w:sz w:val="24"/>
          <w:szCs w:val="24"/>
          <w:lang w:val="en-US" w:eastAsia="zh-CN" w:bidi="ar"/>
        </w:rPr>
        <w:t>银行转账。</w:t>
      </w:r>
    </w:p>
    <w:p w14:paraId="3CD74D4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付款</w:t>
      </w:r>
      <w:r>
        <w:rPr>
          <w:rFonts w:hint="eastAsia" w:ascii="仿宋" w:hAnsi="仿宋" w:eastAsia="仿宋" w:cs="仿宋"/>
          <w:b w:val="0"/>
          <w:bCs w:val="0"/>
          <w:kern w:val="2"/>
          <w:sz w:val="24"/>
          <w:szCs w:val="24"/>
          <w:lang w:val="en-US" w:eastAsia="zh-CN" w:bidi="ar"/>
        </w:rPr>
        <w:t>周期：进场后先预付30%工程款，工程完工后结清剩余资金扣除3%质保金。</w:t>
      </w:r>
    </w:p>
    <w:p w14:paraId="67E381A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4、履约验收标准</w:t>
      </w:r>
    </w:p>
    <w:p w14:paraId="0B4F396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（1）本项且由采购人相关部门对项目进行一次性验收。</w:t>
      </w:r>
    </w:p>
    <w:p w14:paraId="431E874C">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（2）项目竣工后，为配合采购人对本项目的验收，需提供所有的验收文档包含但不限于开工报告、竣工图、施工记录以及材料清单等，并归入最终工程竣工文件。</w:t>
      </w:r>
    </w:p>
    <w:p w14:paraId="794C2B4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（3）验收标准:按磋商文件、响应文件及澄清函、项目检查情况等综合指标进行验收。各项指标均应符合验收标准及要求。</w:t>
      </w:r>
    </w:p>
    <w:p w14:paraId="49FA447E">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（4）验收依据:</w:t>
      </w:r>
    </w:p>
    <w:p w14:paraId="764A27C5">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1)合同文本；</w:t>
      </w:r>
    </w:p>
    <w:p w14:paraId="7BF0B5A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2)磋商文件及澄清函、响应文件；</w:t>
      </w:r>
    </w:p>
    <w:p w14:paraId="5E3DDF2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3)国家和行业制定的相应的标准和规范；</w:t>
      </w:r>
    </w:p>
    <w:p w14:paraId="3BB90AD7">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1"/>
          <w:szCs w:val="21"/>
          <w:lang w:val="en-US" w:eastAsia="zh-CN"/>
        </w:rPr>
      </w:pPr>
      <w:r>
        <w:rPr>
          <w:rFonts w:hint="eastAsia" w:ascii="仿宋" w:hAnsi="仿宋" w:eastAsia="仿宋" w:cs="仿宋"/>
          <w:b w:val="0"/>
          <w:bCs w:val="0"/>
          <w:kern w:val="2"/>
          <w:sz w:val="24"/>
          <w:szCs w:val="24"/>
          <w:lang w:val="en-US" w:eastAsia="zh-CN" w:bidi="ar"/>
        </w:rPr>
        <w:t>4)验收清单。</w:t>
      </w:r>
      <w:r>
        <w:rPr>
          <w:rFonts w:hint="eastAsia" w:ascii="宋体" w:hAnsi="宋体" w:cs="宋体"/>
          <w:b/>
          <w:color w:val="auto"/>
          <w:sz w:val="24"/>
          <w:szCs w:val="24"/>
          <w:highlight w:val="none"/>
        </w:rPr>
        <w:br w:type="page"/>
      </w:r>
    </w:p>
    <w:p w14:paraId="2F084CF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2761" w:leftChars="0"/>
        <w:jc w:val="both"/>
        <w:textAlignment w:val="auto"/>
        <w:outlineLvl w:val="0"/>
        <w:rPr>
          <w:rFonts w:hint="eastAsia" w:ascii="宋体" w:hAnsi="宋体"/>
          <w:b/>
          <w:color w:val="auto"/>
          <w:kern w:val="44"/>
          <w:sz w:val="44"/>
          <w:szCs w:val="44"/>
        </w:rPr>
      </w:pPr>
      <w:bookmarkStart w:id="100" w:name="_Toc26929"/>
      <w:r>
        <w:rPr>
          <w:rFonts w:hint="eastAsia" w:ascii="宋体" w:hAnsi="宋体" w:eastAsia="宋体" w:cs="Times New Roman"/>
          <w:b/>
          <w:color w:val="auto"/>
          <w:kern w:val="44"/>
          <w:sz w:val="44"/>
          <w:szCs w:val="44"/>
          <w:lang w:val="en-US" w:eastAsia="zh-CN"/>
        </w:rPr>
        <w:t>第五章 主</w:t>
      </w:r>
      <w:r>
        <w:rPr>
          <w:rFonts w:hint="eastAsia" w:ascii="宋体" w:hAnsi="宋体"/>
          <w:b/>
          <w:color w:val="auto"/>
          <w:kern w:val="44"/>
          <w:sz w:val="44"/>
          <w:szCs w:val="44"/>
          <w:lang w:val="en-US" w:eastAsia="zh-CN"/>
        </w:rPr>
        <w:t>要</w:t>
      </w:r>
      <w:r>
        <w:rPr>
          <w:rFonts w:hint="eastAsia" w:ascii="宋体" w:hAnsi="宋体"/>
          <w:b/>
          <w:color w:val="auto"/>
          <w:kern w:val="44"/>
          <w:sz w:val="44"/>
          <w:szCs w:val="44"/>
        </w:rPr>
        <w:t>合同条款</w:t>
      </w:r>
      <w:bookmarkEnd w:id="99"/>
      <w:bookmarkEnd w:id="100"/>
      <w:bookmarkStart w:id="101" w:name="_Toc15056"/>
    </w:p>
    <w:p w14:paraId="61521AF7">
      <w:pPr>
        <w:widowControl/>
        <w:jc w:val="center"/>
        <w:rPr>
          <w:rFonts w:hint="eastAsia" w:ascii="宋体" w:hAnsi="宋体" w:eastAsia="宋体" w:cs="宋体"/>
          <w:b/>
          <w:bCs w:val="0"/>
          <w:color w:val="auto"/>
          <w:kern w:val="0"/>
          <w:sz w:val="52"/>
          <w:szCs w:val="52"/>
          <w:highlight w:val="none"/>
        </w:rPr>
      </w:pPr>
      <w:r>
        <w:rPr>
          <w:rFonts w:hint="eastAsia" w:ascii="宋体" w:hAnsi="宋体" w:eastAsia="宋体" w:cs="宋体"/>
          <w:b/>
          <w:bCs w:val="0"/>
          <w:color w:val="auto"/>
          <w:kern w:val="0"/>
          <w:sz w:val="52"/>
          <w:szCs w:val="52"/>
          <w:highlight w:val="none"/>
        </w:rPr>
        <w:t>建设工程施工合同</w:t>
      </w:r>
    </w:p>
    <w:p w14:paraId="2080CA72">
      <w:pPr>
        <w:widowControl/>
        <w:jc w:val="center"/>
        <w:rPr>
          <w:rFonts w:hint="eastAsia" w:ascii="宋体" w:hAnsi="宋体" w:eastAsia="宋体" w:cs="宋体"/>
          <w:bCs/>
          <w:color w:val="auto"/>
          <w:kern w:val="0"/>
          <w:sz w:val="36"/>
          <w:szCs w:val="36"/>
          <w:highlight w:val="none"/>
          <w:lang w:eastAsia="zh-CN"/>
        </w:rPr>
      </w:pPr>
      <w:r>
        <w:rPr>
          <w:rFonts w:hint="eastAsia" w:ascii="宋体" w:hAnsi="宋体" w:cs="宋体"/>
          <w:bCs/>
          <w:color w:val="auto"/>
          <w:kern w:val="0"/>
          <w:sz w:val="36"/>
          <w:szCs w:val="36"/>
          <w:highlight w:val="none"/>
          <w:lang w:eastAsia="zh-CN"/>
        </w:rPr>
        <w:t>（</w:t>
      </w:r>
      <w:r>
        <w:rPr>
          <w:rFonts w:hint="eastAsia" w:ascii="宋体" w:hAnsi="宋体" w:cs="宋体"/>
          <w:bCs/>
          <w:color w:val="auto"/>
          <w:kern w:val="0"/>
          <w:sz w:val="36"/>
          <w:szCs w:val="36"/>
          <w:highlight w:val="none"/>
          <w:lang w:val="en-US" w:eastAsia="zh-CN"/>
        </w:rPr>
        <w:t>示范文本</w:t>
      </w:r>
      <w:r>
        <w:rPr>
          <w:rFonts w:hint="eastAsia" w:ascii="宋体" w:hAnsi="宋体" w:cs="宋体"/>
          <w:bCs/>
          <w:color w:val="auto"/>
          <w:kern w:val="0"/>
          <w:sz w:val="36"/>
          <w:szCs w:val="36"/>
          <w:highlight w:val="none"/>
          <w:lang w:eastAsia="zh-CN"/>
        </w:rPr>
        <w:t>）</w:t>
      </w:r>
    </w:p>
    <w:p w14:paraId="59D8D6B1">
      <w:pPr>
        <w:widowControl/>
        <w:ind w:firstLine="200"/>
        <w:jc w:val="center"/>
        <w:rPr>
          <w:rFonts w:hint="eastAsia" w:ascii="宋体" w:hAnsi="宋体" w:eastAsia="宋体" w:cs="宋体"/>
          <w:bCs/>
          <w:color w:val="auto"/>
          <w:kern w:val="0"/>
          <w:sz w:val="32"/>
          <w:szCs w:val="32"/>
          <w:highlight w:val="none"/>
        </w:rPr>
      </w:pPr>
    </w:p>
    <w:p w14:paraId="52372F98">
      <w:pPr>
        <w:widowControl/>
        <w:ind w:firstLine="200"/>
        <w:jc w:val="center"/>
        <w:rPr>
          <w:rFonts w:hint="eastAsia" w:ascii="宋体" w:hAnsi="宋体" w:eastAsia="宋体" w:cs="宋体"/>
          <w:bCs/>
          <w:color w:val="auto"/>
          <w:kern w:val="0"/>
          <w:sz w:val="32"/>
          <w:szCs w:val="32"/>
          <w:highlight w:val="none"/>
        </w:rPr>
      </w:pPr>
    </w:p>
    <w:p w14:paraId="4F09A8CE">
      <w:pPr>
        <w:widowControl/>
        <w:ind w:firstLine="200"/>
        <w:jc w:val="center"/>
        <w:rPr>
          <w:rFonts w:hint="eastAsia" w:ascii="宋体" w:hAnsi="宋体" w:eastAsia="宋体" w:cs="宋体"/>
          <w:bCs/>
          <w:color w:val="auto"/>
          <w:kern w:val="0"/>
          <w:sz w:val="32"/>
          <w:szCs w:val="32"/>
          <w:highlight w:val="none"/>
        </w:rPr>
      </w:pPr>
    </w:p>
    <w:p w14:paraId="1B37758B">
      <w:pPr>
        <w:widowControl/>
        <w:ind w:firstLine="200"/>
        <w:jc w:val="center"/>
        <w:rPr>
          <w:rFonts w:hint="eastAsia" w:ascii="宋体" w:hAnsi="宋体" w:eastAsia="宋体" w:cs="宋体"/>
          <w:bCs/>
          <w:color w:val="auto"/>
          <w:kern w:val="0"/>
          <w:sz w:val="32"/>
          <w:szCs w:val="32"/>
          <w:highlight w:val="none"/>
        </w:rPr>
      </w:pPr>
    </w:p>
    <w:p w14:paraId="320541AD">
      <w:pPr>
        <w:widowControl/>
        <w:ind w:firstLine="200"/>
        <w:jc w:val="center"/>
        <w:rPr>
          <w:rFonts w:hint="eastAsia" w:ascii="宋体" w:hAnsi="宋体" w:eastAsia="宋体" w:cs="宋体"/>
          <w:bCs/>
          <w:color w:val="auto"/>
          <w:kern w:val="0"/>
          <w:sz w:val="32"/>
          <w:szCs w:val="32"/>
          <w:highlight w:val="none"/>
        </w:rPr>
      </w:pPr>
    </w:p>
    <w:p w14:paraId="6C337ABA">
      <w:pPr>
        <w:widowControl/>
        <w:ind w:firstLine="200"/>
        <w:jc w:val="center"/>
        <w:rPr>
          <w:rFonts w:hint="eastAsia" w:ascii="宋体" w:hAnsi="宋体" w:eastAsia="宋体" w:cs="宋体"/>
          <w:bCs/>
          <w:color w:val="auto"/>
          <w:kern w:val="0"/>
          <w:sz w:val="32"/>
          <w:szCs w:val="32"/>
          <w:highlight w:val="none"/>
        </w:rPr>
      </w:pPr>
    </w:p>
    <w:p w14:paraId="6051714F">
      <w:pPr>
        <w:widowControl/>
        <w:ind w:firstLine="200"/>
        <w:jc w:val="center"/>
        <w:rPr>
          <w:rFonts w:hint="eastAsia" w:ascii="宋体" w:hAnsi="宋体" w:eastAsia="宋体" w:cs="宋体"/>
          <w:bCs/>
          <w:color w:val="auto"/>
          <w:kern w:val="0"/>
          <w:sz w:val="32"/>
          <w:szCs w:val="32"/>
          <w:highlight w:val="none"/>
        </w:rPr>
      </w:pPr>
    </w:p>
    <w:p w14:paraId="09D46A67">
      <w:pPr>
        <w:widowControl/>
        <w:ind w:firstLine="200"/>
        <w:jc w:val="center"/>
        <w:rPr>
          <w:rFonts w:hint="eastAsia" w:ascii="宋体" w:hAnsi="宋体" w:eastAsia="宋体" w:cs="宋体"/>
          <w:bCs/>
          <w:color w:val="auto"/>
          <w:kern w:val="0"/>
          <w:sz w:val="32"/>
          <w:szCs w:val="32"/>
          <w:highlight w:val="none"/>
        </w:rPr>
      </w:pPr>
    </w:p>
    <w:p w14:paraId="68B089B0">
      <w:pPr>
        <w:pStyle w:val="8"/>
        <w:ind w:left="0" w:leftChars="0" w:firstLine="0" w:firstLineChars="0"/>
        <w:rPr>
          <w:rFonts w:hint="eastAsia" w:ascii="宋体" w:hAnsi="宋体" w:eastAsia="宋体" w:cs="宋体"/>
          <w:color w:val="auto"/>
          <w:highlight w:val="none"/>
        </w:rPr>
      </w:pPr>
    </w:p>
    <w:p w14:paraId="1B0295F9">
      <w:pPr>
        <w:pStyle w:val="8"/>
        <w:rPr>
          <w:rFonts w:hint="eastAsia" w:ascii="宋体" w:hAnsi="宋体" w:eastAsia="宋体" w:cs="宋体"/>
          <w:color w:val="auto"/>
          <w:highlight w:val="none"/>
        </w:rPr>
      </w:pPr>
    </w:p>
    <w:p w14:paraId="6CA8A3BC">
      <w:pPr>
        <w:pStyle w:val="8"/>
        <w:rPr>
          <w:rFonts w:hint="eastAsia" w:ascii="宋体" w:hAnsi="宋体" w:eastAsia="宋体" w:cs="宋体"/>
          <w:color w:val="auto"/>
          <w:highlight w:val="none"/>
        </w:rPr>
      </w:pPr>
    </w:p>
    <w:p w14:paraId="4DE375B1">
      <w:pPr>
        <w:widowControl/>
        <w:ind w:firstLine="200"/>
        <w:jc w:val="center"/>
        <w:rPr>
          <w:rFonts w:hint="eastAsia" w:ascii="宋体" w:hAnsi="宋体" w:eastAsia="宋体" w:cs="宋体"/>
          <w:bCs/>
          <w:color w:val="auto"/>
          <w:kern w:val="0"/>
          <w:sz w:val="32"/>
          <w:szCs w:val="32"/>
          <w:highlight w:val="none"/>
        </w:rPr>
      </w:pPr>
    </w:p>
    <w:p w14:paraId="6C53B660">
      <w:pPr>
        <w:pStyle w:val="8"/>
        <w:rPr>
          <w:rFonts w:hint="eastAsia" w:ascii="宋体" w:hAnsi="宋体" w:eastAsia="宋体" w:cs="宋体"/>
          <w:bCs/>
          <w:color w:val="auto"/>
          <w:kern w:val="0"/>
          <w:sz w:val="32"/>
          <w:szCs w:val="32"/>
          <w:highlight w:val="none"/>
        </w:rPr>
      </w:pPr>
    </w:p>
    <w:p w14:paraId="2D4B648D">
      <w:pPr>
        <w:pStyle w:val="8"/>
        <w:ind w:left="0" w:leftChars="0" w:firstLine="0" w:firstLineChars="0"/>
        <w:rPr>
          <w:rFonts w:hint="eastAsia" w:ascii="宋体" w:hAnsi="宋体" w:eastAsia="宋体" w:cs="宋体"/>
          <w:bCs/>
          <w:color w:val="auto"/>
          <w:kern w:val="0"/>
          <w:sz w:val="32"/>
          <w:szCs w:val="32"/>
          <w:highlight w:val="none"/>
        </w:rPr>
      </w:pPr>
    </w:p>
    <w:p w14:paraId="323E354D">
      <w:pPr>
        <w:rPr>
          <w:rFonts w:hint="eastAsia" w:ascii="宋体" w:hAnsi="宋体" w:eastAsia="宋体" w:cs="宋体"/>
          <w:bCs/>
          <w:color w:val="auto"/>
          <w:kern w:val="0"/>
          <w:sz w:val="32"/>
          <w:szCs w:val="32"/>
          <w:highlight w:val="none"/>
        </w:rPr>
      </w:pPr>
    </w:p>
    <w:p w14:paraId="35BFCEF9">
      <w:pPr>
        <w:pStyle w:val="2"/>
        <w:rPr>
          <w:rFonts w:hint="eastAsia"/>
        </w:rPr>
      </w:pPr>
    </w:p>
    <w:p w14:paraId="0978F3CC">
      <w:pPr>
        <w:rPr>
          <w:rFonts w:hint="eastAsia" w:ascii="宋体" w:hAnsi="宋体" w:eastAsia="宋体" w:cs="宋体"/>
          <w:bCs/>
          <w:color w:val="auto"/>
          <w:kern w:val="0"/>
          <w:sz w:val="32"/>
          <w:szCs w:val="32"/>
          <w:highlight w:val="none"/>
        </w:rPr>
      </w:pPr>
    </w:p>
    <w:p w14:paraId="79B26222">
      <w:pPr>
        <w:pStyle w:val="8"/>
        <w:rPr>
          <w:rFonts w:hint="eastAsia" w:ascii="宋体" w:hAnsi="宋体" w:eastAsia="宋体" w:cs="宋体"/>
        </w:rPr>
      </w:pPr>
    </w:p>
    <w:p w14:paraId="78D81D55">
      <w:pPr>
        <w:rPr>
          <w:rFonts w:hint="eastAsia"/>
        </w:rPr>
      </w:pPr>
    </w:p>
    <w:p w14:paraId="48665FF9">
      <w:pPr>
        <w:pStyle w:val="2"/>
        <w:rPr>
          <w:rFonts w:hint="eastAsia"/>
        </w:rPr>
      </w:pPr>
    </w:p>
    <w:p w14:paraId="73B8FE5C">
      <w:pPr>
        <w:widowControl/>
        <w:jc w:val="both"/>
        <w:rPr>
          <w:rFonts w:hint="eastAsia" w:ascii="宋体" w:hAnsi="宋体" w:eastAsia="宋体" w:cs="宋体"/>
          <w:b/>
          <w:bCs w:val="0"/>
          <w:color w:val="auto"/>
          <w:kern w:val="0"/>
          <w:sz w:val="32"/>
          <w:szCs w:val="32"/>
          <w:highlight w:val="none"/>
        </w:rPr>
      </w:pPr>
    </w:p>
    <w:p w14:paraId="2BF7E03B">
      <w:pPr>
        <w:widowControl/>
        <w:jc w:val="center"/>
        <w:rPr>
          <w:rFonts w:hint="eastAsia" w:ascii="宋体" w:hAnsi="宋体" w:cs="宋体"/>
          <w:b/>
          <w:bCs w:val="0"/>
          <w:color w:val="auto"/>
          <w:spacing w:val="51"/>
          <w:kern w:val="0"/>
          <w:sz w:val="36"/>
          <w:szCs w:val="36"/>
          <w:highlight w:val="none"/>
          <w:lang w:val="en-US" w:eastAsia="zh-CN"/>
        </w:rPr>
      </w:pPr>
      <w:r>
        <w:rPr>
          <w:sz w:val="36"/>
        </w:rPr>
        <mc:AlternateContent>
          <mc:Choice Requires="wps">
            <w:drawing>
              <wp:anchor distT="0" distB="0" distL="114300" distR="114300" simplePos="0" relativeHeight="251661312" behindDoc="0" locked="0" layoutInCell="1" allowOverlap="1">
                <wp:simplePos x="0" y="0"/>
                <wp:positionH relativeFrom="column">
                  <wp:posOffset>4375785</wp:posOffset>
                </wp:positionH>
                <wp:positionV relativeFrom="paragraph">
                  <wp:posOffset>127635</wp:posOffset>
                </wp:positionV>
                <wp:extent cx="721995" cy="333375"/>
                <wp:effectExtent l="0" t="0" r="1905" b="9525"/>
                <wp:wrapNone/>
                <wp:docPr id="4" name="文本框 4"/>
                <wp:cNvGraphicFramePr/>
                <a:graphic xmlns:a="http://schemas.openxmlformats.org/drawingml/2006/main">
                  <a:graphicData uri="http://schemas.microsoft.com/office/word/2010/wordprocessingShape">
                    <wps:wsp>
                      <wps:cNvSpPr txBox="1"/>
                      <wps:spPr>
                        <a:xfrm>
                          <a:off x="5061585" y="8475980"/>
                          <a:ext cx="721995" cy="3333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55pt;margin-top:10.05pt;height:26.25pt;width:56.85pt;z-index:251661312;mso-width-relative:page;mso-height-relative:page;" fillcolor="#FFFFFF [3201]" filled="t" stroked="f" coordsize="21600,21600" o:gfxdata="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RUAw/tUA&#10;AAAJAQAADwAAAAAAAAABACAAAAAiAAAAZHJzL2Rvd25yZXYueG1sUEsBAhQAFAAAAAgAh07iQNtN&#10;iOpbAgAAmgQAAA4AAAAAAAAAAQAgAAAAJAEAAGRycy9lMm9Eb2MueG1sUEsFBgAAAAAGAAYAWQEA&#10;APEFAAAAAA==&#10;">
                <v:fill on="t" focussize="0,0"/>
                <v:stroke on="f" weight="0.5pt"/>
                <v:imagedata o:title=""/>
                <o:lock v:ext="edit" aspectratio="f"/>
                <v:textbo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v:textbox>
              </v:shape>
            </w:pict>
          </mc:Fallback>
        </mc:AlternateContent>
      </w:r>
      <w:r>
        <w:rPr>
          <w:rFonts w:hint="eastAsia" w:ascii="宋体" w:hAnsi="宋体" w:cs="宋体"/>
          <w:b/>
          <w:bCs w:val="0"/>
          <w:color w:val="auto"/>
          <w:spacing w:val="51"/>
          <w:kern w:val="0"/>
          <w:sz w:val="36"/>
          <w:szCs w:val="36"/>
          <w:highlight w:val="none"/>
          <w:lang w:val="en-US" w:eastAsia="zh-CN"/>
        </w:rPr>
        <w:t>住房和城乡建设部</w:t>
      </w:r>
    </w:p>
    <w:p w14:paraId="49EB51AF">
      <w:pPr>
        <w:jc w:val="center"/>
        <w:rPr>
          <w:rFonts w:hint="eastAsia" w:ascii="宋体" w:hAnsi="宋体" w:cs="宋体"/>
          <w:b/>
          <w:bCs w:val="0"/>
          <w:color w:val="auto"/>
          <w:spacing w:val="7"/>
          <w:w w:val="96"/>
          <w:kern w:val="0"/>
          <w:sz w:val="36"/>
          <w:szCs w:val="36"/>
          <w:highlight w:val="none"/>
          <w:lang w:val="en-US" w:eastAsia="zh-CN"/>
        </w:rPr>
      </w:pPr>
      <w:r>
        <w:rPr>
          <w:rFonts w:hint="eastAsia" w:ascii="宋体" w:hAnsi="宋体" w:cs="宋体"/>
          <w:b/>
          <w:bCs w:val="0"/>
          <w:color w:val="auto"/>
          <w:spacing w:val="7"/>
          <w:w w:val="96"/>
          <w:kern w:val="0"/>
          <w:sz w:val="36"/>
          <w:szCs w:val="36"/>
          <w:highlight w:val="none"/>
          <w:lang w:val="en-US" w:eastAsia="zh-CN"/>
        </w:rPr>
        <w:t>国家工商行政管理总局</w:t>
      </w:r>
    </w:p>
    <w:p w14:paraId="27152170">
      <w:pPr>
        <w:spacing w:line="560" w:lineRule="exact"/>
        <w:jc w:val="center"/>
        <w:outlineLvl w:val="9"/>
        <w:rPr>
          <w:rFonts w:hint="eastAsia" w:ascii="宋体" w:hAnsi="宋体" w:eastAsia="宋体" w:cs="宋体"/>
          <w:b/>
          <w:color w:val="auto"/>
          <w:sz w:val="28"/>
          <w:szCs w:val="28"/>
          <w:highlight w:val="none"/>
        </w:rPr>
      </w:pPr>
      <w:bookmarkStart w:id="102" w:name="_Toc1788"/>
      <w:bookmarkStart w:id="103" w:name="_Toc4119"/>
    </w:p>
    <w:p w14:paraId="4A90A09F">
      <w:pPr>
        <w:spacing w:line="560" w:lineRule="exact"/>
        <w:jc w:val="center"/>
        <w:outlineLvl w:val="9"/>
        <w:rPr>
          <w:rFonts w:hint="eastAsia" w:ascii="宋体" w:hAnsi="宋体" w:eastAsia="宋体" w:cs="宋体"/>
          <w:b/>
          <w:color w:val="auto"/>
          <w:sz w:val="28"/>
          <w:szCs w:val="28"/>
          <w:highlight w:val="none"/>
        </w:rPr>
      </w:pPr>
    </w:p>
    <w:p w14:paraId="5EAEA589">
      <w:pPr>
        <w:spacing w:line="560" w:lineRule="exact"/>
        <w:jc w:val="center"/>
        <w:outlineLvl w:val="9"/>
        <w:rPr>
          <w:rFonts w:hint="eastAsia" w:ascii="宋体" w:hAnsi="宋体" w:eastAsia="宋体" w:cs="宋体"/>
          <w:b/>
          <w:color w:val="auto"/>
          <w:sz w:val="28"/>
          <w:szCs w:val="28"/>
          <w:highlight w:val="none"/>
        </w:rPr>
      </w:pPr>
    </w:p>
    <w:p w14:paraId="1706812B">
      <w:pPr>
        <w:spacing w:line="560" w:lineRule="exact"/>
        <w:jc w:val="center"/>
        <w:outlineLvl w:val="9"/>
        <w:rPr>
          <w:rFonts w:hint="eastAsia" w:ascii="宋体" w:hAnsi="宋体" w:eastAsia="宋体" w:cs="宋体"/>
          <w:b/>
          <w:color w:val="auto"/>
          <w:sz w:val="28"/>
          <w:szCs w:val="28"/>
          <w:highlight w:val="none"/>
        </w:rPr>
      </w:pPr>
    </w:p>
    <w:p w14:paraId="4A1733BC">
      <w:pPr>
        <w:spacing w:line="560" w:lineRule="exact"/>
        <w:jc w:val="center"/>
        <w:outlineLvl w:val="9"/>
        <w:rPr>
          <w:rFonts w:hint="eastAsia" w:ascii="宋体" w:hAnsi="宋体" w:eastAsia="宋体" w:cs="宋体"/>
          <w:b/>
          <w:color w:val="auto"/>
          <w:sz w:val="28"/>
          <w:szCs w:val="28"/>
          <w:highlight w:val="none"/>
        </w:rPr>
      </w:pPr>
    </w:p>
    <w:p w14:paraId="24F49889">
      <w:pPr>
        <w:spacing w:line="560" w:lineRule="exact"/>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w:t>
      </w:r>
      <w:r>
        <w:rPr>
          <w:rFonts w:hint="eastAsia" w:ascii="宋体" w:hAnsi="宋体" w:cs="宋体"/>
          <w:b/>
          <w:color w:val="auto"/>
          <w:sz w:val="28"/>
          <w:szCs w:val="28"/>
          <w:highlight w:val="none"/>
          <w:lang w:val="en-US" w:eastAsia="zh-CN"/>
        </w:rPr>
        <w:t>合同</w:t>
      </w:r>
      <w:r>
        <w:rPr>
          <w:rFonts w:hint="eastAsia" w:ascii="宋体" w:hAnsi="宋体" w:eastAsia="宋体" w:cs="宋体"/>
          <w:b/>
          <w:color w:val="auto"/>
          <w:sz w:val="28"/>
          <w:szCs w:val="28"/>
          <w:highlight w:val="none"/>
        </w:rPr>
        <w:t>协议书</w:t>
      </w:r>
      <w:bookmarkEnd w:id="102"/>
      <w:bookmarkEnd w:id="103"/>
    </w:p>
    <w:p w14:paraId="7179C7C1">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p>
    <w:p w14:paraId="02E0A0E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p>
    <w:p w14:paraId="5B86D1F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依照《</w:t>
      </w:r>
      <w:r>
        <w:rPr>
          <w:rFonts w:hint="eastAsia" w:ascii="宋体" w:hAnsi="宋体" w:eastAsia="宋体" w:cs="宋体"/>
          <w:color w:val="auto"/>
          <w:sz w:val="24"/>
          <w:highlight w:val="none"/>
        </w:rPr>
        <w:t>中华人民共和国民法典</w:t>
      </w:r>
      <w:r>
        <w:rPr>
          <w:rFonts w:hint="eastAsia" w:ascii="宋体" w:hAnsi="宋体" w:eastAsia="宋体" w:cs="宋体"/>
          <w:color w:val="auto"/>
          <w:kern w:val="0"/>
          <w:sz w:val="24"/>
          <w:highlight w:val="none"/>
        </w:rPr>
        <w:t>》、《中华人民共和国建筑法》及其他有关法律、行政法规，遵循平等、自愿、公平和诚实信用的原则，双方就</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工程施工</w:t>
      </w:r>
      <w:r>
        <w:rPr>
          <w:rFonts w:hint="eastAsia" w:ascii="宋体" w:hAnsi="宋体" w:cs="宋体"/>
          <w:color w:val="auto"/>
          <w:kern w:val="0"/>
          <w:sz w:val="24"/>
          <w:highlight w:val="none"/>
          <w:lang w:val="en-US" w:eastAsia="zh-CN"/>
        </w:rPr>
        <w:t>及有关事项</w:t>
      </w:r>
      <w:r>
        <w:rPr>
          <w:rFonts w:hint="eastAsia" w:ascii="宋体" w:hAnsi="宋体" w:eastAsia="宋体" w:cs="宋体"/>
          <w:color w:val="auto"/>
          <w:kern w:val="0"/>
          <w:sz w:val="24"/>
          <w:highlight w:val="none"/>
        </w:rPr>
        <w:t>协商一致，</w:t>
      </w:r>
      <w:r>
        <w:rPr>
          <w:rFonts w:hint="eastAsia" w:ascii="宋体" w:hAnsi="宋体" w:cs="宋体"/>
          <w:color w:val="auto"/>
          <w:kern w:val="0"/>
          <w:sz w:val="24"/>
          <w:highlight w:val="none"/>
          <w:lang w:val="en-US" w:eastAsia="zh-CN"/>
        </w:rPr>
        <w:t>共同达成如下协议</w:t>
      </w:r>
      <w:r>
        <w:rPr>
          <w:rFonts w:hint="eastAsia" w:ascii="宋体" w:hAnsi="宋体" w:cs="宋体"/>
          <w:color w:val="auto"/>
          <w:kern w:val="0"/>
          <w:sz w:val="24"/>
          <w:highlight w:val="none"/>
          <w:lang w:eastAsia="zh-CN"/>
        </w:rPr>
        <w:t>：</w:t>
      </w:r>
    </w:p>
    <w:p w14:paraId="6B39093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一、工程概况</w:t>
      </w:r>
    </w:p>
    <w:p w14:paraId="0BC5BC5C">
      <w:pPr>
        <w:spacing w:line="360" w:lineRule="auto"/>
        <w:ind w:firstLine="470" w:firstLineChars="196"/>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cs="宋体"/>
          <w:color w:val="auto"/>
          <w:kern w:val="0"/>
          <w:sz w:val="24"/>
          <w:highlight w:val="none"/>
          <w:u w:val="single"/>
          <w:lang w:val="en-US" w:eastAsia="zh-CN"/>
        </w:rPr>
        <w:t>2026年大庄镇大东村、大西村、布王村集体经济建设项目一标段</w:t>
      </w:r>
    </w:p>
    <w:p w14:paraId="281FDF29">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lang w:val="en-US" w:eastAsia="zh-CN"/>
        </w:rPr>
        <w:t>武功县</w:t>
      </w:r>
      <w:r>
        <w:rPr>
          <w:rFonts w:hint="eastAsia" w:ascii="宋体" w:hAnsi="宋体" w:cs="宋体"/>
          <w:color w:val="auto"/>
          <w:kern w:val="0"/>
          <w:sz w:val="24"/>
          <w:highlight w:val="none"/>
          <w:u w:val="single"/>
          <w:lang w:val="en-US" w:eastAsia="zh-CN"/>
        </w:rPr>
        <w:t>大庄镇大东村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701D3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5BC241D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242EE05E">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cs="宋体"/>
          <w:color w:val="auto"/>
          <w:kern w:val="0"/>
          <w:sz w:val="24"/>
          <w:szCs w:val="24"/>
          <w:highlight w:val="none"/>
          <w:u w:val="single"/>
          <w:lang w:val="en-US" w:eastAsia="zh-CN" w:bidi="ar-SA"/>
        </w:rPr>
        <w:t>图纸全部内容</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w:t>
      </w:r>
    </w:p>
    <w:p w14:paraId="0DDA7346">
      <w:pPr>
        <w:spacing w:line="360" w:lineRule="auto"/>
        <w:ind w:firstLine="470" w:firstLineChars="196"/>
        <w:rPr>
          <w:rFonts w:ascii="Times New Roman" w:hAnsi="Times New Roman" w:eastAsia="仿宋_GB2312"/>
          <w:color w:val="000000"/>
          <w:sz w:val="30"/>
          <w:szCs w:val="30"/>
        </w:rPr>
      </w:pPr>
      <w:r>
        <w:rPr>
          <w:rFonts w:hint="eastAsia" w:ascii="宋体" w:hAnsi="宋体" w:eastAsia="宋体" w:cs="宋体"/>
          <w:bCs/>
          <w:color w:val="000000"/>
          <w:sz w:val="24"/>
          <w:szCs w:val="24"/>
        </w:rPr>
        <w:t>6.工程承包范围：</w:t>
      </w:r>
      <w:r>
        <w:rPr>
          <w:rFonts w:hint="eastAsia" w:ascii="宋体" w:hAnsi="宋体" w:eastAsia="宋体" w:cs="宋体"/>
          <w:color w:val="auto"/>
          <w:kern w:val="0"/>
          <w:sz w:val="24"/>
          <w:highlight w:val="none"/>
          <w:u w:val="single"/>
          <w:lang w:val="en-US" w:eastAsia="zh-CN"/>
        </w:rPr>
        <w:t>图纸设计范围内全部工程</w:t>
      </w:r>
      <w:r>
        <w:rPr>
          <w:rFonts w:ascii="Times New Roman" w:hAnsi="Times New Roman" w:eastAsia="仿宋_GB2312"/>
          <w:color w:val="000000"/>
          <w:sz w:val="30"/>
          <w:szCs w:val="30"/>
        </w:rPr>
        <w:t>。</w:t>
      </w:r>
    </w:p>
    <w:p w14:paraId="20D0424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二</w:t>
      </w:r>
      <w:r>
        <w:rPr>
          <w:rFonts w:hint="eastAsia" w:ascii="宋体" w:hAnsi="宋体" w:eastAsia="宋体" w:cs="宋体"/>
          <w:b/>
          <w:bCs/>
          <w:color w:val="auto"/>
          <w:kern w:val="0"/>
          <w:sz w:val="24"/>
          <w:highlight w:val="none"/>
        </w:rPr>
        <w:t xml:space="preserve">、合同工期 </w:t>
      </w:r>
    </w:p>
    <w:p w14:paraId="5542D904">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386E81A0">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792944A2">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90</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none"/>
          <w:lang w:val="en-US" w:eastAsia="zh-CN"/>
        </w:rPr>
        <w:t>日历</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71284C28">
      <w:pPr>
        <w:spacing w:line="360" w:lineRule="auto"/>
        <w:ind w:firstLine="459"/>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具体开工时间以</w:t>
      </w:r>
      <w:r>
        <w:rPr>
          <w:rFonts w:hint="eastAsia" w:ascii="宋体" w:hAnsi="宋体" w:eastAsia="宋体" w:cs="宋体"/>
          <w:color w:val="000000"/>
          <w:sz w:val="24"/>
          <w:szCs w:val="24"/>
          <w:lang w:val="en-US" w:eastAsia="zh-CN"/>
        </w:rPr>
        <w:t>发包人</w:t>
      </w:r>
      <w:r>
        <w:rPr>
          <w:rFonts w:hint="eastAsia" w:ascii="宋体" w:hAnsi="宋体" w:eastAsia="宋体" w:cs="宋体"/>
          <w:color w:val="000000"/>
          <w:sz w:val="24"/>
          <w:szCs w:val="24"/>
        </w:rPr>
        <w:t>通知的进场时间为准，完工日期以总工期推算。施工单位应无条件配合，根据</w:t>
      </w:r>
      <w:r>
        <w:rPr>
          <w:rFonts w:hint="eastAsia" w:ascii="宋体" w:hAnsi="宋体" w:eastAsia="宋体" w:cs="宋体"/>
          <w:color w:val="000000"/>
          <w:sz w:val="24"/>
          <w:szCs w:val="24"/>
          <w:lang w:val="en-US" w:eastAsia="zh-CN"/>
        </w:rPr>
        <w:t>发包</w:t>
      </w:r>
      <w:r>
        <w:rPr>
          <w:rFonts w:hint="eastAsia" w:ascii="宋体" w:hAnsi="宋体" w:eastAsia="宋体" w:cs="宋体"/>
          <w:color w:val="000000"/>
          <w:sz w:val="24"/>
          <w:szCs w:val="24"/>
        </w:rPr>
        <w:t>单位</w:t>
      </w:r>
      <w:r>
        <w:rPr>
          <w:rFonts w:hint="eastAsia" w:ascii="宋体" w:hAnsi="宋体" w:eastAsia="宋体" w:cs="宋体"/>
          <w:color w:val="000000"/>
          <w:sz w:val="24"/>
          <w:szCs w:val="24"/>
          <w:lang w:val="en-US" w:eastAsia="zh-CN"/>
        </w:rPr>
        <w:t>要求</w:t>
      </w:r>
      <w:r>
        <w:rPr>
          <w:rFonts w:hint="eastAsia" w:ascii="宋体" w:hAnsi="宋体" w:eastAsia="宋体" w:cs="宋体"/>
          <w:color w:val="000000"/>
          <w:sz w:val="24"/>
          <w:szCs w:val="24"/>
        </w:rPr>
        <w:t>，及时进场施工。</w:t>
      </w:r>
    </w:p>
    <w:p w14:paraId="0D92BFC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三</w:t>
      </w:r>
      <w:r>
        <w:rPr>
          <w:rFonts w:hint="eastAsia" w:ascii="宋体" w:hAnsi="宋体" w:eastAsia="宋体" w:cs="宋体"/>
          <w:b/>
          <w:bCs/>
          <w:color w:val="auto"/>
          <w:kern w:val="0"/>
          <w:sz w:val="24"/>
          <w:highlight w:val="none"/>
        </w:rPr>
        <w:t>、质量标准</w:t>
      </w:r>
    </w:p>
    <w:p w14:paraId="07E194C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达到国家现行验收规范合格标准</w:t>
      </w:r>
      <w:r>
        <w:rPr>
          <w:rFonts w:hint="eastAsia" w:ascii="宋体" w:hAnsi="宋体" w:eastAsia="宋体" w:cs="宋体"/>
          <w:color w:val="auto"/>
          <w:kern w:val="0"/>
          <w:sz w:val="24"/>
          <w:highlight w:val="none"/>
          <w:u w:val="none"/>
        </w:rPr>
        <w:t>。</w:t>
      </w:r>
    </w:p>
    <w:p w14:paraId="732DD95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四</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val="en-US" w:eastAsia="zh-CN"/>
        </w:rPr>
        <w:t>签约</w:t>
      </w:r>
      <w:r>
        <w:rPr>
          <w:rFonts w:hint="eastAsia" w:ascii="宋体" w:hAnsi="宋体" w:eastAsia="宋体" w:cs="宋体"/>
          <w:b/>
          <w:bCs/>
          <w:color w:val="auto"/>
          <w:kern w:val="0"/>
          <w:sz w:val="24"/>
          <w:highlight w:val="none"/>
        </w:rPr>
        <w:t>合同价</w:t>
      </w:r>
      <w:r>
        <w:rPr>
          <w:rFonts w:hint="eastAsia" w:ascii="宋体" w:hAnsi="宋体" w:eastAsia="宋体" w:cs="宋体"/>
          <w:b/>
          <w:bCs/>
          <w:color w:val="auto"/>
          <w:kern w:val="0"/>
          <w:sz w:val="24"/>
          <w:highlight w:val="none"/>
          <w:lang w:val="en-US" w:eastAsia="zh-CN"/>
        </w:rPr>
        <w:t>及合同价格形式</w:t>
      </w:r>
    </w:p>
    <w:p w14:paraId="12106675">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4907E57D">
      <w:pPr>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E2500A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030585F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w:t>
      </w:r>
    </w:p>
    <w:p w14:paraId="6639291A">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5183D7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w:t>
      </w:r>
    </w:p>
    <w:p w14:paraId="7EF542F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B73A6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w:t>
      </w:r>
    </w:p>
    <w:p w14:paraId="7DFD049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B5652E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（4）暂列金额：</w:t>
      </w:r>
    </w:p>
    <w:p w14:paraId="742014A6">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0B9973E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rPr>
        <w:t>固定</w:t>
      </w:r>
      <w:r>
        <w:rPr>
          <w:rFonts w:hint="eastAsia" w:ascii="宋体" w:hAnsi="宋体" w:cs="宋体"/>
          <w:color w:val="auto"/>
          <w:kern w:val="0"/>
          <w:sz w:val="24"/>
          <w:highlight w:val="none"/>
          <w:u w:val="single"/>
          <w:lang w:val="en-US" w:eastAsia="zh-CN"/>
        </w:rPr>
        <w:t>单价合同</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B956E5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五、项目经理</w:t>
      </w:r>
    </w:p>
    <w:p w14:paraId="72E0BF9F">
      <w:pPr>
        <w:spacing w:line="360" w:lineRule="auto"/>
        <w:ind w:firstLine="480" w:firstLineChars="200"/>
        <w:rPr>
          <w:rFonts w:hint="eastAsia" w:ascii="宋体" w:hAnsi="宋体" w:eastAsia="宋体" w:cs="宋体"/>
          <w:b/>
          <w:bCs/>
          <w:color w:val="auto"/>
          <w:kern w:val="0"/>
          <w:sz w:val="24"/>
          <w:highlight w:val="none"/>
        </w:rPr>
      </w:pPr>
      <w:r>
        <w:rPr>
          <w:rFonts w:hint="eastAsia" w:ascii="宋体" w:hAnsi="宋体" w:eastAsia="宋体" w:cs="宋体"/>
          <w:color w:val="000000"/>
          <w:sz w:val="24"/>
          <w:szCs w:val="24"/>
        </w:rPr>
        <w:t>承包人项目经理：</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w:t>
      </w:r>
      <w:r>
        <w:rPr>
          <w:rFonts w:ascii="Times New Roman" w:hAnsi="Times New Roman" w:eastAsia="仿宋_GB2312"/>
          <w:color w:val="000000"/>
          <w:sz w:val="30"/>
          <w:szCs w:val="30"/>
        </w:rPr>
        <w:t>。</w:t>
      </w:r>
    </w:p>
    <w:p w14:paraId="77C4B37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rPr>
        <w:t>六、合同文件</w:t>
      </w:r>
      <w:r>
        <w:rPr>
          <w:rFonts w:hint="eastAsia" w:ascii="宋体" w:hAnsi="宋体" w:eastAsia="宋体" w:cs="宋体"/>
          <w:b/>
          <w:bCs/>
          <w:color w:val="auto"/>
          <w:kern w:val="0"/>
          <w:sz w:val="24"/>
          <w:highlight w:val="none"/>
          <w:lang w:val="en-US" w:eastAsia="zh-CN"/>
        </w:rPr>
        <w:t>构成</w:t>
      </w:r>
    </w:p>
    <w:p w14:paraId="3BA460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71FC5DDC">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（1）中标通知书；</w:t>
      </w:r>
    </w:p>
    <w:p w14:paraId="6F12547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 </w:t>
      </w:r>
    </w:p>
    <w:p w14:paraId="2A65059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5EA1B4F6">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73A59A3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113AC8BE">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2C14484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2598AD2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4DA6055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3C636F7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70598B20">
      <w:pPr>
        <w:spacing w:before="120" w:after="120" w:line="360" w:lineRule="auto"/>
        <w:ind w:firstLine="482" w:firstLineChars="200"/>
        <w:outlineLvl w:val="9"/>
        <w:rPr>
          <w:rFonts w:hint="eastAsia" w:ascii="宋体" w:hAnsi="宋体" w:eastAsia="宋体" w:cs="宋体"/>
          <w:b/>
          <w:bCs w:val="0"/>
          <w:color w:val="000000"/>
          <w:sz w:val="24"/>
          <w:szCs w:val="24"/>
        </w:rPr>
      </w:pPr>
      <w:bookmarkStart w:id="104" w:name="_Toc351203487"/>
      <w:r>
        <w:rPr>
          <w:rFonts w:hint="eastAsia" w:ascii="宋体" w:hAnsi="宋体" w:eastAsia="宋体" w:cs="宋体"/>
          <w:b/>
          <w:bCs w:val="0"/>
          <w:color w:val="000000"/>
          <w:sz w:val="24"/>
          <w:szCs w:val="24"/>
        </w:rPr>
        <w:t>七、承诺</w:t>
      </w:r>
      <w:bookmarkEnd w:id="104"/>
    </w:p>
    <w:p w14:paraId="3F9067D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2E3A6A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1048CD8F">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015A4312">
      <w:pPr>
        <w:spacing w:line="360" w:lineRule="auto"/>
        <w:rPr>
          <w:rFonts w:hint="eastAsia" w:ascii="宋体" w:hAnsi="宋体" w:eastAsia="宋体" w:cs="宋体"/>
          <w:bCs/>
          <w:color w:val="000000"/>
          <w:sz w:val="24"/>
          <w:szCs w:val="24"/>
        </w:rPr>
      </w:pPr>
      <w:bookmarkStart w:id="105" w:name="_Toc351203488"/>
      <w:r>
        <w:rPr>
          <w:rFonts w:hint="eastAsia" w:ascii="宋体" w:hAnsi="宋体" w:eastAsia="宋体" w:cs="宋体"/>
          <w:b/>
          <w:color w:val="000000"/>
          <w:sz w:val="24"/>
          <w:szCs w:val="24"/>
        </w:rPr>
        <w:t xml:space="preserve">    八、词语含义</w:t>
      </w:r>
      <w:bookmarkEnd w:id="105"/>
    </w:p>
    <w:p w14:paraId="3FBE01F1">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245F50E3">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06" w:name="_Toc351203489"/>
      <w:r>
        <w:rPr>
          <w:rFonts w:hint="eastAsia" w:ascii="宋体" w:hAnsi="宋体" w:eastAsia="宋体" w:cs="宋体"/>
          <w:b/>
          <w:bCs w:val="0"/>
          <w:color w:val="000000"/>
          <w:sz w:val="24"/>
          <w:szCs w:val="24"/>
        </w:rPr>
        <w:t>九、签订时间</w:t>
      </w:r>
      <w:bookmarkEnd w:id="106"/>
    </w:p>
    <w:p w14:paraId="12DE74F4">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37CC8E4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7" w:name="_Toc351203490"/>
      <w:r>
        <w:rPr>
          <w:rFonts w:hint="eastAsia" w:ascii="宋体" w:hAnsi="宋体" w:eastAsia="宋体" w:cs="宋体"/>
          <w:b/>
          <w:bCs w:val="0"/>
          <w:color w:val="000000"/>
          <w:sz w:val="24"/>
          <w:szCs w:val="24"/>
        </w:rPr>
        <w:t>十、签订地点</w:t>
      </w:r>
      <w:bookmarkEnd w:id="107"/>
    </w:p>
    <w:p w14:paraId="40819D0C">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5950AAE2">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8" w:name="_Toc351203491"/>
      <w:r>
        <w:rPr>
          <w:rFonts w:hint="eastAsia" w:ascii="宋体" w:hAnsi="宋体" w:eastAsia="宋体" w:cs="宋体"/>
          <w:b/>
          <w:bCs w:val="0"/>
          <w:color w:val="000000"/>
          <w:sz w:val="24"/>
          <w:szCs w:val="24"/>
        </w:rPr>
        <w:t>十一、补充协议</w:t>
      </w:r>
      <w:bookmarkEnd w:id="108"/>
    </w:p>
    <w:p w14:paraId="3B63649C">
      <w:pPr>
        <w:spacing w:line="360" w:lineRule="auto"/>
        <w:ind w:firstLine="480" w:firstLineChars="200"/>
        <w:outlineLvl w:val="9"/>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57012AE7">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bCs/>
          <w:color w:val="000000"/>
          <w:sz w:val="24"/>
          <w:szCs w:val="24"/>
        </w:rPr>
        <w:t xml:space="preserve"> </w:t>
      </w:r>
      <w:bookmarkStart w:id="109" w:name="_Toc351203492"/>
      <w:r>
        <w:rPr>
          <w:rFonts w:hint="eastAsia" w:ascii="宋体" w:hAnsi="宋体" w:eastAsia="宋体" w:cs="宋体"/>
          <w:b/>
          <w:bCs w:val="0"/>
          <w:color w:val="000000"/>
          <w:sz w:val="24"/>
          <w:szCs w:val="24"/>
        </w:rPr>
        <w:t>十二、合同生效</w:t>
      </w:r>
      <w:bookmarkEnd w:id="109"/>
    </w:p>
    <w:p w14:paraId="11F4699A">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 xml:space="preserve">     </w:t>
      </w:r>
      <w:r>
        <w:rPr>
          <w:rFonts w:hint="eastAsia" w:ascii="宋体" w:hAnsi="宋体" w:eastAsia="宋体" w:cs="宋体"/>
          <w:color w:val="auto"/>
          <w:kern w:val="0"/>
          <w:sz w:val="24"/>
          <w:highlight w:val="none"/>
          <w:u w:val="single"/>
        </w:rPr>
        <w:t>双方签字盖章</w:t>
      </w:r>
      <w:r>
        <w:rPr>
          <w:rFonts w:hint="eastAsia" w:ascii="宋体" w:hAnsi="宋体" w:eastAsia="宋体" w:cs="宋体"/>
          <w:color w:val="auto"/>
          <w:kern w:val="0"/>
          <w:sz w:val="24"/>
          <w:highlight w:val="none"/>
          <w:u w:val="single"/>
          <w:lang w:val="en-US" w:eastAsia="zh-CN"/>
        </w:rPr>
        <w:t>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生效。</w:t>
      </w:r>
    </w:p>
    <w:p w14:paraId="45746D2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10" w:name="_Toc351203493"/>
      <w:r>
        <w:rPr>
          <w:rFonts w:hint="eastAsia" w:ascii="宋体" w:hAnsi="宋体" w:eastAsia="宋体" w:cs="宋体"/>
          <w:b/>
          <w:bCs w:val="0"/>
          <w:color w:val="000000"/>
          <w:sz w:val="24"/>
          <w:szCs w:val="24"/>
        </w:rPr>
        <w:t>十三、合同份数</w:t>
      </w:r>
      <w:bookmarkEnd w:id="110"/>
    </w:p>
    <w:p w14:paraId="3C8F8F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监督部门备案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3523EF9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p>
    <w:p w14:paraId="6496667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             承包人：  (公章)</w:t>
      </w:r>
    </w:p>
    <w:p w14:paraId="0310B64D">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p>
    <w:p w14:paraId="64FCC3A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  法定代表人或其委托代理人：</w:t>
      </w:r>
    </w:p>
    <w:p w14:paraId="51779A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23629489">
      <w:pPr>
        <w:spacing w:line="360" w:lineRule="auto"/>
        <w:rPr>
          <w:rFonts w:hint="eastAsia" w:ascii="宋体" w:hAnsi="宋体" w:eastAsia="宋体" w:cs="宋体"/>
          <w:color w:val="000000"/>
          <w:sz w:val="24"/>
          <w:szCs w:val="24"/>
          <w:u w:val="single"/>
        </w:rPr>
      </w:pPr>
    </w:p>
    <w:p w14:paraId="38AE49DE">
      <w:pPr>
        <w:tabs>
          <w:tab w:val="left" w:pos="44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6AA287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6E0828C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593A680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3DCB7F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248850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5742ACC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0116AC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30B9CA7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4AABF35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3884DAB0">
      <w:pPr>
        <w:autoSpaceDE w:val="0"/>
        <w:autoSpaceDN w:val="0"/>
        <w:adjustRightInd w:val="0"/>
        <w:jc w:val="center"/>
        <w:rPr>
          <w:rFonts w:eastAsia="仿宋_GB2312"/>
          <w:b/>
          <w:bCs/>
          <w:sz w:val="28"/>
          <w:szCs w:val="28"/>
          <w:lang w:val="zh-CN"/>
        </w:rPr>
      </w:pPr>
    </w:p>
    <w:p w14:paraId="14912E0B">
      <w:pPr>
        <w:jc w:val="center"/>
        <w:rPr>
          <w:rFonts w:hint="eastAsia"/>
          <w:b/>
          <w:bCs/>
          <w:sz w:val="32"/>
          <w:szCs w:val="32"/>
        </w:rPr>
      </w:pPr>
      <w:bookmarkStart w:id="111" w:name="_Toc7033"/>
    </w:p>
    <w:p w14:paraId="52207D65">
      <w:pPr>
        <w:jc w:val="center"/>
        <w:rPr>
          <w:rFonts w:hint="eastAsia"/>
          <w:b/>
          <w:bCs/>
          <w:sz w:val="32"/>
          <w:szCs w:val="32"/>
        </w:rPr>
      </w:pPr>
    </w:p>
    <w:p w14:paraId="6B4FDFAB">
      <w:pPr>
        <w:jc w:val="center"/>
        <w:rPr>
          <w:rFonts w:hint="eastAsia"/>
          <w:b/>
          <w:bCs/>
          <w:sz w:val="32"/>
          <w:szCs w:val="32"/>
        </w:rPr>
      </w:pPr>
    </w:p>
    <w:p w14:paraId="7C2FC0FA">
      <w:pPr>
        <w:jc w:val="center"/>
        <w:rPr>
          <w:rFonts w:hint="eastAsia"/>
          <w:b/>
          <w:bCs/>
          <w:sz w:val="32"/>
          <w:szCs w:val="32"/>
        </w:rPr>
      </w:pPr>
    </w:p>
    <w:p w14:paraId="15E0F0E0">
      <w:pPr>
        <w:jc w:val="center"/>
        <w:rPr>
          <w:rFonts w:hint="eastAsia"/>
          <w:b/>
          <w:bCs/>
          <w:sz w:val="32"/>
          <w:szCs w:val="32"/>
        </w:rPr>
      </w:pPr>
    </w:p>
    <w:p w14:paraId="2D276DB0">
      <w:pPr>
        <w:jc w:val="center"/>
        <w:rPr>
          <w:rFonts w:hint="eastAsia"/>
          <w:b/>
          <w:bCs/>
          <w:sz w:val="32"/>
          <w:szCs w:val="32"/>
        </w:rPr>
      </w:pPr>
    </w:p>
    <w:p w14:paraId="181CDE8A">
      <w:pPr>
        <w:jc w:val="center"/>
        <w:rPr>
          <w:rFonts w:hint="eastAsia"/>
          <w:b/>
          <w:bCs/>
          <w:sz w:val="32"/>
          <w:szCs w:val="32"/>
        </w:rPr>
      </w:pPr>
    </w:p>
    <w:p w14:paraId="7D3BA830">
      <w:pPr>
        <w:jc w:val="center"/>
        <w:rPr>
          <w:rFonts w:hint="eastAsia"/>
          <w:b/>
          <w:bCs/>
          <w:sz w:val="32"/>
          <w:szCs w:val="32"/>
        </w:rPr>
      </w:pPr>
    </w:p>
    <w:p w14:paraId="49E1B196">
      <w:pPr>
        <w:jc w:val="center"/>
        <w:rPr>
          <w:rFonts w:hint="eastAsia"/>
          <w:b/>
          <w:bCs/>
          <w:sz w:val="32"/>
          <w:szCs w:val="32"/>
        </w:rPr>
      </w:pPr>
    </w:p>
    <w:p w14:paraId="40DEA6C3">
      <w:pPr>
        <w:outlineLvl w:val="9"/>
        <w:rPr>
          <w:rFonts w:hint="eastAsia"/>
          <w:b/>
          <w:bCs/>
          <w:sz w:val="32"/>
          <w:szCs w:val="32"/>
        </w:rPr>
      </w:pPr>
    </w:p>
    <w:p w14:paraId="14BF5F19">
      <w:pPr>
        <w:outlineLvl w:val="9"/>
        <w:rPr>
          <w:rFonts w:hint="eastAsia"/>
          <w:b/>
          <w:bCs/>
          <w:sz w:val="32"/>
          <w:szCs w:val="32"/>
        </w:rPr>
      </w:pPr>
    </w:p>
    <w:p w14:paraId="249E7C79">
      <w:pPr>
        <w:outlineLvl w:val="9"/>
        <w:rPr>
          <w:rFonts w:hint="eastAsia"/>
          <w:b/>
          <w:bCs/>
          <w:sz w:val="32"/>
          <w:szCs w:val="32"/>
        </w:rPr>
      </w:pPr>
    </w:p>
    <w:p w14:paraId="34B6E61E">
      <w:pPr>
        <w:outlineLvl w:val="9"/>
        <w:rPr>
          <w:rFonts w:hint="eastAsia"/>
          <w:b/>
          <w:bCs/>
          <w:sz w:val="32"/>
          <w:szCs w:val="32"/>
        </w:rPr>
      </w:pPr>
    </w:p>
    <w:p w14:paraId="58C4EC42">
      <w:pPr>
        <w:outlineLvl w:val="9"/>
        <w:rPr>
          <w:rFonts w:hint="eastAsia"/>
          <w:b/>
          <w:bCs/>
          <w:sz w:val="32"/>
          <w:szCs w:val="32"/>
        </w:rPr>
      </w:pPr>
    </w:p>
    <w:p w14:paraId="4E108B68">
      <w:pPr>
        <w:outlineLvl w:val="9"/>
        <w:rPr>
          <w:rFonts w:hint="eastAsia"/>
          <w:b/>
          <w:bCs/>
          <w:sz w:val="32"/>
          <w:szCs w:val="32"/>
        </w:rPr>
      </w:pPr>
    </w:p>
    <w:p w14:paraId="2163C2ED">
      <w:pPr>
        <w:outlineLvl w:val="9"/>
        <w:rPr>
          <w:rFonts w:hint="eastAsia"/>
          <w:b/>
          <w:bCs/>
          <w:sz w:val="32"/>
          <w:szCs w:val="32"/>
        </w:rPr>
      </w:pPr>
    </w:p>
    <w:p w14:paraId="28D6338B">
      <w:pPr>
        <w:outlineLvl w:val="9"/>
        <w:rPr>
          <w:rFonts w:hint="eastAsia"/>
          <w:b/>
          <w:bCs/>
          <w:sz w:val="32"/>
          <w:szCs w:val="32"/>
        </w:rPr>
      </w:pPr>
    </w:p>
    <w:p w14:paraId="0BF42717">
      <w:pPr>
        <w:spacing w:line="560" w:lineRule="exact"/>
        <w:jc w:val="center"/>
        <w:outlineLvl w:val="9"/>
        <w:rPr>
          <w:rFonts w:hint="eastAsia" w:ascii="宋体" w:hAnsi="宋体" w:eastAsia="宋体" w:cs="宋体"/>
          <w:b/>
          <w:color w:val="auto"/>
          <w:sz w:val="28"/>
          <w:szCs w:val="28"/>
          <w:highlight w:val="none"/>
        </w:rPr>
      </w:pPr>
    </w:p>
    <w:p w14:paraId="690F2D64">
      <w:pPr>
        <w:spacing w:line="560" w:lineRule="exact"/>
        <w:jc w:val="center"/>
        <w:outlineLvl w:val="9"/>
        <w:rPr>
          <w:rFonts w:hint="eastAsia" w:ascii="宋体" w:hAnsi="宋体" w:eastAsia="宋体" w:cs="宋体"/>
          <w:b/>
          <w:color w:val="auto"/>
          <w:sz w:val="28"/>
          <w:szCs w:val="28"/>
          <w:highlight w:val="none"/>
        </w:rPr>
      </w:pPr>
    </w:p>
    <w:p w14:paraId="796A4AE2">
      <w:pPr>
        <w:pStyle w:val="2"/>
        <w:outlineLvl w:val="9"/>
        <w:rPr>
          <w:rFonts w:hint="eastAsia" w:ascii="宋体" w:hAnsi="宋体" w:eastAsia="宋体" w:cs="宋体"/>
          <w:b/>
          <w:color w:val="auto"/>
          <w:sz w:val="28"/>
          <w:szCs w:val="28"/>
          <w:highlight w:val="none"/>
        </w:rPr>
      </w:pPr>
    </w:p>
    <w:p w14:paraId="515E69ED">
      <w:pPr>
        <w:rPr>
          <w:rFonts w:hint="eastAsia" w:ascii="宋体" w:hAnsi="宋体" w:eastAsia="宋体" w:cs="宋体"/>
          <w:b/>
          <w:color w:val="auto"/>
          <w:sz w:val="28"/>
          <w:szCs w:val="28"/>
          <w:highlight w:val="none"/>
        </w:rPr>
      </w:pPr>
    </w:p>
    <w:p w14:paraId="056A45A7">
      <w:pPr>
        <w:pStyle w:val="2"/>
        <w:rPr>
          <w:rFonts w:hint="eastAsia" w:ascii="宋体" w:hAnsi="宋体" w:eastAsia="宋体" w:cs="宋体"/>
          <w:b/>
          <w:color w:val="auto"/>
          <w:sz w:val="28"/>
          <w:szCs w:val="28"/>
          <w:highlight w:val="none"/>
        </w:rPr>
      </w:pPr>
    </w:p>
    <w:p w14:paraId="3FC08B0E">
      <w:pPr>
        <w:rPr>
          <w:rFonts w:hint="eastAsia"/>
        </w:rPr>
      </w:pPr>
    </w:p>
    <w:p w14:paraId="13956F5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4DAA6D9">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第二部分 通用合同条款</w:t>
      </w:r>
    </w:p>
    <w:p w14:paraId="60A4C54F">
      <w:pPr>
        <w:jc w:val="center"/>
        <w:outlineLvl w:val="9"/>
        <w:rPr>
          <w:rFonts w:hint="eastAsia" w:ascii="仿宋" w:hAnsi="仿宋" w:eastAsia="仿宋" w:cs="仿宋"/>
          <w:b/>
          <w:bCs/>
          <w:sz w:val="24"/>
          <w:szCs w:val="24"/>
        </w:rPr>
      </w:pPr>
      <w:bookmarkStart w:id="112" w:name="_Hlk504573683"/>
      <w:r>
        <w:rPr>
          <w:rFonts w:hint="eastAsia" w:ascii="仿宋" w:hAnsi="仿宋" w:eastAsia="仿宋" w:cs="仿宋"/>
          <w:b w:val="0"/>
          <w:color w:val="auto"/>
          <w:sz w:val="24"/>
          <w:szCs w:val="24"/>
          <w:highlight w:val="none"/>
        </w:rPr>
        <w:t>（略，见GF-2017-0201）</w:t>
      </w:r>
      <w:bookmarkEnd w:id="112"/>
    </w:p>
    <w:p w14:paraId="55BD02CA">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第三部分 专用合同条款</w:t>
      </w:r>
    </w:p>
    <w:p w14:paraId="2B3253A8">
      <w:pPr>
        <w:jc w:val="center"/>
        <w:rPr>
          <w:rFonts w:hint="eastAsia" w:ascii="仿宋" w:hAnsi="仿宋" w:eastAsia="仿宋" w:cs="仿宋"/>
          <w:sz w:val="24"/>
          <w:szCs w:val="24"/>
        </w:rPr>
      </w:pPr>
      <w:r>
        <w:rPr>
          <w:rFonts w:hint="eastAsia" w:ascii="仿宋" w:hAnsi="仿宋" w:eastAsia="仿宋" w:cs="仿宋"/>
          <w:b w:val="0"/>
          <w:color w:val="auto"/>
          <w:sz w:val="24"/>
          <w:szCs w:val="24"/>
          <w:highlight w:val="none"/>
        </w:rPr>
        <w:t>（只列出了主要合同专用条款，其余条款见GF-2017-0201）</w:t>
      </w:r>
    </w:p>
    <w:p w14:paraId="43CE1093">
      <w:pPr>
        <w:spacing w:line="360" w:lineRule="auto"/>
        <w:rPr>
          <w:rFonts w:hint="eastAsia" w:ascii="仿宋" w:hAnsi="仿宋" w:eastAsia="仿宋" w:cs="仿宋"/>
          <w:b/>
          <w:bCs/>
          <w:sz w:val="24"/>
          <w:szCs w:val="24"/>
        </w:rPr>
      </w:pPr>
      <w:bookmarkStart w:id="113" w:name="_Toc351203633"/>
      <w:r>
        <w:rPr>
          <w:rFonts w:hint="eastAsia" w:ascii="仿宋" w:hAnsi="仿宋" w:eastAsia="仿宋" w:cs="仿宋"/>
          <w:b/>
          <w:bCs/>
          <w:sz w:val="24"/>
          <w:szCs w:val="24"/>
        </w:rPr>
        <w:t>1</w:t>
      </w:r>
      <w:bookmarkStart w:id="114" w:name="_Toc297048342"/>
      <w:bookmarkStart w:id="115" w:name="_Toc296944495"/>
      <w:bookmarkStart w:id="116" w:name="_Toc296503156"/>
      <w:bookmarkStart w:id="117" w:name="_Toc297120456"/>
      <w:bookmarkStart w:id="118" w:name="_Toc296347155"/>
      <w:bookmarkStart w:id="119" w:name="_Toc296346657"/>
      <w:bookmarkStart w:id="120" w:name="_Toc292559866"/>
      <w:bookmarkStart w:id="121" w:name="_Toc296890984"/>
      <w:bookmarkStart w:id="122" w:name="_Toc296891196"/>
      <w:bookmarkStart w:id="123" w:name="_Toc292559361"/>
      <w:r>
        <w:rPr>
          <w:rFonts w:hint="eastAsia" w:ascii="仿宋" w:hAnsi="仿宋" w:eastAsia="仿宋" w:cs="仿宋"/>
          <w:b/>
          <w:bCs/>
          <w:sz w:val="24"/>
          <w:szCs w:val="24"/>
        </w:rPr>
        <w:t>. 一般约定</w:t>
      </w:r>
      <w:bookmarkEnd w:id="113"/>
    </w:p>
    <w:bookmarkEnd w:id="114"/>
    <w:bookmarkEnd w:id="115"/>
    <w:bookmarkEnd w:id="116"/>
    <w:bookmarkEnd w:id="117"/>
    <w:bookmarkEnd w:id="118"/>
    <w:bookmarkEnd w:id="119"/>
    <w:bookmarkEnd w:id="120"/>
    <w:bookmarkEnd w:id="121"/>
    <w:bookmarkEnd w:id="122"/>
    <w:bookmarkEnd w:id="123"/>
    <w:p w14:paraId="68E11B1C">
      <w:pPr>
        <w:spacing w:line="300" w:lineRule="auto"/>
        <w:ind w:firstLine="482" w:firstLineChars="200"/>
        <w:rPr>
          <w:rFonts w:hint="eastAsia" w:ascii="仿宋" w:hAnsi="仿宋" w:eastAsia="仿宋" w:cs="仿宋"/>
          <w:b/>
          <w:bCs/>
          <w:color w:val="auto"/>
          <w:sz w:val="24"/>
          <w:szCs w:val="24"/>
          <w:highlight w:val="none"/>
        </w:rPr>
      </w:pPr>
      <w:bookmarkStart w:id="124" w:name="_Toc508702734"/>
      <w:bookmarkStart w:id="125" w:name="_Toc510449970"/>
      <w:bookmarkStart w:id="126" w:name="_Toc526085895"/>
      <w:bookmarkStart w:id="127" w:name="_Toc508703892"/>
      <w:r>
        <w:rPr>
          <w:rFonts w:hint="eastAsia" w:ascii="仿宋" w:hAnsi="仿宋" w:eastAsia="仿宋" w:cs="仿宋"/>
          <w:b/>
          <w:bCs/>
          <w:color w:val="auto"/>
          <w:sz w:val="24"/>
          <w:szCs w:val="24"/>
          <w:highlight w:val="none"/>
        </w:rPr>
        <w:t>1.1 词语定义</w:t>
      </w:r>
      <w:bookmarkEnd w:id="124"/>
      <w:bookmarkEnd w:id="125"/>
      <w:bookmarkEnd w:id="126"/>
      <w:bookmarkEnd w:id="127"/>
    </w:p>
    <w:p w14:paraId="6F70E71F">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1.1.1合同</w:t>
      </w:r>
    </w:p>
    <w:p w14:paraId="400CC19A">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1.1.1.1</w:t>
      </w:r>
      <w:r>
        <w:rPr>
          <w:rFonts w:hint="eastAsia" w:ascii="仿宋" w:hAnsi="仿宋" w:eastAsia="仿宋" w:cs="仿宋"/>
          <w:b/>
          <w:bCs/>
          <w:color w:val="auto"/>
          <w:kern w:val="0"/>
          <w:sz w:val="24"/>
          <w:szCs w:val="24"/>
          <w:highlight w:val="none"/>
          <w:lang w:val="en-US" w:eastAsia="zh-CN"/>
        </w:rPr>
        <w:t>0</w:t>
      </w:r>
      <w:r>
        <w:rPr>
          <w:rFonts w:hint="eastAsia" w:ascii="仿宋" w:hAnsi="仿宋" w:eastAsia="仿宋" w:cs="仿宋"/>
          <w:b/>
          <w:bCs/>
          <w:color w:val="auto"/>
          <w:kern w:val="0"/>
          <w:sz w:val="24"/>
          <w:szCs w:val="24"/>
          <w:highlight w:val="none"/>
        </w:rPr>
        <w:t>其他合同文件包括：</w:t>
      </w:r>
    </w:p>
    <w:p w14:paraId="1CFCD1E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①本合同协议书；</w:t>
      </w:r>
    </w:p>
    <w:p w14:paraId="070F07B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②本合同专用条款；</w:t>
      </w:r>
    </w:p>
    <w:p w14:paraId="2EA7A56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③本合同通用条款；</w:t>
      </w:r>
    </w:p>
    <w:p w14:paraId="6B8C129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④中标通知书；</w:t>
      </w:r>
    </w:p>
    <w:p w14:paraId="03C6F297">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⑤投标文件及报价函；</w:t>
      </w:r>
    </w:p>
    <w:p w14:paraId="004DD095">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⑥招标文件；</w:t>
      </w:r>
    </w:p>
    <w:p w14:paraId="06459C1B">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⑦图纸；</w:t>
      </w:r>
    </w:p>
    <w:p w14:paraId="3339071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⑧标准、规范及有关技术文件；</w:t>
      </w:r>
    </w:p>
    <w:p w14:paraId="3E5A3D2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合同履行中，发包人承包人有关工程的洽商、变更等书面协议或文件视为本合同的组成部分。</w:t>
      </w:r>
    </w:p>
    <w:p w14:paraId="79E14FC4">
      <w:pPr>
        <w:spacing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1.1.2 合同当事人及其他相关方</w:t>
      </w:r>
    </w:p>
    <w:p w14:paraId="44D67EE3">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1.1.2.4监理人：</w:t>
      </w:r>
    </w:p>
    <w:p w14:paraId="7192098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465B586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55063AC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04E894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4F8BA5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04221616">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1.1.2.5 设计人：</w:t>
      </w:r>
    </w:p>
    <w:p w14:paraId="5BF9566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2DBACFE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57A429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44251D0">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7138C5A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53BE0EB">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1.1.3 工程和设备</w:t>
      </w:r>
    </w:p>
    <w:p w14:paraId="19FDCA21">
      <w:pPr>
        <w:spacing w:line="360" w:lineRule="auto"/>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1.1.3.7</w:t>
      </w:r>
      <w:r>
        <w:rPr>
          <w:rFonts w:hint="eastAsia" w:ascii="仿宋" w:hAnsi="仿宋" w:eastAsia="仿宋" w:cs="仿宋"/>
          <w:b/>
          <w:bCs/>
          <w:color w:val="000000"/>
          <w:sz w:val="24"/>
          <w:szCs w:val="24"/>
        </w:rPr>
        <w:t xml:space="preserve"> </w:t>
      </w:r>
      <w:r>
        <w:rPr>
          <w:rFonts w:hint="eastAsia" w:ascii="仿宋" w:hAnsi="仿宋" w:eastAsia="仿宋" w:cs="仿宋"/>
          <w:color w:val="000000"/>
          <w:sz w:val="24"/>
          <w:szCs w:val="24"/>
        </w:rPr>
        <w:t>作为施工现场组成部分的其他场所包括：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指由发包人提供的用于工程施工的场所以及发包人在图纸中具体指定的供施工使用的任何其他场所</w:t>
      </w:r>
      <w:r>
        <w:rPr>
          <w:rFonts w:hint="eastAsia" w:ascii="仿宋" w:hAnsi="仿宋" w:eastAsia="仿宋" w:cs="仿宋"/>
          <w:color w:val="000000"/>
          <w:sz w:val="24"/>
          <w:szCs w:val="24"/>
        </w:rPr>
        <w:t>。</w:t>
      </w:r>
    </w:p>
    <w:p w14:paraId="093188B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1.1.3.9</w:t>
      </w:r>
      <w:r>
        <w:rPr>
          <w:rFonts w:hint="eastAsia" w:ascii="仿宋" w:hAnsi="仿宋" w:eastAsia="仿宋" w:cs="仿宋"/>
          <w:b/>
          <w:bCs/>
          <w:color w:val="000000"/>
          <w:kern w:val="0"/>
          <w:sz w:val="24"/>
          <w:szCs w:val="24"/>
        </w:rPr>
        <w:t xml:space="preserve"> </w:t>
      </w:r>
      <w:r>
        <w:rPr>
          <w:rFonts w:hint="eastAsia" w:ascii="仿宋" w:hAnsi="仿宋" w:eastAsia="仿宋" w:cs="仿宋"/>
          <w:color w:val="000000"/>
          <w:kern w:val="0"/>
          <w:sz w:val="24"/>
          <w:szCs w:val="24"/>
        </w:rPr>
        <w:t>永久占地包括：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 </w:t>
      </w:r>
      <w:r>
        <w:rPr>
          <w:rFonts w:hint="eastAsia" w:ascii="仿宋" w:hAnsi="仿宋" w:eastAsia="仿宋" w:cs="仿宋"/>
          <w:color w:val="000000"/>
          <w:kern w:val="0"/>
          <w:sz w:val="24"/>
          <w:szCs w:val="24"/>
        </w:rPr>
        <w:t>。</w:t>
      </w:r>
    </w:p>
    <w:p w14:paraId="60FE17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b w:val="0"/>
          <w:bCs w:val="0"/>
          <w:color w:val="000000"/>
          <w:kern w:val="0"/>
          <w:sz w:val="24"/>
          <w:szCs w:val="24"/>
        </w:rPr>
        <w:t xml:space="preserve">1.1.3.10 </w:t>
      </w:r>
      <w:r>
        <w:rPr>
          <w:rFonts w:hint="eastAsia" w:ascii="仿宋" w:hAnsi="仿宋" w:eastAsia="仿宋" w:cs="仿宋"/>
          <w:color w:val="000000"/>
          <w:kern w:val="0"/>
          <w:sz w:val="24"/>
          <w:szCs w:val="24"/>
        </w:rPr>
        <w:t>临时占地包括：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61235480">
      <w:pPr>
        <w:spacing w:after="120" w:line="360" w:lineRule="auto"/>
        <w:ind w:firstLine="482" w:firstLineChars="200"/>
        <w:rPr>
          <w:rFonts w:hint="eastAsia" w:ascii="仿宋" w:hAnsi="仿宋" w:eastAsia="仿宋" w:cs="仿宋"/>
          <w:color w:val="000000"/>
          <w:sz w:val="24"/>
          <w:szCs w:val="24"/>
        </w:rPr>
      </w:pPr>
      <w:r>
        <w:rPr>
          <w:rFonts w:hint="eastAsia" w:ascii="仿宋" w:hAnsi="仿宋" w:eastAsia="仿宋" w:cs="仿宋"/>
          <w:b/>
          <w:bCs/>
          <w:color w:val="000000"/>
          <w:sz w:val="24"/>
          <w:szCs w:val="24"/>
        </w:rPr>
        <w:t>1.3法律</w:t>
      </w:r>
      <w:r>
        <w:rPr>
          <w:rFonts w:hint="eastAsia" w:ascii="仿宋" w:hAnsi="仿宋" w:eastAsia="仿宋" w:cs="仿宋"/>
          <w:color w:val="000000"/>
          <w:sz w:val="24"/>
          <w:szCs w:val="24"/>
        </w:rPr>
        <w:t xml:space="preserve"> </w:t>
      </w:r>
    </w:p>
    <w:p w14:paraId="205240F2">
      <w:pPr>
        <w:autoSpaceDE w:val="0"/>
        <w:autoSpaceDN w:val="0"/>
        <w:adjustRightIn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适用于合同的其他规范性文件：</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2D1C8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 标准和规范</w:t>
      </w:r>
    </w:p>
    <w:p w14:paraId="5870ACC4">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1.4.1</w:t>
      </w:r>
      <w:r>
        <w:rPr>
          <w:rFonts w:hint="eastAsia" w:ascii="仿宋" w:hAnsi="仿宋" w:eastAsia="仿宋" w:cs="仿宋"/>
          <w:color w:val="000000"/>
          <w:sz w:val="24"/>
          <w:szCs w:val="24"/>
        </w:rPr>
        <w:t>适用于工程的标准规范包括：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执行现行国家标准、规范，没有国家标准、规范但有行业标准、规范的，执行行业标准、规范。</w:t>
      </w:r>
    </w:p>
    <w:p w14:paraId="530060FD">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1.4.2</w:t>
      </w:r>
      <w:r>
        <w:rPr>
          <w:rFonts w:hint="eastAsia" w:ascii="仿宋" w:hAnsi="仿宋" w:eastAsia="仿宋" w:cs="仿宋"/>
          <w:b w:val="0"/>
          <w:bCs w:val="0"/>
          <w:color w:val="000000"/>
          <w:kern w:val="0"/>
          <w:sz w:val="24"/>
          <w:szCs w:val="24"/>
        </w:rPr>
        <w:t xml:space="preserve"> </w:t>
      </w: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rPr>
        <w:t>；</w:t>
      </w:r>
    </w:p>
    <w:p w14:paraId="77A18BA8">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发包人提供国外标准、规范的份数：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461320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5474334">
      <w:pPr>
        <w:spacing w:line="360" w:lineRule="auto"/>
        <w:ind w:left="596" w:leftChars="284"/>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1.4.3</w:t>
      </w:r>
      <w:r>
        <w:rPr>
          <w:rFonts w:hint="eastAsia" w:ascii="仿宋" w:hAnsi="仿宋" w:eastAsia="仿宋" w:cs="仿宋"/>
          <w:color w:val="000000"/>
          <w:sz w:val="24"/>
          <w:szCs w:val="24"/>
        </w:rPr>
        <w:t>发包人对工程的技术标准和功能要求的特殊要求：</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1A167A2">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1.5 合同文件的优先顺序</w:t>
      </w:r>
    </w:p>
    <w:p w14:paraId="544E2BE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合同文件组成及优先顺序为：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1、本合同协议书及其附件；</w:t>
      </w:r>
    </w:p>
    <w:p w14:paraId="7FCC2F5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2、本合同专用条款及其附件；</w:t>
      </w:r>
    </w:p>
    <w:p w14:paraId="448D5FD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3、本合同通用条款及其附件；</w:t>
      </w:r>
    </w:p>
    <w:p w14:paraId="49E25802">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4、经发包人认可的承包人各项承诺；</w:t>
      </w:r>
    </w:p>
    <w:p w14:paraId="2D69D493">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5、中标通知书；</w:t>
      </w:r>
    </w:p>
    <w:p w14:paraId="39C55BB8">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6、投标书及其附件；</w:t>
      </w:r>
    </w:p>
    <w:p w14:paraId="1C6665B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7、招标文件及其附件；</w:t>
      </w:r>
    </w:p>
    <w:p w14:paraId="13C820DC">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8、标准、规范；</w:t>
      </w:r>
    </w:p>
    <w:p w14:paraId="6B2DE934">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9、图纸；</w:t>
      </w:r>
    </w:p>
    <w:p w14:paraId="36D05657">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10、工程量清单、工程报价单或预算书；</w:t>
      </w:r>
    </w:p>
    <w:p w14:paraId="741A2F5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11、其他合同文件</w:t>
      </w:r>
      <w:r>
        <w:rPr>
          <w:rFonts w:hint="eastAsia" w:ascii="仿宋" w:hAnsi="仿宋" w:eastAsia="仿宋" w:cs="仿宋"/>
          <w:color w:val="000000"/>
          <w:sz w:val="24"/>
          <w:szCs w:val="24"/>
        </w:rPr>
        <w:t>。</w:t>
      </w:r>
    </w:p>
    <w:p w14:paraId="3173DC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 图纸和承包人文件</w:t>
      </w:r>
      <w:r>
        <w:rPr>
          <w:rFonts w:hint="eastAsia" w:ascii="仿宋" w:hAnsi="仿宋" w:eastAsia="仿宋" w:cs="仿宋"/>
          <w:b/>
          <w:bCs/>
          <w:color w:val="000000"/>
          <w:sz w:val="24"/>
          <w:szCs w:val="24"/>
        </w:rPr>
        <w:tab/>
      </w:r>
    </w:p>
    <w:p w14:paraId="0CC90CC9">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 图纸的提供</w:t>
      </w:r>
    </w:p>
    <w:p w14:paraId="276D6664">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发包人向承包人提供图纸的期限：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取得中标通知书或施工批复后3个工作日内提供</w:t>
      </w:r>
      <w:r>
        <w:rPr>
          <w:rFonts w:hint="eastAsia" w:ascii="仿宋" w:hAnsi="仿宋" w:eastAsia="仿宋" w:cs="仿宋"/>
          <w:color w:val="000000"/>
          <w:sz w:val="24"/>
          <w:szCs w:val="24"/>
          <w:u w:val="single"/>
        </w:rPr>
        <w:t></w:t>
      </w:r>
      <w:r>
        <w:rPr>
          <w:rFonts w:hint="eastAsia" w:ascii="宋体" w:hAnsi="宋体" w:eastAsia="宋体" w:cs="宋体"/>
          <w:color w:val="000000"/>
          <w:sz w:val="24"/>
          <w:szCs w:val="24"/>
        </w:rPr>
        <w:t>；</w:t>
      </w:r>
    </w:p>
    <w:p w14:paraId="1E0C534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发包人向承包人提供图纸的数量：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2套，承包人需要多套施工图的，自费复印</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431A10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发包人向承包人提供图纸的内容：</w:t>
      </w:r>
      <w:r>
        <w:rPr>
          <w:rFonts w:hint="eastAsia" w:ascii="仿宋" w:hAnsi="仿宋" w:eastAsia="仿宋" w:cs="仿宋"/>
          <w:color w:val="auto"/>
          <w:sz w:val="24"/>
          <w:szCs w:val="24"/>
          <w:highlight w:val="none"/>
          <w:u w:val="single"/>
        </w:rPr>
        <w:t>本合同发包内容中的全部图纸</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2A65A5E4">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1.6.4 承包人文件</w:t>
      </w:r>
    </w:p>
    <w:p w14:paraId="5F03C89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需要由承包人提供的文件，包括：</w:t>
      </w:r>
      <w:r>
        <w:rPr>
          <w:rFonts w:hint="eastAsia" w:ascii="仿宋" w:hAnsi="仿宋" w:eastAsia="仿宋" w:cs="仿宋"/>
          <w:color w:val="auto"/>
          <w:sz w:val="24"/>
          <w:szCs w:val="24"/>
          <w:highlight w:val="none"/>
          <w:u w:val="single"/>
        </w:rPr>
        <w:t>施工组织设计和安全专项方案，每月25日前提供本月完成工程量报表、下月进度计划详表等</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AF28A9">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承包人提供的文件的期限为：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合同签订后14天内，但最迟不得晚于开工日期前7天，应提供完善的施工组织设计和安全专项方案，每月25日前提供本月完成工程量报表、下月进度计划详表等</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7831EEA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承包人提供的文件的数量为：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30202AC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承包人提供的文件的形式为：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纸质版及电子版（可编辑版、PDF版）</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6244BDF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发包人审批承包人文件的期限：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01E839B0">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1.6.5 现场图纸准备</w:t>
      </w:r>
    </w:p>
    <w:p w14:paraId="4F435F8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关于现场图纸准备的约定：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施工现场保留一套完整图纸供发包人、监理人及有关人员随时使用</w:t>
      </w:r>
      <w:r>
        <w:rPr>
          <w:rFonts w:hint="eastAsia" w:ascii="仿宋" w:hAnsi="仿宋" w:eastAsia="仿宋" w:cs="仿宋"/>
          <w:color w:val="000000"/>
          <w:sz w:val="24"/>
          <w:szCs w:val="24"/>
        </w:rPr>
        <w:t>。</w:t>
      </w:r>
    </w:p>
    <w:p w14:paraId="6DBBB291">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1.7 联络</w:t>
      </w:r>
    </w:p>
    <w:p w14:paraId="6C647CA3">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1.7.1</w:t>
      </w:r>
      <w:r>
        <w:rPr>
          <w:rFonts w:hint="eastAsia" w:ascii="仿宋" w:hAnsi="仿宋" w:eastAsia="仿宋" w:cs="仿宋"/>
          <w:color w:val="000000"/>
          <w:kern w:val="0"/>
          <w:sz w:val="24"/>
          <w:szCs w:val="24"/>
        </w:rPr>
        <w:t>发包人和承包人应当在</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天内将与合同有关的通知、批准、证明、证书、指示、指令、要求、请求、同意、意见、确定和决定等书面函件送达对方当事人。</w:t>
      </w:r>
    </w:p>
    <w:p w14:paraId="2138966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1.7.2</w:t>
      </w:r>
      <w:r>
        <w:rPr>
          <w:rFonts w:hint="eastAsia" w:ascii="仿宋" w:hAnsi="仿宋" w:eastAsia="仿宋" w:cs="仿宋"/>
          <w:color w:val="000000"/>
          <w:kern w:val="0"/>
          <w:sz w:val="24"/>
          <w:szCs w:val="24"/>
        </w:rPr>
        <w:t xml:space="preserve"> 发包人接收文件的地点：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20358A9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发包人指定的接收人为：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2593E7A5">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4F4631ED">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0050BD77">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05A92DEB">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16FF571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1.10 交通运输</w:t>
      </w:r>
    </w:p>
    <w:p w14:paraId="65BC7A81">
      <w:pPr>
        <w:spacing w:line="360" w:lineRule="auto"/>
        <w:ind w:firstLine="480" w:firstLineChars="200"/>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w:t>
      </w:r>
      <w:bookmarkStart w:id="128" w:name="_Toc318581155"/>
      <w:bookmarkStart w:id="129" w:name="_Toc312677986"/>
      <w:bookmarkStart w:id="130" w:name="_Toc303539100"/>
      <w:bookmarkStart w:id="131" w:name="_Toc304295521"/>
      <w:bookmarkStart w:id="132" w:name="_Toc300934943"/>
      <w:r>
        <w:rPr>
          <w:rFonts w:hint="eastAsia" w:ascii="仿宋" w:hAnsi="仿宋" w:eastAsia="仿宋" w:cs="仿宋"/>
          <w:b w:val="0"/>
          <w:bCs w:val="0"/>
          <w:sz w:val="24"/>
          <w:szCs w:val="24"/>
        </w:rPr>
        <w:t>.10.1 出入现场的权利</w:t>
      </w:r>
    </w:p>
    <w:p w14:paraId="46811C24">
      <w:pPr>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关于出入现场的权利的约定：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w:t>
      </w:r>
      <w:r>
        <w:rPr>
          <w:rFonts w:hint="eastAsia" w:ascii="仿宋" w:hAnsi="仿宋" w:eastAsia="仿宋" w:cs="仿宋"/>
          <w:sz w:val="24"/>
          <w:szCs w:val="24"/>
        </w:rPr>
        <w:t>。</w:t>
      </w:r>
    </w:p>
    <w:bookmarkEnd w:id="128"/>
    <w:bookmarkEnd w:id="129"/>
    <w:bookmarkEnd w:id="130"/>
    <w:bookmarkEnd w:id="131"/>
    <w:bookmarkEnd w:id="132"/>
    <w:p w14:paraId="22CD5277">
      <w:pPr>
        <w:spacing w:line="360" w:lineRule="auto"/>
        <w:ind w:firstLine="480" w:firstLineChars="200"/>
        <w:jc w:val="left"/>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1.10.3 场内交通</w:t>
      </w:r>
    </w:p>
    <w:p w14:paraId="18A8E93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关于场外交通和场内交通的边界的约定：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以建筑红线为边界</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rPr>
        <w:t>。</w:t>
      </w:r>
    </w:p>
    <w:p w14:paraId="27D81C4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关于发包人向承包人免费提供满足工程施工需要的场内道路和交通设施的约定：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不提供，由承包人负责修建、维修、养护和管理施工所需的场内临时道路和交通设施。发包人和监理人可以使用承包人修建的临时道路和交通设施</w:t>
      </w:r>
      <w:r>
        <w:rPr>
          <w:rFonts w:hint="eastAsia" w:ascii="仿宋" w:hAnsi="仿宋" w:eastAsia="仿宋" w:cs="仿宋"/>
          <w:sz w:val="24"/>
          <w:szCs w:val="24"/>
        </w:rPr>
        <w:t xml:space="preserve">。  </w:t>
      </w:r>
    </w:p>
    <w:p w14:paraId="49A1D98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1.10.4超大件和超重件的运输</w:t>
      </w:r>
    </w:p>
    <w:p w14:paraId="43B309C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运输超大件或超重件所需的道路和桥梁临时加固改造费用和其他有关费用由</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w:t>
      </w:r>
      <w:r>
        <w:rPr>
          <w:rFonts w:hint="eastAsia" w:ascii="仿宋" w:hAnsi="仿宋" w:eastAsia="仿宋" w:cs="仿宋"/>
          <w:sz w:val="24"/>
          <w:szCs w:val="24"/>
          <w:u w:val="single"/>
        </w:rPr>
        <w:t xml:space="preserve">      </w:t>
      </w:r>
      <w:r>
        <w:rPr>
          <w:rFonts w:hint="eastAsia" w:ascii="仿宋" w:hAnsi="仿宋" w:eastAsia="仿宋" w:cs="仿宋"/>
          <w:sz w:val="24"/>
          <w:szCs w:val="24"/>
        </w:rPr>
        <w:t>承担。</w:t>
      </w:r>
    </w:p>
    <w:p w14:paraId="71E3785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知识产权</w:t>
      </w:r>
    </w:p>
    <w:p w14:paraId="279A7D91">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1.11.1</w:t>
      </w:r>
      <w:r>
        <w:rPr>
          <w:rFonts w:hint="eastAsia" w:ascii="仿宋" w:hAnsi="仿宋" w:eastAsia="仿宋" w:cs="仿宋"/>
          <w:color w:val="000000"/>
          <w:sz w:val="24"/>
          <w:szCs w:val="24"/>
        </w:rPr>
        <w:t>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A3950A3">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关于发包人提供的上述文件的使用限制的要求：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382379">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1.11.2 </w:t>
      </w:r>
      <w:r>
        <w:rPr>
          <w:rFonts w:hint="eastAsia" w:ascii="仿宋" w:hAnsi="仿宋" w:eastAsia="仿宋" w:cs="仿宋"/>
          <w:color w:val="000000"/>
          <w:sz w:val="24"/>
          <w:szCs w:val="24"/>
        </w:rPr>
        <w:t>关于承包人为实施工程所编制文件的著作权的归属：</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310DDD">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关于承包人提供的上述文件的使用限制的要求：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181FF71">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 xml:space="preserve">1.11.4 </w:t>
      </w:r>
      <w:r>
        <w:rPr>
          <w:rFonts w:hint="eastAsia" w:ascii="仿宋" w:hAnsi="仿宋" w:eastAsia="仿宋" w:cs="仿宋"/>
          <w:color w:val="000000"/>
          <w:sz w:val="24"/>
          <w:szCs w:val="24"/>
        </w:rPr>
        <w:t>承包人在施工过程中所采用的专利、专有技术、技术秘密的使用费的承担方式：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已包含在合同价款中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EB46F5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1.13工程量清单错误的修正</w:t>
      </w:r>
    </w:p>
    <w:p w14:paraId="170E5D18">
      <w:pPr>
        <w:spacing w:line="30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出现工程量清单错误时，是否调整合同价格：</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结算时，工程量按照“经甲方确认的竣工图纸”计算。</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①合同中有相同或类似工程项目单价的，可以参照合同中相同或类似项目的综合单价计算确定。</w:t>
      </w:r>
    </w:p>
    <w:p w14:paraId="4FEE6DD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491BD882">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③由于清单项目中项目特征或工程内容发生部分变更的，应以原综合单价为基础，仅就变更部分相应定额子目调整综合单价。</w:t>
      </w:r>
    </w:p>
    <w:p w14:paraId="7E78F310">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④以上重新组价的综合单价不能高于按工程所在地现行工程造价计价规则和计价依据规定计算的价格。</w:t>
      </w:r>
    </w:p>
    <w:p w14:paraId="01AA838A">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现场所发生的施工零星用工在结算时按计日工用量（由现场签认）乘以相应的单价计算后，只计取利润和税金。</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B025D9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允许调整合同价格的工程量偏差范围：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据实调整</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7D7983C2">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 发包人</w:t>
      </w:r>
    </w:p>
    <w:p w14:paraId="3221C34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2.2 发包人代表</w:t>
      </w:r>
    </w:p>
    <w:p w14:paraId="7157CD0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发包人代表：</w:t>
      </w:r>
    </w:p>
    <w:p w14:paraId="74637C4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E75490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6D69181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ECE60D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1B216B0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6F12813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52721C1">
      <w:pPr>
        <w:spacing w:line="360" w:lineRule="auto"/>
        <w:ind w:firstLine="480" w:firstLineChars="200"/>
        <w:rPr>
          <w:rFonts w:hint="eastAsia" w:ascii="宋体" w:hAnsi="宋体" w:eastAsia="宋体" w:cs="宋体"/>
          <w:b/>
          <w:color w:val="000000"/>
          <w:sz w:val="24"/>
          <w:szCs w:val="24"/>
        </w:rPr>
      </w:pPr>
      <w:r>
        <w:rPr>
          <w:rFonts w:hint="eastAsia" w:ascii="仿宋" w:hAnsi="仿宋" w:eastAsia="仿宋" w:cs="仿宋"/>
          <w:color w:val="000000"/>
          <w:sz w:val="24"/>
          <w:szCs w:val="24"/>
        </w:rPr>
        <w:t>发包人对发包人代表的授权范围如下：</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有权反对和要求承包人从该项目立即解除在发包人看来行为不端、不能胜任工作或玩忽职守，或者发包人出于其他考虑不希望该人出现在现场，并且未经发包人同意不允许再次雇佣的人员。凡有任何人员离开，承包人都应尽快补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1BA2EB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2.4 施工现场、施工条件和基础资料的提供</w:t>
      </w:r>
    </w:p>
    <w:p w14:paraId="77E3AEF7">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2.4.1 提供施工现场</w:t>
      </w:r>
    </w:p>
    <w:p w14:paraId="3A0307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关于发包人移交施工现场的期限要求：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开工前5个工作日内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7123ADB">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2.4.2 提供施工条件</w:t>
      </w:r>
    </w:p>
    <w:p w14:paraId="2CB2BFC4">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关于发包人应负责提供施工所需要的条件，包括：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将水、电线路接至施工场区。组织现场水准点与坐标控制点交验，承包人自行安装水电表及相关设备 </w:t>
      </w:r>
      <w:r>
        <w:rPr>
          <w:rFonts w:hint="eastAsia" w:ascii="仿宋" w:hAnsi="仿宋" w:eastAsia="仿宋" w:cs="仿宋"/>
          <w:color w:val="000000"/>
          <w:sz w:val="24"/>
          <w:szCs w:val="24"/>
        </w:rPr>
        <w:t>。</w:t>
      </w:r>
    </w:p>
    <w:p w14:paraId="5123281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2.5 资金来源证明及支付担保</w:t>
      </w:r>
    </w:p>
    <w:p w14:paraId="29423F55">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发包人提供资金来源证明的期限要求：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C3CB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发包人是否提供支付担保：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7CD8917F">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发包人提供支付担保的形式：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4BD233C">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3. 承包人</w:t>
      </w:r>
    </w:p>
    <w:p w14:paraId="3E91A661">
      <w:pPr>
        <w:spacing w:after="120" w:line="360" w:lineRule="auto"/>
        <w:ind w:firstLine="482" w:firstLineChars="200"/>
        <w:outlineLvl w:val="9"/>
        <w:rPr>
          <w:rFonts w:hint="eastAsia" w:ascii="宋体" w:hAnsi="宋体" w:eastAsia="宋体" w:cs="宋体"/>
          <w:b/>
          <w:bCs/>
          <w:color w:val="000000"/>
          <w:sz w:val="24"/>
          <w:szCs w:val="24"/>
        </w:rPr>
      </w:pPr>
      <w:r>
        <w:rPr>
          <w:rFonts w:hint="eastAsia" w:ascii="仿宋" w:hAnsi="仿宋" w:eastAsia="仿宋" w:cs="仿宋"/>
          <w:b/>
          <w:bCs/>
          <w:color w:val="000000"/>
          <w:sz w:val="24"/>
          <w:szCs w:val="24"/>
        </w:rPr>
        <w:t>3.1 承包人的一般义务</w:t>
      </w:r>
    </w:p>
    <w:p w14:paraId="32F0183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（9）</w:t>
      </w:r>
      <w:r>
        <w:rPr>
          <w:rFonts w:hint="eastAsia" w:ascii="仿宋" w:hAnsi="仿宋" w:eastAsia="仿宋" w:cs="仿宋"/>
          <w:color w:val="000000"/>
          <w:sz w:val="24"/>
          <w:szCs w:val="24"/>
        </w:rPr>
        <w:t>承包人提交的竣工资料的内容：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提交完整的符合国家现行《建设工程文件归档整理规范》及工程所在地政府标准要求的竣工资料，包括合格的竣工图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1BD02C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承包人需要提交的竣工资料套数：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四套，正、副本各两套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BF680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承包人提交的竣工资料的费用承担：</w:t>
      </w:r>
      <w:r>
        <w:rPr>
          <w:rFonts w:hint="eastAsia" w:ascii="仿宋" w:hAnsi="仿宋" w:eastAsia="仿宋" w:cs="仿宋"/>
          <w:color w:val="auto"/>
          <w:sz w:val="24"/>
          <w:szCs w:val="24"/>
          <w:highlight w:val="none"/>
          <w:u w:val="single"/>
        </w:rPr>
        <w:t xml:space="preserve"> 已包含在合同价款中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E475BF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承包人提交的竣工资料移交时间：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工程竣工验收合格后1个月内  </w:t>
      </w:r>
      <w:r>
        <w:rPr>
          <w:rFonts w:hint="eastAsia" w:ascii="仿宋" w:hAnsi="仿宋" w:eastAsia="仿宋" w:cs="仿宋"/>
          <w:color w:val="000000"/>
          <w:sz w:val="24"/>
          <w:szCs w:val="24"/>
        </w:rPr>
        <w:t>。</w:t>
      </w:r>
    </w:p>
    <w:p w14:paraId="706D511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承包人提交的竣工资料形式要求：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纸质版及电子文档，承包人应根据《关于加强全省建设工程电子档案报送工作的通知》（陕建发〔2010〕102号）进行归档管理，如涉及到相关费用，由承包人承担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9C972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（10）承包人应履行的其他义务：</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①施工、生活用水用电由承包人自行解决，安装供水、供电线路及水、电表并承担其费用，水、电费由承包人按实际发生单向提供位缴纳；通讯线路和设备由承包人自行解决并承担其费用；</w:t>
      </w:r>
    </w:p>
    <w:p w14:paraId="04A90F7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②场内道路由承包人自行解决。承包人负责施工过程中对原通行道路损坏的修复及工程四周安全防护等，确保行人、车辆安全通行，并负责对影响范围内水、电、通讯等管线的保护和修复；</w:t>
      </w:r>
    </w:p>
    <w:p w14:paraId="040FE9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③在土石方倒运过程中，相关手续办理、沿线政策处理及道路维护、清扫、通行安全等责任及费用由承包人承担；</w:t>
      </w:r>
    </w:p>
    <w:p w14:paraId="7F079313">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④承包人对所有施工人员及劳务人员的疫情防控工作负全面责任，遵守当地政府及发包人关于疫情防控的相关制度及规定，并承担相关费用；</w:t>
      </w:r>
    </w:p>
    <w:p w14:paraId="533A3C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为配合其他承包人在本项目施工范围的其他项目施工，承包人应按发包人的要求，为其他承包人提供必要的施工条件和服务，包括接受施工进度协调、工序的衔接、场地的使用及机械设备的租用等，关于双方费用的补偿问题，由发包人组织各承包人协商解决；</w:t>
      </w:r>
    </w:p>
    <w:p w14:paraId="06E8A67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承包人若需搭建临时办公用房需要向相关部门办理审批手续的，由承包人自行负责并承担其费用；在工程验收交工前，施工临时占用的场地（含硬化层）及临时搭建的办公房、工棚、围墙等，在工程验收合格后20天内必须自行拆除并清理干净，费用由承包人承担。承包人无经发包人确认的正当理由仍不按照约定期限执行的，发包人将安排其他单位拆除清理，相关费用从承包人合同价款中扣除，且按工期延误处罚；</w:t>
      </w:r>
    </w:p>
    <w:p w14:paraId="14950A2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⑦承包人应按文明施工、安全防护、环境保护要求进行施工，负责施工现场的保护，并承担因保护措施不力造成的损失及责任；</w:t>
      </w:r>
    </w:p>
    <w:p w14:paraId="537165D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⑧承包人工程技术资料必须与工程施工进度同步，质保资料、试验资料、报验资料、合格证书等齐全有效，砼试块资料可采用7天龄期的报告单；</w:t>
      </w:r>
    </w:p>
    <w:p w14:paraId="44D7DC9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⑨农民工工资支付</w:t>
      </w:r>
    </w:p>
    <w:p w14:paraId="50815DE0">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按照《保障农民工工资支付条例》（国务院令第724号）规定，承包人提供以下账户作为农民工工资专用账户：</w:t>
      </w:r>
    </w:p>
    <w:p w14:paraId="489618D5">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户  名：                                               </w:t>
      </w:r>
    </w:p>
    <w:p w14:paraId="31F1EEF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开户行：                                               </w:t>
      </w:r>
    </w:p>
    <w:p w14:paraId="25E7D3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账  号：                                                </w:t>
      </w:r>
    </w:p>
    <w:p w14:paraId="4A282A7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承包人承诺，每月按验收合格工程进度款的10%确定的农民工工资金额，经发包人审核后，将该笔款项支付至农民工工资专用账户中。农民工工资专用账户的款项专项用于支付该工程建设项目农民工工资，承包人不得将该账户的款项用于支付其他项目支出。每月进行工程量验收时应提供上月农民工工资发放明细，确保按时发放农民工工资，否则发包人有权从承包人合同价款中结算农民工工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FB47D6">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3.2 项目经理</w:t>
      </w:r>
    </w:p>
    <w:p w14:paraId="5E69F83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3.2.1 </w:t>
      </w:r>
      <w:r>
        <w:rPr>
          <w:rFonts w:hint="eastAsia" w:ascii="仿宋" w:hAnsi="仿宋" w:eastAsia="仿宋" w:cs="仿宋"/>
          <w:color w:val="000000"/>
          <w:sz w:val="24"/>
          <w:szCs w:val="24"/>
        </w:rPr>
        <w:t>项目经理：</w:t>
      </w:r>
    </w:p>
    <w:p w14:paraId="06CF15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2CD042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328E0D8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建造师执业资格等级：</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DD9CB36">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建造师注册证书号：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6ED11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建造师执业印章号：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7DE573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安全生产考核合格证书号：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AA9E7E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E3DC57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8C7670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276732E">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承包人对项目经理的授权范围如下：</w:t>
      </w:r>
      <w:r>
        <w:rPr>
          <w:rFonts w:hint="eastAsia" w:ascii="仿宋" w:hAnsi="仿宋" w:eastAsia="仿宋" w:cs="仿宋"/>
          <w:color w:val="000000"/>
          <w:sz w:val="24"/>
          <w:szCs w:val="24"/>
          <w:u w:val="single"/>
        </w:rPr>
        <w:t xml:space="preserve">                                                        </w:t>
      </w:r>
      <w:r>
        <w:rPr>
          <w:rFonts w:hint="eastAsia" w:ascii="宋体" w:hAnsi="宋体" w:eastAsia="宋体" w:cs="宋体"/>
          <w:color w:val="000000"/>
          <w:sz w:val="24"/>
          <w:szCs w:val="24"/>
        </w:rPr>
        <w:t>。</w:t>
      </w:r>
    </w:p>
    <w:p w14:paraId="5F8027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关于项目经理每月在施工现场的时间要求：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每周在工地不得少于5天，每少1天承担违约金2000元，项目经理要外出一天以上的（含一天）必须事先取得发包人的许可，否则按缺勤处理。项目经理每次请假时间不超过3天</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1234DB8C">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承包人未提交劳动合同，以及没有为项目经理缴纳社会保险证明的违约责任：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项目经理无权履行职责，发包人有权要求更换项目经理，由此增加的费用和延误的工期由承包人承担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AAAF9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项目经理未经批准，擅自离开施工现场的违约责任：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2000元/天向发包人支付违约金，并按照《关于房屋建筑和市政设施工程领域建筑工人实名制管理工作的通知》（陕建管发〔2021〕45号）文件规定进行不良行为上报，同时承担因擅自离开造成的其他责任。项目经理与技术负责人不能同时离场，否则视为同等违约</w:t>
      </w:r>
      <w:r>
        <w:rPr>
          <w:rFonts w:hint="eastAsia" w:ascii="仿宋" w:hAnsi="仿宋" w:eastAsia="仿宋" w:cs="仿宋"/>
          <w:color w:val="000000"/>
          <w:sz w:val="24"/>
          <w:szCs w:val="24"/>
        </w:rPr>
        <w:t>。</w:t>
      </w:r>
    </w:p>
    <w:p w14:paraId="76ED001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3.2.3 承包人擅自更换项目经理的违约责任：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按10万元/次向发包人支付违约金，并按照《关于开展全省建筑市场秩序专项整治工作的通知》（陕建发〔2019〕1180号）文件规定，在陕西省建筑市场监管与诚信信息一体化平台进行不良行为上报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rPr>
        <w:t>。</w:t>
      </w:r>
    </w:p>
    <w:p w14:paraId="4FDC72A1">
      <w:pPr>
        <w:spacing w:line="360" w:lineRule="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3.2.4 承包人无正当理由拒绝更换项目经理的违约责任：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按1万元/天向发包人支付违约金，并按照《关于开展全省建筑市场秩序专项整治工作的通知》（陕建发〔2019〕1180号）文件规定，在陕西省建筑市场监管与诚信信息一体化平台进行不良行为上报。</w:t>
      </w:r>
    </w:p>
    <w:p w14:paraId="3C3FB3A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3.3 承包人人员</w:t>
      </w:r>
    </w:p>
    <w:p w14:paraId="5955AC7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3.3.1 承包人提交项目管理机构及施工现场管理人员安排报告的期限：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开工前7天内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A96176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3.3.3 承包人无正当理由拒绝撤换主要施工管理人员的违约责任：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2000元/天，其他人员按1000元/天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024E3D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3.3.4 承包人主要施工管理人员离开施工现场的批准要求：</w:t>
      </w:r>
      <w:r>
        <w:rPr>
          <w:rFonts w:hint="eastAsia" w:ascii="仿宋" w:hAnsi="仿宋" w:eastAsia="仿宋" w:cs="仿宋"/>
          <w:color w:val="auto"/>
          <w:sz w:val="24"/>
          <w:szCs w:val="24"/>
          <w:highlight w:val="none"/>
          <w:u w:val="single"/>
        </w:rPr>
        <w:t>由总监理工程师批准，发包人同意后方可离开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C6552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3.3.5承包人擅自更换主要施工管理人员的违约责任：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1万元/次，其他人员按3000元/次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8CE8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承包人主要施工管理人员擅自离开施工现场的违约责任：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项目技术负责人按2000元/天，其他人员按1000元/天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F48B9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3.5 分包</w:t>
      </w:r>
    </w:p>
    <w:p w14:paraId="0CBC3D8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3.5.1 分包的一般约定</w:t>
      </w:r>
    </w:p>
    <w:p w14:paraId="37AF1D7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禁止分包的工程包括：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全部工程范围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43D2CE">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sz w:val="24"/>
          <w:szCs w:val="24"/>
        </w:rPr>
        <w:t>主体结构、关键性工作的范围：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EEB0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3.5.2分包的确定</w:t>
      </w:r>
    </w:p>
    <w:p w14:paraId="1BE1764B">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sz w:val="24"/>
          <w:szCs w:val="24"/>
        </w:rPr>
        <w:t>允许分包的专业工程包括：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06CAED">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其他关于分包的约定：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9B6A7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3.5.4 分包合同价款</w:t>
      </w:r>
    </w:p>
    <w:p w14:paraId="270A4FF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关于分包合同价款支付的约定：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130C1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3.6 工程照管与成品、半成品保护</w:t>
      </w:r>
    </w:p>
    <w:p w14:paraId="43BBCBF4">
      <w:pPr>
        <w:spacing w:before="120" w:after="120" w:line="360" w:lineRule="auto"/>
        <w:ind w:firstLine="480"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承包人负责照管工程及工程相关的材料、工程设备的起始时间：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在未竣工验收以前均由承包人负责，并承担全部费用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E34711E">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3.7 履约担保</w:t>
      </w:r>
    </w:p>
    <w:p w14:paraId="5AD4D29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承包人是否提供履约担保：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3F9FD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承包人提供履约担保的形式、金额及期限的：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1E5E9">
      <w:pPr>
        <w:spacing w:before="120" w:after="120" w:line="360" w:lineRule="auto"/>
        <w:outlineLvl w:val="9"/>
        <w:rPr>
          <w:rFonts w:hint="eastAsia" w:ascii="仿宋" w:hAnsi="仿宋" w:eastAsia="仿宋" w:cs="仿宋"/>
          <w:b/>
          <w:bCs w:val="0"/>
          <w:color w:val="000000"/>
          <w:sz w:val="24"/>
          <w:szCs w:val="24"/>
        </w:rPr>
      </w:pPr>
      <w:bookmarkStart w:id="133" w:name="_Toc351203636"/>
      <w:r>
        <w:rPr>
          <w:rFonts w:hint="eastAsia" w:ascii="仿宋" w:hAnsi="仿宋" w:eastAsia="仿宋" w:cs="仿宋"/>
          <w:b/>
          <w:bCs w:val="0"/>
          <w:color w:val="000000"/>
          <w:sz w:val="24"/>
          <w:szCs w:val="24"/>
        </w:rPr>
        <w:t>4</w:t>
      </w:r>
      <w:bookmarkStart w:id="134" w:name="_Toc292559871"/>
      <w:bookmarkStart w:id="135" w:name="_Toc296503162"/>
      <w:bookmarkStart w:id="136" w:name="_Toc296891202"/>
      <w:bookmarkStart w:id="137" w:name="_Toc292559366"/>
      <w:bookmarkStart w:id="138" w:name="_Toc297120462"/>
      <w:bookmarkStart w:id="139" w:name="_Toc267251413"/>
      <w:bookmarkStart w:id="140" w:name="_Toc296347161"/>
      <w:bookmarkStart w:id="141" w:name="_Toc296890990"/>
      <w:bookmarkStart w:id="142" w:name="_Toc296346663"/>
      <w:bookmarkStart w:id="143" w:name="_Toc296944501"/>
      <w:bookmarkStart w:id="144" w:name="_Toc297048348"/>
      <w:r>
        <w:rPr>
          <w:rFonts w:hint="eastAsia" w:ascii="仿宋" w:hAnsi="仿宋" w:eastAsia="仿宋" w:cs="仿宋"/>
          <w:b/>
          <w:bCs w:val="0"/>
          <w:color w:val="000000"/>
          <w:sz w:val="24"/>
          <w:szCs w:val="24"/>
        </w:rPr>
        <w:t>. 监</w:t>
      </w:r>
      <w:bookmarkEnd w:id="134"/>
      <w:bookmarkEnd w:id="135"/>
      <w:bookmarkEnd w:id="136"/>
      <w:bookmarkEnd w:id="137"/>
      <w:bookmarkEnd w:id="138"/>
      <w:bookmarkEnd w:id="139"/>
      <w:bookmarkEnd w:id="140"/>
      <w:bookmarkEnd w:id="141"/>
      <w:bookmarkEnd w:id="142"/>
      <w:bookmarkEnd w:id="143"/>
      <w:bookmarkEnd w:id="144"/>
      <w:r>
        <w:rPr>
          <w:rFonts w:hint="eastAsia" w:ascii="仿宋" w:hAnsi="仿宋" w:eastAsia="仿宋" w:cs="仿宋"/>
          <w:b/>
          <w:bCs w:val="0"/>
          <w:color w:val="000000"/>
          <w:sz w:val="24"/>
          <w:szCs w:val="24"/>
        </w:rPr>
        <w:t>理人</w:t>
      </w:r>
      <w:bookmarkEnd w:id="133"/>
    </w:p>
    <w:p w14:paraId="499FEB7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4.1监理人的一般规定</w:t>
      </w:r>
    </w:p>
    <w:p w14:paraId="33C98724">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2AC73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关于监理人的监理权限：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61532A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关于监理人在施工现场的办公场所、生活场所的提供和费用承担的约定：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F899B4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4.2 监理人员</w:t>
      </w:r>
    </w:p>
    <w:p w14:paraId="06FFCBB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总监理工程师：</w:t>
      </w:r>
    </w:p>
    <w:p w14:paraId="6D57FA3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DB2AD7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479074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监理工程师执业资格证书号：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2EDCA2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65A1A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5A30BF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BA57A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关于监理人的其他约定：</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709A0D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4.4 商定或确定</w:t>
      </w:r>
    </w:p>
    <w:p w14:paraId="587A56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在发包人和承包人不能通过协商达成一致意见时，发包人授权监理人对以下事项进行确定：</w:t>
      </w:r>
    </w:p>
    <w:p w14:paraId="3E8184B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B17ADEC">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63F864E">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4C1D65F">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5. 工程质量</w:t>
      </w:r>
    </w:p>
    <w:p w14:paraId="3099361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5.1 质量要求</w:t>
      </w:r>
    </w:p>
    <w:p w14:paraId="4248FC90">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5.1.1 特殊质量标准和要求：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工程质量必须达到(建筑工程施工质量验收统一标准)有关标准的合格等级，按分项工程评定的合格率100％；工程一次交验合格率必须达到100％。若因承包人原因导致工程质量未达到合格标准，则承包人承担合同价款5%的违约金，并负责整改直至达到合格标准</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8ABDD4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关于工程奖项的约定：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8F2776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5.3 隐蔽工程检查</w:t>
      </w:r>
    </w:p>
    <w:p w14:paraId="46584A7D">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5.3.2承包人提前通知监理人隐蔽工程检查的期限的约定：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未经监理（发包人）批准，承包人所施工的任何隐蔽工程均不能实施覆盖，当承包人施工的隐蔽工程已自检合格具备验收条件时，承包人必须提前24小时书面通知监理（发包人），通知包括隐蔽的内容、地点、申请验收的时间，由监理组织有关人员对该部分工程进行检验，检验合格后，再报请发包人进行隐蔽验收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C567C9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监理人不能按时进行检查时，应提前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12</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632EE92">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5BA5AB8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6. 安全文明施工与环境保护</w:t>
      </w:r>
    </w:p>
    <w:p w14:paraId="7CAE2FE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6.1安全文明施工</w:t>
      </w:r>
    </w:p>
    <w:p w14:paraId="56DB75A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6.1.1</w:t>
      </w:r>
      <w:r>
        <w:rPr>
          <w:rFonts w:hint="eastAsia" w:ascii="仿宋" w:hAnsi="仿宋" w:eastAsia="仿宋" w:cs="仿宋"/>
          <w:color w:val="000000"/>
          <w:sz w:val="24"/>
          <w:szCs w:val="24"/>
        </w:rPr>
        <w:t xml:space="preserve"> 项目安全生产的达标目标及相应事项的约定：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1）符合安全、环保、职业健康有关法律法规、标准规范要求；（2）杜绝安全生产和重大涉险责任事故；（3）杜绝一般及以上火灾事故；（4）控制噪声、粉尘、渣土、废水、废气对环境的污染；（5）做到施工不扰民，不影响办公和会议；（6）职业健康安全教育覆盖率100%；（7）个人劳动保护用品配备率100%；（8）重点特种设备监控率100%，监控责任人落实率100%；（9）特种作业人员持证上岗率100%；（10）固体废弃物分类、集中管理；（11）杜绝因管控不到位引发的新冠疫情传染事件 </w:t>
      </w:r>
      <w:r>
        <w:rPr>
          <w:rFonts w:hint="eastAsia" w:ascii="仿宋" w:hAnsi="仿宋" w:eastAsia="仿宋" w:cs="仿宋"/>
          <w:sz w:val="24"/>
          <w:szCs w:val="24"/>
        </w:rPr>
        <w:t>。</w:t>
      </w:r>
    </w:p>
    <w:p w14:paraId="6BFC774D">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6.1.2 临时用电保证措施：</w:t>
      </w:r>
      <w:r>
        <w:rPr>
          <w:rFonts w:hint="eastAsia" w:ascii="仿宋" w:hAnsi="仿宋" w:eastAsia="仿宋" w:cs="仿宋"/>
          <w:color w:val="auto"/>
          <w:sz w:val="24"/>
          <w:szCs w:val="24"/>
          <w:highlight w:val="none"/>
          <w:u w:val="single"/>
        </w:rPr>
        <w:t>承包人必须按照有关规定编制临时用电方案，计划停（送、接）电或临时用电前，必须先行联系发包人。因承包人原因造成事件、事故时，承包人承担全部责任和费用，并赔偿因此对发包人造成的损失。</w:t>
      </w:r>
    </w:p>
    <w:p w14:paraId="3A1CF2A7">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6.1.3 工程周边安全防护：</w:t>
      </w:r>
      <w:r>
        <w:rPr>
          <w:rFonts w:hint="eastAsia" w:ascii="仿宋" w:hAnsi="仿宋" w:eastAsia="仿宋" w:cs="仿宋"/>
          <w:color w:val="auto"/>
          <w:sz w:val="24"/>
          <w:szCs w:val="24"/>
          <w:highlight w:val="none"/>
          <w:u w:val="single"/>
        </w:rPr>
        <w:t>承包人必须做好工程周边安全防护工作，并确保过往车辆、行人安全通行，费用已包含在合同价款。</w:t>
      </w:r>
    </w:p>
    <w:p w14:paraId="7717B904">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6.1.4 关于治安保卫的特别约定：</w:t>
      </w:r>
      <w:r>
        <w:rPr>
          <w:rFonts w:hint="eastAsia" w:ascii="仿宋" w:hAnsi="仿宋" w:eastAsia="仿宋" w:cs="仿宋"/>
          <w:color w:val="auto"/>
          <w:sz w:val="24"/>
          <w:szCs w:val="24"/>
          <w:highlight w:val="none"/>
          <w:u w:val="single"/>
        </w:rPr>
        <w:t>在工程场地范围内，承包人具有进行保护或为公众提供安全和方便责任。承包人对施工场地发生的盗窃、打架斗殴等事件承担全部责任。承包人不得拖欠农民工工资。不得发生上访等群体性事件行。</w:t>
      </w:r>
    </w:p>
    <w:p w14:paraId="41BEA4BD">
      <w:pPr>
        <w:snapToGrid w:val="0"/>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关于编制施工场地治安管理计划的约定：</w:t>
      </w:r>
      <w:r>
        <w:rPr>
          <w:rFonts w:hint="eastAsia" w:ascii="仿宋" w:hAnsi="仿宋" w:eastAsia="仿宋" w:cs="仿宋"/>
          <w:color w:val="auto"/>
          <w:sz w:val="24"/>
          <w:szCs w:val="24"/>
          <w:highlight w:val="none"/>
          <w:u w:val="single"/>
        </w:rPr>
        <w:t>开工前3天提供。</w:t>
      </w:r>
    </w:p>
    <w:p w14:paraId="5DD5118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6.1.5 文明施工</w:t>
      </w:r>
    </w:p>
    <w:p w14:paraId="42D695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合同当事人对文明施工的要求：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照陕西省文明工地验收标准组织实施。严格按陕西省文明工地检查（验收）标准实施，安全施工。承包人按照国家和当地政府有关规定应采取的任何必要安全防护措施已包含在承包人的合同价款当中，发包人不另行支付。承包人承担由于自身措施不力造成事故的责任和因此发生的费用</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1F5B7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6.1.6 关于安全文明施工费支付比例和支付期限的约定：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承包方应当确保安全文明施工措施费专款专用，在财务管理中单独列出安全文明施工措施项目费用清单，承包人不得挪用安全文明施工措施项目费 。开工后全额支付安全文明施工费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63813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6.2 环境保护</w:t>
      </w:r>
    </w:p>
    <w:p w14:paraId="46ACEE17">
      <w:pPr>
        <w:snapToGrid w:val="0"/>
        <w:spacing w:line="560" w:lineRule="exact"/>
        <w:ind w:firstLine="480" w:firstLineChars="200"/>
        <w:jc w:val="left"/>
        <w:rPr>
          <w:rFonts w:hint="eastAsia" w:ascii="仿宋" w:hAnsi="仿宋" w:eastAsia="仿宋" w:cs="仿宋"/>
          <w:b/>
          <w:bCs w:val="0"/>
          <w:color w:val="000000"/>
          <w:sz w:val="24"/>
          <w:szCs w:val="24"/>
        </w:rPr>
      </w:pPr>
      <w:r>
        <w:rPr>
          <w:rFonts w:hint="eastAsia" w:ascii="仿宋" w:hAnsi="仿宋" w:eastAsia="仿宋" w:cs="仿宋"/>
          <w:sz w:val="24"/>
          <w:szCs w:val="24"/>
        </w:rPr>
        <w:t>项目安全生产的达标目标及相应事项的约定：</w:t>
      </w:r>
      <w:r>
        <w:rPr>
          <w:rFonts w:hint="eastAsia" w:ascii="仿宋" w:hAnsi="仿宋" w:eastAsia="仿宋" w:cs="仿宋"/>
          <w:color w:val="auto"/>
          <w:sz w:val="24"/>
          <w:szCs w:val="24"/>
          <w:highlight w:val="none"/>
          <w:u w:val="single"/>
        </w:rPr>
        <w:t>杜绝一般及以上突发环境事件，主要污染物稳定达标排放、固废（含危废）合法合规处置</w:t>
      </w:r>
      <w:r>
        <w:rPr>
          <w:rFonts w:hint="eastAsia" w:ascii="仿宋" w:hAnsi="仿宋" w:eastAsia="仿宋" w:cs="仿宋"/>
          <w:color w:val="auto"/>
          <w:sz w:val="24"/>
          <w:szCs w:val="24"/>
          <w:highlight w:val="none"/>
          <w:u w:val="none"/>
          <w:lang w:eastAsia="zh-CN"/>
        </w:rPr>
        <w:t>。</w:t>
      </w:r>
    </w:p>
    <w:p w14:paraId="3D2A1A0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7. 工期和进度</w:t>
      </w:r>
    </w:p>
    <w:p w14:paraId="761C93C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7.1 施工组织设计</w:t>
      </w:r>
    </w:p>
    <w:p w14:paraId="2AA7A2D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 xml:space="preserve">7.1.1 </w:t>
      </w:r>
      <w:r>
        <w:rPr>
          <w:rFonts w:hint="eastAsia" w:ascii="仿宋" w:hAnsi="仿宋" w:eastAsia="仿宋" w:cs="仿宋"/>
          <w:color w:val="000000"/>
          <w:sz w:val="24"/>
          <w:szCs w:val="24"/>
        </w:rPr>
        <w:t>合</w:t>
      </w:r>
      <w:r>
        <w:rPr>
          <w:rFonts w:hint="eastAsia" w:ascii="仿宋" w:hAnsi="仿宋" w:eastAsia="仿宋" w:cs="仿宋"/>
          <w:color w:val="000000"/>
          <w:kern w:val="0"/>
          <w:sz w:val="24"/>
          <w:szCs w:val="24"/>
        </w:rPr>
        <w:t>同当事人约定的施工组织设计应包括的其他内容：</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按招标文件约定，招标文件无约定的按通用条款及《建筑施工组织设计规范》（GB50502-2009）执行   </w:t>
      </w:r>
      <w:r>
        <w:rPr>
          <w:rFonts w:hint="eastAsia" w:ascii="仿宋" w:hAnsi="仿宋" w:eastAsia="仿宋" w:cs="仿宋"/>
          <w:sz w:val="24"/>
          <w:szCs w:val="24"/>
        </w:rPr>
        <w:t>。</w:t>
      </w:r>
    </w:p>
    <w:p w14:paraId="1AA22CE8">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7.1.2</w:t>
      </w: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施工组织设计的提交和修改</w:t>
      </w:r>
    </w:p>
    <w:p w14:paraId="5900792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kern w:val="0"/>
          <w:sz w:val="24"/>
          <w:szCs w:val="24"/>
        </w:rPr>
        <w:t>承包人提交详细施工组织设计的期限的约定：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rPr>
        <w:t>。</w:t>
      </w:r>
    </w:p>
    <w:p w14:paraId="291D1E8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发包人和监理人在收到详细的施工组织设计后确认或提出修改意见的期限：</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E50EDA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w:t>
      </w:r>
      <w:bookmarkStart w:id="145" w:name="_Toc303539123"/>
      <w:bookmarkStart w:id="146" w:name="_Toc304295541"/>
      <w:bookmarkStart w:id="147" w:name="_Toc297123514"/>
      <w:bookmarkStart w:id="148" w:name="_Toc300934966"/>
      <w:bookmarkStart w:id="149" w:name="_Toc297216173"/>
      <w:bookmarkStart w:id="150" w:name="_Toc312678005"/>
      <w:bookmarkStart w:id="151" w:name="_Toc312677479"/>
      <w:r>
        <w:rPr>
          <w:rFonts w:hint="eastAsia" w:ascii="仿宋" w:hAnsi="仿宋" w:eastAsia="仿宋" w:cs="仿宋"/>
          <w:b/>
          <w:bCs/>
          <w:color w:val="000000"/>
          <w:sz w:val="24"/>
          <w:szCs w:val="24"/>
        </w:rPr>
        <w:t>.2 施工进度计划</w:t>
      </w:r>
    </w:p>
    <w:p w14:paraId="11AB20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7.2.2 施工进度计划的修订</w:t>
      </w:r>
    </w:p>
    <w:p w14:paraId="654F717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发包人和监理人在收到修订的施工进度计划后确认或提出修改意见的期限：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E55693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7.3 开工</w:t>
      </w:r>
    </w:p>
    <w:p w14:paraId="7F8DE6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7.3.1 开工准备</w:t>
      </w:r>
    </w:p>
    <w:p w14:paraId="4B07E316">
      <w:pPr>
        <w:spacing w:line="360" w:lineRule="auto"/>
        <w:ind w:firstLine="645"/>
        <w:jc w:val="left"/>
        <w:rPr>
          <w:rFonts w:hint="eastAsia" w:ascii="仿宋" w:hAnsi="仿宋" w:eastAsia="仿宋" w:cs="仿宋"/>
          <w:sz w:val="24"/>
          <w:szCs w:val="24"/>
          <w:u w:val="single"/>
        </w:rPr>
      </w:pPr>
      <w:r>
        <w:rPr>
          <w:rFonts w:hint="eastAsia" w:ascii="仿宋" w:hAnsi="仿宋" w:eastAsia="仿宋" w:cs="仿宋"/>
          <w:color w:val="000000"/>
          <w:sz w:val="24"/>
          <w:szCs w:val="24"/>
        </w:rPr>
        <w:t>关于承包人提交</w:t>
      </w:r>
      <w:r>
        <w:rPr>
          <w:rFonts w:hint="eastAsia" w:ascii="仿宋" w:hAnsi="仿宋" w:eastAsia="仿宋" w:cs="仿宋"/>
          <w:color w:val="000000"/>
          <w:kern w:val="0"/>
          <w:sz w:val="24"/>
          <w:szCs w:val="24"/>
        </w:rPr>
        <w:t>工程开工报审表的期限：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3D65C4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关于发包人应完成的其他开工准备工作及期限：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D8DC3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关于承包人应完成的其他开工准备工作及期限：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3D0ACB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7.3.2开工通知</w:t>
      </w:r>
    </w:p>
    <w:p w14:paraId="36A855A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因发包人原因造成监理人未能在计划开工日期之日起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90</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天内发出开工通知的，承包人有权提出价格调整要求，或者解除合同。</w:t>
      </w:r>
    </w:p>
    <w:bookmarkEnd w:id="145"/>
    <w:bookmarkEnd w:id="146"/>
    <w:bookmarkEnd w:id="147"/>
    <w:bookmarkEnd w:id="148"/>
    <w:bookmarkEnd w:id="149"/>
    <w:bookmarkEnd w:id="150"/>
    <w:bookmarkEnd w:id="151"/>
    <w:p w14:paraId="6810B65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7.4 测量放线</w:t>
      </w:r>
    </w:p>
    <w:p w14:paraId="325CE3F0">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7.4.1发包人通过监理人向承包人提供测量基准点、基准线和水准点及其书面资料的期限：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BA8C01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7.5 工期延误</w:t>
      </w:r>
    </w:p>
    <w:p w14:paraId="151C26A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7.5.1 因发包人原因导致工期延误</w:t>
      </w:r>
    </w:p>
    <w:p w14:paraId="56123A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（7）因发包人原因导致工期延误的其他情形：</w:t>
      </w:r>
      <w:r>
        <w:rPr>
          <w:rFonts w:hint="eastAsia" w:ascii="仿宋" w:hAnsi="仿宋" w:eastAsia="仿宋" w:cs="仿宋"/>
          <w:color w:val="auto"/>
          <w:sz w:val="24"/>
          <w:szCs w:val="24"/>
          <w:highlight w:val="none"/>
          <w:u w:val="single"/>
        </w:rPr>
        <w:t>1）重大设计变更而影响施工进度关键线路的；2）不可抗力。以上原因造成的工期延误须在发生后7天内办理延期申请，逾期不予认可</w:t>
      </w:r>
      <w:r>
        <w:rPr>
          <w:rFonts w:hint="eastAsia" w:ascii="仿宋" w:hAnsi="仿宋" w:eastAsia="仿宋" w:cs="仿宋"/>
          <w:sz w:val="24"/>
          <w:szCs w:val="24"/>
        </w:rPr>
        <w:t>。</w:t>
      </w:r>
    </w:p>
    <w:p w14:paraId="4A3521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7.5.2 因承包人原因导致工期延误</w:t>
      </w:r>
    </w:p>
    <w:p w14:paraId="3627815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因承包人原因造成工期延误，逾期竣工违约金的计算方法为：</w:t>
      </w:r>
      <w:r>
        <w:rPr>
          <w:rFonts w:hint="eastAsia" w:ascii="仿宋" w:hAnsi="仿宋" w:eastAsia="仿宋" w:cs="仿宋"/>
          <w:color w:val="auto"/>
          <w:sz w:val="24"/>
          <w:szCs w:val="24"/>
          <w:highlight w:val="none"/>
          <w:u w:val="single"/>
        </w:rPr>
        <w:t xml:space="preserve">按5000元/天向发包人支付违约金 </w:t>
      </w:r>
      <w:r>
        <w:rPr>
          <w:rFonts w:hint="eastAsia" w:ascii="仿宋" w:hAnsi="仿宋" w:eastAsia="仿宋" w:cs="仿宋"/>
          <w:sz w:val="24"/>
          <w:szCs w:val="24"/>
        </w:rPr>
        <w:t>。</w:t>
      </w:r>
    </w:p>
    <w:p w14:paraId="2FA182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因承包人原因造成工期延误，逾期竣工违约金的上限：</w:t>
      </w:r>
      <w:r>
        <w:rPr>
          <w:rFonts w:hint="eastAsia" w:ascii="仿宋" w:hAnsi="仿宋" w:eastAsia="仿宋" w:cs="仿宋"/>
          <w:color w:val="auto"/>
          <w:sz w:val="24"/>
          <w:szCs w:val="24"/>
          <w:highlight w:val="none"/>
          <w:u w:val="single"/>
        </w:rPr>
        <w:t>超过限额或单次拖延施工进度10天以上、累计拖延施工进度30天以上时，发包人有权委托第三方进行施工，费用由承包人的进度款支付</w:t>
      </w:r>
      <w:r>
        <w:rPr>
          <w:rFonts w:hint="eastAsia" w:ascii="仿宋" w:hAnsi="仿宋" w:eastAsia="仿宋" w:cs="仿宋"/>
          <w:sz w:val="24"/>
          <w:szCs w:val="24"/>
        </w:rPr>
        <w:t>。</w:t>
      </w:r>
    </w:p>
    <w:p w14:paraId="26F99FA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7.6 不利物质条件</w:t>
      </w:r>
    </w:p>
    <w:p w14:paraId="60888A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不利物质条件的其他情形和有关约定：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616F19A">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7.7异常恶劣的气候条件</w:t>
      </w:r>
    </w:p>
    <w:p w14:paraId="22AB634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发包人和承包人同意以下情形视为异常恶劣的气候条件：</w:t>
      </w:r>
    </w:p>
    <w:p w14:paraId="30632B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40C4D6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C77B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D6B82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7.9 提前竣工的奖励</w:t>
      </w:r>
    </w:p>
    <w:p w14:paraId="26FC21F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7.9.2提前竣工的奖励：</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44C23E1">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8. 材料与设备</w:t>
      </w:r>
    </w:p>
    <w:p w14:paraId="4A805F8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8.4材料与工程设备的保管与使用</w:t>
      </w:r>
    </w:p>
    <w:p w14:paraId="7B22286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8.4.1发包人供应的材料设备的保管费用的承担：</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4709F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8.6 样品</w:t>
      </w:r>
    </w:p>
    <w:p w14:paraId="0FFAFF1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8.6.1</w:t>
      </w:r>
      <w:r>
        <w:rPr>
          <w:rFonts w:hint="eastAsia" w:ascii="仿宋" w:hAnsi="仿宋" w:eastAsia="仿宋" w:cs="仿宋"/>
          <w:color w:val="000000"/>
          <w:kern w:val="0"/>
          <w:sz w:val="24"/>
          <w:szCs w:val="24"/>
        </w:rPr>
        <w:tab/>
      </w:r>
      <w:r>
        <w:rPr>
          <w:rFonts w:hint="eastAsia" w:ascii="仿宋" w:hAnsi="仿宋" w:eastAsia="仿宋" w:cs="仿宋"/>
          <w:color w:val="000000"/>
          <w:kern w:val="0"/>
          <w:sz w:val="24"/>
          <w:szCs w:val="24"/>
        </w:rPr>
        <w:t>样品的报送与封存</w:t>
      </w:r>
    </w:p>
    <w:p w14:paraId="477AB2D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需要承包人报送样品的材料或工程设备，样品的种类、名称、规格、数量要求：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1）对所有合同规定的由承包人自主采购的材料或设备，采购前承包人应将供应商的相关资料报送监理工程师和发包人审查，当监理工程师或发包人认为有必要对供应商进行实地考察时，承包人应提供必要的协助及相关考察费用 ；</w:t>
      </w:r>
    </w:p>
    <w:p w14:paraId="5B8617A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所有用于本工程的材料和设备进场以前，承包人必须向监理工程师提交生产厂商出具的生产许可证、质量合格证和检验报告，以证明该材料或设备质量符合本合同或技术规范的规定。在质量和性能均应符合国家标准和设计要求，并经发包方委托的监理工程师验收合格后方能进场，供货还必须满足施工进度要求，否则发包人有权自行采购 ；</w:t>
      </w:r>
    </w:p>
    <w:p w14:paraId="33D4BD5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highlight w:val="none"/>
          <w:u w:val="single"/>
        </w:rPr>
        <w:t xml:space="preserve">（3）承包人应按监理工程师和发包人的指令随时配合对施工现场材料或设备的检验，并应为监理工程师对材料或设备的检验提供一切必要的协助，在材料用于工程之前，承包人应按监理工程师的要求提供材料样品，材料应按先送检通过、后采用的原则进行使用   </w:t>
      </w:r>
      <w:r>
        <w:rPr>
          <w:rFonts w:hint="eastAsia" w:ascii="仿宋" w:hAnsi="仿宋" w:eastAsia="仿宋" w:cs="仿宋"/>
          <w:sz w:val="24"/>
          <w:szCs w:val="24"/>
        </w:rPr>
        <w:t>。</w:t>
      </w:r>
    </w:p>
    <w:p w14:paraId="1A202C4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8.8 施工设备和临时设施</w:t>
      </w:r>
    </w:p>
    <w:p w14:paraId="14FB51C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8.8.1 承包人提供的施工设备和临时设施</w:t>
      </w:r>
    </w:p>
    <w:p w14:paraId="5883F40B">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关于修建临时设施费用承担的约定：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0BA2472">
      <w:pPr>
        <w:spacing w:before="120" w:after="120" w:line="360" w:lineRule="auto"/>
        <w:outlineLvl w:val="9"/>
        <w:rPr>
          <w:rFonts w:hint="eastAsia" w:ascii="仿宋" w:hAnsi="仿宋" w:eastAsia="仿宋" w:cs="仿宋"/>
          <w:b/>
          <w:bCs w:val="0"/>
          <w:color w:val="000000"/>
          <w:sz w:val="24"/>
          <w:szCs w:val="24"/>
        </w:rPr>
      </w:pPr>
      <w:bookmarkStart w:id="152" w:name="_Toc351203641"/>
      <w:r>
        <w:rPr>
          <w:rFonts w:hint="eastAsia" w:ascii="仿宋" w:hAnsi="仿宋" w:eastAsia="仿宋" w:cs="仿宋"/>
          <w:b/>
          <w:bCs w:val="0"/>
          <w:color w:val="000000"/>
          <w:sz w:val="24"/>
          <w:szCs w:val="24"/>
        </w:rPr>
        <w:t>9</w:t>
      </w:r>
      <w:bookmarkStart w:id="153" w:name="_Toc300934982"/>
      <w:bookmarkStart w:id="154" w:name="_Toc312677495"/>
      <w:bookmarkStart w:id="155" w:name="_Toc297123533"/>
      <w:bookmarkStart w:id="156" w:name="_Toc297216192"/>
      <w:bookmarkStart w:id="157" w:name="_Toc304295559"/>
      <w:bookmarkStart w:id="158" w:name="_Toc303539139"/>
      <w:bookmarkStart w:id="159" w:name="_Toc312678021"/>
      <w:r>
        <w:rPr>
          <w:rFonts w:hint="eastAsia" w:ascii="仿宋" w:hAnsi="仿宋" w:eastAsia="仿宋" w:cs="仿宋"/>
          <w:b/>
          <w:bCs w:val="0"/>
          <w:color w:val="000000"/>
          <w:sz w:val="24"/>
          <w:szCs w:val="24"/>
        </w:rPr>
        <w:t>. 试验与检验</w:t>
      </w:r>
      <w:bookmarkEnd w:id="152"/>
    </w:p>
    <w:bookmarkEnd w:id="153"/>
    <w:bookmarkEnd w:id="154"/>
    <w:bookmarkEnd w:id="155"/>
    <w:bookmarkEnd w:id="156"/>
    <w:bookmarkEnd w:id="157"/>
    <w:bookmarkEnd w:id="158"/>
    <w:bookmarkEnd w:id="159"/>
    <w:p w14:paraId="2016FEC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9</w:t>
      </w:r>
      <w:bookmarkStart w:id="160" w:name="_Toc297216193"/>
      <w:bookmarkStart w:id="161" w:name="_Toc304295560"/>
      <w:bookmarkStart w:id="162" w:name="_Toc312678022"/>
      <w:bookmarkStart w:id="163" w:name="_Toc300934983"/>
      <w:bookmarkStart w:id="164" w:name="_Toc297123534"/>
      <w:bookmarkStart w:id="165" w:name="_Toc312677496"/>
      <w:bookmarkStart w:id="166" w:name="_Toc303539140"/>
      <w:r>
        <w:rPr>
          <w:rFonts w:hint="eastAsia" w:ascii="仿宋" w:hAnsi="仿宋" w:eastAsia="仿宋" w:cs="仿宋"/>
          <w:b/>
          <w:bCs/>
          <w:color w:val="000000"/>
          <w:sz w:val="24"/>
          <w:szCs w:val="24"/>
        </w:rPr>
        <w:t>.1试验设备与试验人员</w:t>
      </w:r>
    </w:p>
    <w:bookmarkEnd w:id="160"/>
    <w:bookmarkEnd w:id="161"/>
    <w:bookmarkEnd w:id="162"/>
    <w:bookmarkEnd w:id="163"/>
    <w:bookmarkEnd w:id="164"/>
    <w:bookmarkEnd w:id="165"/>
    <w:bookmarkEnd w:id="166"/>
    <w:p w14:paraId="3A19758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w:t>
      </w:r>
      <w:bookmarkStart w:id="167" w:name="_Toc297123535"/>
      <w:bookmarkStart w:id="168" w:name="_Toc300934984"/>
      <w:bookmarkStart w:id="169" w:name="_Toc303539141"/>
      <w:bookmarkStart w:id="170" w:name="_Toc312678023"/>
      <w:bookmarkStart w:id="171" w:name="_Toc304295561"/>
      <w:bookmarkStart w:id="172" w:name="_Toc297216194"/>
      <w:bookmarkStart w:id="173" w:name="_Toc312677497"/>
      <w:bookmarkStart w:id="174" w:name="_Toc318581174"/>
      <w:r>
        <w:rPr>
          <w:rFonts w:hint="eastAsia" w:ascii="仿宋" w:hAnsi="仿宋" w:eastAsia="仿宋" w:cs="仿宋"/>
          <w:sz w:val="24"/>
          <w:szCs w:val="24"/>
        </w:rPr>
        <w:t>.1.2 试验设备</w:t>
      </w:r>
    </w:p>
    <w:p w14:paraId="37CCB7E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施工现场需要配置的试验场所：</w:t>
      </w:r>
      <w:bookmarkEnd w:id="167"/>
      <w:bookmarkEnd w:id="168"/>
      <w:bookmarkEnd w:id="169"/>
      <w:bookmarkEnd w:id="170"/>
      <w:bookmarkEnd w:id="171"/>
      <w:bookmarkEnd w:id="172"/>
      <w:bookmarkEnd w:id="173"/>
      <w:bookmarkStart w:id="175" w:name="_Toc304295562"/>
      <w:bookmarkStart w:id="176" w:name="_Toc303539142"/>
      <w:bookmarkStart w:id="177" w:name="_Toc300934985"/>
      <w:bookmarkStart w:id="178" w:name="_Toc297216195"/>
      <w:bookmarkStart w:id="179" w:name="_Toc297123536"/>
      <w:bookmarkStart w:id="180" w:name="_Toc312678024"/>
      <w:bookmarkStart w:id="181" w:name="_Toc312677498"/>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承包人在施工组织设计中明确，在开工前，向监理报验行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D24D01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施工现场需要配备的试验设备：</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承包人在施工组织设计中明确，在开工前，向监理报验行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2A0DF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施工现场需要具备的其他试验条件：</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按有关标准规范执行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D64CD5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9.4 现场工艺试验 </w:t>
      </w:r>
    </w:p>
    <w:p w14:paraId="2B80E3C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现场工艺试验的有关约定：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bookmarkEnd w:id="174"/>
    <w:bookmarkEnd w:id="175"/>
    <w:bookmarkEnd w:id="176"/>
    <w:bookmarkEnd w:id="177"/>
    <w:bookmarkEnd w:id="178"/>
    <w:bookmarkEnd w:id="179"/>
    <w:bookmarkEnd w:id="180"/>
    <w:bookmarkEnd w:id="181"/>
    <w:p w14:paraId="635E606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10. 变更</w:t>
      </w:r>
    </w:p>
    <w:p w14:paraId="40231C0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10.1变更的范围</w:t>
      </w:r>
    </w:p>
    <w:p w14:paraId="5E9EE045">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关于变更的范围的约定：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34AAF5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10.4 变更估价</w:t>
      </w:r>
    </w:p>
    <w:p w14:paraId="0F4E3D3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10.4.1 变更估价原则</w:t>
      </w:r>
    </w:p>
    <w:p w14:paraId="0BFA111F">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关于变更估价的约定: </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83694D0">
      <w:pPr>
        <w:spacing w:line="300" w:lineRule="auto"/>
        <w:ind w:firstLine="482"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0CE5FF03">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除专用合同条款另有约定外，变更估价按照本款约定处理：</w:t>
      </w:r>
    </w:p>
    <w:p w14:paraId="54B2BA20">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（1）已标价工程量清单或预算书有相同项目的，按照相同项目单价认定；</w:t>
      </w:r>
    </w:p>
    <w:p w14:paraId="358EAFA4">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（2）已标价工程量清单或预算书中无相同项目，但有类似项目的，参照类似项目的单价认定；</w:t>
      </w:r>
    </w:p>
    <w:p w14:paraId="714909A5">
      <w:pPr>
        <w:autoSpaceDE w:val="0"/>
        <w:autoSpaceDN w:val="0"/>
        <w:adjustRightInd w:val="0"/>
        <w:spacing w:line="300" w:lineRule="auto"/>
        <w:ind w:firstLine="480" w:firstLineChars="200"/>
        <w:outlineLvl w:val="9"/>
        <w:rPr>
          <w:rFonts w:hint="eastAsia" w:ascii="仿宋" w:hAnsi="仿宋" w:eastAsia="仿宋" w:cs="仿宋"/>
          <w:b/>
          <w:bCs/>
          <w:color w:val="000000"/>
          <w:sz w:val="24"/>
          <w:szCs w:val="24"/>
        </w:rPr>
      </w:pPr>
      <w:r>
        <w:rPr>
          <w:rFonts w:hint="eastAsia" w:ascii="仿宋" w:hAnsi="仿宋" w:eastAsia="仿宋" w:cs="仿宋"/>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3666AD0C">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10.5承包人的合理化建议</w:t>
      </w:r>
    </w:p>
    <w:p w14:paraId="65335F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监理人审查承包人合理化建议的期限：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9C2AA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发包人审批承包人合理化建议的期限：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FFF1C82">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承包人提出的合理化建议降低了合同价格或者提高了工程经济效益的奖励的方法和金额为：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B1DEDB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10.7 暂估价</w:t>
      </w:r>
    </w:p>
    <w:p w14:paraId="5EA0D6D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kern w:val="0"/>
          <w:sz w:val="24"/>
          <w:szCs w:val="24"/>
        </w:rPr>
        <w:t>暂估价材料和工程设备的明细详见附件11：《</w:t>
      </w:r>
      <w:r>
        <w:rPr>
          <w:rFonts w:hint="eastAsia" w:ascii="仿宋" w:hAnsi="仿宋" w:eastAsia="仿宋" w:cs="仿宋"/>
          <w:color w:val="000000"/>
          <w:sz w:val="24"/>
          <w:szCs w:val="24"/>
        </w:rPr>
        <w:t>暂估价一览表》</w:t>
      </w:r>
      <w:r>
        <w:rPr>
          <w:rFonts w:hint="eastAsia" w:ascii="仿宋" w:hAnsi="仿宋" w:eastAsia="仿宋" w:cs="仿宋"/>
          <w:kern w:val="0"/>
          <w:sz w:val="24"/>
          <w:szCs w:val="24"/>
        </w:rPr>
        <w:t>。</w:t>
      </w:r>
    </w:p>
    <w:p w14:paraId="6871460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10.7.1 依法必须招标的暂估价项目</w:t>
      </w:r>
    </w:p>
    <w:p w14:paraId="1A714AB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对于依法必须招标的暂估价项目的确认和批准采取第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w:t>
      </w:r>
      <w:r>
        <w:rPr>
          <w:rFonts w:hint="eastAsia" w:ascii="仿宋" w:hAnsi="仿宋" w:eastAsia="仿宋" w:cs="仿宋"/>
          <w:sz w:val="24"/>
          <w:szCs w:val="24"/>
          <w:u w:val="single"/>
        </w:rPr>
        <w:t xml:space="preserve">  </w:t>
      </w:r>
      <w:r>
        <w:rPr>
          <w:rFonts w:hint="eastAsia" w:ascii="仿宋" w:hAnsi="仿宋" w:eastAsia="仿宋" w:cs="仿宋"/>
          <w:sz w:val="24"/>
          <w:szCs w:val="24"/>
        </w:rPr>
        <w:t>种方式确定。</w:t>
      </w:r>
    </w:p>
    <w:p w14:paraId="5DCB488F">
      <w:pPr>
        <w:spacing w:line="300" w:lineRule="auto"/>
        <w:ind w:firstLine="482" w:firstLineChars="200"/>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782D02BF">
      <w:pPr>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第1种方式：对于依法必须招标的暂估价项目，由承包人招标，对该暂估价项目的确认和批准按照以下约定执行：</w:t>
      </w:r>
    </w:p>
    <w:p w14:paraId="0250E8A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753E66A1">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169C106">
      <w:pPr>
        <w:spacing w:line="30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5EFB641">
      <w:pPr>
        <w:spacing w:line="300" w:lineRule="auto"/>
        <w:ind w:firstLine="480" w:firstLineChars="200"/>
        <w:rPr>
          <w:rFonts w:hint="eastAsia" w:ascii="仿宋" w:hAnsi="仿宋" w:eastAsia="仿宋" w:cs="仿宋"/>
          <w:b w:val="0"/>
          <w:bCs w:val="0"/>
          <w:sz w:val="24"/>
          <w:szCs w:val="24"/>
        </w:rPr>
      </w:pPr>
      <w:r>
        <w:rPr>
          <w:rFonts w:hint="eastAsia" w:ascii="仿宋" w:hAnsi="仿宋" w:eastAsia="仿宋" w:cs="仿宋"/>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D5431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10.7.2 不属于依法必须招标的暂估价项目</w:t>
      </w:r>
    </w:p>
    <w:p w14:paraId="596742C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对于不属于依法必须招标的暂估价项目的确认和批准采取第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种方式确定。</w:t>
      </w:r>
    </w:p>
    <w:p w14:paraId="3508449C">
      <w:pPr>
        <w:spacing w:line="300" w:lineRule="auto"/>
        <w:ind w:firstLine="482" w:firstLineChars="200"/>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2D2E44CD">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第1种方式：对于不属于依法必须招标的暂估价项目，按本项约定确认和批准：</w:t>
      </w:r>
    </w:p>
    <w:p w14:paraId="6F5C55D5">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2C956">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（2）发包人认为承包人确定的供应商、分包人无法满足工程质量或合同要求的，发包人可以要求承包人重新确定暂估价项目的供应商、分包人;</w:t>
      </w:r>
    </w:p>
    <w:p w14:paraId="49E6F10B">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（3）承包人应当在签订暂估价合同后7天内，将暂估价合同副本报送发包人留存。</w:t>
      </w:r>
    </w:p>
    <w:p w14:paraId="0172507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第2种方式：承包人按照第10.7.1项〔依法必须招标的暂估价项目〕约定的第1种方式确定暂估价项目。</w:t>
      </w:r>
    </w:p>
    <w:p w14:paraId="64B8DB23">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6544D7B9">
      <w:pPr>
        <w:spacing w:line="30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5238D4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37B25F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第3种方式：</w:t>
      </w:r>
      <w:r>
        <w:rPr>
          <w:rFonts w:hint="eastAsia" w:ascii="仿宋" w:hAnsi="仿宋" w:eastAsia="仿宋" w:cs="仿宋"/>
          <w:color w:val="000000"/>
          <w:kern w:val="0"/>
          <w:sz w:val="24"/>
          <w:szCs w:val="24"/>
        </w:rPr>
        <w:t>承包人直接实施的暂估价项目</w:t>
      </w:r>
    </w:p>
    <w:p w14:paraId="1DDDB375">
      <w:pPr>
        <w:spacing w:line="360" w:lineRule="auto"/>
        <w:jc w:val="left"/>
        <w:rPr>
          <w:rFonts w:hint="eastAsia" w:ascii="仿宋" w:hAnsi="仿宋" w:eastAsia="仿宋" w:cs="仿宋"/>
          <w:sz w:val="24"/>
          <w:szCs w:val="24"/>
        </w:rPr>
      </w:pPr>
      <w:r>
        <w:rPr>
          <w:rFonts w:hint="eastAsia" w:ascii="仿宋" w:hAnsi="仿宋" w:eastAsia="仿宋" w:cs="仿宋"/>
          <w:sz w:val="24"/>
          <w:szCs w:val="24"/>
        </w:rPr>
        <w:t>承包人直接实施的暂估价项目的约定：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39D43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10.8 暂列金额</w:t>
      </w:r>
    </w:p>
    <w:p w14:paraId="7A36308F">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合同当事人关于暂列金额使用的约定：</w:t>
      </w:r>
      <w:r>
        <w:rPr>
          <w:rFonts w:hint="eastAsia" w:ascii="仿宋" w:hAnsi="仿宋" w:eastAsia="仿宋" w:cs="仿宋"/>
          <w:color w:val="auto"/>
          <w:sz w:val="24"/>
          <w:szCs w:val="24"/>
          <w:highlight w:val="none"/>
          <w:u w:val="single"/>
        </w:rPr>
        <w:t>暂列金额应按照发包人的要求使用，发包人的要求通过发包人代表和监理人发出，暂列金额的使用发包人必须同意并全过程参与。暂列金不计入工程款付款的基数，按实际发生经发包人签证后确定全部使用、部分使用或不适用，承包人无权使用。工程量清单发生调整幅度超过合同价款的</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%时，发包人委托工程造价咨询机构审定后，按照审定造价支付暂列金</w:t>
      </w:r>
      <w:r>
        <w:rPr>
          <w:rFonts w:hint="eastAsia" w:ascii="仿宋" w:hAnsi="仿宋" w:eastAsia="仿宋" w:cs="仿宋"/>
          <w:color w:val="000000"/>
          <w:kern w:val="0"/>
          <w:sz w:val="24"/>
          <w:szCs w:val="24"/>
        </w:rPr>
        <w:t>。</w:t>
      </w:r>
    </w:p>
    <w:p w14:paraId="62707C6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11. 价格调整</w:t>
      </w:r>
    </w:p>
    <w:p w14:paraId="1F8F5CD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市场价格波动引起的调整</w:t>
      </w:r>
    </w:p>
    <w:p w14:paraId="5DC613C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市场价格波动是否调整合同价格的约定：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除招标文件规定外，均不调整价格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B88DD0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因市场价格波动调整合同价格，采用以下</w:t>
      </w:r>
      <w:r>
        <w:rPr>
          <w:rFonts w:hint="eastAsia" w:ascii="仿宋" w:hAnsi="仿宋" w:eastAsia="仿宋" w:cs="仿宋"/>
          <w:sz w:val="24"/>
          <w:szCs w:val="24"/>
        </w:rPr>
        <w:t>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种方式对合同价格进行调整：</w:t>
      </w:r>
    </w:p>
    <w:p w14:paraId="4F8357C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第1种方式：采用价格指数进行价格调整。</w:t>
      </w:r>
    </w:p>
    <w:p w14:paraId="1D37A31D">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关于各可调因子、定值和变值权重，以及基本价格指数及其来源的约定：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1530DA6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第2种方式：采用造价信息进行价格调整。</w:t>
      </w:r>
    </w:p>
    <w:p w14:paraId="04F871F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（2）关于基准价格的约定：</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EA6A3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%时，或材料单价跌幅以已标价工程量清单或预算书中载明材料单价为基础超过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3C73529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%时，材料单价涨幅以已标价工程量清单或预算书中载明材料单价为基础超过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5E8C17C2">
      <w:pPr>
        <w:spacing w:line="360" w:lineRule="auto"/>
        <w:ind w:firstLine="645"/>
        <w:jc w:val="left"/>
        <w:rPr>
          <w:rFonts w:hint="eastAsia" w:ascii="仿宋" w:hAnsi="仿宋" w:eastAsia="仿宋" w:cs="仿宋"/>
          <w:color w:val="000000"/>
          <w:sz w:val="24"/>
          <w:szCs w:val="24"/>
        </w:rPr>
      </w:pPr>
      <w:r>
        <w:rPr>
          <w:rFonts w:hint="eastAsia" w:ascii="仿宋" w:hAnsi="仿宋" w:eastAsia="仿宋" w:cs="仿宋"/>
          <w:color w:val="000000"/>
          <w:sz w:val="24"/>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0D01CE83">
      <w:pPr>
        <w:spacing w:line="360" w:lineRule="auto"/>
        <w:ind w:firstLine="645"/>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第3种方式：其他价格调整方式：</w:t>
      </w:r>
      <w:r>
        <w:rPr>
          <w:rFonts w:hint="eastAsia" w:ascii="仿宋" w:hAnsi="仿宋" w:eastAsia="仿宋" w:cs="仿宋"/>
          <w:color w:val="000000"/>
          <w:sz w:val="24"/>
          <w:szCs w:val="24"/>
          <w:u w:val="single"/>
        </w:rPr>
        <w:t xml:space="preserve">                        </w:t>
      </w:r>
    </w:p>
    <w:p w14:paraId="5C74DF1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AE90730">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12. 合同价格、计量与支付</w:t>
      </w:r>
    </w:p>
    <w:p w14:paraId="7AED2C4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12.1 合同价格形式</w:t>
      </w:r>
    </w:p>
    <w:p w14:paraId="2BED9D4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w:t>
      </w:r>
    </w:p>
    <w:p w14:paraId="1DB3A8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综合单价包含的风险范围：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招标工程量清单包含的由于承包人漏报、未报的项目，招标人视同投标人优惠，不予调整，并认为此项费用已包括在工程量清单的其它综合单价和合价中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90C012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应由承包人承担的风险费用已由承包人根据自身经验作了充分估计并已计入合同协议确定的合同价款中，风险费用未单独计列的，应认为已经包含在合同价款中。投标人所报清单中的相同清单项综合单价应保持一致，若出现不同综合单价时，结算时按不利于承包人的原则进行结算</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0A21F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政策性调价文件、招标工程量清单中的暂定项、清单漏项、经发包人确认的变更、签证，属于风险范围外合同价款，计算费用时按下列方法进行：</w:t>
      </w:r>
    </w:p>
    <w:p w14:paraId="10712D8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（1）合同已有适用的综合单价，按合同已有的综合单价结算。</w:t>
      </w:r>
    </w:p>
    <w:p w14:paraId="2FB3270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（2）合同中只有类似的综合单价，参照类似综合单价进行结算。</w:t>
      </w:r>
    </w:p>
    <w:p w14:paraId="7CD2EA0C">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（3）合同中没有适用或类似的综合单价时，按招标期控制价的编制原则编制其综合单价优惠比例=[(招标控制价上限-中标价)/招标控制价上限]×100%。</w:t>
      </w:r>
    </w:p>
    <w:p w14:paraId="263FF8EC">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（4）经发包方认质认价的材料，在工程结算时计算材料差价，本工程约定的± 5%幅度内的风险由承包人自主报价、自我承担，约定幅度外的风险由发包人承担。本工程主要建筑材料、设备包括： </w:t>
      </w:r>
      <w:r>
        <w:rPr>
          <w:rFonts w:hint="eastAsia" w:ascii="仿宋" w:hAnsi="仿宋" w:eastAsia="仿宋" w:cs="仿宋"/>
          <w:color w:val="auto"/>
          <w:sz w:val="24"/>
          <w:szCs w:val="24"/>
          <w:highlight w:val="none"/>
          <w:u w:val="single"/>
          <w:lang w:eastAsia="zh-CN"/>
        </w:rPr>
        <w:t>商品混凝土、水泥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、砂、石、熟石灰、汽油、柴油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0E233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w:t>
      </w:r>
    </w:p>
    <w:p w14:paraId="569C853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总价包含的风险范围：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5FB36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6D872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F1EB6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DEECAC">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12.2 预付款</w:t>
      </w:r>
    </w:p>
    <w:p w14:paraId="0A715D4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12.2.1 预付款的支付</w:t>
      </w:r>
    </w:p>
    <w:p w14:paraId="24A7206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预付款支付比例或金额：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732BC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E83F0B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预付款扣回的方式：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3FAB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12.2.2 预付款担保</w:t>
      </w:r>
    </w:p>
    <w:p w14:paraId="7C6C8D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承包人提交预付款担保的期限：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849C0A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预付款担保的形式为：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73777D0">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12.3 计量</w:t>
      </w:r>
    </w:p>
    <w:p w14:paraId="5F91426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12.3.1 计量原则</w:t>
      </w:r>
    </w:p>
    <w:p w14:paraId="43B1B4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工程量计算规则：</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依据《陕西省建设工程工程量清单计价规则》（2009）、实际已完成的合格工程并经发包人、监理人、承包人三方共同确认</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5B65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12.3.2 计量周期</w:t>
      </w:r>
    </w:p>
    <w:p w14:paraId="769EB50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关于计量周期的约定：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34CAD6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12.3.3 单价合同的计量</w:t>
      </w:r>
    </w:p>
    <w:p w14:paraId="3C09C88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关于单价合同计量的约定：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E9F24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12.3.4 总价合同的计量</w:t>
      </w:r>
    </w:p>
    <w:p w14:paraId="1BC5B35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关于总价合同计量的约定：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FF719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12.3.5总价合同采用支付分解表计量支付的，是否适用第</w:t>
      </w:r>
      <w:r>
        <w:rPr>
          <w:rFonts w:hint="eastAsia" w:ascii="仿宋" w:hAnsi="仿宋" w:eastAsia="仿宋" w:cs="仿宋"/>
          <w:color w:val="000000"/>
          <w:kern w:val="0"/>
          <w:sz w:val="24"/>
          <w:szCs w:val="24"/>
        </w:rPr>
        <w:t xml:space="preserve">12.3.4 </w:t>
      </w:r>
      <w:r>
        <w:rPr>
          <w:rFonts w:hint="eastAsia" w:ascii="仿宋" w:hAnsi="仿宋" w:eastAsia="仿宋" w:cs="仿宋"/>
          <w:color w:val="000000"/>
          <w:sz w:val="24"/>
          <w:szCs w:val="24"/>
        </w:rPr>
        <w:t>项</w:t>
      </w:r>
      <w:r>
        <w:rPr>
          <w:rFonts w:hint="eastAsia" w:ascii="仿宋" w:hAnsi="仿宋" w:eastAsia="仿宋" w:cs="仿宋"/>
          <w:color w:val="000000"/>
          <w:kern w:val="0"/>
          <w:sz w:val="24"/>
          <w:szCs w:val="24"/>
        </w:rPr>
        <w:t>〔总价合同的计量〕</w:t>
      </w:r>
      <w:r>
        <w:rPr>
          <w:rFonts w:hint="eastAsia" w:ascii="仿宋" w:hAnsi="仿宋" w:eastAsia="仿宋" w:cs="仿宋"/>
          <w:color w:val="000000"/>
          <w:sz w:val="24"/>
          <w:szCs w:val="24"/>
        </w:rPr>
        <w:t>约定进行计量：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DDC110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12.3.6 其他价格形式合同的计量</w:t>
      </w:r>
    </w:p>
    <w:p w14:paraId="5C36A01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其他价格形式的计量方式和程序：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249404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12.4 工程进度款支付</w:t>
      </w:r>
    </w:p>
    <w:p w14:paraId="634965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12.4.1 付款周期</w:t>
      </w:r>
    </w:p>
    <w:p w14:paraId="58462707">
      <w:pPr>
        <w:pStyle w:val="10"/>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关于付款周期的约定：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i w:val="0"/>
          <w:iCs w:val="0"/>
          <w:caps w:val="0"/>
          <w:color w:val="333333"/>
          <w:spacing w:val="0"/>
          <w:sz w:val="24"/>
          <w:szCs w:val="24"/>
          <w:shd w:val="clear" w:fill="FFFFFF"/>
        </w:rPr>
        <w:t>。</w:t>
      </w:r>
    </w:p>
    <w:p w14:paraId="611EE1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12.4.2 进度付款申请单的编制</w:t>
      </w:r>
    </w:p>
    <w:p w14:paraId="37BAE79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关于进度付款申请单编制的约定：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BFE8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12.4.3 进度付款申请单的提交</w:t>
      </w:r>
    </w:p>
    <w:p w14:paraId="6C5808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7CD06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0E7D73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（3）其他价格形式合同进度付款申请单提交的约定：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C462CF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12.4.4 进度款审核和支付</w:t>
      </w:r>
    </w:p>
    <w:p w14:paraId="3CC520B2">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（1）监理人审查并报送发包人的期限：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36F05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发包人完成审批并签发进度款支付证书的期限：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27E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（2）发包人支付进度款的期限：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6C38A8">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C682DE5">
      <w:pPr>
        <w:spacing w:line="360" w:lineRule="auto"/>
        <w:ind w:firstLine="600" w:firstLineChars="25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12.4.6 支付分解表的编制</w:t>
      </w:r>
    </w:p>
    <w:p w14:paraId="4522080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6B3E2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3、单价合同的总价项目支付分解表的编制与审批：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68C850">
      <w:pPr>
        <w:spacing w:before="120" w:after="120" w:line="360" w:lineRule="auto"/>
        <w:outlineLvl w:val="9"/>
        <w:rPr>
          <w:rFonts w:hint="eastAsia" w:ascii="仿宋" w:hAnsi="仿宋" w:eastAsia="仿宋" w:cs="仿宋"/>
          <w:b/>
          <w:bCs w:val="0"/>
          <w:color w:val="000000"/>
          <w:sz w:val="24"/>
          <w:szCs w:val="24"/>
        </w:rPr>
      </w:pPr>
      <w:bookmarkStart w:id="182" w:name="_Toc351203645"/>
      <w:bookmarkStart w:id="183" w:name="_Toc303539172"/>
      <w:bookmarkStart w:id="184" w:name="_Toc296891047"/>
      <w:bookmarkStart w:id="185" w:name="_Toc296346720"/>
      <w:bookmarkStart w:id="186" w:name="_Toc296503219"/>
      <w:bookmarkStart w:id="187" w:name="_Toc296891259"/>
      <w:bookmarkStart w:id="188" w:name="_Toc297123564"/>
      <w:bookmarkStart w:id="189" w:name="_Toc296944558"/>
      <w:bookmarkStart w:id="190" w:name="_Toc297120519"/>
      <w:bookmarkStart w:id="191" w:name="_Toc296347218"/>
      <w:bookmarkStart w:id="192" w:name="_Toc304295593"/>
      <w:bookmarkStart w:id="193" w:name="_Toc312678053"/>
      <w:bookmarkStart w:id="194" w:name="_Toc300935015"/>
      <w:bookmarkStart w:id="195" w:name="_Toc292559424"/>
      <w:bookmarkStart w:id="196" w:name="_Toc292559929"/>
      <w:bookmarkStart w:id="197" w:name="_Toc297216223"/>
      <w:bookmarkStart w:id="198" w:name="_Toc297048405"/>
      <w:r>
        <w:rPr>
          <w:rFonts w:hint="eastAsia" w:ascii="仿宋" w:hAnsi="仿宋" w:eastAsia="仿宋" w:cs="仿宋"/>
          <w:b/>
          <w:bCs w:val="0"/>
          <w:color w:val="000000"/>
          <w:sz w:val="24"/>
          <w:szCs w:val="24"/>
        </w:rPr>
        <w:t>13. 验收和工程试车</w:t>
      </w:r>
      <w:bookmarkEnd w:id="182"/>
    </w:p>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14:paraId="76467A4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13.1 分部分项工程验收</w:t>
      </w:r>
    </w:p>
    <w:p w14:paraId="49A613E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13.1.2监理人不能按时进行验收时，应提前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B429564">
      <w:pPr>
        <w:spacing w:line="360" w:lineRule="auto"/>
        <w:ind w:firstLine="480" w:firstLineChars="200"/>
        <w:jc w:val="left"/>
        <w:rPr>
          <w:rFonts w:hint="eastAsia" w:ascii="仿宋" w:hAnsi="仿宋" w:eastAsia="仿宋" w:cs="仿宋"/>
          <w:b/>
          <w:color w:val="000000"/>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48</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7E22FF9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13.2 竣工验收</w:t>
      </w:r>
    </w:p>
    <w:p w14:paraId="7DA17C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13.2.2竣工验收程序</w:t>
      </w:r>
    </w:p>
    <w:p w14:paraId="2D5C2E3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关于竣工验收程序的约定：</w:t>
      </w:r>
      <w:r>
        <w:rPr>
          <w:rFonts w:hint="eastAsia" w:ascii="仿宋" w:hAnsi="仿宋" w:eastAsia="仿宋" w:cs="仿宋"/>
          <w:color w:val="auto"/>
          <w:sz w:val="24"/>
          <w:szCs w:val="24"/>
          <w:highlight w:val="none"/>
          <w:u w:val="single"/>
        </w:rPr>
        <w:t>1工程具备竣工验收条件，承包人按国家工程竣工验收有关规定，向发包人提供完整竣工资料及竣工验收报告。承包人向发包人提供竣工图 3 套。</w:t>
      </w:r>
    </w:p>
    <w:p w14:paraId="276101F1">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2发包人收到竣工验收报告后28天内组织有关单位验收，并在验收后14天内给予认可或提出修改意见。承包人按要求修改，并承担由自身原因造成修改的费用。</w:t>
      </w:r>
    </w:p>
    <w:p w14:paraId="79E743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3中间交工工程的验收程序按本通用条款1款至2款办理，其范围和竣工时间为： 无  。</w:t>
      </w:r>
    </w:p>
    <w:p w14:paraId="53D8423E">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4工程在电梯验收、人防验收、消防验收、环保验收、卫生防疫验收、规划验收等专业验收通过后，方可进行四方验收、质量监督站核验等综合验收。</w:t>
      </w:r>
    </w:p>
    <w:p w14:paraId="512E46DA">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5因特殊原因，发包人要求部分单位工程或工程部位甩项竣工的，双方另行签订甩项竣工协议，明确双方责任和工程价款的支付方法。 </w:t>
      </w:r>
    </w:p>
    <w:p w14:paraId="753BD0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6按通用条款执行，承包人对竣工验收问题的整改时限最高为60天，超过规定时间仍未完成整改，视为未通过竣工验收，重新组织验收，并按5000元/条问题向发包人支付违约金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B1F68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发包人不按照本项约定组织竣工验收、颁发工程接收证书的违约金的计算方法：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0D2A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13.2.5移交、接收全部与部分工程</w:t>
      </w:r>
    </w:p>
    <w:p w14:paraId="7B6D700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承包人向发包人移交工程的期限：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颁发工程接收证书后7天内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5FFAD9">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发包人未按本合同约定接收全部或部分工程的，违约金的计算方法为：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发包人自应当接收工程之日起，承担工程照管、成品保护、保管等与工程有关的各项费用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DE2EF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承包人未按时移交工程的，违约金的计算方法为：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承包人应承担工程照管、成品保护、保管等与工程有关的各项费用，并按10000元/天向发包人支付违约金 </w:t>
      </w:r>
      <w:r>
        <w:rPr>
          <w:rFonts w:hint="eastAsia" w:ascii="仿宋" w:hAnsi="仿宋" w:eastAsia="仿宋" w:cs="仿宋"/>
          <w:color w:val="000000"/>
          <w:sz w:val="24"/>
          <w:szCs w:val="24"/>
        </w:rPr>
        <w:t>。</w:t>
      </w:r>
    </w:p>
    <w:p w14:paraId="27EEC85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13.3 工程试车</w:t>
      </w:r>
    </w:p>
    <w:p w14:paraId="135915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13.3.1 试车程序</w:t>
      </w:r>
    </w:p>
    <w:p w14:paraId="2B928B6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工程试车内容：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34A65B">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（1）单机无负荷试车费用由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0C1324F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（2）无负荷联动试车费用由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588F61A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13.3.3 投料试车</w:t>
      </w:r>
    </w:p>
    <w:p w14:paraId="5C217402">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关于投料试车相关事项的约定：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DE1BFB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13.6 竣工退场</w:t>
      </w:r>
    </w:p>
    <w:p w14:paraId="173ECE24">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13.6.1 竣工退场</w:t>
      </w:r>
    </w:p>
    <w:p w14:paraId="46A1149B">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承包人完成竣工退场的期限：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工程接收证书颁发后15天内，承包人负责按照通用条款要求对施工场地进行清理并承担相关费用，直至监理人检验合格为止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65CD8F13">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14. 竣工结算</w:t>
      </w:r>
    </w:p>
    <w:p w14:paraId="3BE90E2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14.1 竣工结算申请</w:t>
      </w:r>
    </w:p>
    <w:p w14:paraId="3AD194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承包人提交竣工结算申请单的期限：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86F1F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sz w:val="24"/>
          <w:szCs w:val="24"/>
        </w:rPr>
        <w:t>竣工结算申请单应包括的内容：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ECA8B3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14.2 竣工结算审核</w:t>
      </w:r>
    </w:p>
    <w:p w14:paraId="22E1093A">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发包人审批竣工付款申请单的期限：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F791E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发包人完成竣工付款的期限：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6E85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关于竣工付款证书异议部分复核的方式和程序：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AE0E8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14.4 最终结清</w:t>
      </w:r>
    </w:p>
    <w:p w14:paraId="7FB3058F">
      <w:pPr>
        <w:spacing w:line="360" w:lineRule="auto"/>
        <w:ind w:firstLine="480" w:firstLineChars="200"/>
        <w:jc w:val="left"/>
        <w:rPr>
          <w:rFonts w:hint="eastAsia" w:ascii="仿宋" w:hAnsi="仿宋" w:eastAsia="仿宋" w:cs="仿宋"/>
          <w:b w:val="0"/>
          <w:bCs w:val="0"/>
          <w:color w:val="000000"/>
          <w:kern w:val="0"/>
          <w:sz w:val="24"/>
          <w:szCs w:val="24"/>
        </w:rPr>
      </w:pPr>
      <w:r>
        <w:rPr>
          <w:rFonts w:hint="eastAsia" w:ascii="仿宋" w:hAnsi="仿宋" w:eastAsia="仿宋" w:cs="仿宋"/>
          <w:b w:val="0"/>
          <w:bCs w:val="0"/>
          <w:color w:val="000000"/>
          <w:kern w:val="0"/>
          <w:sz w:val="24"/>
          <w:szCs w:val="24"/>
        </w:rPr>
        <w:t>14.4.1 最终结清申请单</w:t>
      </w:r>
    </w:p>
    <w:p w14:paraId="0A7A633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承包人提交最终结清申请单的份数：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C624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承包人提交最终结算申请单的期限：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r>
        <w:rPr>
          <w:rFonts w:hint="eastAsia" w:ascii="仿宋" w:hAnsi="仿宋" w:eastAsia="仿宋" w:cs="仿宋"/>
          <w:sz w:val="24"/>
          <w:szCs w:val="24"/>
        </w:rPr>
        <w:t xml:space="preserve"> </w:t>
      </w:r>
    </w:p>
    <w:p w14:paraId="1907DF8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14.4.2 最终结清证书和支付</w:t>
      </w:r>
    </w:p>
    <w:p w14:paraId="002F9E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（1）发包人完成最终结清申请单的审批并颁发最终结清证书的期限：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0FE2D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（2）发包人完成支付的期限：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38BD5D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15. 缺陷责任期与保修</w:t>
      </w:r>
    </w:p>
    <w:p w14:paraId="15A9756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15.2缺陷责任期</w:t>
      </w:r>
    </w:p>
    <w:p w14:paraId="16A2290C">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缺陷责任期的具体期限：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A530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15.3 质量保证金</w:t>
      </w:r>
    </w:p>
    <w:p w14:paraId="77547E4D">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关于是否扣留质量保证金的约定：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执行合同附件建筑工程质量保修书规定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。在工程项目竣工前，承包人按专用合同条款第3.7条提供履约担保的，发包人不得同时预留工程质量保证金。</w:t>
      </w:r>
    </w:p>
    <w:p w14:paraId="205518A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15.3.1 承包人提供质量保证金的方式</w:t>
      </w:r>
    </w:p>
    <w:p w14:paraId="45FCD39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质量保证金采用以下第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66411F5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（1）质量保证金保函，保证金额为：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 xml:space="preserve">； </w:t>
      </w:r>
    </w:p>
    <w:p w14:paraId="670AC0B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3</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%的工程款；</w:t>
      </w:r>
    </w:p>
    <w:p w14:paraId="705BCBB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DF0B20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15.3.2 质量保证金的扣留 </w:t>
      </w:r>
    </w:p>
    <w:p w14:paraId="0A9A4EDE">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质量保证金的扣留采取以下第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30975380">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（1）在支付工程进度款时逐次扣留，在此情形下，质量保证金的计算基数不包括预付款的支付、扣回以及价格调整的金额；</w:t>
      </w:r>
    </w:p>
    <w:p w14:paraId="3E925F4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（2）工程竣工结算时一次性扣留质量保证金；</w:t>
      </w:r>
    </w:p>
    <w:p w14:paraId="46897D67">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（3）其他扣留方式: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961B32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关于质量保证金的补充约定：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7D60C2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15.4保修</w:t>
      </w:r>
    </w:p>
    <w:p w14:paraId="7AF034EA">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15.4.1 保修责任</w:t>
      </w:r>
    </w:p>
    <w:p w14:paraId="3907FE98">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工程保修期为：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42E9BC9">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15.4.3 修复通知</w:t>
      </w:r>
    </w:p>
    <w:p w14:paraId="51261A00">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承包人收到保修通知并到达工程现场的合理时间：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发包人可以口头通知承包人并在口头通知后48小时内书面确认，承包人应在24小时期限内到达工程现场并修复缺陷或损坏；紧急情况必须于12小时内到达。若承包人未按约定时间达到现场并修复缺陷或损坏，则发包人有权自行或委托第三方进行修复缺陷或损坏，因此产生的所有费用，发包人有权在未经承包人同意的情况下自行从结算款或质量保证金中扣除  </w:t>
      </w:r>
      <w:r>
        <w:rPr>
          <w:rFonts w:hint="eastAsia" w:ascii="仿宋" w:hAnsi="仿宋" w:eastAsia="仿宋" w:cs="仿宋"/>
          <w:color w:val="000000"/>
          <w:kern w:val="0"/>
          <w:sz w:val="24"/>
          <w:szCs w:val="24"/>
        </w:rPr>
        <w:t>。</w:t>
      </w:r>
    </w:p>
    <w:p w14:paraId="3D1EF59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16. 违约</w:t>
      </w:r>
    </w:p>
    <w:p w14:paraId="7A26AD0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16.1 发包人违约</w:t>
      </w:r>
    </w:p>
    <w:p w14:paraId="51219111">
      <w:pPr>
        <w:spacing w:line="360" w:lineRule="auto"/>
        <w:ind w:firstLine="480" w:firstLineChars="200"/>
        <w:jc w:val="left"/>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16.1.1发包人违约的情形</w:t>
      </w:r>
    </w:p>
    <w:p w14:paraId="7E8FE608">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605FBB2">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16.1.2 发包人违约的责任</w:t>
      </w:r>
    </w:p>
    <w:p w14:paraId="19BF95D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发包人违约责任的承担方式和计算方法：</w:t>
      </w:r>
    </w:p>
    <w:p w14:paraId="3A71393A">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（1）因发包人原因未能在计划开工日期前7天内下达开工通知的违约责任：</w:t>
      </w:r>
      <w:r>
        <w:rPr>
          <w:rFonts w:hint="eastAsia" w:ascii="仿宋" w:hAnsi="仿宋" w:eastAsia="仿宋" w:cs="仿宋"/>
          <w:color w:val="auto"/>
          <w:kern w:val="0"/>
          <w:sz w:val="24"/>
          <w:szCs w:val="24"/>
          <w:highlight w:val="none"/>
          <w:u w:val="single"/>
        </w:rPr>
        <w:t>工期顺延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E0F42E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（2）因发包人原因未能按合同约定支付合同价款的违约责任：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49BBC3A">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（3）发包人违反第10.1款〔变更的范围〕第（2）项约定，自行实施被取消的工作或转由他人实施的违约责任：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53A2ED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发包人提供的材料、工程设备的规格或质量不符合合同约定的，由发包人负责更换；发包人提供的材料、工程设备的数量不符合合同约定的，数量不足的由发包人在双方约定时间内补齐，数量超出的，由承包人退回发包人；因发包人原因导致交货日期延误，若影响工期的发包人予以顺延工期；因发包人原因导致交货地点变更等情况的，由发包人负责倒运或发包人委托承包人倒运，费用发包人承担</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6340E9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（5）因发包人违反合同约定造成暂停施工的违约责任：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75530F21">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（6）发包人无正当理由没有在约定期限内发出复工指示，导致承包人无法复工的违约责任：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D596E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（7）其他：</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双方协商解决</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10931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16.1.3 因发包人违约解除合同</w:t>
      </w:r>
    </w:p>
    <w:p w14:paraId="05093F03">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承包人按16.1.1项〔发包人违约的情形〕约定暂停施工满</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30</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天后发包人仍不纠正其违约行为并致使合同目的不能实现的，承包人有权解除合同。</w:t>
      </w:r>
    </w:p>
    <w:p w14:paraId="622BE92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16.2 承包人违约</w:t>
      </w:r>
    </w:p>
    <w:p w14:paraId="187A70A7">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16.2.1 承包人违约的情形</w:t>
      </w:r>
    </w:p>
    <w:p w14:paraId="3A211312">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（1）承包人不得</w:t>
      </w:r>
      <w:r>
        <w:rPr>
          <w:rFonts w:hint="eastAsia" w:ascii="仿宋" w:hAnsi="仿宋" w:eastAsia="仿宋" w:cs="仿宋"/>
          <w:color w:val="auto"/>
          <w:kern w:val="0"/>
          <w:sz w:val="24"/>
          <w:szCs w:val="24"/>
          <w:highlight w:val="none"/>
          <w:u w:val="single"/>
          <w:lang w:val="en-US" w:eastAsia="zh-CN"/>
        </w:rPr>
        <w:t>随意</w:t>
      </w:r>
      <w:r>
        <w:rPr>
          <w:rFonts w:hint="eastAsia" w:ascii="仿宋" w:hAnsi="仿宋" w:eastAsia="仿宋" w:cs="仿宋"/>
          <w:color w:val="auto"/>
          <w:kern w:val="0"/>
          <w:sz w:val="24"/>
          <w:szCs w:val="24"/>
          <w:highlight w:val="none"/>
          <w:u w:val="single"/>
        </w:rPr>
        <w:t>更换</w:t>
      </w:r>
      <w:r>
        <w:rPr>
          <w:rFonts w:hint="eastAsia" w:ascii="仿宋" w:hAnsi="仿宋" w:eastAsia="仿宋" w:cs="仿宋"/>
          <w:color w:val="auto"/>
          <w:kern w:val="0"/>
          <w:sz w:val="24"/>
          <w:szCs w:val="24"/>
          <w:highlight w:val="none"/>
          <w:u w:val="single"/>
          <w:lang w:val="en-US" w:eastAsia="zh-CN"/>
        </w:rPr>
        <w:t>投标文件约定</w:t>
      </w:r>
      <w:r>
        <w:rPr>
          <w:rFonts w:hint="eastAsia" w:ascii="仿宋" w:hAnsi="仿宋" w:eastAsia="仿宋" w:cs="仿宋"/>
          <w:color w:val="auto"/>
          <w:kern w:val="0"/>
          <w:sz w:val="24"/>
          <w:szCs w:val="24"/>
          <w:highlight w:val="none"/>
          <w:u w:val="single"/>
        </w:rPr>
        <w:t>项目经理。承包人擅自更换项目经理，应按</w:t>
      </w:r>
      <w:r>
        <w:rPr>
          <w:rFonts w:hint="eastAsia" w:ascii="仿宋" w:hAnsi="仿宋" w:eastAsia="仿宋" w:cs="仿宋"/>
          <w:color w:val="auto"/>
          <w:kern w:val="0"/>
          <w:sz w:val="24"/>
          <w:szCs w:val="24"/>
          <w:highlight w:val="none"/>
          <w:u w:val="single"/>
          <w:lang w:val="en-US" w:eastAsia="zh-CN"/>
        </w:rPr>
        <w:t>5</w:t>
      </w:r>
      <w:r>
        <w:rPr>
          <w:rFonts w:hint="eastAsia" w:ascii="仿宋" w:hAnsi="仿宋" w:eastAsia="仿宋" w:cs="仿宋"/>
          <w:color w:val="auto"/>
          <w:kern w:val="0"/>
          <w:sz w:val="24"/>
          <w:szCs w:val="24"/>
          <w:highlight w:val="none"/>
          <w:u w:val="single"/>
        </w:rPr>
        <w:t>万元/人·次的标准向发包人支付违约金。如需要更换项目技术负责人及其它专业工程师，应至少提前15天以书面形式通知发包人，并征得发包人同意；后任继续行使合同文件约定的前任的职权，履行前任的义务</w:t>
      </w:r>
      <w:r>
        <w:rPr>
          <w:rFonts w:hint="eastAsia" w:ascii="仿宋" w:hAnsi="仿宋" w:eastAsia="仿宋" w:cs="仿宋"/>
          <w:color w:val="auto"/>
          <w:kern w:val="0"/>
          <w:sz w:val="24"/>
          <w:szCs w:val="24"/>
          <w:u w:val="single"/>
        </w:rPr>
        <w:t xml:space="preserve">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514A38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16.2.2承包人违约的责任</w:t>
      </w:r>
    </w:p>
    <w:p w14:paraId="390D78D8">
      <w:pPr>
        <w:spacing w:line="360" w:lineRule="auto"/>
        <w:ind w:left="1199" w:leftChars="228" w:hanging="720" w:hangingChars="3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承包人违约责任的承担方式和计算方法：</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01069CC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16.2.3 因承包人违约解除合同</w:t>
      </w:r>
    </w:p>
    <w:p w14:paraId="249B4B5E">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关于承包人违约解除合同的特别约定：</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1</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auto"/>
          <w:kern w:val="0"/>
          <w:sz w:val="24"/>
          <w:szCs w:val="24"/>
          <w:highlight w:val="none"/>
          <w:u w:val="single"/>
        </w:rPr>
        <w:t>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r>
        <w:rPr>
          <w:rFonts w:hint="eastAsia" w:ascii="仿宋" w:hAnsi="仿宋" w:eastAsia="仿宋" w:cs="仿宋"/>
          <w:color w:val="000000"/>
          <w:kern w:val="0"/>
          <w:sz w:val="24"/>
          <w:szCs w:val="24"/>
        </w:rPr>
        <w:t>。</w:t>
      </w:r>
    </w:p>
    <w:p w14:paraId="6EB52E3F">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发包人继续使用承包人在施工现场的材料、设备、临时工程、承包人文件和由承包人或以其名义编制的其他文件的费用承担方式：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无</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19EABFB">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17. 不可抗力 </w:t>
      </w:r>
    </w:p>
    <w:p w14:paraId="7D7A0616">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17.1 不可抗力的确认</w:t>
      </w:r>
    </w:p>
    <w:p w14:paraId="603D499C">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执行通用条款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5A4F9A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17.4 因不可抗力解除合同</w:t>
      </w:r>
    </w:p>
    <w:p w14:paraId="1D4C86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合同解除后，发包人应在商定或确定发包人应支付款项后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30</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天内完成款项的支付。</w:t>
      </w:r>
    </w:p>
    <w:p w14:paraId="3C90E204">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 保险</w:t>
      </w:r>
    </w:p>
    <w:p w14:paraId="1CCD08AE">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18.1 工程保险</w:t>
      </w:r>
    </w:p>
    <w:p w14:paraId="2929DA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关于工程保险的特别约定：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发包人投保内容是建筑物及附属设备，承包人投保内容是施工人员意外伤害险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4CACE4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18.3 其他保险</w:t>
      </w:r>
    </w:p>
    <w:p w14:paraId="3894194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关于其他保险的约定：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由承包人承担施工现场的全部人员办理意外伤害保险并支付保险费用，以上全部人员包括发包人和承包人员工以及为履行合同聘请的第三方人员</w:t>
      </w:r>
      <w:r>
        <w:rPr>
          <w:rFonts w:hint="eastAsia" w:ascii="仿宋" w:hAnsi="仿宋" w:eastAsia="仿宋" w:cs="仿宋"/>
          <w:color w:val="auto"/>
          <w:kern w:val="0"/>
          <w:sz w:val="24"/>
          <w:szCs w:val="24"/>
          <w:highlight w:val="none"/>
          <w:u w:val="single"/>
          <w:lang w:eastAsia="zh-CN"/>
        </w:rPr>
        <w:t>，</w:t>
      </w:r>
      <w:r>
        <w:rPr>
          <w:rFonts w:hint="eastAsia" w:ascii="仿宋" w:hAnsi="仿宋" w:eastAsia="仿宋" w:cs="仿宋"/>
          <w:color w:val="auto"/>
          <w:kern w:val="0"/>
          <w:sz w:val="24"/>
          <w:szCs w:val="24"/>
          <w:highlight w:val="none"/>
          <w:u w:val="single"/>
          <w:lang w:val="en-US" w:eastAsia="zh-CN"/>
        </w:rPr>
        <w:t>费用已包含在合同价款中</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22D45B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承包人是否应为其施工设备等办理财产保险：</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DC4C7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18.7 通知义务</w:t>
      </w:r>
    </w:p>
    <w:p w14:paraId="31D5E09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关于变更保险合同时的通知义务的约定：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58D9657">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 争议解决</w:t>
      </w:r>
    </w:p>
    <w:p w14:paraId="03D67BB4">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20.3 争议评审</w:t>
      </w:r>
    </w:p>
    <w:p w14:paraId="568EB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合同当事人是否同意将工程争议提交争议评审小组决定：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本项目争议按照合同通用条款中和解、调解、仲裁或诉讼的方式解决，不进行争议评审。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3F1D0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20.3.1 争议评审小组的确定</w:t>
      </w:r>
    </w:p>
    <w:p w14:paraId="0D229369">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争议评审小组成员的确定：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3BFE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选定争议评审员的期限：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96C4E8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争议评审小组成员的报酬承担方式：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42EA0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其他事项的约定：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E7AB6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20.3.2 争议评审小组的决定</w:t>
      </w:r>
    </w:p>
    <w:p w14:paraId="497DC23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合同当事人关于本项的约定：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96E272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20.4仲裁或诉讼</w:t>
      </w:r>
    </w:p>
    <w:p w14:paraId="2E4D9669">
      <w:pPr>
        <w:spacing w:after="120"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因合同及合同有关事项发生的争议，按下列第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种方式解决：</w:t>
      </w:r>
    </w:p>
    <w:p w14:paraId="32AB1B9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仲裁委员会申请仲裁；</w:t>
      </w:r>
    </w:p>
    <w:p w14:paraId="2FD6248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工程所在地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人民法院起诉。</w:t>
      </w:r>
    </w:p>
    <w:bookmarkEnd w:id="111"/>
    <w:p w14:paraId="21632759">
      <w:pPr>
        <w:pStyle w:val="14"/>
        <w:rPr>
          <w:rFonts w:hint="eastAsia" w:ascii="仿宋" w:hAnsi="仿宋" w:eastAsia="仿宋" w:cs="仿宋"/>
          <w:sz w:val="24"/>
          <w:szCs w:val="24"/>
          <w:lang w:val="zh-CN"/>
        </w:rPr>
        <w:sectPr>
          <w:headerReference r:id="rId6" w:type="default"/>
          <w:footerReference r:id="rId7" w:type="default"/>
          <w:pgSz w:w="11906" w:h="16838"/>
          <w:pgMar w:top="1440" w:right="1080" w:bottom="1440" w:left="1080" w:header="851" w:footer="992" w:gutter="0"/>
          <w:cols w:space="720" w:num="1"/>
          <w:docGrid w:linePitch="312" w:charSpace="0"/>
        </w:sectPr>
      </w:pPr>
    </w:p>
    <w:p w14:paraId="79E74C16">
      <w:pPr>
        <w:spacing w:line="440" w:lineRule="exact"/>
        <w:rPr>
          <w:rFonts w:hint="eastAsia" w:ascii="仿宋" w:hAnsi="仿宋" w:eastAsia="仿宋" w:cs="仿宋"/>
          <w:color w:val="auto"/>
          <w:sz w:val="24"/>
          <w:szCs w:val="24"/>
          <w:highlight w:val="none"/>
        </w:rPr>
      </w:pPr>
      <w:bookmarkStart w:id="199" w:name="_Toc25626"/>
      <w:bookmarkStart w:id="200" w:name="_Toc32310"/>
      <w:r>
        <w:rPr>
          <w:rFonts w:hint="eastAsia" w:ascii="仿宋" w:hAnsi="仿宋" w:eastAsia="仿宋" w:cs="仿宋"/>
          <w:color w:val="auto"/>
          <w:sz w:val="24"/>
          <w:szCs w:val="24"/>
          <w:highlight w:val="none"/>
        </w:rPr>
        <w:t>附</w:t>
      </w:r>
      <w:bookmarkStart w:id="201" w:name="_Toc267261693"/>
      <w:bookmarkStart w:id="202" w:name="_Toc296503226"/>
      <w:bookmarkStart w:id="203" w:name="_Toc296944565"/>
      <w:bookmarkStart w:id="204" w:name="_Toc296346727"/>
      <w:bookmarkStart w:id="205" w:name="_Toc296891266"/>
      <w:bookmarkStart w:id="206" w:name="_Toc296347225"/>
      <w:bookmarkStart w:id="207" w:name="_Toc296891054"/>
      <w:r>
        <w:rPr>
          <w:rFonts w:hint="eastAsia" w:ascii="仿宋" w:hAnsi="仿宋" w:eastAsia="仿宋" w:cs="仿宋"/>
          <w:color w:val="auto"/>
          <w:sz w:val="24"/>
          <w:szCs w:val="24"/>
          <w:highlight w:val="none"/>
        </w:rPr>
        <w:t>件3：</w:t>
      </w:r>
      <w:bookmarkEnd w:id="199"/>
      <w:bookmarkEnd w:id="200"/>
      <w:bookmarkEnd w:id="201"/>
      <w:bookmarkEnd w:id="202"/>
      <w:bookmarkEnd w:id="203"/>
      <w:bookmarkEnd w:id="204"/>
      <w:bookmarkEnd w:id="205"/>
      <w:bookmarkEnd w:id="206"/>
      <w:bookmarkEnd w:id="207"/>
      <w:r>
        <w:rPr>
          <w:rFonts w:hint="eastAsia" w:ascii="仿宋" w:hAnsi="仿宋" w:eastAsia="仿宋" w:cs="仿宋"/>
          <w:color w:val="auto"/>
          <w:sz w:val="24"/>
          <w:szCs w:val="24"/>
          <w:highlight w:val="none"/>
        </w:rPr>
        <w:t xml:space="preserve">    </w:t>
      </w:r>
    </w:p>
    <w:p w14:paraId="454369B4">
      <w:pPr>
        <w:spacing w:before="156" w:beforeLines="50" w:after="156" w:afterLines="50" w:line="440" w:lineRule="exact"/>
        <w:jc w:val="center"/>
        <w:rPr>
          <w:rFonts w:hint="eastAsia" w:ascii="仿宋" w:hAnsi="仿宋" w:eastAsia="仿宋" w:cs="仿宋"/>
          <w:color w:val="auto"/>
          <w:sz w:val="24"/>
          <w:szCs w:val="24"/>
          <w:highlight w:val="none"/>
        </w:rPr>
      </w:pPr>
      <w:bookmarkStart w:id="208" w:name="_Toc18181"/>
      <w:bookmarkStart w:id="209" w:name="_Toc28480"/>
      <w:r>
        <w:rPr>
          <w:rFonts w:hint="eastAsia" w:ascii="仿宋" w:hAnsi="仿宋" w:eastAsia="仿宋" w:cs="仿宋"/>
          <w:color w:val="auto"/>
          <w:sz w:val="24"/>
          <w:szCs w:val="24"/>
          <w:highlight w:val="none"/>
        </w:rPr>
        <w:t>工程质量保修书</w:t>
      </w:r>
      <w:bookmarkEnd w:id="208"/>
      <w:bookmarkEnd w:id="209"/>
    </w:p>
    <w:p w14:paraId="6F62E4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75BE23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CF47C3C">
      <w:pPr>
        <w:spacing w:line="360" w:lineRule="auto"/>
        <w:ind w:firstLine="480" w:firstLineChars="200"/>
        <w:rPr>
          <w:rFonts w:hint="eastAsia" w:ascii="仿宋" w:hAnsi="仿宋" w:eastAsia="仿宋" w:cs="仿宋"/>
          <w:color w:val="auto"/>
          <w:sz w:val="24"/>
          <w:szCs w:val="24"/>
          <w:highlight w:val="none"/>
        </w:rPr>
      </w:pPr>
    </w:p>
    <w:p w14:paraId="7B2A40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（工程全称）签订工程质量保修书。</w:t>
      </w:r>
    </w:p>
    <w:p w14:paraId="106E289C">
      <w:pPr>
        <w:spacing w:line="360" w:lineRule="auto"/>
        <w:rPr>
          <w:rFonts w:hint="eastAsia" w:ascii="仿宋" w:hAnsi="仿宋" w:eastAsia="仿宋" w:cs="仿宋"/>
          <w:color w:val="auto"/>
          <w:sz w:val="24"/>
          <w:szCs w:val="24"/>
          <w:highlight w:val="none"/>
        </w:rPr>
      </w:pPr>
      <w:bookmarkStart w:id="210" w:name="_Toc508703914"/>
      <w:bookmarkStart w:id="211" w:name="_Toc508702756"/>
      <w:bookmarkStart w:id="212" w:name="_Toc3647"/>
      <w:bookmarkStart w:id="213" w:name="_Toc510449992"/>
      <w:bookmarkStart w:id="214" w:name="_Toc526085915"/>
      <w:bookmarkStart w:id="215" w:name="_Toc24261"/>
      <w:r>
        <w:rPr>
          <w:rFonts w:hint="eastAsia" w:ascii="仿宋" w:hAnsi="仿宋" w:eastAsia="仿宋" w:cs="仿宋"/>
          <w:color w:val="auto"/>
          <w:sz w:val="24"/>
          <w:szCs w:val="24"/>
          <w:highlight w:val="none"/>
        </w:rPr>
        <w:t>一、工程质量保修范围和内容</w:t>
      </w:r>
      <w:bookmarkEnd w:id="210"/>
      <w:bookmarkEnd w:id="211"/>
      <w:bookmarkEnd w:id="212"/>
      <w:bookmarkEnd w:id="213"/>
      <w:bookmarkEnd w:id="214"/>
      <w:bookmarkEnd w:id="215"/>
    </w:p>
    <w:p w14:paraId="19C745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66B6A7B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承包人对承包范围内的全部施工工程均实行保修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3A95964">
      <w:pPr>
        <w:spacing w:line="360" w:lineRule="auto"/>
        <w:rPr>
          <w:rFonts w:hint="eastAsia" w:ascii="仿宋" w:hAnsi="仿宋" w:eastAsia="仿宋" w:cs="仿宋"/>
          <w:color w:val="auto"/>
          <w:sz w:val="24"/>
          <w:szCs w:val="24"/>
          <w:highlight w:val="none"/>
        </w:rPr>
      </w:pPr>
      <w:bookmarkStart w:id="216" w:name="_Toc1326"/>
      <w:bookmarkStart w:id="217" w:name="_Toc508703915"/>
      <w:bookmarkStart w:id="218" w:name="_Toc510449993"/>
      <w:bookmarkStart w:id="219" w:name="_Toc508702757"/>
      <w:bookmarkStart w:id="220" w:name="_Toc526085916"/>
      <w:bookmarkStart w:id="221" w:name="_Toc23197"/>
      <w:r>
        <w:rPr>
          <w:rFonts w:hint="eastAsia" w:ascii="仿宋" w:hAnsi="仿宋" w:eastAsia="仿宋" w:cs="仿宋"/>
          <w:color w:val="auto"/>
          <w:sz w:val="24"/>
          <w:szCs w:val="24"/>
          <w:highlight w:val="none"/>
        </w:rPr>
        <w:t>二、质量保修期</w:t>
      </w:r>
      <w:bookmarkEnd w:id="216"/>
      <w:bookmarkEnd w:id="217"/>
      <w:bookmarkEnd w:id="218"/>
      <w:bookmarkEnd w:id="219"/>
      <w:bookmarkEnd w:id="220"/>
      <w:bookmarkEnd w:id="221"/>
    </w:p>
    <w:p w14:paraId="341172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61E5A87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6426B7E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67E68A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161931C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3BE68D5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个采暖期、供冷期；</w:t>
      </w:r>
    </w:p>
    <w:p w14:paraId="3D9B70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21438E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EBE61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6F0C4C32">
      <w:pPr>
        <w:spacing w:line="360" w:lineRule="auto"/>
        <w:rPr>
          <w:rFonts w:hint="eastAsia" w:ascii="仿宋" w:hAnsi="仿宋" w:eastAsia="仿宋" w:cs="仿宋"/>
          <w:color w:val="auto"/>
          <w:sz w:val="24"/>
          <w:szCs w:val="24"/>
          <w:highlight w:val="none"/>
        </w:rPr>
      </w:pPr>
      <w:bookmarkStart w:id="222" w:name="_Toc31589"/>
      <w:bookmarkStart w:id="223" w:name="_Toc14945"/>
      <w:bookmarkStart w:id="224" w:name="_Toc508702758"/>
      <w:bookmarkStart w:id="225" w:name="_Toc526085917"/>
      <w:bookmarkStart w:id="226" w:name="_Toc508703916"/>
      <w:bookmarkStart w:id="227" w:name="_Toc510449994"/>
      <w:r>
        <w:rPr>
          <w:rFonts w:hint="eastAsia" w:ascii="仿宋" w:hAnsi="仿宋" w:eastAsia="仿宋" w:cs="仿宋"/>
          <w:color w:val="auto"/>
          <w:sz w:val="24"/>
          <w:szCs w:val="24"/>
          <w:highlight w:val="none"/>
        </w:rPr>
        <w:t>三、缺陷责任期</w:t>
      </w:r>
      <w:bookmarkEnd w:id="222"/>
      <w:bookmarkEnd w:id="223"/>
      <w:bookmarkEnd w:id="224"/>
      <w:bookmarkEnd w:id="225"/>
      <w:bookmarkEnd w:id="226"/>
      <w:bookmarkEnd w:id="227"/>
    </w:p>
    <w:p w14:paraId="0CDC2C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w:t>
      </w:r>
    </w:p>
    <w:p w14:paraId="496E0E6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缺陷责任期终止后，发包人应退还剩余的质量保证金。</w:t>
      </w:r>
    </w:p>
    <w:p w14:paraId="028A63DF">
      <w:pPr>
        <w:spacing w:line="360" w:lineRule="auto"/>
        <w:rPr>
          <w:rFonts w:hint="eastAsia" w:ascii="仿宋" w:hAnsi="仿宋" w:eastAsia="仿宋" w:cs="仿宋"/>
          <w:color w:val="auto"/>
          <w:sz w:val="24"/>
          <w:szCs w:val="24"/>
          <w:highlight w:val="none"/>
        </w:rPr>
      </w:pPr>
      <w:bookmarkStart w:id="228" w:name="_Toc526085918"/>
      <w:bookmarkStart w:id="229" w:name="_Toc18859"/>
      <w:bookmarkStart w:id="230" w:name="_Toc510449995"/>
      <w:bookmarkStart w:id="231" w:name="_Toc1304"/>
      <w:bookmarkStart w:id="232" w:name="_Toc508703917"/>
      <w:bookmarkStart w:id="233" w:name="_Toc508702759"/>
      <w:r>
        <w:rPr>
          <w:rFonts w:hint="eastAsia" w:ascii="仿宋" w:hAnsi="仿宋" w:eastAsia="仿宋" w:cs="仿宋"/>
          <w:sz w:val="24"/>
          <w:szCs w:val="24"/>
        </w:rPr>
        <w:t>四、质量保修责任</w:t>
      </w:r>
      <w:bookmarkEnd w:id="228"/>
      <w:bookmarkEnd w:id="229"/>
      <w:bookmarkEnd w:id="230"/>
      <w:bookmarkEnd w:id="231"/>
      <w:bookmarkEnd w:id="232"/>
      <w:bookmarkEnd w:id="233"/>
    </w:p>
    <w:p w14:paraId="195A745C">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39947C1B">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54657B4C">
      <w:pPr>
        <w:spacing w:line="360" w:lineRule="auto"/>
        <w:ind w:firstLine="708" w:firstLineChars="295"/>
        <w:jc w:val="left"/>
        <w:rPr>
          <w:rFonts w:hint="eastAsia" w:ascii="仿宋" w:hAnsi="仿宋" w:eastAsia="仿宋" w:cs="仿宋"/>
          <w:color w:val="auto"/>
          <w:sz w:val="24"/>
          <w:szCs w:val="24"/>
          <w:highlight w:val="none"/>
        </w:rPr>
      </w:pPr>
    </w:p>
    <w:p w14:paraId="3D2874C6">
      <w:pPr>
        <w:spacing w:line="360" w:lineRule="auto"/>
        <w:jc w:val="left"/>
        <w:rPr>
          <w:rFonts w:hint="eastAsia" w:ascii="仿宋" w:hAnsi="仿宋" w:eastAsia="仿宋" w:cs="仿宋"/>
          <w:color w:val="auto"/>
          <w:sz w:val="24"/>
          <w:szCs w:val="24"/>
          <w:highlight w:val="none"/>
        </w:rPr>
      </w:pPr>
    </w:p>
    <w:p w14:paraId="16867FF0">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p>
    <w:p w14:paraId="1C96E471">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p>
    <w:p w14:paraId="7CBB6F39">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87E289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35B33C5F">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21109E8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p>
    <w:p w14:paraId="5272F55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2615FF7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6BACEAB7">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465A34B5">
      <w:pPr>
        <w:spacing w:line="360" w:lineRule="auto"/>
        <w:jc w:val="center"/>
        <w:outlineLvl w:val="9"/>
        <w:rPr>
          <w:rFonts w:hint="eastAsia" w:ascii="仿宋" w:hAnsi="仿宋" w:eastAsia="仿宋" w:cs="仿宋"/>
          <w:sz w:val="24"/>
          <w:szCs w:val="24"/>
        </w:rPr>
      </w:pPr>
    </w:p>
    <w:p w14:paraId="5A83B800">
      <w:pPr>
        <w:outlineLvl w:val="9"/>
        <w:rPr>
          <w:rFonts w:hint="eastAsia" w:ascii="仿宋" w:hAnsi="仿宋" w:eastAsia="仿宋" w:cs="仿宋"/>
          <w:sz w:val="24"/>
          <w:szCs w:val="24"/>
        </w:rPr>
      </w:pPr>
    </w:p>
    <w:p w14:paraId="0543AE16">
      <w:pPr>
        <w:outlineLvl w:val="9"/>
        <w:rPr>
          <w:rFonts w:hint="eastAsia" w:ascii="仿宋" w:hAnsi="仿宋" w:eastAsia="仿宋" w:cs="仿宋"/>
          <w:sz w:val="24"/>
          <w:szCs w:val="24"/>
        </w:rPr>
      </w:pPr>
    </w:p>
    <w:p w14:paraId="5D724092">
      <w:pPr>
        <w:outlineLvl w:val="9"/>
        <w:rPr>
          <w:rFonts w:hint="eastAsia" w:ascii="仿宋" w:hAnsi="仿宋" w:eastAsia="仿宋" w:cs="仿宋"/>
          <w:sz w:val="24"/>
          <w:szCs w:val="24"/>
        </w:rPr>
      </w:pPr>
    </w:p>
    <w:p w14:paraId="67A9DABD">
      <w:pPr>
        <w:outlineLvl w:val="9"/>
        <w:rPr>
          <w:rFonts w:hint="eastAsia" w:ascii="仿宋" w:hAnsi="仿宋" w:eastAsia="仿宋" w:cs="仿宋"/>
          <w:sz w:val="24"/>
          <w:szCs w:val="24"/>
        </w:rPr>
      </w:pPr>
    </w:p>
    <w:p w14:paraId="75EFCACF">
      <w:pPr>
        <w:outlineLvl w:val="9"/>
        <w:rPr>
          <w:rFonts w:hint="eastAsia" w:ascii="仿宋" w:hAnsi="仿宋" w:eastAsia="仿宋" w:cs="仿宋"/>
          <w:sz w:val="24"/>
          <w:szCs w:val="24"/>
        </w:rPr>
      </w:pPr>
    </w:p>
    <w:p w14:paraId="24DB3B06">
      <w:pPr>
        <w:pStyle w:val="18"/>
        <w:outlineLvl w:val="9"/>
        <w:rPr>
          <w:rFonts w:hint="eastAsia" w:ascii="仿宋" w:hAnsi="仿宋" w:eastAsia="仿宋" w:cs="仿宋"/>
          <w:sz w:val="24"/>
          <w:szCs w:val="24"/>
        </w:rPr>
      </w:pPr>
    </w:p>
    <w:p w14:paraId="67902218">
      <w:pPr>
        <w:outlineLvl w:val="9"/>
        <w:rPr>
          <w:rFonts w:hint="eastAsia" w:ascii="仿宋" w:hAnsi="仿宋" w:eastAsia="仿宋" w:cs="仿宋"/>
          <w:sz w:val="24"/>
          <w:szCs w:val="24"/>
        </w:rPr>
      </w:pPr>
    </w:p>
    <w:p w14:paraId="53AFF7FD">
      <w:pPr>
        <w:pStyle w:val="18"/>
        <w:rPr>
          <w:rFonts w:hint="eastAsia" w:ascii="仿宋" w:hAnsi="仿宋" w:eastAsia="仿宋" w:cs="仿宋"/>
          <w:sz w:val="24"/>
          <w:szCs w:val="24"/>
        </w:rPr>
      </w:pPr>
    </w:p>
    <w:p w14:paraId="5FF7D60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940BF5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34" w:name="_Toc296944566"/>
      <w:bookmarkStart w:id="235" w:name="_Toc296503227"/>
      <w:bookmarkStart w:id="236" w:name="_Toc296347226"/>
      <w:bookmarkStart w:id="237" w:name="_Toc296346728"/>
      <w:bookmarkStart w:id="238" w:name="_Toc267261698"/>
      <w:bookmarkStart w:id="239" w:name="_Toc296891055"/>
      <w:bookmarkStart w:id="240" w:name="_Toc296891267"/>
      <w:r>
        <w:rPr>
          <w:rFonts w:hint="eastAsia" w:ascii="仿宋" w:hAnsi="仿宋" w:eastAsia="仿宋" w:cs="仿宋"/>
          <w:color w:val="auto"/>
          <w:sz w:val="24"/>
          <w:szCs w:val="24"/>
          <w:highlight w:val="none"/>
        </w:rPr>
        <w:t>件5：</w:t>
      </w:r>
    </w:p>
    <w:bookmarkEnd w:id="234"/>
    <w:bookmarkEnd w:id="235"/>
    <w:bookmarkEnd w:id="236"/>
    <w:bookmarkEnd w:id="237"/>
    <w:bookmarkEnd w:id="238"/>
    <w:bookmarkEnd w:id="239"/>
    <w:bookmarkEnd w:id="240"/>
    <w:p w14:paraId="2795FC93">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承包人用于本工程施工的机械设备表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DE31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03CDC04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418" w:type="dxa"/>
            <w:tcBorders>
              <w:top w:val="single" w:color="auto" w:sz="12" w:space="0"/>
              <w:bottom w:val="double" w:color="auto" w:sz="6" w:space="0"/>
            </w:tcBorders>
            <w:vAlign w:val="center"/>
          </w:tcPr>
          <w:p w14:paraId="4F5C653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机械或设备名称</w:t>
            </w:r>
          </w:p>
        </w:tc>
        <w:tc>
          <w:tcPr>
            <w:tcW w:w="850" w:type="dxa"/>
            <w:tcBorders>
              <w:top w:val="single" w:color="auto" w:sz="12" w:space="0"/>
              <w:bottom w:val="double" w:color="auto" w:sz="6" w:space="0"/>
            </w:tcBorders>
            <w:vAlign w:val="center"/>
          </w:tcPr>
          <w:p w14:paraId="2BCECAC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1058" w:type="dxa"/>
            <w:tcBorders>
              <w:top w:val="single" w:color="auto" w:sz="12" w:space="0"/>
              <w:bottom w:val="double" w:color="auto" w:sz="6" w:space="0"/>
            </w:tcBorders>
            <w:vAlign w:val="center"/>
          </w:tcPr>
          <w:p w14:paraId="17FC835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80" w:type="dxa"/>
            <w:tcBorders>
              <w:top w:val="single" w:color="auto" w:sz="12" w:space="0"/>
              <w:bottom w:val="double" w:color="auto" w:sz="6" w:space="0"/>
            </w:tcBorders>
            <w:vAlign w:val="center"/>
          </w:tcPr>
          <w:p w14:paraId="6E89CF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1020" w:type="dxa"/>
            <w:tcBorders>
              <w:top w:val="single" w:color="auto" w:sz="12" w:space="0"/>
              <w:bottom w:val="double" w:color="auto" w:sz="6" w:space="0"/>
            </w:tcBorders>
            <w:vAlign w:val="center"/>
          </w:tcPr>
          <w:p w14:paraId="64153B6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制造年份</w:t>
            </w:r>
          </w:p>
        </w:tc>
        <w:tc>
          <w:tcPr>
            <w:tcW w:w="1480" w:type="dxa"/>
            <w:tcBorders>
              <w:top w:val="single" w:color="auto" w:sz="12" w:space="0"/>
              <w:bottom w:val="double" w:color="auto" w:sz="6" w:space="0"/>
            </w:tcBorders>
            <w:vAlign w:val="center"/>
          </w:tcPr>
          <w:p w14:paraId="597206D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额定功率(kW)</w:t>
            </w:r>
          </w:p>
        </w:tc>
        <w:tc>
          <w:tcPr>
            <w:tcW w:w="1020" w:type="dxa"/>
            <w:tcBorders>
              <w:top w:val="single" w:color="auto" w:sz="12" w:space="0"/>
              <w:bottom w:val="double" w:color="auto" w:sz="6" w:space="0"/>
            </w:tcBorders>
            <w:vAlign w:val="center"/>
          </w:tcPr>
          <w:p w14:paraId="5A17D83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生产能力</w:t>
            </w:r>
          </w:p>
        </w:tc>
        <w:tc>
          <w:tcPr>
            <w:tcW w:w="921" w:type="dxa"/>
            <w:tcBorders>
              <w:top w:val="single" w:color="auto" w:sz="12" w:space="0"/>
              <w:bottom w:val="double" w:color="auto" w:sz="6" w:space="0"/>
            </w:tcBorders>
            <w:vAlign w:val="center"/>
          </w:tcPr>
          <w:p w14:paraId="195C9E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90DC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C44A3E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vAlign w:val="center"/>
          </w:tcPr>
          <w:p w14:paraId="20C76E33">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double" w:color="auto" w:sz="6" w:space="0"/>
              <w:bottom w:val="single" w:color="auto" w:sz="6" w:space="0"/>
            </w:tcBorders>
            <w:vAlign w:val="center"/>
          </w:tcPr>
          <w:p w14:paraId="73B548B7">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double" w:color="auto" w:sz="6" w:space="0"/>
              <w:bottom w:val="single" w:color="auto" w:sz="6" w:space="0"/>
            </w:tcBorders>
            <w:vAlign w:val="center"/>
          </w:tcPr>
          <w:p w14:paraId="1C17D982">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double" w:color="auto" w:sz="6" w:space="0"/>
              <w:bottom w:val="single" w:color="auto" w:sz="6" w:space="0"/>
            </w:tcBorders>
            <w:vAlign w:val="center"/>
          </w:tcPr>
          <w:p w14:paraId="35505D5B">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074770D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double" w:color="auto" w:sz="6" w:space="0"/>
              <w:bottom w:val="single" w:color="auto" w:sz="6" w:space="0"/>
            </w:tcBorders>
            <w:vAlign w:val="center"/>
          </w:tcPr>
          <w:p w14:paraId="3E722E1F">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77C0278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double" w:color="auto" w:sz="6" w:space="0"/>
              <w:bottom w:val="single" w:color="auto" w:sz="6" w:space="0"/>
            </w:tcBorders>
            <w:vAlign w:val="center"/>
          </w:tcPr>
          <w:p w14:paraId="582D5C3E">
            <w:pPr>
              <w:pStyle w:val="2"/>
              <w:keepNext/>
              <w:spacing w:after="0" w:line="440" w:lineRule="exact"/>
              <w:ind w:left="63" w:right="63"/>
              <w:rPr>
                <w:rFonts w:hint="eastAsia" w:ascii="仿宋" w:hAnsi="仿宋" w:eastAsia="仿宋" w:cs="仿宋"/>
                <w:color w:val="auto"/>
                <w:sz w:val="24"/>
                <w:szCs w:val="24"/>
                <w:highlight w:val="none"/>
              </w:rPr>
            </w:pPr>
          </w:p>
        </w:tc>
      </w:tr>
      <w:tr w14:paraId="62A51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9AADD18">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vAlign w:val="center"/>
          </w:tcPr>
          <w:p w14:paraId="3155E92C">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nil"/>
            </w:tcBorders>
            <w:vAlign w:val="center"/>
          </w:tcPr>
          <w:p w14:paraId="57FA5B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nil"/>
            </w:tcBorders>
            <w:vAlign w:val="center"/>
          </w:tcPr>
          <w:p w14:paraId="799A0F0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nil"/>
            </w:tcBorders>
            <w:vAlign w:val="center"/>
          </w:tcPr>
          <w:p w14:paraId="3A63E1C9">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032E308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nil"/>
            </w:tcBorders>
            <w:vAlign w:val="center"/>
          </w:tcPr>
          <w:p w14:paraId="630BC1EE">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6F300A2B">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nil"/>
            </w:tcBorders>
            <w:vAlign w:val="center"/>
          </w:tcPr>
          <w:p w14:paraId="4871B8BA">
            <w:pPr>
              <w:pStyle w:val="2"/>
              <w:keepNext/>
              <w:spacing w:after="0" w:line="440" w:lineRule="exact"/>
              <w:ind w:left="63" w:right="63"/>
              <w:rPr>
                <w:rFonts w:hint="eastAsia" w:ascii="仿宋" w:hAnsi="仿宋" w:eastAsia="仿宋" w:cs="仿宋"/>
                <w:color w:val="auto"/>
                <w:sz w:val="24"/>
                <w:szCs w:val="24"/>
                <w:highlight w:val="none"/>
              </w:rPr>
            </w:pPr>
          </w:p>
        </w:tc>
      </w:tr>
      <w:tr w14:paraId="35C1F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4C376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F1C2768">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019C1200">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FD4538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EA970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198CF205">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82AA35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561B70AA">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30CC853">
            <w:pPr>
              <w:pStyle w:val="2"/>
              <w:keepNext/>
              <w:spacing w:after="0" w:line="440" w:lineRule="exact"/>
              <w:ind w:left="63" w:right="63"/>
              <w:rPr>
                <w:rFonts w:hint="eastAsia" w:ascii="仿宋" w:hAnsi="仿宋" w:eastAsia="仿宋" w:cs="仿宋"/>
                <w:color w:val="auto"/>
                <w:sz w:val="24"/>
                <w:szCs w:val="24"/>
                <w:highlight w:val="none"/>
              </w:rPr>
            </w:pPr>
          </w:p>
        </w:tc>
      </w:tr>
      <w:tr w14:paraId="4DA88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72F8CA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46F85CF9">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58E5998">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75BC8E76">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295609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D87E3A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33BC540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3D08E8C">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7C5BA1EC">
            <w:pPr>
              <w:pStyle w:val="2"/>
              <w:keepNext/>
              <w:spacing w:after="0" w:line="440" w:lineRule="exact"/>
              <w:ind w:left="63" w:right="63"/>
              <w:rPr>
                <w:rFonts w:hint="eastAsia" w:ascii="仿宋" w:hAnsi="仿宋" w:eastAsia="仿宋" w:cs="仿宋"/>
                <w:color w:val="auto"/>
                <w:sz w:val="24"/>
                <w:szCs w:val="24"/>
                <w:highlight w:val="none"/>
              </w:rPr>
            </w:pPr>
          </w:p>
        </w:tc>
      </w:tr>
      <w:tr w14:paraId="78820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D78ED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348C86FA">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416D6EDF">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2F4A210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3052F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DC0F97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E25176A">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3CDFF016">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FFCC4F4">
            <w:pPr>
              <w:pStyle w:val="2"/>
              <w:keepNext/>
              <w:spacing w:after="0" w:line="440" w:lineRule="exact"/>
              <w:ind w:left="63" w:right="63"/>
              <w:rPr>
                <w:rFonts w:hint="eastAsia" w:ascii="仿宋" w:hAnsi="仿宋" w:eastAsia="仿宋" w:cs="仿宋"/>
                <w:color w:val="auto"/>
                <w:sz w:val="24"/>
                <w:szCs w:val="24"/>
                <w:highlight w:val="none"/>
              </w:rPr>
            </w:pPr>
          </w:p>
        </w:tc>
      </w:tr>
      <w:tr w14:paraId="6D1E8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BBD8FC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59B428A5">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20975D9D">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3B02AF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21540486">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4E99D87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322A51C">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061224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BD8EB8C">
            <w:pPr>
              <w:pStyle w:val="2"/>
              <w:keepNext/>
              <w:spacing w:after="0" w:line="440" w:lineRule="exact"/>
              <w:ind w:left="63" w:right="63"/>
              <w:rPr>
                <w:rFonts w:hint="eastAsia" w:ascii="仿宋" w:hAnsi="仿宋" w:eastAsia="仿宋" w:cs="仿宋"/>
                <w:color w:val="auto"/>
                <w:sz w:val="24"/>
                <w:szCs w:val="24"/>
                <w:highlight w:val="none"/>
              </w:rPr>
            </w:pPr>
          </w:p>
        </w:tc>
      </w:tr>
      <w:tr w14:paraId="12BDD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BE1DF5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11CA567">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F6A0451">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6FDCB7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7816FA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6A67CB2">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7BBC50A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38432B9">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23A7A054">
            <w:pPr>
              <w:pStyle w:val="2"/>
              <w:keepNext/>
              <w:spacing w:after="0" w:line="440" w:lineRule="exact"/>
              <w:ind w:left="63" w:right="63"/>
              <w:rPr>
                <w:rFonts w:hint="eastAsia" w:ascii="仿宋" w:hAnsi="仿宋" w:eastAsia="仿宋" w:cs="仿宋"/>
                <w:color w:val="auto"/>
                <w:sz w:val="24"/>
                <w:szCs w:val="24"/>
                <w:highlight w:val="none"/>
              </w:rPr>
            </w:pPr>
          </w:p>
        </w:tc>
      </w:tr>
      <w:tr w14:paraId="4EB84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2BE97F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428B222">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68CDF5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529EB5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447D0B7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9A6F88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FE4624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6982D81">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595209A">
            <w:pPr>
              <w:pStyle w:val="2"/>
              <w:keepNext/>
              <w:spacing w:after="0" w:line="440" w:lineRule="exact"/>
              <w:ind w:left="63" w:right="63"/>
              <w:rPr>
                <w:rFonts w:hint="eastAsia" w:ascii="仿宋" w:hAnsi="仿宋" w:eastAsia="仿宋" w:cs="仿宋"/>
                <w:color w:val="auto"/>
                <w:sz w:val="24"/>
                <w:szCs w:val="24"/>
                <w:highlight w:val="none"/>
              </w:rPr>
            </w:pPr>
          </w:p>
        </w:tc>
      </w:tr>
      <w:tr w14:paraId="360EA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B19365">
            <w:pPr>
              <w:rPr>
                <w:rFonts w:hint="eastAsia" w:ascii="仿宋" w:hAnsi="仿宋" w:eastAsia="仿宋" w:cs="仿宋"/>
                <w:color w:val="auto"/>
                <w:sz w:val="24"/>
                <w:szCs w:val="24"/>
                <w:highlight w:val="none"/>
              </w:rPr>
            </w:pPr>
          </w:p>
        </w:tc>
        <w:tc>
          <w:tcPr>
            <w:tcW w:w="1418" w:type="dxa"/>
          </w:tcPr>
          <w:p w14:paraId="33A544BC">
            <w:pPr>
              <w:rPr>
                <w:rFonts w:hint="eastAsia" w:ascii="仿宋" w:hAnsi="仿宋" w:eastAsia="仿宋" w:cs="仿宋"/>
                <w:color w:val="auto"/>
                <w:sz w:val="24"/>
                <w:szCs w:val="24"/>
                <w:highlight w:val="none"/>
              </w:rPr>
            </w:pPr>
          </w:p>
        </w:tc>
        <w:tc>
          <w:tcPr>
            <w:tcW w:w="850" w:type="dxa"/>
          </w:tcPr>
          <w:p w14:paraId="7F6F7636">
            <w:pPr>
              <w:rPr>
                <w:rFonts w:hint="eastAsia" w:ascii="仿宋" w:hAnsi="仿宋" w:eastAsia="仿宋" w:cs="仿宋"/>
                <w:color w:val="auto"/>
                <w:sz w:val="24"/>
                <w:szCs w:val="24"/>
                <w:highlight w:val="none"/>
              </w:rPr>
            </w:pPr>
          </w:p>
        </w:tc>
        <w:tc>
          <w:tcPr>
            <w:tcW w:w="1058" w:type="dxa"/>
          </w:tcPr>
          <w:p w14:paraId="7043D6E7">
            <w:pPr>
              <w:rPr>
                <w:rFonts w:hint="eastAsia" w:ascii="仿宋" w:hAnsi="仿宋" w:eastAsia="仿宋" w:cs="仿宋"/>
                <w:color w:val="auto"/>
                <w:sz w:val="24"/>
                <w:szCs w:val="24"/>
                <w:highlight w:val="none"/>
              </w:rPr>
            </w:pPr>
          </w:p>
        </w:tc>
        <w:tc>
          <w:tcPr>
            <w:tcW w:w="880" w:type="dxa"/>
          </w:tcPr>
          <w:p w14:paraId="3D417B69">
            <w:pPr>
              <w:rPr>
                <w:rFonts w:hint="eastAsia" w:ascii="仿宋" w:hAnsi="仿宋" w:eastAsia="仿宋" w:cs="仿宋"/>
                <w:color w:val="auto"/>
                <w:sz w:val="24"/>
                <w:szCs w:val="24"/>
                <w:highlight w:val="none"/>
              </w:rPr>
            </w:pPr>
          </w:p>
        </w:tc>
        <w:tc>
          <w:tcPr>
            <w:tcW w:w="1020" w:type="dxa"/>
          </w:tcPr>
          <w:p w14:paraId="0098A927">
            <w:pPr>
              <w:rPr>
                <w:rFonts w:hint="eastAsia" w:ascii="仿宋" w:hAnsi="仿宋" w:eastAsia="仿宋" w:cs="仿宋"/>
                <w:color w:val="auto"/>
                <w:sz w:val="24"/>
                <w:szCs w:val="24"/>
                <w:highlight w:val="none"/>
              </w:rPr>
            </w:pPr>
          </w:p>
        </w:tc>
        <w:tc>
          <w:tcPr>
            <w:tcW w:w="1480" w:type="dxa"/>
          </w:tcPr>
          <w:p w14:paraId="660BBB7E">
            <w:pPr>
              <w:rPr>
                <w:rFonts w:hint="eastAsia" w:ascii="仿宋" w:hAnsi="仿宋" w:eastAsia="仿宋" w:cs="仿宋"/>
                <w:color w:val="auto"/>
                <w:sz w:val="24"/>
                <w:szCs w:val="24"/>
                <w:highlight w:val="none"/>
              </w:rPr>
            </w:pPr>
          </w:p>
        </w:tc>
        <w:tc>
          <w:tcPr>
            <w:tcW w:w="1020" w:type="dxa"/>
          </w:tcPr>
          <w:p w14:paraId="38BC61C2">
            <w:pPr>
              <w:rPr>
                <w:rFonts w:hint="eastAsia" w:ascii="仿宋" w:hAnsi="仿宋" w:eastAsia="仿宋" w:cs="仿宋"/>
                <w:color w:val="auto"/>
                <w:sz w:val="24"/>
                <w:szCs w:val="24"/>
                <w:highlight w:val="none"/>
              </w:rPr>
            </w:pPr>
          </w:p>
        </w:tc>
        <w:tc>
          <w:tcPr>
            <w:tcW w:w="921" w:type="dxa"/>
          </w:tcPr>
          <w:p w14:paraId="5DC03802">
            <w:pPr>
              <w:rPr>
                <w:rFonts w:hint="eastAsia" w:ascii="仿宋" w:hAnsi="仿宋" w:eastAsia="仿宋" w:cs="仿宋"/>
                <w:color w:val="auto"/>
                <w:sz w:val="24"/>
                <w:szCs w:val="24"/>
                <w:highlight w:val="none"/>
              </w:rPr>
            </w:pPr>
          </w:p>
        </w:tc>
      </w:tr>
      <w:tr w14:paraId="4EE33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C99242A">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17D2076">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DCD0D7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4ADD85A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C5BC4D0">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4405B50">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989DFD2">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160F454">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584C16A">
            <w:pPr>
              <w:pStyle w:val="2"/>
              <w:keepNext/>
              <w:spacing w:after="0" w:line="440" w:lineRule="exact"/>
              <w:ind w:left="63" w:right="63"/>
              <w:rPr>
                <w:rFonts w:hint="eastAsia" w:ascii="仿宋" w:hAnsi="仿宋" w:eastAsia="仿宋" w:cs="仿宋"/>
                <w:color w:val="auto"/>
                <w:sz w:val="24"/>
                <w:szCs w:val="24"/>
                <w:highlight w:val="none"/>
              </w:rPr>
            </w:pPr>
          </w:p>
        </w:tc>
      </w:tr>
      <w:tr w14:paraId="2E302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5DBC9D">
            <w:pPr>
              <w:rPr>
                <w:rFonts w:hint="eastAsia" w:ascii="仿宋" w:hAnsi="仿宋" w:eastAsia="仿宋" w:cs="仿宋"/>
                <w:color w:val="auto"/>
                <w:sz w:val="24"/>
                <w:szCs w:val="24"/>
                <w:highlight w:val="none"/>
              </w:rPr>
            </w:pPr>
          </w:p>
        </w:tc>
        <w:tc>
          <w:tcPr>
            <w:tcW w:w="1418" w:type="dxa"/>
          </w:tcPr>
          <w:p w14:paraId="501FBD3F">
            <w:pPr>
              <w:rPr>
                <w:rFonts w:hint="eastAsia" w:ascii="仿宋" w:hAnsi="仿宋" w:eastAsia="仿宋" w:cs="仿宋"/>
                <w:color w:val="auto"/>
                <w:sz w:val="24"/>
                <w:szCs w:val="24"/>
                <w:highlight w:val="none"/>
              </w:rPr>
            </w:pPr>
          </w:p>
        </w:tc>
        <w:tc>
          <w:tcPr>
            <w:tcW w:w="850" w:type="dxa"/>
          </w:tcPr>
          <w:p w14:paraId="4B2CA84E">
            <w:pPr>
              <w:rPr>
                <w:rFonts w:hint="eastAsia" w:ascii="仿宋" w:hAnsi="仿宋" w:eastAsia="仿宋" w:cs="仿宋"/>
                <w:color w:val="auto"/>
                <w:sz w:val="24"/>
                <w:szCs w:val="24"/>
                <w:highlight w:val="none"/>
              </w:rPr>
            </w:pPr>
          </w:p>
        </w:tc>
        <w:tc>
          <w:tcPr>
            <w:tcW w:w="1058" w:type="dxa"/>
          </w:tcPr>
          <w:p w14:paraId="6677180D">
            <w:pPr>
              <w:rPr>
                <w:rFonts w:hint="eastAsia" w:ascii="仿宋" w:hAnsi="仿宋" w:eastAsia="仿宋" w:cs="仿宋"/>
                <w:color w:val="auto"/>
                <w:sz w:val="24"/>
                <w:szCs w:val="24"/>
                <w:highlight w:val="none"/>
              </w:rPr>
            </w:pPr>
          </w:p>
        </w:tc>
        <w:tc>
          <w:tcPr>
            <w:tcW w:w="880" w:type="dxa"/>
          </w:tcPr>
          <w:p w14:paraId="7CF3FBD1">
            <w:pPr>
              <w:rPr>
                <w:rFonts w:hint="eastAsia" w:ascii="仿宋" w:hAnsi="仿宋" w:eastAsia="仿宋" w:cs="仿宋"/>
                <w:color w:val="auto"/>
                <w:sz w:val="24"/>
                <w:szCs w:val="24"/>
                <w:highlight w:val="none"/>
              </w:rPr>
            </w:pPr>
          </w:p>
        </w:tc>
        <w:tc>
          <w:tcPr>
            <w:tcW w:w="1020" w:type="dxa"/>
          </w:tcPr>
          <w:p w14:paraId="69B185D7">
            <w:pPr>
              <w:rPr>
                <w:rFonts w:hint="eastAsia" w:ascii="仿宋" w:hAnsi="仿宋" w:eastAsia="仿宋" w:cs="仿宋"/>
                <w:color w:val="auto"/>
                <w:sz w:val="24"/>
                <w:szCs w:val="24"/>
                <w:highlight w:val="none"/>
              </w:rPr>
            </w:pPr>
          </w:p>
        </w:tc>
        <w:tc>
          <w:tcPr>
            <w:tcW w:w="1480" w:type="dxa"/>
          </w:tcPr>
          <w:p w14:paraId="32F3B19D">
            <w:pPr>
              <w:rPr>
                <w:rFonts w:hint="eastAsia" w:ascii="仿宋" w:hAnsi="仿宋" w:eastAsia="仿宋" w:cs="仿宋"/>
                <w:color w:val="auto"/>
                <w:sz w:val="24"/>
                <w:szCs w:val="24"/>
                <w:highlight w:val="none"/>
              </w:rPr>
            </w:pPr>
          </w:p>
        </w:tc>
        <w:tc>
          <w:tcPr>
            <w:tcW w:w="1020" w:type="dxa"/>
          </w:tcPr>
          <w:p w14:paraId="60506F77">
            <w:pPr>
              <w:rPr>
                <w:rFonts w:hint="eastAsia" w:ascii="仿宋" w:hAnsi="仿宋" w:eastAsia="仿宋" w:cs="仿宋"/>
                <w:color w:val="auto"/>
                <w:sz w:val="24"/>
                <w:szCs w:val="24"/>
                <w:highlight w:val="none"/>
              </w:rPr>
            </w:pPr>
          </w:p>
        </w:tc>
        <w:tc>
          <w:tcPr>
            <w:tcW w:w="921" w:type="dxa"/>
          </w:tcPr>
          <w:p w14:paraId="1D44CF79">
            <w:pPr>
              <w:rPr>
                <w:rFonts w:hint="eastAsia" w:ascii="仿宋" w:hAnsi="仿宋" w:eastAsia="仿宋" w:cs="仿宋"/>
                <w:color w:val="auto"/>
                <w:sz w:val="24"/>
                <w:szCs w:val="24"/>
                <w:highlight w:val="none"/>
              </w:rPr>
            </w:pPr>
          </w:p>
        </w:tc>
      </w:tr>
      <w:tr w14:paraId="1ED21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5C52781">
            <w:pPr>
              <w:rPr>
                <w:rFonts w:hint="eastAsia" w:ascii="仿宋" w:hAnsi="仿宋" w:eastAsia="仿宋" w:cs="仿宋"/>
                <w:color w:val="auto"/>
                <w:sz w:val="24"/>
                <w:szCs w:val="24"/>
                <w:highlight w:val="none"/>
              </w:rPr>
            </w:pPr>
          </w:p>
        </w:tc>
        <w:tc>
          <w:tcPr>
            <w:tcW w:w="1418" w:type="dxa"/>
          </w:tcPr>
          <w:p w14:paraId="398E13D1">
            <w:pPr>
              <w:rPr>
                <w:rFonts w:hint="eastAsia" w:ascii="仿宋" w:hAnsi="仿宋" w:eastAsia="仿宋" w:cs="仿宋"/>
                <w:color w:val="auto"/>
                <w:sz w:val="24"/>
                <w:szCs w:val="24"/>
                <w:highlight w:val="none"/>
              </w:rPr>
            </w:pPr>
          </w:p>
        </w:tc>
        <w:tc>
          <w:tcPr>
            <w:tcW w:w="850" w:type="dxa"/>
          </w:tcPr>
          <w:p w14:paraId="04F76CCE">
            <w:pPr>
              <w:rPr>
                <w:rFonts w:hint="eastAsia" w:ascii="仿宋" w:hAnsi="仿宋" w:eastAsia="仿宋" w:cs="仿宋"/>
                <w:color w:val="auto"/>
                <w:sz w:val="24"/>
                <w:szCs w:val="24"/>
                <w:highlight w:val="none"/>
              </w:rPr>
            </w:pPr>
          </w:p>
        </w:tc>
        <w:tc>
          <w:tcPr>
            <w:tcW w:w="1058" w:type="dxa"/>
          </w:tcPr>
          <w:p w14:paraId="34EE5B4D">
            <w:pPr>
              <w:rPr>
                <w:rFonts w:hint="eastAsia" w:ascii="仿宋" w:hAnsi="仿宋" w:eastAsia="仿宋" w:cs="仿宋"/>
                <w:color w:val="auto"/>
                <w:sz w:val="24"/>
                <w:szCs w:val="24"/>
                <w:highlight w:val="none"/>
              </w:rPr>
            </w:pPr>
          </w:p>
        </w:tc>
        <w:tc>
          <w:tcPr>
            <w:tcW w:w="880" w:type="dxa"/>
          </w:tcPr>
          <w:p w14:paraId="1AF3B09B">
            <w:pPr>
              <w:rPr>
                <w:rFonts w:hint="eastAsia" w:ascii="仿宋" w:hAnsi="仿宋" w:eastAsia="仿宋" w:cs="仿宋"/>
                <w:color w:val="auto"/>
                <w:sz w:val="24"/>
                <w:szCs w:val="24"/>
                <w:highlight w:val="none"/>
              </w:rPr>
            </w:pPr>
          </w:p>
        </w:tc>
        <w:tc>
          <w:tcPr>
            <w:tcW w:w="1020" w:type="dxa"/>
          </w:tcPr>
          <w:p w14:paraId="44570914">
            <w:pPr>
              <w:rPr>
                <w:rFonts w:hint="eastAsia" w:ascii="仿宋" w:hAnsi="仿宋" w:eastAsia="仿宋" w:cs="仿宋"/>
                <w:color w:val="auto"/>
                <w:sz w:val="24"/>
                <w:szCs w:val="24"/>
                <w:highlight w:val="none"/>
              </w:rPr>
            </w:pPr>
          </w:p>
        </w:tc>
        <w:tc>
          <w:tcPr>
            <w:tcW w:w="1480" w:type="dxa"/>
          </w:tcPr>
          <w:p w14:paraId="42D55120">
            <w:pPr>
              <w:rPr>
                <w:rFonts w:hint="eastAsia" w:ascii="仿宋" w:hAnsi="仿宋" w:eastAsia="仿宋" w:cs="仿宋"/>
                <w:color w:val="auto"/>
                <w:sz w:val="24"/>
                <w:szCs w:val="24"/>
                <w:highlight w:val="none"/>
              </w:rPr>
            </w:pPr>
          </w:p>
        </w:tc>
        <w:tc>
          <w:tcPr>
            <w:tcW w:w="1020" w:type="dxa"/>
          </w:tcPr>
          <w:p w14:paraId="2B25706B">
            <w:pPr>
              <w:rPr>
                <w:rFonts w:hint="eastAsia" w:ascii="仿宋" w:hAnsi="仿宋" w:eastAsia="仿宋" w:cs="仿宋"/>
                <w:color w:val="auto"/>
                <w:sz w:val="24"/>
                <w:szCs w:val="24"/>
                <w:highlight w:val="none"/>
              </w:rPr>
            </w:pPr>
          </w:p>
        </w:tc>
        <w:tc>
          <w:tcPr>
            <w:tcW w:w="921" w:type="dxa"/>
          </w:tcPr>
          <w:p w14:paraId="49BB02B5">
            <w:pPr>
              <w:rPr>
                <w:rFonts w:hint="eastAsia" w:ascii="仿宋" w:hAnsi="仿宋" w:eastAsia="仿宋" w:cs="仿宋"/>
                <w:color w:val="auto"/>
                <w:sz w:val="24"/>
                <w:szCs w:val="24"/>
                <w:highlight w:val="none"/>
              </w:rPr>
            </w:pPr>
          </w:p>
        </w:tc>
      </w:tr>
      <w:tr w14:paraId="74C7A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2F917C">
            <w:pPr>
              <w:rPr>
                <w:rFonts w:hint="eastAsia" w:ascii="仿宋" w:hAnsi="仿宋" w:eastAsia="仿宋" w:cs="仿宋"/>
                <w:color w:val="auto"/>
                <w:sz w:val="24"/>
                <w:szCs w:val="24"/>
                <w:highlight w:val="none"/>
              </w:rPr>
            </w:pPr>
          </w:p>
        </w:tc>
        <w:tc>
          <w:tcPr>
            <w:tcW w:w="1418" w:type="dxa"/>
          </w:tcPr>
          <w:p w14:paraId="3E91EC0D">
            <w:pPr>
              <w:rPr>
                <w:rFonts w:hint="eastAsia" w:ascii="仿宋" w:hAnsi="仿宋" w:eastAsia="仿宋" w:cs="仿宋"/>
                <w:color w:val="auto"/>
                <w:sz w:val="24"/>
                <w:szCs w:val="24"/>
                <w:highlight w:val="none"/>
              </w:rPr>
            </w:pPr>
          </w:p>
        </w:tc>
        <w:tc>
          <w:tcPr>
            <w:tcW w:w="850" w:type="dxa"/>
          </w:tcPr>
          <w:p w14:paraId="741AC140">
            <w:pPr>
              <w:rPr>
                <w:rFonts w:hint="eastAsia" w:ascii="仿宋" w:hAnsi="仿宋" w:eastAsia="仿宋" w:cs="仿宋"/>
                <w:color w:val="auto"/>
                <w:sz w:val="24"/>
                <w:szCs w:val="24"/>
                <w:highlight w:val="none"/>
              </w:rPr>
            </w:pPr>
          </w:p>
        </w:tc>
        <w:tc>
          <w:tcPr>
            <w:tcW w:w="1058" w:type="dxa"/>
          </w:tcPr>
          <w:p w14:paraId="34761EF3">
            <w:pPr>
              <w:rPr>
                <w:rFonts w:hint="eastAsia" w:ascii="仿宋" w:hAnsi="仿宋" w:eastAsia="仿宋" w:cs="仿宋"/>
                <w:color w:val="auto"/>
                <w:sz w:val="24"/>
                <w:szCs w:val="24"/>
                <w:highlight w:val="none"/>
              </w:rPr>
            </w:pPr>
          </w:p>
        </w:tc>
        <w:tc>
          <w:tcPr>
            <w:tcW w:w="880" w:type="dxa"/>
          </w:tcPr>
          <w:p w14:paraId="43FE88E9">
            <w:pPr>
              <w:rPr>
                <w:rFonts w:hint="eastAsia" w:ascii="仿宋" w:hAnsi="仿宋" w:eastAsia="仿宋" w:cs="仿宋"/>
                <w:color w:val="auto"/>
                <w:sz w:val="24"/>
                <w:szCs w:val="24"/>
                <w:highlight w:val="none"/>
              </w:rPr>
            </w:pPr>
          </w:p>
        </w:tc>
        <w:tc>
          <w:tcPr>
            <w:tcW w:w="1020" w:type="dxa"/>
          </w:tcPr>
          <w:p w14:paraId="6E46108B">
            <w:pPr>
              <w:rPr>
                <w:rFonts w:hint="eastAsia" w:ascii="仿宋" w:hAnsi="仿宋" w:eastAsia="仿宋" w:cs="仿宋"/>
                <w:color w:val="auto"/>
                <w:sz w:val="24"/>
                <w:szCs w:val="24"/>
                <w:highlight w:val="none"/>
              </w:rPr>
            </w:pPr>
          </w:p>
        </w:tc>
        <w:tc>
          <w:tcPr>
            <w:tcW w:w="1480" w:type="dxa"/>
          </w:tcPr>
          <w:p w14:paraId="17310AC7">
            <w:pPr>
              <w:rPr>
                <w:rFonts w:hint="eastAsia" w:ascii="仿宋" w:hAnsi="仿宋" w:eastAsia="仿宋" w:cs="仿宋"/>
                <w:color w:val="auto"/>
                <w:sz w:val="24"/>
                <w:szCs w:val="24"/>
                <w:highlight w:val="none"/>
              </w:rPr>
            </w:pPr>
          </w:p>
        </w:tc>
        <w:tc>
          <w:tcPr>
            <w:tcW w:w="1020" w:type="dxa"/>
          </w:tcPr>
          <w:p w14:paraId="2345B388">
            <w:pPr>
              <w:rPr>
                <w:rFonts w:hint="eastAsia" w:ascii="仿宋" w:hAnsi="仿宋" w:eastAsia="仿宋" w:cs="仿宋"/>
                <w:color w:val="auto"/>
                <w:sz w:val="24"/>
                <w:szCs w:val="24"/>
                <w:highlight w:val="none"/>
              </w:rPr>
            </w:pPr>
          </w:p>
        </w:tc>
        <w:tc>
          <w:tcPr>
            <w:tcW w:w="921" w:type="dxa"/>
          </w:tcPr>
          <w:p w14:paraId="3C9CCFE1">
            <w:pPr>
              <w:rPr>
                <w:rFonts w:hint="eastAsia" w:ascii="仿宋" w:hAnsi="仿宋" w:eastAsia="仿宋" w:cs="仿宋"/>
                <w:color w:val="auto"/>
                <w:sz w:val="24"/>
                <w:szCs w:val="24"/>
                <w:highlight w:val="none"/>
              </w:rPr>
            </w:pPr>
          </w:p>
        </w:tc>
      </w:tr>
      <w:tr w14:paraId="49294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78ED184">
            <w:pPr>
              <w:rPr>
                <w:rFonts w:hint="eastAsia" w:ascii="仿宋" w:hAnsi="仿宋" w:eastAsia="仿宋" w:cs="仿宋"/>
                <w:color w:val="auto"/>
                <w:sz w:val="24"/>
                <w:szCs w:val="24"/>
                <w:highlight w:val="none"/>
              </w:rPr>
            </w:pPr>
          </w:p>
        </w:tc>
        <w:tc>
          <w:tcPr>
            <w:tcW w:w="1418" w:type="dxa"/>
          </w:tcPr>
          <w:p w14:paraId="2DDC7BCF">
            <w:pPr>
              <w:rPr>
                <w:rFonts w:hint="eastAsia" w:ascii="仿宋" w:hAnsi="仿宋" w:eastAsia="仿宋" w:cs="仿宋"/>
                <w:color w:val="auto"/>
                <w:sz w:val="24"/>
                <w:szCs w:val="24"/>
                <w:highlight w:val="none"/>
              </w:rPr>
            </w:pPr>
          </w:p>
        </w:tc>
        <w:tc>
          <w:tcPr>
            <w:tcW w:w="850" w:type="dxa"/>
          </w:tcPr>
          <w:p w14:paraId="068BA333">
            <w:pPr>
              <w:rPr>
                <w:rFonts w:hint="eastAsia" w:ascii="仿宋" w:hAnsi="仿宋" w:eastAsia="仿宋" w:cs="仿宋"/>
                <w:color w:val="auto"/>
                <w:sz w:val="24"/>
                <w:szCs w:val="24"/>
                <w:highlight w:val="none"/>
              </w:rPr>
            </w:pPr>
          </w:p>
        </w:tc>
        <w:tc>
          <w:tcPr>
            <w:tcW w:w="1058" w:type="dxa"/>
          </w:tcPr>
          <w:p w14:paraId="58378756">
            <w:pPr>
              <w:rPr>
                <w:rFonts w:hint="eastAsia" w:ascii="仿宋" w:hAnsi="仿宋" w:eastAsia="仿宋" w:cs="仿宋"/>
                <w:color w:val="auto"/>
                <w:sz w:val="24"/>
                <w:szCs w:val="24"/>
                <w:highlight w:val="none"/>
              </w:rPr>
            </w:pPr>
          </w:p>
        </w:tc>
        <w:tc>
          <w:tcPr>
            <w:tcW w:w="880" w:type="dxa"/>
          </w:tcPr>
          <w:p w14:paraId="71C99256">
            <w:pPr>
              <w:rPr>
                <w:rFonts w:hint="eastAsia" w:ascii="仿宋" w:hAnsi="仿宋" w:eastAsia="仿宋" w:cs="仿宋"/>
                <w:color w:val="auto"/>
                <w:sz w:val="24"/>
                <w:szCs w:val="24"/>
                <w:highlight w:val="none"/>
              </w:rPr>
            </w:pPr>
          </w:p>
        </w:tc>
        <w:tc>
          <w:tcPr>
            <w:tcW w:w="1020" w:type="dxa"/>
          </w:tcPr>
          <w:p w14:paraId="20034B2F">
            <w:pPr>
              <w:rPr>
                <w:rFonts w:hint="eastAsia" w:ascii="仿宋" w:hAnsi="仿宋" w:eastAsia="仿宋" w:cs="仿宋"/>
                <w:color w:val="auto"/>
                <w:sz w:val="24"/>
                <w:szCs w:val="24"/>
                <w:highlight w:val="none"/>
              </w:rPr>
            </w:pPr>
          </w:p>
        </w:tc>
        <w:tc>
          <w:tcPr>
            <w:tcW w:w="1480" w:type="dxa"/>
          </w:tcPr>
          <w:p w14:paraId="3E1D50AC">
            <w:pPr>
              <w:rPr>
                <w:rFonts w:hint="eastAsia" w:ascii="仿宋" w:hAnsi="仿宋" w:eastAsia="仿宋" w:cs="仿宋"/>
                <w:color w:val="auto"/>
                <w:sz w:val="24"/>
                <w:szCs w:val="24"/>
                <w:highlight w:val="none"/>
              </w:rPr>
            </w:pPr>
          </w:p>
        </w:tc>
        <w:tc>
          <w:tcPr>
            <w:tcW w:w="1020" w:type="dxa"/>
          </w:tcPr>
          <w:p w14:paraId="0B08437E">
            <w:pPr>
              <w:rPr>
                <w:rFonts w:hint="eastAsia" w:ascii="仿宋" w:hAnsi="仿宋" w:eastAsia="仿宋" w:cs="仿宋"/>
                <w:color w:val="auto"/>
                <w:sz w:val="24"/>
                <w:szCs w:val="24"/>
                <w:highlight w:val="none"/>
              </w:rPr>
            </w:pPr>
          </w:p>
        </w:tc>
        <w:tc>
          <w:tcPr>
            <w:tcW w:w="921" w:type="dxa"/>
          </w:tcPr>
          <w:p w14:paraId="2EC532FA">
            <w:pPr>
              <w:rPr>
                <w:rFonts w:hint="eastAsia" w:ascii="仿宋" w:hAnsi="仿宋" w:eastAsia="仿宋" w:cs="仿宋"/>
                <w:color w:val="auto"/>
                <w:sz w:val="24"/>
                <w:szCs w:val="24"/>
                <w:highlight w:val="none"/>
              </w:rPr>
            </w:pPr>
          </w:p>
        </w:tc>
      </w:tr>
      <w:tr w14:paraId="7DAB7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300C6D1">
            <w:pPr>
              <w:rPr>
                <w:rFonts w:hint="eastAsia" w:ascii="仿宋" w:hAnsi="仿宋" w:eastAsia="仿宋" w:cs="仿宋"/>
                <w:color w:val="auto"/>
                <w:sz w:val="24"/>
                <w:szCs w:val="24"/>
                <w:highlight w:val="none"/>
              </w:rPr>
            </w:pPr>
          </w:p>
        </w:tc>
        <w:tc>
          <w:tcPr>
            <w:tcW w:w="1418" w:type="dxa"/>
          </w:tcPr>
          <w:p w14:paraId="21998419">
            <w:pPr>
              <w:rPr>
                <w:rFonts w:hint="eastAsia" w:ascii="仿宋" w:hAnsi="仿宋" w:eastAsia="仿宋" w:cs="仿宋"/>
                <w:color w:val="auto"/>
                <w:sz w:val="24"/>
                <w:szCs w:val="24"/>
                <w:highlight w:val="none"/>
              </w:rPr>
            </w:pPr>
          </w:p>
        </w:tc>
        <w:tc>
          <w:tcPr>
            <w:tcW w:w="850" w:type="dxa"/>
          </w:tcPr>
          <w:p w14:paraId="61B1AB4B">
            <w:pPr>
              <w:rPr>
                <w:rFonts w:hint="eastAsia" w:ascii="仿宋" w:hAnsi="仿宋" w:eastAsia="仿宋" w:cs="仿宋"/>
                <w:color w:val="auto"/>
                <w:sz w:val="24"/>
                <w:szCs w:val="24"/>
                <w:highlight w:val="none"/>
              </w:rPr>
            </w:pPr>
          </w:p>
        </w:tc>
        <w:tc>
          <w:tcPr>
            <w:tcW w:w="1058" w:type="dxa"/>
          </w:tcPr>
          <w:p w14:paraId="055768A1">
            <w:pPr>
              <w:rPr>
                <w:rFonts w:hint="eastAsia" w:ascii="仿宋" w:hAnsi="仿宋" w:eastAsia="仿宋" w:cs="仿宋"/>
                <w:color w:val="auto"/>
                <w:sz w:val="24"/>
                <w:szCs w:val="24"/>
                <w:highlight w:val="none"/>
              </w:rPr>
            </w:pPr>
          </w:p>
        </w:tc>
        <w:tc>
          <w:tcPr>
            <w:tcW w:w="880" w:type="dxa"/>
          </w:tcPr>
          <w:p w14:paraId="30F015EF">
            <w:pPr>
              <w:rPr>
                <w:rFonts w:hint="eastAsia" w:ascii="仿宋" w:hAnsi="仿宋" w:eastAsia="仿宋" w:cs="仿宋"/>
                <w:color w:val="auto"/>
                <w:sz w:val="24"/>
                <w:szCs w:val="24"/>
                <w:highlight w:val="none"/>
              </w:rPr>
            </w:pPr>
          </w:p>
        </w:tc>
        <w:tc>
          <w:tcPr>
            <w:tcW w:w="1020" w:type="dxa"/>
          </w:tcPr>
          <w:p w14:paraId="6734B921">
            <w:pPr>
              <w:rPr>
                <w:rFonts w:hint="eastAsia" w:ascii="仿宋" w:hAnsi="仿宋" w:eastAsia="仿宋" w:cs="仿宋"/>
                <w:color w:val="auto"/>
                <w:sz w:val="24"/>
                <w:szCs w:val="24"/>
                <w:highlight w:val="none"/>
              </w:rPr>
            </w:pPr>
          </w:p>
        </w:tc>
        <w:tc>
          <w:tcPr>
            <w:tcW w:w="1480" w:type="dxa"/>
          </w:tcPr>
          <w:p w14:paraId="535E0DA0">
            <w:pPr>
              <w:rPr>
                <w:rFonts w:hint="eastAsia" w:ascii="仿宋" w:hAnsi="仿宋" w:eastAsia="仿宋" w:cs="仿宋"/>
                <w:color w:val="auto"/>
                <w:sz w:val="24"/>
                <w:szCs w:val="24"/>
                <w:highlight w:val="none"/>
              </w:rPr>
            </w:pPr>
          </w:p>
        </w:tc>
        <w:tc>
          <w:tcPr>
            <w:tcW w:w="1020" w:type="dxa"/>
          </w:tcPr>
          <w:p w14:paraId="5970F86C">
            <w:pPr>
              <w:rPr>
                <w:rFonts w:hint="eastAsia" w:ascii="仿宋" w:hAnsi="仿宋" w:eastAsia="仿宋" w:cs="仿宋"/>
                <w:color w:val="auto"/>
                <w:sz w:val="24"/>
                <w:szCs w:val="24"/>
                <w:highlight w:val="none"/>
              </w:rPr>
            </w:pPr>
          </w:p>
        </w:tc>
        <w:tc>
          <w:tcPr>
            <w:tcW w:w="921" w:type="dxa"/>
          </w:tcPr>
          <w:p w14:paraId="2D0F17E1">
            <w:pPr>
              <w:rPr>
                <w:rFonts w:hint="eastAsia" w:ascii="仿宋" w:hAnsi="仿宋" w:eastAsia="仿宋" w:cs="仿宋"/>
                <w:color w:val="auto"/>
                <w:sz w:val="24"/>
                <w:szCs w:val="24"/>
                <w:highlight w:val="none"/>
              </w:rPr>
            </w:pPr>
          </w:p>
        </w:tc>
      </w:tr>
      <w:tr w14:paraId="25611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D4A3999">
            <w:pPr>
              <w:rPr>
                <w:rFonts w:hint="eastAsia" w:ascii="仿宋" w:hAnsi="仿宋" w:eastAsia="仿宋" w:cs="仿宋"/>
                <w:color w:val="auto"/>
                <w:sz w:val="24"/>
                <w:szCs w:val="24"/>
                <w:highlight w:val="none"/>
              </w:rPr>
            </w:pPr>
          </w:p>
        </w:tc>
        <w:tc>
          <w:tcPr>
            <w:tcW w:w="1418" w:type="dxa"/>
          </w:tcPr>
          <w:p w14:paraId="6DA5DBEB">
            <w:pPr>
              <w:rPr>
                <w:rFonts w:hint="eastAsia" w:ascii="仿宋" w:hAnsi="仿宋" w:eastAsia="仿宋" w:cs="仿宋"/>
                <w:color w:val="auto"/>
                <w:sz w:val="24"/>
                <w:szCs w:val="24"/>
                <w:highlight w:val="none"/>
              </w:rPr>
            </w:pPr>
          </w:p>
        </w:tc>
        <w:tc>
          <w:tcPr>
            <w:tcW w:w="850" w:type="dxa"/>
          </w:tcPr>
          <w:p w14:paraId="6A49E640">
            <w:pPr>
              <w:rPr>
                <w:rFonts w:hint="eastAsia" w:ascii="仿宋" w:hAnsi="仿宋" w:eastAsia="仿宋" w:cs="仿宋"/>
                <w:color w:val="auto"/>
                <w:sz w:val="24"/>
                <w:szCs w:val="24"/>
                <w:highlight w:val="none"/>
              </w:rPr>
            </w:pPr>
          </w:p>
        </w:tc>
        <w:tc>
          <w:tcPr>
            <w:tcW w:w="1058" w:type="dxa"/>
          </w:tcPr>
          <w:p w14:paraId="70364F59">
            <w:pPr>
              <w:rPr>
                <w:rFonts w:hint="eastAsia" w:ascii="仿宋" w:hAnsi="仿宋" w:eastAsia="仿宋" w:cs="仿宋"/>
                <w:color w:val="auto"/>
                <w:sz w:val="24"/>
                <w:szCs w:val="24"/>
                <w:highlight w:val="none"/>
              </w:rPr>
            </w:pPr>
          </w:p>
        </w:tc>
        <w:tc>
          <w:tcPr>
            <w:tcW w:w="880" w:type="dxa"/>
          </w:tcPr>
          <w:p w14:paraId="4C294D13">
            <w:pPr>
              <w:rPr>
                <w:rFonts w:hint="eastAsia" w:ascii="仿宋" w:hAnsi="仿宋" w:eastAsia="仿宋" w:cs="仿宋"/>
                <w:color w:val="auto"/>
                <w:sz w:val="24"/>
                <w:szCs w:val="24"/>
                <w:highlight w:val="none"/>
              </w:rPr>
            </w:pPr>
          </w:p>
        </w:tc>
        <w:tc>
          <w:tcPr>
            <w:tcW w:w="1020" w:type="dxa"/>
          </w:tcPr>
          <w:p w14:paraId="1450807E">
            <w:pPr>
              <w:rPr>
                <w:rFonts w:hint="eastAsia" w:ascii="仿宋" w:hAnsi="仿宋" w:eastAsia="仿宋" w:cs="仿宋"/>
                <w:color w:val="auto"/>
                <w:sz w:val="24"/>
                <w:szCs w:val="24"/>
                <w:highlight w:val="none"/>
              </w:rPr>
            </w:pPr>
          </w:p>
        </w:tc>
        <w:tc>
          <w:tcPr>
            <w:tcW w:w="1480" w:type="dxa"/>
          </w:tcPr>
          <w:p w14:paraId="2AA2E19F">
            <w:pPr>
              <w:rPr>
                <w:rFonts w:hint="eastAsia" w:ascii="仿宋" w:hAnsi="仿宋" w:eastAsia="仿宋" w:cs="仿宋"/>
                <w:color w:val="auto"/>
                <w:sz w:val="24"/>
                <w:szCs w:val="24"/>
                <w:highlight w:val="none"/>
              </w:rPr>
            </w:pPr>
          </w:p>
        </w:tc>
        <w:tc>
          <w:tcPr>
            <w:tcW w:w="1020" w:type="dxa"/>
          </w:tcPr>
          <w:p w14:paraId="05C1CFB6">
            <w:pPr>
              <w:rPr>
                <w:rFonts w:hint="eastAsia" w:ascii="仿宋" w:hAnsi="仿宋" w:eastAsia="仿宋" w:cs="仿宋"/>
                <w:color w:val="auto"/>
                <w:sz w:val="24"/>
                <w:szCs w:val="24"/>
                <w:highlight w:val="none"/>
              </w:rPr>
            </w:pPr>
          </w:p>
        </w:tc>
        <w:tc>
          <w:tcPr>
            <w:tcW w:w="921" w:type="dxa"/>
          </w:tcPr>
          <w:p w14:paraId="53A92D05">
            <w:pPr>
              <w:rPr>
                <w:rFonts w:hint="eastAsia" w:ascii="仿宋" w:hAnsi="仿宋" w:eastAsia="仿宋" w:cs="仿宋"/>
                <w:color w:val="auto"/>
                <w:sz w:val="24"/>
                <w:szCs w:val="24"/>
                <w:highlight w:val="none"/>
              </w:rPr>
            </w:pPr>
          </w:p>
        </w:tc>
      </w:tr>
      <w:tr w14:paraId="7529B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BC5E5C">
            <w:pPr>
              <w:rPr>
                <w:rFonts w:hint="eastAsia" w:ascii="仿宋" w:hAnsi="仿宋" w:eastAsia="仿宋" w:cs="仿宋"/>
                <w:color w:val="auto"/>
                <w:sz w:val="24"/>
                <w:szCs w:val="24"/>
                <w:highlight w:val="none"/>
              </w:rPr>
            </w:pPr>
          </w:p>
        </w:tc>
        <w:tc>
          <w:tcPr>
            <w:tcW w:w="1418" w:type="dxa"/>
          </w:tcPr>
          <w:p w14:paraId="754BE079">
            <w:pPr>
              <w:rPr>
                <w:rFonts w:hint="eastAsia" w:ascii="仿宋" w:hAnsi="仿宋" w:eastAsia="仿宋" w:cs="仿宋"/>
                <w:color w:val="auto"/>
                <w:sz w:val="24"/>
                <w:szCs w:val="24"/>
                <w:highlight w:val="none"/>
              </w:rPr>
            </w:pPr>
          </w:p>
        </w:tc>
        <w:tc>
          <w:tcPr>
            <w:tcW w:w="850" w:type="dxa"/>
          </w:tcPr>
          <w:p w14:paraId="7F3B7A40">
            <w:pPr>
              <w:rPr>
                <w:rFonts w:hint="eastAsia" w:ascii="仿宋" w:hAnsi="仿宋" w:eastAsia="仿宋" w:cs="仿宋"/>
                <w:color w:val="auto"/>
                <w:sz w:val="24"/>
                <w:szCs w:val="24"/>
                <w:highlight w:val="none"/>
              </w:rPr>
            </w:pPr>
          </w:p>
        </w:tc>
        <w:tc>
          <w:tcPr>
            <w:tcW w:w="1058" w:type="dxa"/>
          </w:tcPr>
          <w:p w14:paraId="15C99CCA">
            <w:pPr>
              <w:rPr>
                <w:rFonts w:hint="eastAsia" w:ascii="仿宋" w:hAnsi="仿宋" w:eastAsia="仿宋" w:cs="仿宋"/>
                <w:color w:val="auto"/>
                <w:sz w:val="24"/>
                <w:szCs w:val="24"/>
                <w:highlight w:val="none"/>
              </w:rPr>
            </w:pPr>
          </w:p>
        </w:tc>
        <w:tc>
          <w:tcPr>
            <w:tcW w:w="880" w:type="dxa"/>
          </w:tcPr>
          <w:p w14:paraId="1C9A370F">
            <w:pPr>
              <w:rPr>
                <w:rFonts w:hint="eastAsia" w:ascii="仿宋" w:hAnsi="仿宋" w:eastAsia="仿宋" w:cs="仿宋"/>
                <w:color w:val="auto"/>
                <w:sz w:val="24"/>
                <w:szCs w:val="24"/>
                <w:highlight w:val="none"/>
              </w:rPr>
            </w:pPr>
          </w:p>
        </w:tc>
        <w:tc>
          <w:tcPr>
            <w:tcW w:w="1020" w:type="dxa"/>
          </w:tcPr>
          <w:p w14:paraId="53F5ADDF">
            <w:pPr>
              <w:rPr>
                <w:rFonts w:hint="eastAsia" w:ascii="仿宋" w:hAnsi="仿宋" w:eastAsia="仿宋" w:cs="仿宋"/>
                <w:color w:val="auto"/>
                <w:sz w:val="24"/>
                <w:szCs w:val="24"/>
                <w:highlight w:val="none"/>
              </w:rPr>
            </w:pPr>
          </w:p>
        </w:tc>
        <w:tc>
          <w:tcPr>
            <w:tcW w:w="1480" w:type="dxa"/>
          </w:tcPr>
          <w:p w14:paraId="6642ABB9">
            <w:pPr>
              <w:rPr>
                <w:rFonts w:hint="eastAsia" w:ascii="仿宋" w:hAnsi="仿宋" w:eastAsia="仿宋" w:cs="仿宋"/>
                <w:color w:val="auto"/>
                <w:sz w:val="24"/>
                <w:szCs w:val="24"/>
                <w:highlight w:val="none"/>
              </w:rPr>
            </w:pPr>
          </w:p>
        </w:tc>
        <w:tc>
          <w:tcPr>
            <w:tcW w:w="1020" w:type="dxa"/>
          </w:tcPr>
          <w:p w14:paraId="0CFB7370">
            <w:pPr>
              <w:rPr>
                <w:rFonts w:hint="eastAsia" w:ascii="仿宋" w:hAnsi="仿宋" w:eastAsia="仿宋" w:cs="仿宋"/>
                <w:color w:val="auto"/>
                <w:sz w:val="24"/>
                <w:szCs w:val="24"/>
                <w:highlight w:val="none"/>
              </w:rPr>
            </w:pPr>
          </w:p>
        </w:tc>
        <w:tc>
          <w:tcPr>
            <w:tcW w:w="921" w:type="dxa"/>
          </w:tcPr>
          <w:p w14:paraId="52302FC9">
            <w:pPr>
              <w:rPr>
                <w:rFonts w:hint="eastAsia" w:ascii="仿宋" w:hAnsi="仿宋" w:eastAsia="仿宋" w:cs="仿宋"/>
                <w:color w:val="auto"/>
                <w:sz w:val="24"/>
                <w:szCs w:val="24"/>
                <w:highlight w:val="none"/>
              </w:rPr>
            </w:pPr>
          </w:p>
        </w:tc>
      </w:tr>
      <w:tr w14:paraId="0C9B7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6EA57A">
            <w:pPr>
              <w:rPr>
                <w:rFonts w:hint="eastAsia" w:ascii="仿宋" w:hAnsi="仿宋" w:eastAsia="仿宋" w:cs="仿宋"/>
                <w:color w:val="auto"/>
                <w:sz w:val="24"/>
                <w:szCs w:val="24"/>
                <w:highlight w:val="none"/>
              </w:rPr>
            </w:pPr>
          </w:p>
        </w:tc>
        <w:tc>
          <w:tcPr>
            <w:tcW w:w="1418" w:type="dxa"/>
          </w:tcPr>
          <w:p w14:paraId="2C10FB45">
            <w:pPr>
              <w:rPr>
                <w:rFonts w:hint="eastAsia" w:ascii="仿宋" w:hAnsi="仿宋" w:eastAsia="仿宋" w:cs="仿宋"/>
                <w:color w:val="auto"/>
                <w:sz w:val="24"/>
                <w:szCs w:val="24"/>
                <w:highlight w:val="none"/>
              </w:rPr>
            </w:pPr>
          </w:p>
        </w:tc>
        <w:tc>
          <w:tcPr>
            <w:tcW w:w="850" w:type="dxa"/>
          </w:tcPr>
          <w:p w14:paraId="6DB5C5C8">
            <w:pPr>
              <w:rPr>
                <w:rFonts w:hint="eastAsia" w:ascii="仿宋" w:hAnsi="仿宋" w:eastAsia="仿宋" w:cs="仿宋"/>
                <w:color w:val="auto"/>
                <w:sz w:val="24"/>
                <w:szCs w:val="24"/>
                <w:highlight w:val="none"/>
              </w:rPr>
            </w:pPr>
          </w:p>
        </w:tc>
        <w:tc>
          <w:tcPr>
            <w:tcW w:w="1058" w:type="dxa"/>
          </w:tcPr>
          <w:p w14:paraId="647AED9B">
            <w:pPr>
              <w:rPr>
                <w:rFonts w:hint="eastAsia" w:ascii="仿宋" w:hAnsi="仿宋" w:eastAsia="仿宋" w:cs="仿宋"/>
                <w:color w:val="auto"/>
                <w:sz w:val="24"/>
                <w:szCs w:val="24"/>
                <w:highlight w:val="none"/>
              </w:rPr>
            </w:pPr>
          </w:p>
        </w:tc>
        <w:tc>
          <w:tcPr>
            <w:tcW w:w="880" w:type="dxa"/>
          </w:tcPr>
          <w:p w14:paraId="55DE821E">
            <w:pPr>
              <w:rPr>
                <w:rFonts w:hint="eastAsia" w:ascii="仿宋" w:hAnsi="仿宋" w:eastAsia="仿宋" w:cs="仿宋"/>
                <w:color w:val="auto"/>
                <w:sz w:val="24"/>
                <w:szCs w:val="24"/>
                <w:highlight w:val="none"/>
              </w:rPr>
            </w:pPr>
          </w:p>
        </w:tc>
        <w:tc>
          <w:tcPr>
            <w:tcW w:w="1020" w:type="dxa"/>
          </w:tcPr>
          <w:p w14:paraId="2EA0102D">
            <w:pPr>
              <w:rPr>
                <w:rFonts w:hint="eastAsia" w:ascii="仿宋" w:hAnsi="仿宋" w:eastAsia="仿宋" w:cs="仿宋"/>
                <w:color w:val="auto"/>
                <w:sz w:val="24"/>
                <w:szCs w:val="24"/>
                <w:highlight w:val="none"/>
              </w:rPr>
            </w:pPr>
          </w:p>
        </w:tc>
        <w:tc>
          <w:tcPr>
            <w:tcW w:w="1480" w:type="dxa"/>
          </w:tcPr>
          <w:p w14:paraId="70582596">
            <w:pPr>
              <w:rPr>
                <w:rFonts w:hint="eastAsia" w:ascii="仿宋" w:hAnsi="仿宋" w:eastAsia="仿宋" w:cs="仿宋"/>
                <w:color w:val="auto"/>
                <w:sz w:val="24"/>
                <w:szCs w:val="24"/>
                <w:highlight w:val="none"/>
              </w:rPr>
            </w:pPr>
          </w:p>
        </w:tc>
        <w:tc>
          <w:tcPr>
            <w:tcW w:w="1020" w:type="dxa"/>
          </w:tcPr>
          <w:p w14:paraId="68C98688">
            <w:pPr>
              <w:rPr>
                <w:rFonts w:hint="eastAsia" w:ascii="仿宋" w:hAnsi="仿宋" w:eastAsia="仿宋" w:cs="仿宋"/>
                <w:color w:val="auto"/>
                <w:sz w:val="24"/>
                <w:szCs w:val="24"/>
                <w:highlight w:val="none"/>
              </w:rPr>
            </w:pPr>
          </w:p>
        </w:tc>
        <w:tc>
          <w:tcPr>
            <w:tcW w:w="921" w:type="dxa"/>
          </w:tcPr>
          <w:p w14:paraId="0255DDCD">
            <w:pPr>
              <w:rPr>
                <w:rFonts w:hint="eastAsia" w:ascii="仿宋" w:hAnsi="仿宋" w:eastAsia="仿宋" w:cs="仿宋"/>
                <w:color w:val="auto"/>
                <w:sz w:val="24"/>
                <w:szCs w:val="24"/>
                <w:highlight w:val="none"/>
              </w:rPr>
            </w:pPr>
          </w:p>
        </w:tc>
      </w:tr>
      <w:tr w14:paraId="1370D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706F4E">
            <w:pPr>
              <w:rPr>
                <w:rFonts w:hint="eastAsia" w:ascii="仿宋" w:hAnsi="仿宋" w:eastAsia="仿宋" w:cs="仿宋"/>
                <w:color w:val="auto"/>
                <w:sz w:val="24"/>
                <w:szCs w:val="24"/>
                <w:highlight w:val="none"/>
              </w:rPr>
            </w:pPr>
          </w:p>
        </w:tc>
        <w:tc>
          <w:tcPr>
            <w:tcW w:w="1418" w:type="dxa"/>
          </w:tcPr>
          <w:p w14:paraId="08D7BF25">
            <w:pPr>
              <w:rPr>
                <w:rFonts w:hint="eastAsia" w:ascii="仿宋" w:hAnsi="仿宋" w:eastAsia="仿宋" w:cs="仿宋"/>
                <w:color w:val="auto"/>
                <w:sz w:val="24"/>
                <w:szCs w:val="24"/>
                <w:highlight w:val="none"/>
              </w:rPr>
            </w:pPr>
          </w:p>
        </w:tc>
        <w:tc>
          <w:tcPr>
            <w:tcW w:w="850" w:type="dxa"/>
          </w:tcPr>
          <w:p w14:paraId="54F7450F">
            <w:pPr>
              <w:rPr>
                <w:rFonts w:hint="eastAsia" w:ascii="仿宋" w:hAnsi="仿宋" w:eastAsia="仿宋" w:cs="仿宋"/>
                <w:color w:val="auto"/>
                <w:sz w:val="24"/>
                <w:szCs w:val="24"/>
                <w:highlight w:val="none"/>
              </w:rPr>
            </w:pPr>
          </w:p>
        </w:tc>
        <w:tc>
          <w:tcPr>
            <w:tcW w:w="1058" w:type="dxa"/>
          </w:tcPr>
          <w:p w14:paraId="69856045">
            <w:pPr>
              <w:rPr>
                <w:rFonts w:hint="eastAsia" w:ascii="仿宋" w:hAnsi="仿宋" w:eastAsia="仿宋" w:cs="仿宋"/>
                <w:color w:val="auto"/>
                <w:sz w:val="24"/>
                <w:szCs w:val="24"/>
                <w:highlight w:val="none"/>
              </w:rPr>
            </w:pPr>
          </w:p>
        </w:tc>
        <w:tc>
          <w:tcPr>
            <w:tcW w:w="880" w:type="dxa"/>
          </w:tcPr>
          <w:p w14:paraId="38BC3CD6">
            <w:pPr>
              <w:rPr>
                <w:rFonts w:hint="eastAsia" w:ascii="仿宋" w:hAnsi="仿宋" w:eastAsia="仿宋" w:cs="仿宋"/>
                <w:color w:val="auto"/>
                <w:sz w:val="24"/>
                <w:szCs w:val="24"/>
                <w:highlight w:val="none"/>
              </w:rPr>
            </w:pPr>
          </w:p>
        </w:tc>
        <w:tc>
          <w:tcPr>
            <w:tcW w:w="1020" w:type="dxa"/>
          </w:tcPr>
          <w:p w14:paraId="65B6C0B0">
            <w:pPr>
              <w:rPr>
                <w:rFonts w:hint="eastAsia" w:ascii="仿宋" w:hAnsi="仿宋" w:eastAsia="仿宋" w:cs="仿宋"/>
                <w:color w:val="auto"/>
                <w:sz w:val="24"/>
                <w:szCs w:val="24"/>
                <w:highlight w:val="none"/>
              </w:rPr>
            </w:pPr>
          </w:p>
        </w:tc>
        <w:tc>
          <w:tcPr>
            <w:tcW w:w="1480" w:type="dxa"/>
          </w:tcPr>
          <w:p w14:paraId="2B8AEE15">
            <w:pPr>
              <w:rPr>
                <w:rFonts w:hint="eastAsia" w:ascii="仿宋" w:hAnsi="仿宋" w:eastAsia="仿宋" w:cs="仿宋"/>
                <w:color w:val="auto"/>
                <w:sz w:val="24"/>
                <w:szCs w:val="24"/>
                <w:highlight w:val="none"/>
              </w:rPr>
            </w:pPr>
          </w:p>
        </w:tc>
        <w:tc>
          <w:tcPr>
            <w:tcW w:w="1020" w:type="dxa"/>
          </w:tcPr>
          <w:p w14:paraId="6F9A07A4">
            <w:pPr>
              <w:rPr>
                <w:rFonts w:hint="eastAsia" w:ascii="仿宋" w:hAnsi="仿宋" w:eastAsia="仿宋" w:cs="仿宋"/>
                <w:color w:val="auto"/>
                <w:sz w:val="24"/>
                <w:szCs w:val="24"/>
                <w:highlight w:val="none"/>
              </w:rPr>
            </w:pPr>
          </w:p>
        </w:tc>
        <w:tc>
          <w:tcPr>
            <w:tcW w:w="921" w:type="dxa"/>
          </w:tcPr>
          <w:p w14:paraId="6955401E">
            <w:pPr>
              <w:rPr>
                <w:rFonts w:hint="eastAsia" w:ascii="仿宋" w:hAnsi="仿宋" w:eastAsia="仿宋" w:cs="仿宋"/>
                <w:color w:val="auto"/>
                <w:sz w:val="24"/>
                <w:szCs w:val="24"/>
                <w:highlight w:val="none"/>
              </w:rPr>
            </w:pPr>
          </w:p>
        </w:tc>
      </w:tr>
    </w:tbl>
    <w:p w14:paraId="390B58F1">
      <w:pPr>
        <w:rPr>
          <w:rFonts w:hint="eastAsia" w:ascii="仿宋" w:hAnsi="仿宋" w:eastAsia="仿宋" w:cs="仿宋"/>
          <w:color w:val="auto"/>
          <w:sz w:val="24"/>
          <w:szCs w:val="24"/>
          <w:highlight w:val="none"/>
        </w:rPr>
      </w:pPr>
    </w:p>
    <w:p w14:paraId="07942D8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41" w:name="_Toc296891056"/>
      <w:bookmarkStart w:id="242" w:name="_Toc296503228"/>
      <w:bookmarkStart w:id="243" w:name="_Toc296944567"/>
      <w:bookmarkStart w:id="244" w:name="_Toc296347227"/>
      <w:bookmarkStart w:id="245" w:name="_Toc296891268"/>
      <w:bookmarkStart w:id="246" w:name="_Toc296346729"/>
      <w:bookmarkStart w:id="247" w:name="_Toc267261699"/>
      <w:r>
        <w:rPr>
          <w:rFonts w:hint="eastAsia" w:ascii="仿宋" w:hAnsi="仿宋" w:eastAsia="仿宋" w:cs="仿宋"/>
          <w:color w:val="auto"/>
          <w:sz w:val="24"/>
          <w:szCs w:val="24"/>
          <w:highlight w:val="none"/>
        </w:rPr>
        <w:t>件6：</w:t>
      </w:r>
    </w:p>
    <w:bookmarkEnd w:id="241"/>
    <w:bookmarkEnd w:id="242"/>
    <w:bookmarkEnd w:id="243"/>
    <w:bookmarkEnd w:id="244"/>
    <w:bookmarkEnd w:id="245"/>
    <w:bookmarkEnd w:id="246"/>
    <w:bookmarkEnd w:id="247"/>
    <w:p w14:paraId="7177C7E5">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5EFF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E05EB9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1418" w:type="dxa"/>
            <w:tcBorders>
              <w:top w:val="single" w:color="auto" w:sz="12" w:space="0"/>
              <w:bottom w:val="double" w:color="auto" w:sz="6" w:space="0"/>
            </w:tcBorders>
            <w:vAlign w:val="center"/>
          </w:tcPr>
          <w:p w14:paraId="2F1D3ED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34" w:type="dxa"/>
            <w:tcBorders>
              <w:top w:val="single" w:color="auto" w:sz="12" w:space="0"/>
              <w:bottom w:val="double" w:color="auto" w:sz="6" w:space="0"/>
            </w:tcBorders>
            <w:vAlign w:val="center"/>
          </w:tcPr>
          <w:p w14:paraId="551D7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134" w:type="dxa"/>
            <w:tcBorders>
              <w:top w:val="single" w:color="auto" w:sz="12" w:space="0"/>
              <w:bottom w:val="double" w:color="auto" w:sz="6" w:space="0"/>
            </w:tcBorders>
            <w:vAlign w:val="center"/>
          </w:tcPr>
          <w:p w14:paraId="1CD6098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4252" w:type="dxa"/>
            <w:tcBorders>
              <w:top w:val="single" w:color="auto" w:sz="12" w:space="0"/>
              <w:bottom w:val="double" w:color="auto" w:sz="6" w:space="0"/>
            </w:tcBorders>
            <w:vAlign w:val="center"/>
          </w:tcPr>
          <w:p w14:paraId="6DE4ABD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主要资历、经验及承担过的项目</w:t>
            </w:r>
          </w:p>
        </w:tc>
      </w:tr>
      <w:tr w14:paraId="426FDA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3ED1EA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一、总部人员</w:t>
            </w:r>
          </w:p>
        </w:tc>
      </w:tr>
      <w:tr w14:paraId="72977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B1F159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项目主管</w:t>
            </w:r>
          </w:p>
        </w:tc>
        <w:tc>
          <w:tcPr>
            <w:tcW w:w="1418" w:type="dxa"/>
            <w:tcBorders>
              <w:top w:val="nil"/>
            </w:tcBorders>
            <w:vAlign w:val="center"/>
          </w:tcPr>
          <w:p w14:paraId="4A922B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7AAB445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613BA745">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top w:val="nil"/>
            </w:tcBorders>
            <w:vAlign w:val="center"/>
          </w:tcPr>
          <w:p w14:paraId="19F2A3A7">
            <w:pPr>
              <w:pStyle w:val="2"/>
              <w:keepNext/>
              <w:spacing w:after="0" w:line="440" w:lineRule="exact"/>
              <w:ind w:left="63" w:right="63"/>
              <w:rPr>
                <w:rFonts w:hint="eastAsia" w:ascii="仿宋" w:hAnsi="仿宋" w:eastAsia="仿宋" w:cs="仿宋"/>
                <w:color w:val="auto"/>
                <w:sz w:val="24"/>
                <w:szCs w:val="24"/>
                <w:highlight w:val="none"/>
              </w:rPr>
            </w:pPr>
          </w:p>
        </w:tc>
      </w:tr>
      <w:tr w14:paraId="609B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85AA3B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6573A0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762029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7A93E8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F0AE2E4">
            <w:pPr>
              <w:pStyle w:val="2"/>
              <w:keepNext/>
              <w:spacing w:after="0" w:line="440" w:lineRule="exact"/>
              <w:ind w:left="63" w:right="63"/>
              <w:rPr>
                <w:rFonts w:hint="eastAsia" w:ascii="仿宋" w:hAnsi="仿宋" w:eastAsia="仿宋" w:cs="仿宋"/>
                <w:color w:val="auto"/>
                <w:sz w:val="24"/>
                <w:szCs w:val="24"/>
                <w:highlight w:val="none"/>
              </w:rPr>
            </w:pPr>
          </w:p>
        </w:tc>
      </w:tr>
      <w:tr w14:paraId="5194F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E503F0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2E6CD7C7">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1C9574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9D911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60FA972">
            <w:pPr>
              <w:pStyle w:val="2"/>
              <w:keepNext/>
              <w:spacing w:after="0" w:line="440" w:lineRule="exact"/>
              <w:ind w:left="63" w:right="63"/>
              <w:rPr>
                <w:rFonts w:hint="eastAsia" w:ascii="仿宋" w:hAnsi="仿宋" w:eastAsia="仿宋" w:cs="仿宋"/>
                <w:color w:val="auto"/>
                <w:sz w:val="24"/>
                <w:szCs w:val="24"/>
                <w:highlight w:val="none"/>
              </w:rPr>
            </w:pPr>
          </w:p>
        </w:tc>
      </w:tr>
      <w:tr w14:paraId="5EC9C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79995E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084B45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BD6A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ADFEA9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5D0A6F1">
            <w:pPr>
              <w:pStyle w:val="2"/>
              <w:keepNext/>
              <w:spacing w:after="0" w:line="440" w:lineRule="exact"/>
              <w:ind w:left="63" w:right="63"/>
              <w:rPr>
                <w:rFonts w:hint="eastAsia" w:ascii="仿宋" w:hAnsi="仿宋" w:eastAsia="仿宋" w:cs="仿宋"/>
                <w:color w:val="auto"/>
                <w:sz w:val="24"/>
                <w:szCs w:val="24"/>
                <w:highlight w:val="none"/>
              </w:rPr>
            </w:pPr>
          </w:p>
        </w:tc>
      </w:tr>
      <w:tr w14:paraId="68B8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AE2EAE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二、现场人员</w:t>
            </w:r>
          </w:p>
        </w:tc>
      </w:tr>
      <w:tr w14:paraId="54DBF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3F98B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c>
          <w:tcPr>
            <w:tcW w:w="1418" w:type="dxa"/>
            <w:vAlign w:val="center"/>
          </w:tcPr>
          <w:p w14:paraId="2F78791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0F919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0A4E8D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000EE6">
            <w:pPr>
              <w:pStyle w:val="2"/>
              <w:keepNext/>
              <w:spacing w:after="0" w:line="440" w:lineRule="exact"/>
              <w:ind w:left="63" w:right="63"/>
              <w:rPr>
                <w:rFonts w:hint="eastAsia" w:ascii="仿宋" w:hAnsi="仿宋" w:eastAsia="仿宋" w:cs="仿宋"/>
                <w:color w:val="auto"/>
                <w:sz w:val="24"/>
                <w:szCs w:val="24"/>
                <w:highlight w:val="none"/>
              </w:rPr>
            </w:pPr>
          </w:p>
        </w:tc>
      </w:tr>
      <w:tr w14:paraId="0C4E0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67E26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项目副经理</w:t>
            </w:r>
          </w:p>
        </w:tc>
        <w:tc>
          <w:tcPr>
            <w:tcW w:w="1418" w:type="dxa"/>
            <w:vAlign w:val="center"/>
          </w:tcPr>
          <w:p w14:paraId="43D196D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FFC02E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5EA722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B8E10B8">
            <w:pPr>
              <w:pStyle w:val="2"/>
              <w:keepNext/>
              <w:spacing w:after="0" w:line="440" w:lineRule="exact"/>
              <w:ind w:left="63" w:right="63"/>
              <w:rPr>
                <w:rFonts w:hint="eastAsia" w:ascii="仿宋" w:hAnsi="仿宋" w:eastAsia="仿宋" w:cs="仿宋"/>
                <w:color w:val="auto"/>
                <w:sz w:val="24"/>
                <w:szCs w:val="24"/>
                <w:highlight w:val="none"/>
              </w:rPr>
            </w:pPr>
          </w:p>
        </w:tc>
      </w:tr>
      <w:tr w14:paraId="5FC62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45010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418" w:type="dxa"/>
            <w:vAlign w:val="center"/>
          </w:tcPr>
          <w:p w14:paraId="5CCE288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9F5DEC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A99EC64">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1C6BCC">
            <w:pPr>
              <w:pStyle w:val="2"/>
              <w:keepNext/>
              <w:spacing w:after="0" w:line="440" w:lineRule="exact"/>
              <w:ind w:left="63" w:right="63"/>
              <w:rPr>
                <w:rFonts w:hint="eastAsia" w:ascii="仿宋" w:hAnsi="仿宋" w:eastAsia="仿宋" w:cs="仿宋"/>
                <w:color w:val="auto"/>
                <w:sz w:val="24"/>
                <w:szCs w:val="24"/>
                <w:highlight w:val="none"/>
              </w:rPr>
            </w:pPr>
          </w:p>
        </w:tc>
      </w:tr>
      <w:tr w14:paraId="13F61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195AD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造价管理</w:t>
            </w:r>
          </w:p>
        </w:tc>
        <w:tc>
          <w:tcPr>
            <w:tcW w:w="1418" w:type="dxa"/>
            <w:vAlign w:val="center"/>
          </w:tcPr>
          <w:p w14:paraId="1A07BBBD">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9AB717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B2E10A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725CBAF6">
            <w:pPr>
              <w:pStyle w:val="2"/>
              <w:keepNext/>
              <w:spacing w:after="0" w:line="440" w:lineRule="exact"/>
              <w:ind w:left="63" w:right="63"/>
              <w:rPr>
                <w:rFonts w:hint="eastAsia" w:ascii="仿宋" w:hAnsi="仿宋" w:eastAsia="仿宋" w:cs="仿宋"/>
                <w:color w:val="auto"/>
                <w:sz w:val="24"/>
                <w:szCs w:val="24"/>
                <w:highlight w:val="none"/>
              </w:rPr>
            </w:pPr>
          </w:p>
        </w:tc>
      </w:tr>
      <w:tr w14:paraId="7FED9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2616F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w:t>
            </w:r>
          </w:p>
        </w:tc>
        <w:tc>
          <w:tcPr>
            <w:tcW w:w="1418" w:type="dxa"/>
            <w:vAlign w:val="center"/>
          </w:tcPr>
          <w:p w14:paraId="3E18BDF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E6F75E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8FA35E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A2CFA4C">
            <w:pPr>
              <w:pStyle w:val="2"/>
              <w:keepNext/>
              <w:spacing w:after="0" w:line="440" w:lineRule="exact"/>
              <w:ind w:left="63" w:right="63"/>
              <w:rPr>
                <w:rFonts w:hint="eastAsia" w:ascii="仿宋" w:hAnsi="仿宋" w:eastAsia="仿宋" w:cs="仿宋"/>
                <w:color w:val="auto"/>
                <w:sz w:val="24"/>
                <w:szCs w:val="24"/>
                <w:highlight w:val="none"/>
              </w:rPr>
            </w:pPr>
          </w:p>
        </w:tc>
      </w:tr>
      <w:tr w14:paraId="501AC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6D60D5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材料管理</w:t>
            </w:r>
          </w:p>
        </w:tc>
        <w:tc>
          <w:tcPr>
            <w:tcW w:w="1418" w:type="dxa"/>
            <w:vAlign w:val="center"/>
          </w:tcPr>
          <w:p w14:paraId="4A2B5F0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BF9CE9F">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AA4DB9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FD3B6D">
            <w:pPr>
              <w:pStyle w:val="2"/>
              <w:keepNext/>
              <w:spacing w:after="0" w:line="440" w:lineRule="exact"/>
              <w:ind w:left="63" w:right="63"/>
              <w:rPr>
                <w:rFonts w:hint="eastAsia" w:ascii="仿宋" w:hAnsi="仿宋" w:eastAsia="仿宋" w:cs="仿宋"/>
                <w:color w:val="auto"/>
                <w:sz w:val="24"/>
                <w:szCs w:val="24"/>
                <w:highlight w:val="none"/>
              </w:rPr>
            </w:pPr>
          </w:p>
        </w:tc>
      </w:tr>
      <w:tr w14:paraId="70FCC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1E3AFA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计划管理</w:t>
            </w:r>
          </w:p>
        </w:tc>
        <w:tc>
          <w:tcPr>
            <w:tcW w:w="1418" w:type="dxa"/>
            <w:vAlign w:val="center"/>
          </w:tcPr>
          <w:p w14:paraId="736C5FA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C28DD1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7C7F2CD">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BA5B6E2">
            <w:pPr>
              <w:pStyle w:val="2"/>
              <w:keepNext/>
              <w:spacing w:after="0" w:line="440" w:lineRule="exact"/>
              <w:ind w:left="63" w:right="63"/>
              <w:rPr>
                <w:rFonts w:hint="eastAsia" w:ascii="仿宋" w:hAnsi="仿宋" w:eastAsia="仿宋" w:cs="仿宋"/>
                <w:color w:val="auto"/>
                <w:sz w:val="24"/>
                <w:szCs w:val="24"/>
                <w:highlight w:val="none"/>
              </w:rPr>
            </w:pPr>
          </w:p>
        </w:tc>
      </w:tr>
      <w:tr w14:paraId="24BB1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9D385C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w:t>
            </w:r>
          </w:p>
        </w:tc>
        <w:tc>
          <w:tcPr>
            <w:tcW w:w="1418" w:type="dxa"/>
            <w:vAlign w:val="center"/>
          </w:tcPr>
          <w:p w14:paraId="7E6C8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AF675E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23DB208">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552EB2">
            <w:pPr>
              <w:pStyle w:val="2"/>
              <w:keepNext/>
              <w:spacing w:after="0" w:line="440" w:lineRule="exact"/>
              <w:ind w:left="63" w:right="63"/>
              <w:rPr>
                <w:rFonts w:hint="eastAsia" w:ascii="仿宋" w:hAnsi="仿宋" w:eastAsia="仿宋" w:cs="仿宋"/>
                <w:color w:val="auto"/>
                <w:sz w:val="24"/>
                <w:szCs w:val="24"/>
                <w:highlight w:val="none"/>
              </w:rPr>
            </w:pPr>
          </w:p>
        </w:tc>
      </w:tr>
      <w:tr w14:paraId="1FF77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CA3548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4595963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0112FC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9F080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E7A32B">
            <w:pPr>
              <w:pStyle w:val="2"/>
              <w:keepNext/>
              <w:spacing w:after="0" w:line="440" w:lineRule="exact"/>
              <w:ind w:left="63" w:right="63"/>
              <w:rPr>
                <w:rFonts w:hint="eastAsia" w:ascii="仿宋" w:hAnsi="仿宋" w:eastAsia="仿宋" w:cs="仿宋"/>
                <w:color w:val="auto"/>
                <w:sz w:val="24"/>
                <w:szCs w:val="24"/>
                <w:highlight w:val="none"/>
              </w:rPr>
            </w:pPr>
          </w:p>
        </w:tc>
      </w:tr>
      <w:tr w14:paraId="735B8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94CC4E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nil"/>
            </w:tcBorders>
            <w:vAlign w:val="center"/>
          </w:tcPr>
          <w:p w14:paraId="74B9E37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0A5E6C4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7D1571A1">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nil"/>
            </w:tcBorders>
            <w:vAlign w:val="center"/>
          </w:tcPr>
          <w:p w14:paraId="26EA5615">
            <w:pPr>
              <w:pStyle w:val="2"/>
              <w:keepNext/>
              <w:spacing w:after="0" w:line="440" w:lineRule="exact"/>
              <w:ind w:left="63" w:right="63"/>
              <w:rPr>
                <w:rFonts w:hint="eastAsia" w:ascii="仿宋" w:hAnsi="仿宋" w:eastAsia="仿宋" w:cs="仿宋"/>
                <w:color w:val="auto"/>
                <w:sz w:val="24"/>
                <w:szCs w:val="24"/>
                <w:highlight w:val="none"/>
              </w:rPr>
            </w:pPr>
          </w:p>
        </w:tc>
      </w:tr>
      <w:tr w14:paraId="2F434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33BB40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32CFD0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40549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AEB2D0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F806F8">
            <w:pPr>
              <w:pStyle w:val="2"/>
              <w:keepNext/>
              <w:spacing w:after="0" w:line="440" w:lineRule="exact"/>
              <w:ind w:left="63" w:right="63"/>
              <w:rPr>
                <w:rFonts w:hint="eastAsia" w:ascii="仿宋" w:hAnsi="仿宋" w:eastAsia="仿宋" w:cs="仿宋"/>
                <w:color w:val="auto"/>
                <w:sz w:val="24"/>
                <w:szCs w:val="24"/>
                <w:highlight w:val="none"/>
              </w:rPr>
            </w:pPr>
          </w:p>
        </w:tc>
      </w:tr>
      <w:tr w14:paraId="34859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3B2CCC1">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6C19D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B60D2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70A772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7B15B3E">
            <w:pPr>
              <w:pStyle w:val="2"/>
              <w:keepNext/>
              <w:spacing w:after="0" w:line="440" w:lineRule="exact"/>
              <w:ind w:left="63" w:right="63"/>
              <w:rPr>
                <w:rFonts w:hint="eastAsia" w:ascii="仿宋" w:hAnsi="仿宋" w:eastAsia="仿宋" w:cs="仿宋"/>
                <w:color w:val="auto"/>
                <w:sz w:val="24"/>
                <w:szCs w:val="24"/>
                <w:highlight w:val="none"/>
              </w:rPr>
            </w:pPr>
          </w:p>
        </w:tc>
      </w:tr>
      <w:tr w14:paraId="7864B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29173E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A02FFEA">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D249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A7F073">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0B67738">
            <w:pPr>
              <w:pStyle w:val="2"/>
              <w:keepNext/>
              <w:spacing w:after="0" w:line="440" w:lineRule="exact"/>
              <w:ind w:left="63" w:right="63"/>
              <w:rPr>
                <w:rFonts w:hint="eastAsia" w:ascii="仿宋" w:hAnsi="仿宋" w:eastAsia="仿宋" w:cs="仿宋"/>
                <w:color w:val="auto"/>
                <w:sz w:val="24"/>
                <w:szCs w:val="24"/>
                <w:highlight w:val="none"/>
              </w:rPr>
            </w:pPr>
          </w:p>
        </w:tc>
      </w:tr>
      <w:tr w14:paraId="555A6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657BD05">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single" w:color="auto" w:sz="12" w:space="0"/>
            </w:tcBorders>
            <w:vAlign w:val="center"/>
          </w:tcPr>
          <w:p w14:paraId="7D6603F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352204C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587C201B">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single" w:color="auto" w:sz="12" w:space="0"/>
            </w:tcBorders>
            <w:vAlign w:val="center"/>
          </w:tcPr>
          <w:p w14:paraId="2EE3B567">
            <w:pPr>
              <w:pStyle w:val="2"/>
              <w:keepNext/>
              <w:spacing w:after="0" w:line="440" w:lineRule="exact"/>
              <w:ind w:left="63" w:right="63"/>
              <w:rPr>
                <w:rFonts w:hint="eastAsia" w:ascii="仿宋" w:hAnsi="仿宋" w:eastAsia="仿宋" w:cs="仿宋"/>
                <w:color w:val="auto"/>
                <w:sz w:val="24"/>
                <w:szCs w:val="24"/>
                <w:highlight w:val="none"/>
              </w:rPr>
            </w:pPr>
          </w:p>
        </w:tc>
      </w:tr>
    </w:tbl>
    <w:p w14:paraId="42049631">
      <w:pPr>
        <w:spacing w:line="440" w:lineRule="exact"/>
        <w:rPr>
          <w:rFonts w:hint="eastAsia" w:ascii="仿宋" w:hAnsi="仿宋" w:eastAsia="仿宋" w:cs="仿宋"/>
          <w:color w:val="auto"/>
          <w:sz w:val="24"/>
          <w:szCs w:val="24"/>
          <w:highlight w:val="none"/>
        </w:rPr>
      </w:pPr>
    </w:p>
    <w:p w14:paraId="33672718">
      <w:pPr>
        <w:spacing w:line="440" w:lineRule="exact"/>
        <w:rPr>
          <w:rFonts w:hint="eastAsia" w:ascii="仿宋" w:hAnsi="仿宋" w:eastAsia="仿宋" w:cs="仿宋"/>
          <w:color w:val="auto"/>
          <w:sz w:val="24"/>
          <w:szCs w:val="24"/>
          <w:highlight w:val="none"/>
        </w:rPr>
      </w:pPr>
    </w:p>
    <w:p w14:paraId="6214269C">
      <w:pPr>
        <w:spacing w:line="440" w:lineRule="exact"/>
        <w:rPr>
          <w:rFonts w:hint="eastAsia" w:ascii="仿宋" w:hAnsi="仿宋" w:eastAsia="仿宋" w:cs="仿宋"/>
          <w:color w:val="auto"/>
          <w:sz w:val="24"/>
          <w:szCs w:val="24"/>
          <w:highlight w:val="none"/>
        </w:rPr>
      </w:pPr>
    </w:p>
    <w:p w14:paraId="7597C52A">
      <w:pPr>
        <w:spacing w:line="440" w:lineRule="exact"/>
        <w:rPr>
          <w:rFonts w:hint="eastAsia" w:ascii="仿宋" w:hAnsi="仿宋" w:eastAsia="仿宋" w:cs="仿宋"/>
          <w:color w:val="auto"/>
          <w:sz w:val="24"/>
          <w:szCs w:val="24"/>
          <w:highlight w:val="none"/>
        </w:rPr>
      </w:pPr>
    </w:p>
    <w:p w14:paraId="78433FE0">
      <w:pPr>
        <w:spacing w:line="440" w:lineRule="exact"/>
        <w:rPr>
          <w:rFonts w:hint="eastAsia" w:ascii="仿宋" w:hAnsi="仿宋" w:eastAsia="仿宋" w:cs="仿宋"/>
          <w:color w:val="auto"/>
          <w:sz w:val="24"/>
          <w:szCs w:val="24"/>
          <w:highlight w:val="none"/>
        </w:rPr>
      </w:pPr>
    </w:p>
    <w:p w14:paraId="04259BF2">
      <w:pPr>
        <w:rPr>
          <w:rFonts w:hint="eastAsia" w:ascii="仿宋" w:hAnsi="仿宋" w:eastAsia="仿宋" w:cs="仿宋"/>
          <w:color w:val="auto"/>
          <w:sz w:val="24"/>
          <w:szCs w:val="24"/>
          <w:highlight w:val="none"/>
        </w:rPr>
      </w:pPr>
    </w:p>
    <w:p w14:paraId="5BE9C51C">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附件11：</w:t>
      </w:r>
      <w:bookmarkStart w:id="248" w:name="_Toc5406"/>
    </w:p>
    <w:p w14:paraId="6DE65B58">
      <w:pPr>
        <w:spacing w:before="120" w:beforeLines="50" w:after="120" w:afterLines="50" w:line="440" w:lineRule="exact"/>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11-1：材料暂估价表</w:t>
      </w:r>
      <w:bookmarkEnd w:id="248"/>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73C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106942D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984" w:type="dxa"/>
            <w:tcBorders>
              <w:top w:val="single" w:color="auto" w:sz="12" w:space="0"/>
              <w:bottom w:val="double" w:color="auto" w:sz="6" w:space="0"/>
            </w:tcBorders>
          </w:tcPr>
          <w:p w14:paraId="0722E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851" w:type="dxa"/>
            <w:tcBorders>
              <w:top w:val="single" w:color="auto" w:sz="12" w:space="0"/>
              <w:bottom w:val="double" w:color="auto" w:sz="6" w:space="0"/>
            </w:tcBorders>
          </w:tcPr>
          <w:p w14:paraId="6BF51BD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774" w:type="dxa"/>
            <w:tcBorders>
              <w:top w:val="single" w:color="auto" w:sz="12" w:space="0"/>
              <w:bottom w:val="double" w:color="auto" w:sz="6" w:space="0"/>
            </w:tcBorders>
          </w:tcPr>
          <w:p w14:paraId="57462FF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352" w:type="dxa"/>
            <w:tcBorders>
              <w:top w:val="single" w:color="auto" w:sz="12" w:space="0"/>
              <w:bottom w:val="double" w:color="auto" w:sz="6" w:space="0"/>
            </w:tcBorders>
          </w:tcPr>
          <w:p w14:paraId="52ACFAD1">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1418" w:type="dxa"/>
            <w:tcBorders>
              <w:top w:val="single" w:color="auto" w:sz="12" w:space="0"/>
              <w:bottom w:val="double" w:color="auto" w:sz="6" w:space="0"/>
            </w:tcBorders>
          </w:tcPr>
          <w:p w14:paraId="22A2FAB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c>
          <w:tcPr>
            <w:tcW w:w="1701" w:type="dxa"/>
            <w:tcBorders>
              <w:top w:val="single" w:color="auto" w:sz="12" w:space="0"/>
              <w:bottom w:val="double" w:color="auto" w:sz="6" w:space="0"/>
            </w:tcBorders>
          </w:tcPr>
          <w:p w14:paraId="6679179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6DD3A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93" w:type="dxa"/>
            <w:tcBorders>
              <w:top w:val="double" w:color="auto" w:sz="6" w:space="0"/>
              <w:bottom w:val="single" w:color="auto" w:sz="6" w:space="0"/>
            </w:tcBorders>
          </w:tcPr>
          <w:p w14:paraId="5891435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double" w:color="auto" w:sz="6" w:space="0"/>
              <w:bottom w:val="single" w:color="auto" w:sz="6" w:space="0"/>
            </w:tcBorders>
          </w:tcPr>
          <w:p w14:paraId="721CF97F">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double" w:color="auto" w:sz="6" w:space="0"/>
              <w:bottom w:val="single" w:color="auto" w:sz="6" w:space="0"/>
            </w:tcBorders>
          </w:tcPr>
          <w:p w14:paraId="62B3F4C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double" w:color="auto" w:sz="6" w:space="0"/>
              <w:bottom w:val="single" w:color="auto" w:sz="6" w:space="0"/>
            </w:tcBorders>
          </w:tcPr>
          <w:p w14:paraId="33136CD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double" w:color="auto" w:sz="6" w:space="0"/>
              <w:bottom w:val="single" w:color="auto" w:sz="6" w:space="0"/>
            </w:tcBorders>
          </w:tcPr>
          <w:p w14:paraId="20ACF4A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tcPr>
          <w:p w14:paraId="5BC3D589">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double" w:color="auto" w:sz="6" w:space="0"/>
              <w:bottom w:val="single" w:color="auto" w:sz="6" w:space="0"/>
            </w:tcBorders>
          </w:tcPr>
          <w:p w14:paraId="6AC799DB">
            <w:pPr>
              <w:pStyle w:val="2"/>
              <w:keepNext/>
              <w:spacing w:after="0" w:line="440" w:lineRule="exact"/>
              <w:ind w:left="63" w:right="63"/>
              <w:rPr>
                <w:rFonts w:hint="eastAsia" w:ascii="仿宋" w:hAnsi="仿宋" w:eastAsia="仿宋" w:cs="仿宋"/>
                <w:color w:val="auto"/>
                <w:sz w:val="24"/>
                <w:szCs w:val="24"/>
                <w:highlight w:val="none"/>
              </w:rPr>
            </w:pPr>
          </w:p>
        </w:tc>
      </w:tr>
      <w:tr w14:paraId="6FFD0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1AE9CE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nil"/>
            </w:tcBorders>
          </w:tcPr>
          <w:p w14:paraId="7FFB4C0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nil"/>
            </w:tcBorders>
          </w:tcPr>
          <w:p w14:paraId="40FB4AB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nil"/>
            </w:tcBorders>
          </w:tcPr>
          <w:p w14:paraId="22BD8E0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nil"/>
            </w:tcBorders>
          </w:tcPr>
          <w:p w14:paraId="7050CC0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tcPr>
          <w:p w14:paraId="2C5AA8D4">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nil"/>
            </w:tcBorders>
          </w:tcPr>
          <w:p w14:paraId="63F8D31C">
            <w:pPr>
              <w:pStyle w:val="2"/>
              <w:keepNext/>
              <w:spacing w:after="0" w:line="440" w:lineRule="exact"/>
              <w:ind w:left="63" w:right="63"/>
              <w:rPr>
                <w:rFonts w:hint="eastAsia" w:ascii="仿宋" w:hAnsi="仿宋" w:eastAsia="仿宋" w:cs="仿宋"/>
                <w:color w:val="auto"/>
                <w:sz w:val="24"/>
                <w:szCs w:val="24"/>
                <w:highlight w:val="none"/>
              </w:rPr>
            </w:pPr>
          </w:p>
        </w:tc>
      </w:tr>
      <w:tr w14:paraId="712D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D710EB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BE87AC1">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070A94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40BD76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42D4B2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1DC488A">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34DC978">
            <w:pPr>
              <w:pStyle w:val="2"/>
              <w:keepNext/>
              <w:spacing w:after="0" w:line="440" w:lineRule="exact"/>
              <w:ind w:left="63" w:right="63"/>
              <w:rPr>
                <w:rFonts w:hint="eastAsia" w:ascii="仿宋" w:hAnsi="仿宋" w:eastAsia="仿宋" w:cs="仿宋"/>
                <w:color w:val="auto"/>
                <w:sz w:val="24"/>
                <w:szCs w:val="24"/>
                <w:highlight w:val="none"/>
              </w:rPr>
            </w:pPr>
          </w:p>
        </w:tc>
      </w:tr>
      <w:tr w14:paraId="4978E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4ADB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0614CF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30749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8637EA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E1A3BC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758ED6E">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95FE9CA">
            <w:pPr>
              <w:pStyle w:val="2"/>
              <w:keepNext/>
              <w:spacing w:after="0" w:line="440" w:lineRule="exact"/>
              <w:ind w:left="63" w:right="63"/>
              <w:rPr>
                <w:rFonts w:hint="eastAsia" w:ascii="仿宋" w:hAnsi="仿宋" w:eastAsia="仿宋" w:cs="仿宋"/>
                <w:color w:val="auto"/>
                <w:sz w:val="24"/>
                <w:szCs w:val="24"/>
                <w:highlight w:val="none"/>
              </w:rPr>
            </w:pPr>
          </w:p>
        </w:tc>
      </w:tr>
      <w:tr w14:paraId="4BABE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93" w:type="dxa"/>
          </w:tcPr>
          <w:p w14:paraId="76A0F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36A51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773D38">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23BD0B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736207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D08568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267ABA8">
            <w:pPr>
              <w:pStyle w:val="2"/>
              <w:keepNext/>
              <w:spacing w:after="0" w:line="440" w:lineRule="exact"/>
              <w:ind w:left="63" w:right="63"/>
              <w:rPr>
                <w:rFonts w:hint="eastAsia" w:ascii="仿宋" w:hAnsi="仿宋" w:eastAsia="仿宋" w:cs="仿宋"/>
                <w:color w:val="auto"/>
                <w:sz w:val="24"/>
                <w:szCs w:val="24"/>
                <w:highlight w:val="none"/>
              </w:rPr>
            </w:pPr>
          </w:p>
        </w:tc>
      </w:tr>
      <w:tr w14:paraId="48BCE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52C8542">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EE6367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7F7656E">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5DC9879">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6DB506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59B7EF2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98AC6B2">
            <w:pPr>
              <w:pStyle w:val="2"/>
              <w:keepNext/>
              <w:spacing w:after="0" w:line="440" w:lineRule="exact"/>
              <w:ind w:left="63" w:right="63"/>
              <w:rPr>
                <w:rFonts w:hint="eastAsia" w:ascii="仿宋" w:hAnsi="仿宋" w:eastAsia="仿宋" w:cs="仿宋"/>
                <w:color w:val="auto"/>
                <w:sz w:val="24"/>
                <w:szCs w:val="24"/>
                <w:highlight w:val="none"/>
              </w:rPr>
            </w:pPr>
          </w:p>
        </w:tc>
      </w:tr>
      <w:tr w14:paraId="7CCD8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FBBF27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D650A82">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AA1829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FE5038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E41A39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2E577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1CE7D6B">
            <w:pPr>
              <w:pStyle w:val="2"/>
              <w:keepNext/>
              <w:spacing w:after="0" w:line="440" w:lineRule="exact"/>
              <w:ind w:left="63" w:right="63"/>
              <w:rPr>
                <w:rFonts w:hint="eastAsia" w:ascii="仿宋" w:hAnsi="仿宋" w:eastAsia="仿宋" w:cs="仿宋"/>
                <w:color w:val="auto"/>
                <w:sz w:val="24"/>
                <w:szCs w:val="24"/>
                <w:highlight w:val="none"/>
              </w:rPr>
            </w:pPr>
          </w:p>
        </w:tc>
      </w:tr>
      <w:tr w14:paraId="668F4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B94171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13497D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C68D580">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6F7840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511E605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20E901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0BCAC58">
            <w:pPr>
              <w:pStyle w:val="2"/>
              <w:keepNext/>
              <w:spacing w:after="0" w:line="440" w:lineRule="exact"/>
              <w:ind w:left="63" w:right="63"/>
              <w:rPr>
                <w:rFonts w:hint="eastAsia" w:ascii="仿宋" w:hAnsi="仿宋" w:eastAsia="仿宋" w:cs="仿宋"/>
                <w:color w:val="auto"/>
                <w:sz w:val="24"/>
                <w:szCs w:val="24"/>
                <w:highlight w:val="none"/>
              </w:rPr>
            </w:pPr>
          </w:p>
        </w:tc>
      </w:tr>
      <w:tr w14:paraId="46D28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DE2D17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7649A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71A4B69">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D768CC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3A14D2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617904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4038E46C">
            <w:pPr>
              <w:pStyle w:val="2"/>
              <w:keepNext/>
              <w:spacing w:after="0" w:line="440" w:lineRule="exact"/>
              <w:ind w:left="63" w:right="63"/>
              <w:rPr>
                <w:rFonts w:hint="eastAsia" w:ascii="仿宋" w:hAnsi="仿宋" w:eastAsia="仿宋" w:cs="仿宋"/>
                <w:color w:val="auto"/>
                <w:sz w:val="24"/>
                <w:szCs w:val="24"/>
                <w:highlight w:val="none"/>
              </w:rPr>
            </w:pPr>
          </w:p>
        </w:tc>
      </w:tr>
      <w:tr w14:paraId="6CA89A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C7DEE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7E89C99E">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1C3DD20F">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55735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609E3A9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F40C5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1522FFD">
            <w:pPr>
              <w:pStyle w:val="2"/>
              <w:keepNext/>
              <w:spacing w:after="0" w:line="440" w:lineRule="exact"/>
              <w:ind w:left="63" w:right="63"/>
              <w:rPr>
                <w:rFonts w:hint="eastAsia" w:ascii="仿宋" w:hAnsi="仿宋" w:eastAsia="仿宋" w:cs="仿宋"/>
                <w:color w:val="auto"/>
                <w:sz w:val="24"/>
                <w:szCs w:val="24"/>
                <w:highlight w:val="none"/>
              </w:rPr>
            </w:pPr>
          </w:p>
        </w:tc>
      </w:tr>
      <w:tr w14:paraId="11A8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E6AF8D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94BE1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E1BA45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7577120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832132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88B94D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EBC5B75">
            <w:pPr>
              <w:pStyle w:val="2"/>
              <w:keepNext/>
              <w:spacing w:after="0" w:line="440" w:lineRule="exact"/>
              <w:ind w:left="63" w:right="63"/>
              <w:rPr>
                <w:rFonts w:hint="eastAsia" w:ascii="仿宋" w:hAnsi="仿宋" w:eastAsia="仿宋" w:cs="仿宋"/>
                <w:color w:val="auto"/>
                <w:sz w:val="24"/>
                <w:szCs w:val="24"/>
                <w:highlight w:val="none"/>
              </w:rPr>
            </w:pPr>
          </w:p>
        </w:tc>
      </w:tr>
      <w:tr w14:paraId="1893B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284771">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1C8D05A">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0D9C5DF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DAC57C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29F5C9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5E48E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3136E18">
            <w:pPr>
              <w:pStyle w:val="2"/>
              <w:keepNext/>
              <w:spacing w:after="0" w:line="440" w:lineRule="exact"/>
              <w:ind w:left="63" w:right="63"/>
              <w:rPr>
                <w:rFonts w:hint="eastAsia" w:ascii="仿宋" w:hAnsi="仿宋" w:eastAsia="仿宋" w:cs="仿宋"/>
                <w:color w:val="auto"/>
                <w:sz w:val="24"/>
                <w:szCs w:val="24"/>
                <w:highlight w:val="none"/>
              </w:rPr>
            </w:pPr>
          </w:p>
        </w:tc>
      </w:tr>
      <w:tr w14:paraId="53DB2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0F7B3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29542D0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4A0566B">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8249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C9DE93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854265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1090E29">
            <w:pPr>
              <w:pStyle w:val="2"/>
              <w:keepNext/>
              <w:spacing w:after="0" w:line="440" w:lineRule="exact"/>
              <w:ind w:left="63" w:right="63"/>
              <w:rPr>
                <w:rFonts w:hint="eastAsia" w:ascii="仿宋" w:hAnsi="仿宋" w:eastAsia="仿宋" w:cs="仿宋"/>
                <w:color w:val="auto"/>
                <w:sz w:val="24"/>
                <w:szCs w:val="24"/>
                <w:highlight w:val="none"/>
              </w:rPr>
            </w:pPr>
          </w:p>
        </w:tc>
      </w:tr>
      <w:tr w14:paraId="3DF78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0F2A5C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7020310">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1FF3D11">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4702DD">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2E720F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9B2A45F">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34EB2D5">
            <w:pPr>
              <w:pStyle w:val="2"/>
              <w:keepNext/>
              <w:spacing w:after="0" w:line="440" w:lineRule="exact"/>
              <w:ind w:left="63" w:right="63"/>
              <w:rPr>
                <w:rFonts w:hint="eastAsia" w:ascii="仿宋" w:hAnsi="仿宋" w:eastAsia="仿宋" w:cs="仿宋"/>
                <w:color w:val="auto"/>
                <w:sz w:val="24"/>
                <w:szCs w:val="24"/>
                <w:highlight w:val="none"/>
              </w:rPr>
            </w:pPr>
          </w:p>
        </w:tc>
      </w:tr>
      <w:tr w14:paraId="21798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DF3E66">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8C4064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E4AD0C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E748C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D4987F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C9310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A1F24D9">
            <w:pPr>
              <w:pStyle w:val="2"/>
              <w:keepNext/>
              <w:spacing w:after="0" w:line="440" w:lineRule="exact"/>
              <w:ind w:left="63" w:right="63"/>
              <w:rPr>
                <w:rFonts w:hint="eastAsia" w:ascii="仿宋" w:hAnsi="仿宋" w:eastAsia="仿宋" w:cs="仿宋"/>
                <w:color w:val="auto"/>
                <w:sz w:val="24"/>
                <w:szCs w:val="24"/>
                <w:highlight w:val="none"/>
              </w:rPr>
            </w:pPr>
          </w:p>
        </w:tc>
      </w:tr>
      <w:tr w14:paraId="150B9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93" w:type="dxa"/>
          </w:tcPr>
          <w:p w14:paraId="669825B8">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04F48B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1D0D25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450B8CE">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F11571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086BEE85">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0325C40">
            <w:pPr>
              <w:pStyle w:val="2"/>
              <w:keepNext/>
              <w:spacing w:after="0" w:line="440" w:lineRule="exact"/>
              <w:ind w:left="63" w:right="63"/>
              <w:rPr>
                <w:rFonts w:hint="eastAsia" w:ascii="仿宋" w:hAnsi="仿宋" w:eastAsia="仿宋" w:cs="仿宋"/>
                <w:color w:val="auto"/>
                <w:sz w:val="24"/>
                <w:szCs w:val="24"/>
                <w:highlight w:val="none"/>
              </w:rPr>
            </w:pPr>
          </w:p>
        </w:tc>
      </w:tr>
      <w:tr w14:paraId="29E56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E49B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9D623A4">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6DF13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DE46D7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7BA184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40AEF28">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3C0E989">
            <w:pPr>
              <w:pStyle w:val="2"/>
              <w:keepNext/>
              <w:spacing w:after="0" w:line="440" w:lineRule="exact"/>
              <w:ind w:left="63" w:right="63"/>
              <w:rPr>
                <w:rFonts w:hint="eastAsia" w:ascii="仿宋" w:hAnsi="仿宋" w:eastAsia="仿宋" w:cs="仿宋"/>
                <w:color w:val="auto"/>
                <w:sz w:val="24"/>
                <w:szCs w:val="24"/>
                <w:highlight w:val="none"/>
              </w:rPr>
            </w:pPr>
          </w:p>
        </w:tc>
      </w:tr>
      <w:tr w14:paraId="7AE3D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85862C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64F8BC">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134D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A8FBBE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29C635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26FBA3B">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4D2D7B7">
            <w:pPr>
              <w:pStyle w:val="2"/>
              <w:keepNext/>
              <w:spacing w:after="0" w:line="440" w:lineRule="exact"/>
              <w:ind w:left="63" w:right="63"/>
              <w:rPr>
                <w:rFonts w:hint="eastAsia" w:ascii="仿宋" w:hAnsi="仿宋" w:eastAsia="仿宋" w:cs="仿宋"/>
                <w:color w:val="auto"/>
                <w:sz w:val="24"/>
                <w:szCs w:val="24"/>
                <w:highlight w:val="none"/>
              </w:rPr>
            </w:pPr>
          </w:p>
        </w:tc>
      </w:tr>
      <w:tr w14:paraId="72791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5093D3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CF225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4E55E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63DFA8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333133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E981B4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622E368C">
            <w:pPr>
              <w:pStyle w:val="2"/>
              <w:keepNext/>
              <w:spacing w:after="0" w:line="440" w:lineRule="exact"/>
              <w:ind w:left="63" w:right="63"/>
              <w:rPr>
                <w:rFonts w:hint="eastAsia" w:ascii="仿宋" w:hAnsi="仿宋" w:eastAsia="仿宋" w:cs="仿宋"/>
                <w:color w:val="auto"/>
                <w:sz w:val="24"/>
                <w:szCs w:val="24"/>
                <w:highlight w:val="none"/>
              </w:rPr>
            </w:pPr>
          </w:p>
        </w:tc>
      </w:tr>
      <w:tr w14:paraId="7BD46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BD8174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F672F3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58C117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6F261A2">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31FB08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E10760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F9DAB97">
            <w:pPr>
              <w:pStyle w:val="2"/>
              <w:keepNext/>
              <w:spacing w:after="0" w:line="440" w:lineRule="exact"/>
              <w:ind w:left="63" w:right="63"/>
              <w:rPr>
                <w:rFonts w:hint="eastAsia" w:ascii="仿宋" w:hAnsi="仿宋" w:eastAsia="仿宋" w:cs="仿宋"/>
                <w:color w:val="auto"/>
                <w:sz w:val="24"/>
                <w:szCs w:val="24"/>
                <w:highlight w:val="none"/>
              </w:rPr>
            </w:pPr>
          </w:p>
        </w:tc>
      </w:tr>
      <w:tr w14:paraId="20302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6BA83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3D17E87">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DD6D71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57C293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988693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21D41D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D48F34C">
            <w:pPr>
              <w:pStyle w:val="2"/>
              <w:keepNext/>
              <w:spacing w:after="0" w:line="440" w:lineRule="exact"/>
              <w:ind w:left="63" w:right="63"/>
              <w:rPr>
                <w:rFonts w:hint="eastAsia" w:ascii="仿宋" w:hAnsi="仿宋" w:eastAsia="仿宋" w:cs="仿宋"/>
                <w:color w:val="auto"/>
                <w:sz w:val="24"/>
                <w:szCs w:val="24"/>
                <w:highlight w:val="none"/>
              </w:rPr>
            </w:pPr>
          </w:p>
        </w:tc>
      </w:tr>
      <w:tr w14:paraId="2650E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F3D3ED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7055F1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57E39AD">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1BA7C7">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207034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81AA796">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DEAB917">
            <w:pPr>
              <w:pStyle w:val="2"/>
              <w:keepNext/>
              <w:spacing w:after="0" w:line="440" w:lineRule="exact"/>
              <w:ind w:left="63" w:right="63"/>
              <w:rPr>
                <w:rFonts w:hint="eastAsia" w:ascii="仿宋" w:hAnsi="仿宋" w:eastAsia="仿宋" w:cs="仿宋"/>
                <w:color w:val="auto"/>
                <w:sz w:val="24"/>
                <w:szCs w:val="24"/>
                <w:highlight w:val="none"/>
              </w:rPr>
            </w:pPr>
          </w:p>
        </w:tc>
      </w:tr>
    </w:tbl>
    <w:p w14:paraId="70543EDA"/>
    <w:p w14:paraId="0C6F9E5A">
      <w:pPr>
        <w:spacing w:line="480" w:lineRule="exact"/>
        <w:ind w:firstLine="422" w:firstLineChars="200"/>
        <w:rPr>
          <w:rFonts w:ascii="宋体" w:hAnsi="宋体" w:cs="宋体"/>
          <w:b/>
          <w:bCs/>
          <w:color w:val="auto"/>
          <w:szCs w:val="21"/>
        </w:rPr>
      </w:pPr>
    </w:p>
    <w:p w14:paraId="3C0339AA">
      <w:pPr>
        <w:pStyle w:val="8"/>
        <w:rPr>
          <w:rFonts w:hint="eastAsia" w:ascii="宋体" w:hAnsi="宋体" w:eastAsia="宋体" w:cs="宋体"/>
          <w:b/>
          <w:bCs w:val="0"/>
          <w:color w:val="auto"/>
          <w:kern w:val="0"/>
          <w:sz w:val="52"/>
          <w:szCs w:val="52"/>
          <w:highlight w:val="none"/>
        </w:rPr>
      </w:pPr>
    </w:p>
    <w:p w14:paraId="1CD8F11F">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仿宋_GB2312" w:eastAsia="仿宋_GB2312"/>
          <w:color w:val="auto"/>
          <w:szCs w:val="32"/>
        </w:rPr>
      </w:pPr>
      <w:bookmarkStart w:id="249" w:name="_Toc28898"/>
      <w:r>
        <w:rPr>
          <w:rFonts w:hint="eastAsia" w:ascii="宋体" w:hAnsi="宋体"/>
          <w:color w:val="auto"/>
          <w:sz w:val="44"/>
          <w:szCs w:val="44"/>
        </w:rPr>
        <w:t>第六章 响应文件格式</w:t>
      </w:r>
      <w:bookmarkEnd w:id="84"/>
      <w:bookmarkEnd w:id="101"/>
      <w:bookmarkEnd w:id="249"/>
    </w:p>
    <w:p w14:paraId="7A1E4038">
      <w:pPr>
        <w:spacing w:line="360" w:lineRule="auto"/>
        <w:ind w:firstLine="470" w:firstLineChars="196"/>
        <w:rPr>
          <w:rFonts w:hint="eastAsia" w:ascii="仿宋" w:hAnsi="仿宋" w:eastAsia="仿宋" w:cs="仿宋"/>
          <w:b/>
          <w:color w:val="auto"/>
          <w:sz w:val="24"/>
          <w:szCs w:val="24"/>
        </w:rPr>
      </w:pPr>
      <w:r>
        <w:rPr>
          <w:rFonts w:hint="eastAsia" w:ascii="仿宋" w:hAnsi="仿宋" w:eastAsia="仿宋" w:cs="仿宋"/>
          <w:color w:val="auto"/>
          <w:sz w:val="24"/>
          <w:szCs w:val="24"/>
        </w:rPr>
        <w:t>响应文件格式是供应商的部分响应文件格式，供应商应当严格按照这些格式编制响应文件。编制响应文件前，请详细阅读磋商文件，理解文件中的每一项要求，做出逐一实质性响应，认为有必要，可做补充说明。</w:t>
      </w:r>
    </w:p>
    <w:p w14:paraId="256E37EA">
      <w:pPr>
        <w:spacing w:line="400" w:lineRule="exact"/>
        <w:jc w:val="center"/>
        <w:rPr>
          <w:rFonts w:ascii="仿宋_GB2312" w:hAnsi="宋体" w:eastAsia="仿宋_GB2312"/>
          <w:b/>
          <w:color w:val="auto"/>
          <w:sz w:val="28"/>
          <w:szCs w:val="28"/>
        </w:rPr>
      </w:pPr>
    </w:p>
    <w:p w14:paraId="16F0F3F5">
      <w:pPr>
        <w:spacing w:line="400" w:lineRule="exact"/>
        <w:ind w:firstLine="570"/>
        <w:rPr>
          <w:rFonts w:ascii="仿宋_GB2312" w:hAnsi="宋体" w:eastAsia="仿宋_GB2312"/>
          <w:color w:val="auto"/>
          <w:sz w:val="28"/>
          <w:szCs w:val="28"/>
        </w:rPr>
      </w:pPr>
    </w:p>
    <w:p w14:paraId="10A2CAD3">
      <w:pPr>
        <w:spacing w:line="400" w:lineRule="exact"/>
        <w:ind w:firstLine="570"/>
        <w:rPr>
          <w:rFonts w:ascii="仿宋_GB2312" w:hAnsi="宋体" w:eastAsia="仿宋_GB2312"/>
          <w:color w:val="auto"/>
          <w:sz w:val="28"/>
          <w:szCs w:val="28"/>
        </w:rPr>
      </w:pPr>
    </w:p>
    <w:p w14:paraId="0CD7A748">
      <w:pPr>
        <w:spacing w:line="400" w:lineRule="exact"/>
        <w:ind w:firstLine="570"/>
        <w:rPr>
          <w:rFonts w:ascii="仿宋_GB2312" w:hAnsi="宋体" w:eastAsia="仿宋_GB2312"/>
          <w:color w:val="auto"/>
          <w:sz w:val="28"/>
          <w:szCs w:val="28"/>
        </w:rPr>
      </w:pPr>
    </w:p>
    <w:p w14:paraId="34489358">
      <w:pPr>
        <w:spacing w:line="400" w:lineRule="exact"/>
        <w:ind w:firstLine="570"/>
        <w:rPr>
          <w:rFonts w:ascii="仿宋_GB2312" w:hAnsi="宋体" w:eastAsia="仿宋_GB2312"/>
          <w:color w:val="auto"/>
          <w:sz w:val="28"/>
          <w:szCs w:val="28"/>
        </w:rPr>
      </w:pPr>
    </w:p>
    <w:p w14:paraId="7204E5F8">
      <w:pPr>
        <w:spacing w:line="400" w:lineRule="exact"/>
        <w:ind w:firstLine="570"/>
        <w:rPr>
          <w:rFonts w:ascii="仿宋_GB2312" w:hAnsi="宋体" w:eastAsia="仿宋_GB2312"/>
          <w:color w:val="auto"/>
          <w:sz w:val="28"/>
          <w:szCs w:val="28"/>
        </w:rPr>
      </w:pPr>
    </w:p>
    <w:p w14:paraId="19505E38">
      <w:pPr>
        <w:spacing w:line="400" w:lineRule="exact"/>
        <w:ind w:firstLine="570"/>
        <w:rPr>
          <w:rFonts w:ascii="仿宋_GB2312" w:hAnsi="宋体" w:eastAsia="仿宋_GB2312"/>
          <w:color w:val="auto"/>
          <w:sz w:val="28"/>
          <w:szCs w:val="28"/>
        </w:rPr>
      </w:pPr>
    </w:p>
    <w:p w14:paraId="09310104">
      <w:pPr>
        <w:spacing w:line="400" w:lineRule="exact"/>
        <w:ind w:firstLine="570"/>
        <w:rPr>
          <w:rFonts w:ascii="仿宋_GB2312" w:hAnsi="宋体" w:eastAsia="仿宋_GB2312"/>
          <w:color w:val="auto"/>
          <w:sz w:val="28"/>
          <w:szCs w:val="28"/>
        </w:rPr>
      </w:pPr>
    </w:p>
    <w:p w14:paraId="083CA5DA">
      <w:pPr>
        <w:spacing w:line="400" w:lineRule="exact"/>
        <w:ind w:firstLine="570"/>
        <w:rPr>
          <w:rFonts w:ascii="仿宋_GB2312" w:hAnsi="宋体" w:eastAsia="仿宋_GB2312"/>
          <w:color w:val="auto"/>
          <w:sz w:val="28"/>
          <w:szCs w:val="28"/>
        </w:rPr>
      </w:pPr>
    </w:p>
    <w:p w14:paraId="321242D5">
      <w:pPr>
        <w:spacing w:line="400" w:lineRule="exact"/>
        <w:ind w:firstLine="570"/>
        <w:rPr>
          <w:rFonts w:ascii="仿宋_GB2312" w:hAnsi="宋体" w:eastAsia="仿宋_GB2312"/>
          <w:color w:val="auto"/>
          <w:sz w:val="28"/>
          <w:szCs w:val="28"/>
        </w:rPr>
      </w:pPr>
    </w:p>
    <w:p w14:paraId="27743656">
      <w:pPr>
        <w:spacing w:line="400" w:lineRule="exact"/>
        <w:ind w:firstLine="570"/>
        <w:rPr>
          <w:rFonts w:ascii="仿宋_GB2312" w:hAnsi="宋体" w:eastAsia="仿宋_GB2312"/>
          <w:color w:val="auto"/>
          <w:sz w:val="28"/>
          <w:szCs w:val="28"/>
        </w:rPr>
      </w:pPr>
    </w:p>
    <w:p w14:paraId="3E42505D">
      <w:pPr>
        <w:spacing w:line="400" w:lineRule="exact"/>
        <w:ind w:firstLine="570"/>
        <w:rPr>
          <w:rFonts w:ascii="仿宋_GB2312" w:hAnsi="宋体" w:eastAsia="仿宋_GB2312"/>
          <w:color w:val="auto"/>
          <w:sz w:val="28"/>
          <w:szCs w:val="28"/>
        </w:rPr>
      </w:pPr>
    </w:p>
    <w:p w14:paraId="4F416F83">
      <w:pPr>
        <w:wordWrap w:val="0"/>
        <w:jc w:val="right"/>
        <w:rPr>
          <w:rFonts w:ascii="宋体" w:hAnsi="宋体" w:cs="宋体"/>
          <w:color w:val="auto"/>
          <w:sz w:val="24"/>
        </w:rPr>
      </w:pPr>
      <w:r>
        <w:rPr>
          <w:rFonts w:ascii="仿宋_GB2312" w:hAnsi="宋体" w:eastAsia="仿宋_GB2312"/>
          <w:color w:val="auto"/>
          <w:sz w:val="28"/>
          <w:szCs w:val="28"/>
        </w:rPr>
        <w:br w:type="page"/>
      </w:r>
      <w:bookmarkStart w:id="250" w:name="_Toc217446082"/>
      <w:r>
        <w:rPr>
          <w:rFonts w:hint="eastAsia" w:ascii="宋体" w:hAnsi="宋体"/>
          <w:color w:val="auto"/>
          <w:sz w:val="24"/>
        </w:rPr>
        <w:t>正本/副本</w:t>
      </w:r>
    </w:p>
    <w:p w14:paraId="4915B5DC">
      <w:pPr>
        <w:wordWrap w:val="0"/>
        <w:jc w:val="right"/>
        <w:rPr>
          <w:rFonts w:ascii="宋体" w:hAnsi="宋体" w:cs="宋体"/>
          <w:color w:val="auto"/>
          <w:sz w:val="24"/>
        </w:rPr>
      </w:pPr>
    </w:p>
    <w:p w14:paraId="40348360">
      <w:pPr>
        <w:wordWrap w:val="0"/>
        <w:jc w:val="right"/>
        <w:rPr>
          <w:rFonts w:ascii="宋体" w:hAnsi="宋体"/>
          <w:color w:val="auto"/>
          <w:sz w:val="24"/>
        </w:rPr>
      </w:pPr>
      <w:bookmarkStart w:id="251" w:name="_Toc18074972"/>
      <w:r>
        <w:rPr>
          <w:rFonts w:hint="eastAsia" w:ascii="宋体" w:hAnsi="宋体"/>
          <w:color w:val="auto"/>
          <w:sz w:val="24"/>
        </w:rPr>
        <w:t xml:space="preserve"> </w:t>
      </w:r>
    </w:p>
    <w:bookmarkEnd w:id="251"/>
    <w:p w14:paraId="0DE34C33">
      <w:pPr>
        <w:pStyle w:val="2"/>
        <w:jc w:val="left"/>
        <w:rPr>
          <w:rFonts w:hint="eastAsia" w:asciiTheme="majorEastAsia" w:hAnsiTheme="majorEastAsia" w:eastAsiaTheme="majorEastAsia" w:cstheme="majorEastAsia"/>
          <w:b/>
          <w:bCs/>
          <w:color w:val="auto"/>
          <w:sz w:val="52"/>
          <w:szCs w:val="52"/>
          <w:lang w:eastAsia="zh-CN"/>
        </w:rPr>
      </w:pPr>
      <w:r>
        <w:rPr>
          <w:rFonts w:hint="eastAsia" w:ascii="宋体" w:hAnsi="宋体"/>
          <w:color w:val="auto"/>
          <w:sz w:val="24"/>
        </w:rPr>
        <w:t>采购项目编号：</w:t>
      </w:r>
      <w:r>
        <w:rPr>
          <w:rFonts w:hint="eastAsia" w:ascii="宋体" w:hAnsi="宋体"/>
          <w:color w:val="auto"/>
          <w:sz w:val="24"/>
          <w:lang w:eastAsia="zh-CN"/>
        </w:rPr>
        <w:t>YZ2026-ZB035</w:t>
      </w:r>
    </w:p>
    <w:p w14:paraId="00F689F3">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p>
    <w:p w14:paraId="4A84EB2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r>
        <w:rPr>
          <w:rFonts w:hint="eastAsia" w:asciiTheme="majorEastAsia" w:hAnsiTheme="majorEastAsia" w:eastAsiaTheme="majorEastAsia" w:cstheme="majorEastAsia"/>
          <w:b/>
          <w:bCs/>
          <w:color w:val="auto"/>
          <w:sz w:val="52"/>
          <w:szCs w:val="52"/>
          <w:lang w:eastAsia="zh-CN"/>
        </w:rPr>
        <w:t>2026年大庄镇大东村、大西村、布王村集体经济建设项目</w:t>
      </w:r>
    </w:p>
    <w:p w14:paraId="6F81C44E">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val="en-US" w:eastAsia="zh-CN"/>
        </w:rPr>
      </w:pPr>
      <w:r>
        <w:rPr>
          <w:rFonts w:hint="eastAsia" w:asciiTheme="majorEastAsia" w:hAnsiTheme="majorEastAsia" w:eastAsiaTheme="majorEastAsia" w:cstheme="majorEastAsia"/>
          <w:b/>
          <w:bCs/>
          <w:color w:val="auto"/>
          <w:sz w:val="52"/>
          <w:szCs w:val="52"/>
          <w:lang w:val="en-US" w:eastAsia="zh-CN"/>
        </w:rPr>
        <w:t>一标段</w:t>
      </w:r>
    </w:p>
    <w:p w14:paraId="23E1A4FB">
      <w:pPr>
        <w:spacing w:line="480" w:lineRule="auto"/>
        <w:jc w:val="center"/>
        <w:rPr>
          <w:rFonts w:hint="default" w:ascii="宋体" w:hAnsi="宋体" w:eastAsia="宋体" w:cs="宋体"/>
          <w:b/>
          <w:color w:val="auto"/>
          <w:sz w:val="24"/>
          <w:szCs w:val="24"/>
          <w:highlight w:val="none"/>
          <w:lang w:val="en-US"/>
        </w:rPr>
      </w:pPr>
    </w:p>
    <w:p w14:paraId="6E22D93B">
      <w:pPr>
        <w:pStyle w:val="30"/>
        <w:rPr>
          <w:color w:val="auto"/>
        </w:rPr>
      </w:pPr>
    </w:p>
    <w:p w14:paraId="08AF095D">
      <w:pPr>
        <w:rPr>
          <w:rFonts w:ascii="宋体" w:hAnsi="宋体"/>
          <w:b/>
          <w:color w:val="auto"/>
          <w:sz w:val="84"/>
          <w:szCs w:val="84"/>
        </w:rPr>
      </w:pPr>
      <w:bookmarkStart w:id="252" w:name="_Toc18074973"/>
    </w:p>
    <w:p w14:paraId="1BA33ADC">
      <w:pPr>
        <w:jc w:val="center"/>
        <w:rPr>
          <w:rFonts w:ascii="宋体" w:hAnsi="宋体"/>
          <w:b/>
          <w:color w:val="auto"/>
          <w:sz w:val="84"/>
          <w:szCs w:val="84"/>
        </w:rPr>
      </w:pPr>
      <w:r>
        <w:rPr>
          <w:rFonts w:hint="eastAsia" w:ascii="宋体" w:hAnsi="宋体"/>
          <w:b/>
          <w:color w:val="auto"/>
          <w:sz w:val="84"/>
          <w:szCs w:val="84"/>
        </w:rPr>
        <w:t>竞争性磋商响应文件</w:t>
      </w:r>
      <w:bookmarkEnd w:id="252"/>
    </w:p>
    <w:p w14:paraId="36AB4038">
      <w:pPr>
        <w:pStyle w:val="8"/>
        <w:rPr>
          <w:color w:val="auto"/>
          <w:sz w:val="28"/>
          <w:szCs w:val="28"/>
        </w:rPr>
      </w:pPr>
    </w:p>
    <w:p w14:paraId="426FDDFF">
      <w:pPr>
        <w:pStyle w:val="8"/>
        <w:rPr>
          <w:color w:val="auto"/>
          <w:sz w:val="28"/>
          <w:szCs w:val="28"/>
        </w:rPr>
      </w:pPr>
    </w:p>
    <w:p w14:paraId="0D902F14">
      <w:pPr>
        <w:pStyle w:val="8"/>
        <w:rPr>
          <w:color w:val="auto"/>
          <w:sz w:val="28"/>
          <w:szCs w:val="28"/>
        </w:rPr>
      </w:pPr>
    </w:p>
    <w:p w14:paraId="627D1349">
      <w:pPr>
        <w:pStyle w:val="8"/>
        <w:rPr>
          <w:color w:val="auto"/>
          <w:sz w:val="28"/>
          <w:szCs w:val="28"/>
        </w:rPr>
      </w:pPr>
    </w:p>
    <w:p w14:paraId="2225B3E1">
      <w:pPr>
        <w:outlineLvl w:val="9"/>
        <w:rPr>
          <w:color w:val="auto"/>
        </w:rPr>
      </w:pPr>
    </w:p>
    <w:p w14:paraId="39F542FD">
      <w:pPr>
        <w:rPr>
          <w:color w:val="auto"/>
        </w:rPr>
      </w:pPr>
    </w:p>
    <w:p w14:paraId="1F60D8CD">
      <w:pPr>
        <w:pStyle w:val="8"/>
        <w:spacing w:before="120" w:beforeLines="50"/>
        <w:ind w:firstLine="1630" w:firstLineChars="580"/>
        <w:rPr>
          <w:rFonts w:ascii="宋体" w:hAnsi="宋体"/>
          <w:b/>
          <w:color w:val="auto"/>
          <w:sz w:val="28"/>
          <w:szCs w:val="28"/>
        </w:rPr>
      </w:pPr>
    </w:p>
    <w:p w14:paraId="6C7EF0BF"/>
    <w:p w14:paraId="2BC09FDA">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供  应  商：</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 xml:space="preserve">（盖章） </w:t>
      </w:r>
    </w:p>
    <w:p w14:paraId="17F84AA9">
      <w:pPr>
        <w:spacing w:line="480" w:lineRule="auto"/>
        <w:ind w:firstLine="843" w:firstLineChars="300"/>
        <w:rPr>
          <w:rFonts w:ascii="宋体" w:hAnsi="宋体"/>
          <w:b/>
          <w:bCs/>
          <w:color w:val="auto"/>
          <w:sz w:val="28"/>
          <w:szCs w:val="28"/>
        </w:rPr>
      </w:pPr>
      <w:r>
        <w:rPr>
          <w:rFonts w:hint="eastAsia" w:ascii="宋体" w:hAnsi="宋体" w:cs="仿宋_GB2312"/>
          <w:b/>
          <w:bCs/>
          <w:color w:val="auto"/>
          <w:sz w:val="28"/>
          <w:szCs w:val="28"/>
        </w:rPr>
        <w:t>法定代表人或其委托代理人：</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（签字或盖章）</w:t>
      </w:r>
    </w:p>
    <w:p w14:paraId="08A69C00">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日      期：</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年</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月</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日</w:t>
      </w:r>
    </w:p>
    <w:p w14:paraId="49CF6A45">
      <w:pPr>
        <w:rPr>
          <w:rFonts w:hint="eastAsia" w:ascii="方正小标宋简体" w:eastAsia="方正小标宋简体"/>
          <w:color w:val="auto"/>
          <w:sz w:val="44"/>
          <w:szCs w:val="44"/>
        </w:rPr>
      </w:pPr>
      <w:r>
        <w:rPr>
          <w:rFonts w:hint="eastAsia" w:ascii="方正小标宋简体" w:eastAsia="方正小标宋简体"/>
          <w:color w:val="auto"/>
          <w:sz w:val="44"/>
          <w:szCs w:val="44"/>
        </w:rPr>
        <w:br w:type="page"/>
      </w:r>
    </w:p>
    <w:p w14:paraId="64991A14">
      <w:pPr>
        <w:pStyle w:val="8"/>
        <w:spacing w:before="120" w:beforeLines="50" w:after="120" w:afterLines="50"/>
        <w:ind w:firstLine="0"/>
        <w:jc w:val="center"/>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0C99EA6B">
      <w:pPr>
        <w:pStyle w:val="8"/>
        <w:spacing w:before="120" w:beforeLines="50"/>
        <w:ind w:firstLine="0"/>
        <w:rPr>
          <w:rFonts w:hint="eastAsia" w:ascii="仿宋" w:hAnsi="仿宋" w:eastAsia="仿宋" w:cs="仿宋"/>
          <w:color w:val="auto"/>
          <w:sz w:val="24"/>
          <w:szCs w:val="24"/>
        </w:rPr>
      </w:pPr>
      <w:r>
        <w:rPr>
          <w:rFonts w:hint="eastAsia" w:ascii="仿宋" w:hAnsi="仿宋" w:eastAsia="仿宋" w:cs="仿宋"/>
          <w:color w:val="auto"/>
          <w:sz w:val="24"/>
          <w:szCs w:val="24"/>
        </w:rPr>
        <w:t>格式自拟，须编制页码</w:t>
      </w:r>
    </w:p>
    <w:p w14:paraId="2300E8EB">
      <w:pPr>
        <w:rPr>
          <w:rFonts w:ascii="宋体" w:hAnsi="宋体" w:cs="宋体"/>
          <w:color w:val="auto"/>
          <w:szCs w:val="21"/>
        </w:rPr>
      </w:pPr>
      <w:r>
        <w:rPr>
          <w:rFonts w:hint="eastAsia" w:ascii="宋体" w:hAnsi="宋体" w:cs="宋体"/>
          <w:color w:val="auto"/>
          <w:szCs w:val="21"/>
        </w:rPr>
        <w:br w:type="page"/>
      </w:r>
    </w:p>
    <w:p w14:paraId="7A97B0C2">
      <w:pPr>
        <w:pStyle w:val="8"/>
        <w:spacing w:before="120" w:beforeLines="50"/>
        <w:ind w:firstLine="0"/>
        <w:rPr>
          <w:rFonts w:ascii="宋体" w:hAnsi="宋体" w:cs="宋体"/>
          <w:color w:val="auto"/>
          <w:szCs w:val="21"/>
        </w:rPr>
      </w:pPr>
    </w:p>
    <w:p w14:paraId="07A2F514">
      <w:pPr>
        <w:pStyle w:val="8"/>
        <w:spacing w:before="120" w:beforeLines="50"/>
        <w:ind w:firstLine="0"/>
        <w:rPr>
          <w:rFonts w:ascii="黑体" w:eastAsia="黑体"/>
          <w:color w:val="auto"/>
          <w:sz w:val="52"/>
          <w:szCs w:val="52"/>
        </w:rPr>
      </w:pPr>
    </w:p>
    <w:p w14:paraId="694DF052">
      <w:pPr>
        <w:pStyle w:val="8"/>
        <w:spacing w:before="120" w:beforeLines="50"/>
        <w:ind w:firstLine="0"/>
        <w:rPr>
          <w:rFonts w:ascii="黑体" w:eastAsia="黑体"/>
          <w:color w:val="auto"/>
          <w:sz w:val="52"/>
          <w:szCs w:val="52"/>
        </w:rPr>
      </w:pPr>
    </w:p>
    <w:p w14:paraId="42933646">
      <w:pPr>
        <w:pStyle w:val="8"/>
        <w:spacing w:before="120" w:beforeLines="50"/>
        <w:ind w:firstLine="0"/>
        <w:rPr>
          <w:rFonts w:ascii="黑体" w:eastAsia="黑体"/>
          <w:color w:val="auto"/>
          <w:sz w:val="52"/>
          <w:szCs w:val="52"/>
        </w:rPr>
      </w:pPr>
    </w:p>
    <w:p w14:paraId="5FD4F95B">
      <w:pPr>
        <w:pStyle w:val="8"/>
        <w:spacing w:before="120" w:beforeLines="50"/>
        <w:ind w:firstLine="0"/>
        <w:rPr>
          <w:rFonts w:ascii="黑体" w:eastAsia="黑体"/>
          <w:color w:val="auto"/>
          <w:sz w:val="52"/>
          <w:szCs w:val="52"/>
        </w:rPr>
      </w:pPr>
    </w:p>
    <w:p w14:paraId="081AB839">
      <w:pPr>
        <w:pStyle w:val="8"/>
        <w:spacing w:before="120" w:beforeLines="50"/>
        <w:ind w:firstLine="0"/>
        <w:rPr>
          <w:rFonts w:ascii="黑体" w:eastAsia="黑体"/>
          <w:color w:val="auto"/>
          <w:sz w:val="52"/>
          <w:szCs w:val="52"/>
        </w:rPr>
      </w:pPr>
    </w:p>
    <w:p w14:paraId="3973E240">
      <w:pPr>
        <w:pStyle w:val="8"/>
        <w:spacing w:before="120" w:beforeLines="50"/>
        <w:ind w:firstLine="0"/>
        <w:rPr>
          <w:rFonts w:ascii="黑体" w:eastAsia="黑体"/>
          <w:color w:val="auto"/>
          <w:sz w:val="52"/>
          <w:szCs w:val="52"/>
        </w:rPr>
      </w:pPr>
    </w:p>
    <w:p w14:paraId="03101E24">
      <w:pPr>
        <w:pStyle w:val="8"/>
        <w:spacing w:before="120" w:beforeLines="50"/>
        <w:ind w:firstLine="0"/>
        <w:jc w:val="center"/>
        <w:outlineLvl w:val="9"/>
        <w:rPr>
          <w:rFonts w:ascii="宋体" w:hAnsi="宋体"/>
          <w:b/>
          <w:color w:val="auto"/>
          <w:sz w:val="72"/>
          <w:szCs w:val="72"/>
        </w:rPr>
      </w:pPr>
      <w:bookmarkStart w:id="253" w:name="_Toc11648"/>
      <w:r>
        <w:rPr>
          <w:rFonts w:hint="eastAsia" w:ascii="宋体" w:hAnsi="宋体"/>
          <w:b/>
          <w:color w:val="auto"/>
          <w:sz w:val="72"/>
          <w:szCs w:val="72"/>
        </w:rPr>
        <w:t>资格审查部分</w:t>
      </w:r>
      <w:bookmarkEnd w:id="253"/>
    </w:p>
    <w:p w14:paraId="20BDBBAB">
      <w:pPr>
        <w:pStyle w:val="8"/>
        <w:spacing w:before="120" w:beforeLines="50"/>
        <w:ind w:firstLine="0"/>
        <w:rPr>
          <w:rFonts w:ascii="仿宋_GB2312" w:eastAsia="仿宋_GB2312"/>
          <w:color w:val="auto"/>
          <w:sz w:val="36"/>
          <w:szCs w:val="36"/>
        </w:rPr>
      </w:pPr>
    </w:p>
    <w:p w14:paraId="46C7C014">
      <w:pPr>
        <w:pStyle w:val="8"/>
        <w:spacing w:before="120" w:beforeLines="50"/>
        <w:ind w:firstLine="0"/>
        <w:rPr>
          <w:rFonts w:ascii="仿宋_GB2312" w:eastAsia="仿宋_GB2312"/>
          <w:color w:val="auto"/>
          <w:sz w:val="36"/>
          <w:szCs w:val="36"/>
        </w:rPr>
      </w:pPr>
    </w:p>
    <w:p w14:paraId="13ABD6A4">
      <w:pPr>
        <w:pStyle w:val="8"/>
        <w:spacing w:before="120" w:beforeLines="50"/>
        <w:ind w:firstLine="0"/>
        <w:rPr>
          <w:rFonts w:ascii="仿宋_GB2312" w:eastAsia="仿宋_GB2312"/>
          <w:color w:val="auto"/>
          <w:sz w:val="36"/>
          <w:szCs w:val="36"/>
        </w:rPr>
      </w:pPr>
    </w:p>
    <w:p w14:paraId="28873BAB">
      <w:pPr>
        <w:pStyle w:val="8"/>
        <w:spacing w:before="120" w:beforeLines="50"/>
        <w:ind w:firstLine="0"/>
        <w:rPr>
          <w:rFonts w:ascii="仿宋_GB2312" w:eastAsia="仿宋_GB2312"/>
          <w:color w:val="auto"/>
          <w:sz w:val="36"/>
          <w:szCs w:val="36"/>
        </w:rPr>
      </w:pPr>
    </w:p>
    <w:p w14:paraId="51F838F5">
      <w:pPr>
        <w:pStyle w:val="8"/>
        <w:spacing w:before="120" w:beforeLines="50"/>
        <w:ind w:firstLine="0"/>
        <w:rPr>
          <w:rFonts w:ascii="仿宋_GB2312" w:eastAsia="仿宋_GB2312"/>
          <w:color w:val="auto"/>
          <w:sz w:val="36"/>
          <w:szCs w:val="36"/>
        </w:rPr>
      </w:pPr>
    </w:p>
    <w:p w14:paraId="15344E11">
      <w:pPr>
        <w:pStyle w:val="8"/>
        <w:spacing w:before="120" w:beforeLines="50"/>
        <w:ind w:firstLine="0"/>
        <w:rPr>
          <w:rFonts w:ascii="仿宋_GB2312" w:eastAsia="仿宋_GB2312"/>
          <w:color w:val="auto"/>
          <w:sz w:val="36"/>
          <w:szCs w:val="36"/>
        </w:rPr>
      </w:pPr>
    </w:p>
    <w:bookmarkEnd w:id="250"/>
    <w:p w14:paraId="4DDEA65B">
      <w:pPr>
        <w:adjustRightInd w:val="0"/>
        <w:snapToGrid w:val="0"/>
        <w:spacing w:line="360" w:lineRule="auto"/>
        <w:jc w:val="center"/>
        <w:rPr>
          <w:rFonts w:ascii="宋体" w:hAnsi="宋体"/>
          <w:b/>
          <w:color w:val="auto"/>
          <w:sz w:val="36"/>
          <w:szCs w:val="36"/>
        </w:rPr>
      </w:pPr>
      <w:r>
        <w:rPr>
          <w:rFonts w:ascii="宋体" w:hAnsi="宋体"/>
          <w:b/>
          <w:color w:val="auto"/>
          <w:sz w:val="36"/>
          <w:szCs w:val="36"/>
        </w:rPr>
        <w:br w:type="page"/>
      </w:r>
      <w:r>
        <w:rPr>
          <w:rFonts w:hint="eastAsia" w:ascii="宋体" w:hAnsi="宋体"/>
          <w:b/>
          <w:color w:val="auto"/>
          <w:sz w:val="36"/>
          <w:szCs w:val="36"/>
        </w:rPr>
        <w:t>一、供应商基本情况表</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0"/>
        <w:gridCol w:w="946"/>
        <w:gridCol w:w="2230"/>
        <w:gridCol w:w="1275"/>
        <w:gridCol w:w="2755"/>
      </w:tblGrid>
      <w:tr w14:paraId="24825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2DCCCFAC">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46574067">
            <w:pPr>
              <w:topLinePunct/>
              <w:spacing w:line="440" w:lineRule="exact"/>
              <w:jc w:val="center"/>
              <w:rPr>
                <w:rFonts w:hint="eastAsia" w:ascii="仿宋" w:hAnsi="仿宋" w:eastAsia="仿宋" w:cs="仿宋"/>
                <w:color w:val="auto"/>
                <w:sz w:val="24"/>
                <w:szCs w:val="24"/>
              </w:rPr>
            </w:pPr>
          </w:p>
        </w:tc>
      </w:tr>
      <w:tr w14:paraId="2DB96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0DF4075A">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注册地址</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F167F52">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970819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2755" w:type="dxa"/>
            <w:tcBorders>
              <w:top w:val="single" w:color="auto" w:sz="4" w:space="0"/>
              <w:left w:val="single" w:color="auto" w:sz="4" w:space="0"/>
              <w:bottom w:val="single" w:color="auto" w:sz="4" w:space="0"/>
              <w:right w:val="single" w:color="auto" w:sz="4" w:space="0"/>
            </w:tcBorders>
            <w:vAlign w:val="center"/>
          </w:tcPr>
          <w:p w14:paraId="2EEA4175">
            <w:pPr>
              <w:topLinePunct/>
              <w:spacing w:line="440" w:lineRule="exact"/>
              <w:jc w:val="center"/>
              <w:rPr>
                <w:rFonts w:hint="eastAsia" w:ascii="仿宋" w:hAnsi="仿宋" w:eastAsia="仿宋" w:cs="仿宋"/>
                <w:color w:val="auto"/>
                <w:sz w:val="24"/>
                <w:szCs w:val="24"/>
              </w:rPr>
            </w:pPr>
          </w:p>
        </w:tc>
      </w:tr>
      <w:tr w14:paraId="53B07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20" w:type="dxa"/>
            <w:vMerge w:val="restart"/>
            <w:tcBorders>
              <w:top w:val="single" w:color="auto" w:sz="4" w:space="0"/>
              <w:left w:val="single" w:color="auto" w:sz="4" w:space="0"/>
              <w:bottom w:val="single" w:color="auto" w:sz="4" w:space="0"/>
              <w:right w:val="single" w:color="auto" w:sz="4" w:space="0"/>
            </w:tcBorders>
            <w:vAlign w:val="center"/>
          </w:tcPr>
          <w:p w14:paraId="27C2F364">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6B67948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2230" w:type="dxa"/>
            <w:tcBorders>
              <w:top w:val="single" w:color="auto" w:sz="4" w:space="0"/>
              <w:left w:val="single" w:color="auto" w:sz="4" w:space="0"/>
              <w:bottom w:val="single" w:color="auto" w:sz="4" w:space="0"/>
              <w:right w:val="single" w:color="auto" w:sz="4" w:space="0"/>
            </w:tcBorders>
            <w:vAlign w:val="center"/>
          </w:tcPr>
          <w:p w14:paraId="2CAE42D1">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71C2B0C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 话</w:t>
            </w:r>
          </w:p>
        </w:tc>
        <w:tc>
          <w:tcPr>
            <w:tcW w:w="2755" w:type="dxa"/>
            <w:tcBorders>
              <w:top w:val="single" w:color="auto" w:sz="4" w:space="0"/>
              <w:left w:val="single" w:color="auto" w:sz="4" w:space="0"/>
              <w:bottom w:val="single" w:color="auto" w:sz="4" w:space="0"/>
              <w:right w:val="single" w:color="auto" w:sz="4" w:space="0"/>
            </w:tcBorders>
            <w:vAlign w:val="center"/>
          </w:tcPr>
          <w:p w14:paraId="70D56E7E">
            <w:pPr>
              <w:topLinePunct/>
              <w:spacing w:line="440" w:lineRule="exact"/>
              <w:jc w:val="center"/>
              <w:rPr>
                <w:rFonts w:hint="eastAsia" w:ascii="仿宋" w:hAnsi="仿宋" w:eastAsia="仿宋" w:cs="仿宋"/>
                <w:color w:val="auto"/>
                <w:sz w:val="24"/>
                <w:szCs w:val="24"/>
              </w:rPr>
            </w:pPr>
          </w:p>
        </w:tc>
      </w:tr>
      <w:tr w14:paraId="526A0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jc w:val="center"/>
        </w:trPr>
        <w:tc>
          <w:tcPr>
            <w:tcW w:w="1820" w:type="dxa"/>
            <w:vMerge w:val="continue"/>
            <w:tcBorders>
              <w:top w:val="single" w:color="auto" w:sz="4" w:space="0"/>
              <w:left w:val="single" w:color="auto" w:sz="4" w:space="0"/>
              <w:bottom w:val="single" w:color="auto" w:sz="4" w:space="0"/>
              <w:right w:val="single" w:color="auto" w:sz="4" w:space="0"/>
            </w:tcBorders>
            <w:vAlign w:val="center"/>
          </w:tcPr>
          <w:p w14:paraId="7BDD7AE9">
            <w:pPr>
              <w:topLinePunct/>
              <w:spacing w:line="440" w:lineRule="exact"/>
              <w:jc w:val="center"/>
              <w:rPr>
                <w:rFonts w:hint="eastAsia" w:ascii="仿宋" w:hAnsi="仿宋" w:eastAsia="仿宋" w:cs="仿宋"/>
                <w:color w:val="auto"/>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14:paraId="4E0BD72F">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传  真</w:t>
            </w:r>
          </w:p>
        </w:tc>
        <w:tc>
          <w:tcPr>
            <w:tcW w:w="2230" w:type="dxa"/>
            <w:tcBorders>
              <w:top w:val="single" w:color="auto" w:sz="4" w:space="0"/>
              <w:left w:val="single" w:color="auto" w:sz="4" w:space="0"/>
              <w:bottom w:val="single" w:color="auto" w:sz="4" w:space="0"/>
              <w:right w:val="single" w:color="auto" w:sz="4" w:space="0"/>
            </w:tcBorders>
            <w:vAlign w:val="center"/>
          </w:tcPr>
          <w:p w14:paraId="3349013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4E47D750">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网 址</w:t>
            </w:r>
          </w:p>
        </w:tc>
        <w:tc>
          <w:tcPr>
            <w:tcW w:w="2755" w:type="dxa"/>
            <w:tcBorders>
              <w:top w:val="single" w:color="auto" w:sz="4" w:space="0"/>
              <w:left w:val="single" w:color="auto" w:sz="4" w:space="0"/>
              <w:bottom w:val="single" w:color="auto" w:sz="4" w:space="0"/>
              <w:right w:val="single" w:color="auto" w:sz="4" w:space="0"/>
            </w:tcBorders>
            <w:vAlign w:val="center"/>
          </w:tcPr>
          <w:p w14:paraId="68D3E900">
            <w:pPr>
              <w:topLinePunct/>
              <w:spacing w:line="440" w:lineRule="exact"/>
              <w:jc w:val="center"/>
              <w:rPr>
                <w:rFonts w:hint="eastAsia" w:ascii="仿宋" w:hAnsi="仿宋" w:eastAsia="仿宋" w:cs="仿宋"/>
                <w:color w:val="auto"/>
                <w:sz w:val="24"/>
                <w:szCs w:val="24"/>
              </w:rPr>
            </w:pPr>
          </w:p>
        </w:tc>
      </w:tr>
      <w:tr w14:paraId="1A984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61F46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企业类型</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60DACB3B">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CE0F6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企业规模</w:t>
            </w:r>
          </w:p>
        </w:tc>
        <w:tc>
          <w:tcPr>
            <w:tcW w:w="2755" w:type="dxa"/>
            <w:tcBorders>
              <w:top w:val="single" w:color="auto" w:sz="4" w:space="0"/>
              <w:left w:val="single" w:color="auto" w:sz="4" w:space="0"/>
              <w:bottom w:val="single" w:color="auto" w:sz="4" w:space="0"/>
              <w:right w:val="single" w:color="auto" w:sz="4" w:space="0"/>
            </w:tcBorders>
            <w:vAlign w:val="center"/>
          </w:tcPr>
          <w:p w14:paraId="4507C7F2">
            <w:pPr>
              <w:topLinePunct/>
              <w:spacing w:line="440" w:lineRule="exact"/>
              <w:jc w:val="center"/>
              <w:rPr>
                <w:rFonts w:hint="eastAsia" w:ascii="仿宋" w:hAnsi="仿宋" w:eastAsia="仿宋" w:cs="仿宋"/>
                <w:color w:val="auto"/>
                <w:sz w:val="24"/>
                <w:szCs w:val="24"/>
              </w:rPr>
            </w:pPr>
          </w:p>
        </w:tc>
      </w:tr>
      <w:tr w14:paraId="4F49D3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4BBD245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75E68E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7ED7B9D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3155589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4A703412">
            <w:pPr>
              <w:topLinePunct/>
              <w:spacing w:line="440" w:lineRule="exact"/>
              <w:jc w:val="center"/>
              <w:rPr>
                <w:rFonts w:hint="eastAsia" w:ascii="仿宋" w:hAnsi="仿宋" w:eastAsia="仿宋" w:cs="仿宋"/>
                <w:color w:val="auto"/>
                <w:sz w:val="24"/>
                <w:szCs w:val="24"/>
              </w:rPr>
            </w:pPr>
          </w:p>
        </w:tc>
      </w:tr>
      <w:tr w14:paraId="10665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464983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53505E0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6576ACA6">
            <w:pPr>
              <w:topLinePunct/>
              <w:spacing w:line="440" w:lineRule="exact"/>
              <w:jc w:val="center"/>
              <w:rPr>
                <w:rFonts w:hint="eastAsia" w:ascii="仿宋" w:hAnsi="仿宋" w:eastAsia="仿宋" w:cs="仿宋"/>
                <w:strike/>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D0433AF">
            <w:pPr>
              <w:topLinePunct/>
              <w:spacing w:line="440" w:lineRule="exact"/>
              <w:jc w:val="center"/>
              <w:rPr>
                <w:rFonts w:hint="eastAsia" w:ascii="仿宋" w:hAnsi="仿宋" w:eastAsia="仿宋" w:cs="仿宋"/>
                <w:strike/>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09EB9498">
            <w:pPr>
              <w:topLinePunct/>
              <w:spacing w:line="440" w:lineRule="exact"/>
              <w:jc w:val="center"/>
              <w:rPr>
                <w:rFonts w:hint="eastAsia" w:ascii="仿宋" w:hAnsi="仿宋" w:eastAsia="仿宋" w:cs="仿宋"/>
                <w:color w:val="auto"/>
                <w:sz w:val="24"/>
                <w:szCs w:val="24"/>
              </w:rPr>
            </w:pPr>
          </w:p>
        </w:tc>
      </w:tr>
      <w:tr w14:paraId="2BAB4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C455E15">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营业执照号</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3B0F1862">
            <w:pPr>
              <w:topLinePunct/>
              <w:spacing w:line="440" w:lineRule="exact"/>
              <w:ind w:firstLine="1200" w:firstLineChars="500"/>
              <w:rPr>
                <w:rFonts w:hint="eastAsia" w:ascii="仿宋" w:hAnsi="仿宋" w:eastAsia="仿宋" w:cs="仿宋"/>
                <w:color w:val="auto"/>
                <w:sz w:val="24"/>
                <w:szCs w:val="24"/>
              </w:rPr>
            </w:pPr>
          </w:p>
        </w:tc>
      </w:tr>
      <w:tr w14:paraId="4B209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8F512BB">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A87465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6A5752C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注册资金</w:t>
            </w:r>
          </w:p>
        </w:tc>
        <w:tc>
          <w:tcPr>
            <w:tcW w:w="2755" w:type="dxa"/>
            <w:tcBorders>
              <w:top w:val="single" w:color="auto" w:sz="4" w:space="0"/>
              <w:left w:val="single" w:color="auto" w:sz="4" w:space="0"/>
              <w:bottom w:val="single" w:color="auto" w:sz="4" w:space="0"/>
              <w:right w:val="single" w:color="auto" w:sz="4" w:space="0"/>
            </w:tcBorders>
            <w:vAlign w:val="center"/>
          </w:tcPr>
          <w:p w14:paraId="2DC88721">
            <w:pPr>
              <w:topLinePunct/>
              <w:spacing w:line="440" w:lineRule="exact"/>
              <w:jc w:val="center"/>
              <w:rPr>
                <w:rFonts w:hint="eastAsia" w:ascii="仿宋" w:hAnsi="仿宋" w:eastAsia="仿宋" w:cs="仿宋"/>
                <w:color w:val="auto"/>
                <w:sz w:val="24"/>
                <w:szCs w:val="24"/>
              </w:rPr>
            </w:pPr>
          </w:p>
        </w:tc>
      </w:tr>
      <w:tr w14:paraId="7897A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870CD1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资产总额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5B9A079">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02D991">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2755" w:type="dxa"/>
            <w:tcBorders>
              <w:top w:val="single" w:color="auto" w:sz="4" w:space="0"/>
              <w:left w:val="single" w:color="auto" w:sz="4" w:space="0"/>
              <w:bottom w:val="single" w:color="auto" w:sz="4" w:space="0"/>
              <w:right w:val="single" w:color="auto" w:sz="4" w:space="0"/>
            </w:tcBorders>
            <w:vAlign w:val="center"/>
          </w:tcPr>
          <w:p w14:paraId="26D8C35B">
            <w:pPr>
              <w:topLinePunct/>
              <w:spacing w:line="440" w:lineRule="exact"/>
              <w:jc w:val="center"/>
              <w:rPr>
                <w:rFonts w:hint="eastAsia" w:ascii="仿宋" w:hAnsi="仿宋" w:eastAsia="仿宋" w:cs="仿宋"/>
                <w:color w:val="auto"/>
                <w:sz w:val="24"/>
                <w:szCs w:val="24"/>
              </w:rPr>
            </w:pPr>
          </w:p>
        </w:tc>
      </w:tr>
      <w:tr w14:paraId="2B5E1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D91B5F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上年营业额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A37FD5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E7C280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2755" w:type="dxa"/>
            <w:tcBorders>
              <w:top w:val="single" w:color="auto" w:sz="4" w:space="0"/>
              <w:left w:val="single" w:color="auto" w:sz="4" w:space="0"/>
              <w:bottom w:val="single" w:color="auto" w:sz="4" w:space="0"/>
              <w:right w:val="single" w:color="auto" w:sz="4" w:space="0"/>
            </w:tcBorders>
            <w:vAlign w:val="center"/>
          </w:tcPr>
          <w:p w14:paraId="57699914">
            <w:pPr>
              <w:topLinePunct/>
              <w:spacing w:line="440" w:lineRule="exact"/>
              <w:jc w:val="center"/>
              <w:rPr>
                <w:rFonts w:hint="eastAsia" w:ascii="仿宋" w:hAnsi="仿宋" w:eastAsia="仿宋" w:cs="仿宋"/>
                <w:color w:val="auto"/>
                <w:sz w:val="24"/>
                <w:szCs w:val="24"/>
              </w:rPr>
            </w:pPr>
          </w:p>
        </w:tc>
      </w:tr>
      <w:tr w14:paraId="6E972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4" w:hRule="atLeast"/>
          <w:jc w:val="center"/>
        </w:trPr>
        <w:tc>
          <w:tcPr>
            <w:tcW w:w="1820" w:type="dxa"/>
            <w:tcBorders>
              <w:top w:val="single" w:color="auto" w:sz="4" w:space="0"/>
              <w:left w:val="single" w:color="auto" w:sz="4" w:space="0"/>
              <w:right w:val="single" w:color="auto" w:sz="4" w:space="0"/>
            </w:tcBorders>
            <w:vAlign w:val="center"/>
          </w:tcPr>
          <w:p w14:paraId="7B9FEF0B">
            <w:pPr>
              <w:topLinePunct/>
              <w:spacing w:line="440" w:lineRule="exact"/>
              <w:ind w:firstLine="240" w:firstLineChars="100"/>
              <w:jc w:val="center"/>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7206" w:type="dxa"/>
            <w:gridSpan w:val="4"/>
            <w:tcBorders>
              <w:top w:val="single" w:color="auto" w:sz="4" w:space="0"/>
              <w:left w:val="single" w:color="auto" w:sz="4" w:space="0"/>
              <w:right w:val="single" w:color="auto" w:sz="4" w:space="0"/>
            </w:tcBorders>
            <w:vAlign w:val="center"/>
          </w:tcPr>
          <w:p w14:paraId="35801135">
            <w:pPr>
              <w:topLinePunct/>
              <w:spacing w:line="440" w:lineRule="exact"/>
              <w:jc w:val="center"/>
              <w:rPr>
                <w:rFonts w:hint="eastAsia" w:ascii="仿宋" w:hAnsi="仿宋" w:eastAsia="仿宋" w:cs="仿宋"/>
                <w:color w:val="auto"/>
                <w:sz w:val="24"/>
                <w:szCs w:val="24"/>
              </w:rPr>
            </w:pPr>
          </w:p>
          <w:p w14:paraId="6554503D">
            <w:pPr>
              <w:topLinePunct/>
              <w:spacing w:line="440" w:lineRule="exact"/>
              <w:jc w:val="center"/>
              <w:rPr>
                <w:rFonts w:hint="eastAsia" w:ascii="仿宋" w:hAnsi="仿宋" w:eastAsia="仿宋" w:cs="仿宋"/>
                <w:color w:val="auto"/>
                <w:sz w:val="24"/>
                <w:szCs w:val="24"/>
              </w:rPr>
            </w:pPr>
          </w:p>
          <w:p w14:paraId="24A7E79E">
            <w:pPr>
              <w:topLinePunct/>
              <w:spacing w:line="440" w:lineRule="exact"/>
              <w:jc w:val="center"/>
              <w:rPr>
                <w:rFonts w:hint="eastAsia" w:ascii="仿宋" w:hAnsi="仿宋" w:eastAsia="仿宋" w:cs="仿宋"/>
                <w:color w:val="auto"/>
                <w:sz w:val="24"/>
                <w:szCs w:val="24"/>
              </w:rPr>
            </w:pPr>
          </w:p>
          <w:p w14:paraId="7CCAD699">
            <w:pPr>
              <w:topLinePunct/>
              <w:spacing w:line="440" w:lineRule="exact"/>
              <w:jc w:val="center"/>
              <w:rPr>
                <w:rFonts w:hint="eastAsia" w:ascii="仿宋" w:hAnsi="仿宋" w:eastAsia="仿宋" w:cs="仿宋"/>
                <w:color w:val="auto"/>
                <w:sz w:val="24"/>
                <w:szCs w:val="24"/>
              </w:rPr>
            </w:pPr>
          </w:p>
          <w:p w14:paraId="3C418CB0">
            <w:pPr>
              <w:topLinePunct/>
              <w:spacing w:line="440" w:lineRule="exact"/>
              <w:jc w:val="center"/>
              <w:rPr>
                <w:rFonts w:hint="eastAsia" w:ascii="仿宋" w:hAnsi="仿宋" w:eastAsia="仿宋" w:cs="仿宋"/>
                <w:color w:val="auto"/>
                <w:sz w:val="24"/>
                <w:szCs w:val="24"/>
              </w:rPr>
            </w:pPr>
          </w:p>
          <w:p w14:paraId="58DD2CAD">
            <w:pPr>
              <w:topLinePunct/>
              <w:spacing w:line="440" w:lineRule="exact"/>
              <w:rPr>
                <w:rFonts w:hint="eastAsia" w:ascii="仿宋" w:hAnsi="仿宋" w:eastAsia="仿宋" w:cs="仿宋"/>
                <w:color w:val="auto"/>
                <w:sz w:val="24"/>
                <w:szCs w:val="24"/>
              </w:rPr>
            </w:pPr>
          </w:p>
        </w:tc>
      </w:tr>
      <w:tr w14:paraId="6BD0D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A19E9D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50E8C5A9">
            <w:pPr>
              <w:topLinePunct/>
              <w:spacing w:line="440" w:lineRule="exact"/>
              <w:rPr>
                <w:rFonts w:hint="eastAsia" w:ascii="仿宋" w:hAnsi="仿宋" w:eastAsia="仿宋" w:cs="仿宋"/>
                <w:color w:val="auto"/>
                <w:sz w:val="24"/>
                <w:szCs w:val="24"/>
              </w:rPr>
            </w:pPr>
          </w:p>
        </w:tc>
      </w:tr>
    </w:tbl>
    <w:p w14:paraId="14C4897F">
      <w:pPr>
        <w:adjustRightInd w:val="0"/>
        <w:snapToGrid w:val="0"/>
        <w:spacing w:before="120" w:beforeLines="50"/>
        <w:ind w:left="630" w:hanging="630" w:hangingChars="300"/>
        <w:rPr>
          <w:rFonts w:ascii="楷体" w:hAnsi="楷体" w:eastAsia="楷体"/>
          <w:color w:val="auto"/>
          <w:szCs w:val="21"/>
        </w:rPr>
      </w:pPr>
    </w:p>
    <w:p w14:paraId="13F2F037">
      <w:pPr>
        <w:adjustRightInd w:val="0"/>
        <w:snapToGrid w:val="0"/>
        <w:spacing w:before="120" w:beforeLines="50"/>
        <w:ind w:left="632" w:hanging="723" w:hangingChars="300"/>
        <w:rPr>
          <w:rFonts w:hint="eastAsia" w:ascii="仿宋" w:hAnsi="仿宋" w:eastAsia="仿宋" w:cs="仿宋"/>
          <w:b/>
          <w:color w:val="auto"/>
          <w:sz w:val="24"/>
          <w:szCs w:val="24"/>
        </w:rPr>
      </w:pPr>
      <w:r>
        <w:rPr>
          <w:rFonts w:hint="eastAsia" w:ascii="仿宋" w:hAnsi="仿宋" w:eastAsia="仿宋" w:cs="仿宋"/>
          <w:b/>
          <w:color w:val="auto"/>
          <w:sz w:val="24"/>
          <w:szCs w:val="24"/>
        </w:rPr>
        <w:t>说明：企业规模指特大型、大型、中型、小型、微型。</w:t>
      </w:r>
    </w:p>
    <w:p w14:paraId="54124948">
      <w:pPr>
        <w:adjustRightInd w:val="0"/>
        <w:snapToGrid w:val="0"/>
        <w:spacing w:before="120" w:beforeLines="50"/>
        <w:ind w:left="630" w:hanging="720" w:hangingChars="300"/>
        <w:rPr>
          <w:rFonts w:hint="eastAsia" w:ascii="仿宋" w:hAnsi="仿宋" w:eastAsia="仿宋" w:cs="仿宋"/>
          <w:color w:val="auto"/>
          <w:sz w:val="24"/>
          <w:szCs w:val="24"/>
        </w:rPr>
      </w:pPr>
    </w:p>
    <w:p w14:paraId="6F42DD53">
      <w:pPr>
        <w:adjustRightInd w:val="0"/>
        <w:snapToGrid w:val="0"/>
        <w:spacing w:before="240" w:beforeLines="100" w:line="360" w:lineRule="auto"/>
        <w:ind w:firstLine="444" w:firstLineChars="185"/>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bCs/>
          <w:color w:val="auto"/>
          <w:sz w:val="24"/>
          <w:szCs w:val="24"/>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bCs/>
          <w:color w:val="auto"/>
          <w:sz w:val="24"/>
          <w:szCs w:val="24"/>
        </w:rPr>
        <w:t>）</w:t>
      </w:r>
    </w:p>
    <w:p w14:paraId="14107EF6">
      <w:pPr>
        <w:adjustRightInd w:val="0"/>
        <w:spacing w:line="360" w:lineRule="auto"/>
        <w:ind w:firstLine="420" w:firstLineChars="175"/>
        <w:jc w:val="left"/>
        <w:rPr>
          <w:rFonts w:hint="eastAsia" w:ascii="仿宋" w:hAnsi="仿宋" w:eastAsia="仿宋" w:cs="仿宋"/>
          <w:bCs/>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245A492D">
      <w:pPr>
        <w:adjustRightInd w:val="0"/>
        <w:spacing w:line="360" w:lineRule="auto"/>
        <w:ind w:firstLine="420" w:firstLineChars="175"/>
        <w:jc w:val="left"/>
        <w:rPr>
          <w:rFonts w:ascii="宋体" w:hAnsi="宋体"/>
          <w:bCs/>
          <w:color w:val="auto"/>
          <w:szCs w:val="21"/>
        </w:rPr>
      </w:pPr>
      <w:r>
        <w:rPr>
          <w:rFonts w:hint="eastAsia" w:ascii="仿宋" w:hAnsi="仿宋" w:eastAsia="仿宋" w:cs="仿宋"/>
          <w:bCs/>
          <w:color w:val="auto"/>
          <w:sz w:val="24"/>
          <w:szCs w:val="24"/>
        </w:rPr>
        <w:t>日       期</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53E33CCF">
      <w:pPr>
        <w:adjustRightInd w:val="0"/>
        <w:snapToGrid w:val="0"/>
        <w:spacing w:line="360" w:lineRule="auto"/>
        <w:jc w:val="center"/>
        <w:rPr>
          <w:rFonts w:ascii="宋体" w:hAnsi="宋体"/>
          <w:color w:val="auto"/>
          <w:szCs w:val="21"/>
        </w:rPr>
      </w:pPr>
      <w:r>
        <w:rPr>
          <w:rFonts w:hint="eastAsia" w:ascii="宋体" w:hAnsi="宋体"/>
          <w:b/>
          <w:color w:val="auto"/>
          <w:sz w:val="36"/>
          <w:szCs w:val="36"/>
        </w:rPr>
        <w:t>二、法定代表人身份证明</w:t>
      </w:r>
    </w:p>
    <w:p w14:paraId="56008574">
      <w:pPr>
        <w:snapToGrid w:val="0"/>
        <w:spacing w:line="480" w:lineRule="auto"/>
        <w:rPr>
          <w:rFonts w:ascii="宋体" w:hAnsi="宋体"/>
          <w:color w:val="auto"/>
          <w:szCs w:val="21"/>
        </w:rPr>
      </w:pPr>
    </w:p>
    <w:p w14:paraId="2BA68412">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w:t>
      </w:r>
      <w:r>
        <w:rPr>
          <w:rFonts w:hint="eastAsia" w:ascii="仿宋" w:hAnsi="仿宋" w:eastAsia="仿宋" w:cs="仿宋"/>
          <w:color w:val="auto"/>
          <w:kern w:val="0"/>
          <w:sz w:val="24"/>
          <w:szCs w:val="24"/>
        </w:rPr>
        <w:t>名称：</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w:t>
      </w:r>
    </w:p>
    <w:p w14:paraId="001466FC">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统一社会信用代码：</w:t>
      </w:r>
      <w:r>
        <w:rPr>
          <w:rFonts w:hint="eastAsia" w:ascii="仿宋" w:hAnsi="仿宋" w:eastAsia="仿宋" w:cs="仿宋"/>
          <w:color w:val="auto"/>
          <w:kern w:val="0"/>
          <w:sz w:val="24"/>
          <w:szCs w:val="24"/>
          <w:u w:val="single"/>
        </w:rPr>
        <w:t xml:space="preserve">                </w:t>
      </w:r>
    </w:p>
    <w:p w14:paraId="63FDE46E">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姓名：</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性别：</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年龄：</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职务：</w:t>
      </w:r>
      <w:r>
        <w:rPr>
          <w:rFonts w:hint="eastAsia" w:ascii="仿宋" w:hAnsi="仿宋" w:eastAsia="仿宋" w:cs="仿宋"/>
          <w:color w:val="auto"/>
          <w:kern w:val="0"/>
          <w:sz w:val="24"/>
          <w:szCs w:val="24"/>
          <w:u w:val="single"/>
        </w:rPr>
        <w:t xml:space="preserve">             </w:t>
      </w:r>
    </w:p>
    <w:p w14:paraId="2EA54658">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系</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（供应商名称）的法定代表人（单位负责人）。</w:t>
      </w:r>
    </w:p>
    <w:p w14:paraId="2E94D233">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特此证明。</w:t>
      </w:r>
    </w:p>
    <w:p w14:paraId="3F8B03E7">
      <w:pPr>
        <w:autoSpaceDE w:val="0"/>
        <w:autoSpaceDN w:val="0"/>
        <w:adjustRightInd w:val="0"/>
        <w:snapToGrid w:val="0"/>
        <w:spacing w:before="120" w:beforeLines="50" w:line="360" w:lineRule="auto"/>
        <w:jc w:val="left"/>
        <w:rPr>
          <w:rFonts w:hint="eastAsia" w:ascii="仿宋" w:hAnsi="仿宋" w:eastAsia="仿宋" w:cs="仿宋"/>
          <w:color w:val="auto"/>
          <w:sz w:val="24"/>
          <w:szCs w:val="24"/>
        </w:rPr>
      </w:pPr>
    </w:p>
    <w:p w14:paraId="2EC99E2B">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附：法定代表人身份证复印件（正反面均需复印）</w:t>
      </w:r>
    </w:p>
    <w:p w14:paraId="33E2633A">
      <w:pPr>
        <w:snapToGrid w:val="0"/>
        <w:spacing w:line="480" w:lineRule="auto"/>
        <w:rPr>
          <w:rFonts w:hint="eastAsia" w:ascii="仿宋" w:hAnsi="仿宋" w:eastAsia="仿宋" w:cs="仿宋"/>
          <w:color w:val="auto"/>
          <w:sz w:val="24"/>
          <w:szCs w:val="24"/>
        </w:rPr>
      </w:pPr>
    </w:p>
    <w:tbl>
      <w:tblPr>
        <w:tblStyle w:val="23"/>
        <w:tblW w:w="0" w:type="auto"/>
        <w:tblInd w:w="540" w:type="dxa"/>
        <w:tblLayout w:type="fixed"/>
        <w:tblCellMar>
          <w:top w:w="0" w:type="dxa"/>
          <w:left w:w="108" w:type="dxa"/>
          <w:bottom w:w="0" w:type="dxa"/>
          <w:right w:w="108" w:type="dxa"/>
        </w:tblCellMar>
      </w:tblPr>
      <w:tblGrid>
        <w:gridCol w:w="8040"/>
      </w:tblGrid>
      <w:tr w14:paraId="0E41D3DE">
        <w:tblPrEx>
          <w:tblCellMar>
            <w:top w:w="0" w:type="dxa"/>
            <w:left w:w="108" w:type="dxa"/>
            <w:bottom w:w="0" w:type="dxa"/>
            <w:right w:w="108" w:type="dxa"/>
          </w:tblCellMar>
        </w:tblPrEx>
        <w:trPr>
          <w:trHeight w:val="3425" w:hRule="atLeast"/>
        </w:trPr>
        <w:tc>
          <w:tcPr>
            <w:tcW w:w="8040" w:type="dxa"/>
            <w:tcBorders>
              <w:top w:val="single" w:color="auto" w:sz="6" w:space="0"/>
              <w:left w:val="single" w:color="auto" w:sz="6" w:space="0"/>
              <w:bottom w:val="single" w:color="auto" w:sz="6" w:space="0"/>
              <w:right w:val="single" w:color="auto" w:sz="6" w:space="0"/>
            </w:tcBorders>
            <w:vAlign w:val="center"/>
          </w:tcPr>
          <w:p w14:paraId="4E9E2AB6">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r>
              <w:rPr>
                <w:rFonts w:hint="eastAsia" w:ascii="仿宋" w:hAnsi="仿宋" w:eastAsia="仿宋" w:cs="仿宋"/>
                <w:color w:val="auto"/>
                <w:sz w:val="24"/>
                <w:szCs w:val="24"/>
              </w:rPr>
              <w:t>(正、反面)</w:t>
            </w:r>
          </w:p>
          <w:p w14:paraId="110C2563">
            <w:pPr>
              <w:spacing w:line="360" w:lineRule="auto"/>
              <w:jc w:val="center"/>
              <w:rPr>
                <w:rFonts w:hint="eastAsia" w:ascii="仿宋" w:hAnsi="仿宋" w:eastAsia="仿宋" w:cs="仿宋"/>
                <w:color w:val="auto"/>
                <w:sz w:val="24"/>
                <w:szCs w:val="24"/>
                <w:u w:val="single"/>
              </w:rPr>
            </w:pPr>
          </w:p>
        </w:tc>
      </w:tr>
    </w:tbl>
    <w:p w14:paraId="412D71A7">
      <w:pPr>
        <w:snapToGrid w:val="0"/>
        <w:spacing w:line="480" w:lineRule="auto"/>
        <w:rPr>
          <w:rFonts w:ascii="宋体" w:hAnsi="宋体"/>
          <w:color w:val="auto"/>
          <w:szCs w:val="21"/>
        </w:rPr>
      </w:pPr>
    </w:p>
    <w:p w14:paraId="196F9F20">
      <w:pPr>
        <w:snapToGrid w:val="0"/>
        <w:spacing w:line="480" w:lineRule="auto"/>
        <w:rPr>
          <w:rFonts w:ascii="宋体" w:hAnsi="宋体"/>
          <w:color w:val="auto"/>
          <w:szCs w:val="21"/>
        </w:rPr>
      </w:pPr>
    </w:p>
    <w:p w14:paraId="038CA9A3">
      <w:pPr>
        <w:adjustRightInd w:val="0"/>
        <w:snapToGrid w:val="0"/>
        <w:spacing w:line="360" w:lineRule="auto"/>
        <w:ind w:right="420"/>
        <w:rPr>
          <w:rFonts w:ascii="宋体" w:hAnsi="宋体"/>
          <w:color w:val="auto"/>
          <w:szCs w:val="21"/>
        </w:rPr>
      </w:pPr>
    </w:p>
    <w:p w14:paraId="64CC7171">
      <w:pPr>
        <w:adjustRightInd w:val="0"/>
        <w:snapToGrid w:val="0"/>
        <w:spacing w:line="480" w:lineRule="auto"/>
        <w:ind w:right="420" w:firstLine="2880" w:firstLineChars="12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color w:val="auto"/>
          <w:sz w:val="24"/>
          <w:szCs w:val="24"/>
        </w:rPr>
        <w:t>）</w:t>
      </w:r>
    </w:p>
    <w:p w14:paraId="6E81DA46">
      <w:pPr>
        <w:adjustRightInd w:val="0"/>
        <w:snapToGrid w:val="0"/>
        <w:spacing w:line="480" w:lineRule="auto"/>
        <w:ind w:right="420" w:firstLine="3720" w:firstLineChars="155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日      期: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222F236A">
      <w:pPr>
        <w:adjustRightInd w:val="0"/>
        <w:snapToGrid w:val="0"/>
        <w:spacing w:line="360" w:lineRule="auto"/>
        <w:ind w:right="420" w:firstLine="3720" w:firstLineChars="1550"/>
        <w:rPr>
          <w:rFonts w:hint="eastAsia" w:ascii="仿宋" w:hAnsi="仿宋" w:eastAsia="仿宋" w:cs="仿宋"/>
          <w:color w:val="auto"/>
          <w:sz w:val="24"/>
          <w:szCs w:val="24"/>
        </w:rPr>
      </w:pPr>
    </w:p>
    <w:p w14:paraId="5597BDA4">
      <w:pPr>
        <w:tabs>
          <w:tab w:val="left" w:pos="210"/>
        </w:tabs>
        <w:spacing w:line="32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说明：法定代表人直接磋商，只须提供法定代表人证明书及身份证原件</w:t>
      </w:r>
    </w:p>
    <w:p w14:paraId="03D9F37B">
      <w:pPr>
        <w:adjustRightInd w:val="0"/>
        <w:snapToGrid w:val="0"/>
        <w:spacing w:line="360" w:lineRule="auto"/>
        <w:ind w:right="420" w:firstLine="210" w:firstLineChars="100"/>
        <w:rPr>
          <w:rFonts w:ascii="楷体" w:hAnsi="楷体" w:eastAsia="楷体"/>
          <w:color w:val="auto"/>
          <w:szCs w:val="21"/>
        </w:rPr>
      </w:pPr>
      <w:r>
        <w:rPr>
          <w:rFonts w:ascii="楷体" w:hAnsi="楷体" w:eastAsia="楷体"/>
          <w:color w:val="auto"/>
          <w:szCs w:val="21"/>
        </w:rPr>
        <w:br w:type="page"/>
      </w:r>
    </w:p>
    <w:p w14:paraId="65514FB4">
      <w:pPr>
        <w:jc w:val="center"/>
        <w:rPr>
          <w:rFonts w:ascii="黑体" w:hAnsi="华文中宋" w:eastAsia="黑体"/>
          <w:b/>
          <w:color w:val="auto"/>
          <w:sz w:val="28"/>
          <w:szCs w:val="28"/>
        </w:rPr>
      </w:pPr>
      <w:r>
        <w:rPr>
          <w:rFonts w:hint="eastAsia" w:ascii="宋体" w:hAnsi="宋体"/>
          <w:b/>
          <w:color w:val="auto"/>
          <w:sz w:val="36"/>
          <w:szCs w:val="36"/>
        </w:rPr>
        <w:t>三、授权委托书</w:t>
      </w:r>
    </w:p>
    <w:p w14:paraId="0C30FFFD">
      <w:pPr>
        <w:spacing w:line="400" w:lineRule="exact"/>
        <w:ind w:firstLine="560" w:firstLineChars="200"/>
        <w:rPr>
          <w:rFonts w:ascii="仿宋_GB2312" w:hAnsi="宋体" w:eastAsia="仿宋_GB2312"/>
          <w:color w:val="auto"/>
          <w:sz w:val="28"/>
          <w:szCs w:val="28"/>
        </w:rPr>
      </w:pPr>
    </w:p>
    <w:p w14:paraId="0E561999">
      <w:pPr>
        <w:spacing w:line="360" w:lineRule="auto"/>
        <w:ind w:left="630" w:leftChars="300" w:firstLine="240" w:firstLineChars="1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本人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（姓名）系</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（供应商名称）的法定代表人（单位负责人），现委托</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5C288C5D">
      <w:pPr>
        <w:spacing w:line="360" w:lineRule="auto"/>
        <w:ind w:left="1140" w:leftChars="200" w:hanging="720" w:hangingChars="3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（姓名）为我方代理人。代理人根据授权，以我方的名义签署、澄清确认、递交、撤回、修改</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30D0DDFE">
      <w:pPr>
        <w:spacing w:line="360" w:lineRule="auto"/>
        <w:ind w:left="1140" w:leftChars="200" w:hanging="720" w:hangingChars="300"/>
        <w:rPr>
          <w:rFonts w:hint="eastAsia" w:ascii="仿宋" w:hAnsi="仿宋" w:eastAsia="仿宋" w:cs="仿宋"/>
          <w:color w:val="auto"/>
          <w:sz w:val="24"/>
          <w:szCs w:val="24"/>
        </w:rPr>
      </w:pPr>
      <w:r>
        <w:rPr>
          <w:rFonts w:hint="eastAsia" w:ascii="仿宋" w:hAnsi="仿宋" w:eastAsia="仿宋" w:cs="仿宋"/>
          <w:color w:val="auto"/>
          <w:sz w:val="24"/>
          <w:szCs w:val="24"/>
          <w:lang w:val="zh-CN"/>
        </w:rPr>
        <w:t>（采购项目</w:t>
      </w:r>
      <w:r>
        <w:rPr>
          <w:rFonts w:hint="eastAsia" w:ascii="仿宋" w:hAnsi="仿宋" w:eastAsia="仿宋" w:cs="仿宋"/>
          <w:color w:val="auto"/>
          <w:sz w:val="24"/>
          <w:szCs w:val="24"/>
          <w:lang w:val="en-US" w:eastAsia="zh-CN"/>
        </w:rPr>
        <w:t>及包号</w:t>
      </w:r>
      <w:r>
        <w:rPr>
          <w:rFonts w:hint="eastAsia" w:ascii="仿宋" w:hAnsi="仿宋" w:eastAsia="仿宋" w:cs="仿宋"/>
          <w:color w:val="auto"/>
          <w:sz w:val="24"/>
          <w:szCs w:val="24"/>
          <w:lang w:val="zh-CN"/>
        </w:rPr>
        <w:t>）响应文件、签订合同和全权处理一切与之有关的事宜，</w:t>
      </w:r>
      <w:r>
        <w:rPr>
          <w:rFonts w:hint="eastAsia" w:ascii="仿宋" w:hAnsi="仿宋" w:eastAsia="仿宋" w:cs="仿宋"/>
          <w:color w:val="auto"/>
          <w:kern w:val="0"/>
          <w:sz w:val="24"/>
          <w:szCs w:val="24"/>
        </w:rPr>
        <w:t>其法律后果由我方承担。</w:t>
      </w:r>
    </w:p>
    <w:p w14:paraId="4E9F5EDD">
      <w:pPr>
        <w:spacing w:line="480" w:lineRule="auto"/>
        <w:ind w:firstLine="960" w:firstLineChars="400"/>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委托期限</w:t>
      </w:r>
      <w:r>
        <w:rPr>
          <w:rFonts w:hint="eastAsia" w:ascii="仿宋" w:hAnsi="仿宋" w:eastAsia="仿宋" w:cs="仿宋"/>
          <w:color w:val="auto"/>
          <w:sz w:val="24"/>
          <w:szCs w:val="24"/>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lang w:val="en-US" w:eastAsia="zh-CN"/>
        </w:rPr>
        <w:t>日历天</w:t>
      </w:r>
      <w:r>
        <w:rPr>
          <w:rFonts w:hint="eastAsia" w:ascii="仿宋" w:hAnsi="仿宋" w:eastAsia="仿宋" w:cs="仿宋"/>
          <w:color w:val="auto"/>
          <w:sz w:val="24"/>
          <w:szCs w:val="24"/>
        </w:rPr>
        <w:t>。</w:t>
      </w:r>
    </w:p>
    <w:p w14:paraId="213BE42C">
      <w:pPr>
        <w:spacing w:line="48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6661C998">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附：法定代表人（单位负责人）身份证复印件</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委托代理人身份证复印件（正反面均需复印）</w:t>
      </w:r>
    </w:p>
    <w:tbl>
      <w:tblPr>
        <w:tblStyle w:val="23"/>
        <w:tblW w:w="0" w:type="auto"/>
        <w:jc w:val="center"/>
        <w:tblLayout w:type="fixed"/>
        <w:tblCellMar>
          <w:top w:w="0" w:type="dxa"/>
          <w:left w:w="108" w:type="dxa"/>
          <w:bottom w:w="0" w:type="dxa"/>
          <w:right w:w="108" w:type="dxa"/>
        </w:tblCellMar>
      </w:tblPr>
      <w:tblGrid>
        <w:gridCol w:w="4174"/>
        <w:gridCol w:w="4005"/>
      </w:tblGrid>
      <w:tr w14:paraId="0DD6775A">
        <w:tblPrEx>
          <w:tblCellMar>
            <w:top w:w="0" w:type="dxa"/>
            <w:left w:w="108" w:type="dxa"/>
            <w:bottom w:w="0" w:type="dxa"/>
            <w:right w:w="108" w:type="dxa"/>
          </w:tblCellMar>
        </w:tblPrEx>
        <w:trPr>
          <w:trHeight w:val="3289" w:hRule="atLeast"/>
          <w:jc w:val="center"/>
        </w:trPr>
        <w:tc>
          <w:tcPr>
            <w:tcW w:w="4174" w:type="dxa"/>
            <w:tcBorders>
              <w:top w:val="single" w:color="auto" w:sz="6" w:space="0"/>
              <w:left w:val="single" w:color="auto" w:sz="6" w:space="0"/>
              <w:bottom w:val="single" w:color="auto" w:sz="6" w:space="0"/>
              <w:right w:val="single" w:color="auto" w:sz="6" w:space="0"/>
            </w:tcBorders>
            <w:vAlign w:val="center"/>
          </w:tcPr>
          <w:p w14:paraId="28CA01BC">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p>
        </w:tc>
        <w:tc>
          <w:tcPr>
            <w:tcW w:w="4005" w:type="dxa"/>
            <w:tcBorders>
              <w:top w:val="single" w:color="auto" w:sz="6" w:space="0"/>
              <w:left w:val="single" w:color="auto" w:sz="6" w:space="0"/>
              <w:bottom w:val="single" w:color="auto" w:sz="6" w:space="0"/>
              <w:right w:val="single" w:color="auto" w:sz="6" w:space="0"/>
            </w:tcBorders>
            <w:vAlign w:val="center"/>
          </w:tcPr>
          <w:p w14:paraId="60812862">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委托代理人身份证复印件</w:t>
            </w:r>
          </w:p>
        </w:tc>
      </w:tr>
    </w:tbl>
    <w:p w14:paraId="4A81DCE1">
      <w:pPr>
        <w:rPr>
          <w:rFonts w:hint="eastAsia" w:ascii="仿宋" w:hAnsi="仿宋" w:eastAsia="仿宋" w:cs="仿宋"/>
          <w:color w:val="auto"/>
          <w:sz w:val="24"/>
          <w:szCs w:val="24"/>
        </w:rPr>
      </w:pPr>
    </w:p>
    <w:p w14:paraId="1B644FEE">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盖单位章</w:t>
      </w:r>
      <w:r>
        <w:rPr>
          <w:rFonts w:hint="eastAsia" w:ascii="仿宋" w:hAnsi="仿宋" w:eastAsia="仿宋" w:cs="仿宋"/>
          <w:color w:val="auto"/>
          <w:sz w:val="24"/>
          <w:szCs w:val="24"/>
        </w:rPr>
        <w:t xml:space="preserve">） </w:t>
      </w:r>
    </w:p>
    <w:p w14:paraId="2DB93E0A">
      <w:pPr>
        <w:ind w:firstLine="480" w:firstLineChars="200"/>
        <w:rPr>
          <w:rFonts w:hint="eastAsia" w:ascii="仿宋" w:hAnsi="仿宋" w:eastAsia="仿宋" w:cs="仿宋"/>
          <w:color w:val="auto"/>
          <w:sz w:val="24"/>
          <w:szCs w:val="24"/>
        </w:rPr>
      </w:pPr>
    </w:p>
    <w:p w14:paraId="232DCA3B">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法定代表人（单位负责人）：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1E66F955">
      <w:pPr>
        <w:ind w:firstLine="3960" w:firstLineChars="1650"/>
        <w:rPr>
          <w:rFonts w:hint="eastAsia" w:ascii="仿宋" w:hAnsi="仿宋" w:eastAsia="仿宋" w:cs="仿宋"/>
          <w:color w:val="auto"/>
          <w:sz w:val="24"/>
          <w:szCs w:val="24"/>
        </w:rPr>
      </w:pPr>
    </w:p>
    <w:p w14:paraId="648124DB">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221AD291">
      <w:pPr>
        <w:ind w:firstLine="3960" w:firstLineChars="1650"/>
        <w:rPr>
          <w:rFonts w:hint="eastAsia" w:ascii="仿宋" w:hAnsi="仿宋" w:eastAsia="仿宋" w:cs="仿宋"/>
          <w:color w:val="auto"/>
          <w:sz w:val="24"/>
          <w:szCs w:val="24"/>
        </w:rPr>
      </w:pPr>
    </w:p>
    <w:p w14:paraId="3EF4BF29">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（签字）     </w:t>
      </w:r>
    </w:p>
    <w:p w14:paraId="47E43A33">
      <w:pPr>
        <w:ind w:firstLine="3240" w:firstLineChars="1350"/>
        <w:jc w:val="left"/>
        <w:rPr>
          <w:rFonts w:hint="eastAsia" w:ascii="仿宋" w:hAnsi="仿宋" w:eastAsia="仿宋" w:cs="仿宋"/>
          <w:color w:val="auto"/>
          <w:sz w:val="24"/>
          <w:szCs w:val="24"/>
        </w:rPr>
      </w:pPr>
    </w:p>
    <w:p w14:paraId="1E7EAF99">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3EEC3421">
      <w:pPr>
        <w:ind w:firstLine="480" w:firstLineChars="200"/>
        <w:rPr>
          <w:rFonts w:hint="eastAsia" w:ascii="仿宋" w:hAnsi="仿宋" w:eastAsia="仿宋" w:cs="仿宋"/>
          <w:color w:val="auto"/>
          <w:sz w:val="24"/>
          <w:szCs w:val="24"/>
        </w:rPr>
      </w:pPr>
    </w:p>
    <w:p w14:paraId="6E66D01D">
      <w:pPr>
        <w:ind w:firstLine="3120" w:firstLineChars="1300"/>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授权委托日期：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F44E8B3">
      <w:pPr>
        <w:ind w:firstLine="240" w:firstLineChars="100"/>
        <w:rPr>
          <w:rFonts w:hint="eastAsia" w:ascii="仿宋" w:hAnsi="仿宋" w:eastAsia="仿宋" w:cs="仿宋"/>
          <w:color w:val="auto"/>
          <w:sz w:val="24"/>
          <w:szCs w:val="24"/>
          <w:lang w:val="zh-CN"/>
        </w:rPr>
      </w:pPr>
    </w:p>
    <w:p w14:paraId="220319CF">
      <w:pPr>
        <w:spacing w:line="360" w:lineRule="auto"/>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w:t>
      </w:r>
      <w:r>
        <w:rPr>
          <w:rFonts w:hint="eastAsia" w:ascii="仿宋" w:hAnsi="仿宋" w:eastAsia="仿宋" w:cs="仿宋"/>
          <w:color w:val="auto"/>
          <w:sz w:val="24"/>
          <w:szCs w:val="24"/>
        </w:rPr>
        <w:t>1、</w:t>
      </w:r>
      <w:r>
        <w:rPr>
          <w:rFonts w:hint="eastAsia" w:ascii="仿宋" w:hAnsi="仿宋" w:eastAsia="仿宋" w:cs="仿宋"/>
          <w:color w:val="auto"/>
          <w:sz w:val="24"/>
          <w:szCs w:val="24"/>
          <w:lang w:val="zh-CN"/>
        </w:rPr>
        <w:t>本授权委托书有效期</w:t>
      </w:r>
      <w:r>
        <w:rPr>
          <w:rFonts w:hint="eastAsia" w:ascii="仿宋" w:hAnsi="仿宋" w:eastAsia="仿宋" w:cs="仿宋"/>
          <w:color w:val="auto"/>
          <w:sz w:val="24"/>
          <w:szCs w:val="24"/>
          <w:lang w:val="en-US" w:eastAsia="zh-CN"/>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lang w:val="en-US" w:eastAsia="zh-CN"/>
        </w:rPr>
        <w:t>不得少于</w:t>
      </w:r>
      <w:r>
        <w:rPr>
          <w:rFonts w:hint="eastAsia" w:ascii="仿宋" w:hAnsi="仿宋" w:eastAsia="仿宋" w:cs="仿宋"/>
          <w:color w:val="auto"/>
          <w:sz w:val="24"/>
          <w:szCs w:val="24"/>
          <w:lang w:val="zh-CN"/>
        </w:rPr>
        <w:t>90日历天，仅限委托代理人参加磋商时提供。</w:t>
      </w:r>
    </w:p>
    <w:p w14:paraId="73DF1E91">
      <w:pPr>
        <w:spacing w:line="360" w:lineRule="auto"/>
        <w:ind w:firstLine="720" w:firstLineChars="400"/>
        <w:rPr>
          <w:rFonts w:ascii="楷体" w:hAnsi="楷体" w:eastAsia="楷体"/>
          <w:color w:val="auto"/>
          <w:lang w:val="zh-CN"/>
        </w:rPr>
      </w:pPr>
      <w:r>
        <w:rPr>
          <w:rFonts w:hint="eastAsia" w:ascii="楷体" w:hAnsi="楷体" w:eastAsia="楷体"/>
          <w:color w:val="auto"/>
          <w:sz w:val="18"/>
          <w:szCs w:val="18"/>
          <w:lang w:val="zh-CN"/>
        </w:rPr>
        <w:t xml:space="preserve"> </w:t>
      </w:r>
    </w:p>
    <w:p w14:paraId="0A2DE867">
      <w:pPr>
        <w:jc w:val="center"/>
        <w:rPr>
          <w:rFonts w:ascii="宋体" w:hAnsi="宋体"/>
          <w:b/>
          <w:color w:val="auto"/>
          <w:sz w:val="36"/>
          <w:szCs w:val="36"/>
        </w:rPr>
      </w:pPr>
      <w:r>
        <w:rPr>
          <w:rFonts w:hint="eastAsia" w:ascii="宋体" w:hAnsi="宋体"/>
          <w:b/>
          <w:color w:val="auto"/>
          <w:sz w:val="36"/>
          <w:szCs w:val="36"/>
        </w:rPr>
        <w:t>四、</w:t>
      </w:r>
      <w:r>
        <w:rPr>
          <w:rFonts w:hint="eastAsia" w:ascii="宋体" w:hAnsi="宋体" w:cs="宋体"/>
          <w:b/>
          <w:color w:val="auto"/>
          <w:kern w:val="0"/>
          <w:sz w:val="36"/>
          <w:szCs w:val="36"/>
          <w:lang w:val="zh-CN"/>
        </w:rPr>
        <w:t>供应商的营业执照等证明文件，自然人的身份证明</w:t>
      </w:r>
    </w:p>
    <w:p w14:paraId="46B3FC58">
      <w:pPr>
        <w:pStyle w:val="12"/>
        <w:adjustRightInd w:val="0"/>
        <w:snapToGrid w:val="0"/>
        <w:spacing w:line="360" w:lineRule="auto"/>
        <w:jc w:val="left"/>
        <w:rPr>
          <w:rFonts w:hAnsi="宋体"/>
          <w:color w:val="auto"/>
          <w:sz w:val="24"/>
          <w:szCs w:val="24"/>
        </w:rPr>
      </w:pPr>
    </w:p>
    <w:p w14:paraId="66ABA1AE">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说明：</w:t>
      </w:r>
    </w:p>
    <w:p w14:paraId="4C482C71">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（1）企业单位磋商的提供有效的营业执照（3证合1或多证合1）；</w:t>
      </w:r>
    </w:p>
    <w:p w14:paraId="0719F8B5">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（2）事业单位磋商的提供有效的法人证书（带有社会统一信用代码）；</w:t>
      </w:r>
    </w:p>
    <w:p w14:paraId="5D77C7F7">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（3）其他组织磋商的提供有效的登记证书（带有社会统一信用代码）；</w:t>
      </w:r>
    </w:p>
    <w:p w14:paraId="43DD9F3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（4）自然人磋商的提供有效的身份证复印件；</w:t>
      </w:r>
    </w:p>
    <w:p w14:paraId="14000D1D">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（5）以上（1）-（3）项为正本或者副本复印件，并加盖供应商单位章。</w:t>
      </w:r>
    </w:p>
    <w:p w14:paraId="0A9291DB">
      <w:pPr>
        <w:pStyle w:val="8"/>
        <w:spacing w:before="120" w:beforeLines="50"/>
        <w:ind w:firstLine="0"/>
        <w:rPr>
          <w:rFonts w:ascii="宋体" w:hAnsi="宋体"/>
          <w:b/>
          <w:color w:val="auto"/>
          <w:sz w:val="36"/>
          <w:szCs w:val="36"/>
        </w:rPr>
      </w:pPr>
    </w:p>
    <w:p w14:paraId="6F1241EE">
      <w:pPr>
        <w:pStyle w:val="12"/>
        <w:adjustRightInd w:val="0"/>
        <w:snapToGrid w:val="0"/>
        <w:spacing w:line="360" w:lineRule="auto"/>
        <w:rPr>
          <w:b/>
          <w:color w:val="auto"/>
          <w:sz w:val="36"/>
          <w:szCs w:val="36"/>
        </w:rPr>
      </w:pPr>
      <w:r>
        <w:rPr>
          <w:rFonts w:hint="eastAsia"/>
          <w:b/>
          <w:color w:val="auto"/>
          <w:sz w:val="36"/>
          <w:szCs w:val="36"/>
        </w:rPr>
        <w:br w:type="page"/>
      </w:r>
    </w:p>
    <w:p w14:paraId="345E52F9">
      <w:pPr>
        <w:pStyle w:val="12"/>
        <w:shd w:val="clear"/>
        <w:adjustRightInd w:val="0"/>
        <w:snapToGrid w:val="0"/>
        <w:spacing w:line="360" w:lineRule="auto"/>
        <w:jc w:val="center"/>
        <w:rPr>
          <w:rFonts w:hint="default" w:hAnsi="宋体" w:eastAsia="宋体" w:cs="宋体"/>
          <w:b/>
          <w:color w:val="auto"/>
          <w:sz w:val="36"/>
          <w:szCs w:val="36"/>
          <w:highlight w:val="none"/>
          <w:lang w:val="en-US" w:eastAsia="zh-CN"/>
        </w:rPr>
      </w:pPr>
      <w:r>
        <w:rPr>
          <w:rFonts w:hint="eastAsia" w:ascii="宋体" w:hAnsi="宋体" w:eastAsia="宋体" w:cs="宋体"/>
          <w:b/>
          <w:color w:val="auto"/>
          <w:kern w:val="0"/>
          <w:sz w:val="36"/>
          <w:szCs w:val="36"/>
          <w:highlight w:val="none"/>
          <w:lang w:val="en-US" w:eastAsia="zh-CN" w:bidi="ar-SA"/>
        </w:rPr>
        <w:t>五、</w:t>
      </w:r>
      <w:r>
        <w:rPr>
          <w:rFonts w:hint="eastAsia" w:ascii="宋体" w:hAnsi="宋体" w:eastAsia="宋体" w:cs="宋体"/>
          <w:b/>
          <w:color w:val="auto"/>
          <w:kern w:val="0"/>
          <w:sz w:val="36"/>
          <w:szCs w:val="36"/>
          <w:highlight w:val="none"/>
          <w:lang w:val="zh-CN"/>
        </w:rPr>
        <w:t>供应商</w:t>
      </w:r>
      <w:r>
        <w:rPr>
          <w:rFonts w:hint="eastAsia" w:hAnsi="宋体" w:cs="宋体"/>
          <w:b/>
          <w:color w:val="auto"/>
          <w:kern w:val="0"/>
          <w:sz w:val="36"/>
          <w:szCs w:val="36"/>
          <w:highlight w:val="none"/>
          <w:lang w:val="en-US" w:eastAsia="zh-CN"/>
        </w:rPr>
        <w:t>及拟派项目经理资质要求</w:t>
      </w:r>
    </w:p>
    <w:p w14:paraId="7FB515CD">
      <w:pPr>
        <w:pStyle w:val="12"/>
        <w:adjustRightInd w:val="0"/>
        <w:snapToGrid w:val="0"/>
        <w:spacing w:line="360" w:lineRule="auto"/>
        <w:jc w:val="left"/>
        <w:rPr>
          <w:rFonts w:hint="eastAsia" w:ascii="楷体" w:hAnsi="楷体" w:eastAsia="楷体" w:cs="楷体"/>
          <w:bCs/>
          <w:sz w:val="21"/>
          <w:szCs w:val="21"/>
        </w:rPr>
      </w:pPr>
      <w:r>
        <w:rPr>
          <w:rFonts w:hint="eastAsia" w:ascii="楷体" w:hAnsi="楷体" w:eastAsia="楷体" w:cs="楷体"/>
          <w:bCs/>
          <w:sz w:val="21"/>
          <w:szCs w:val="21"/>
        </w:rPr>
        <w:t>说明：</w:t>
      </w:r>
    </w:p>
    <w:p w14:paraId="75179D85">
      <w:pPr>
        <w:pStyle w:val="12"/>
        <w:adjustRightInd w:val="0"/>
        <w:snapToGrid w:val="0"/>
        <w:spacing w:line="360" w:lineRule="auto"/>
        <w:jc w:val="lef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（1）供应商需具备建筑工程施工总承包二级（含二级）及以上资质，具有有效的安全生产许可证</w:t>
      </w:r>
      <w:r>
        <w:rPr>
          <w:rFonts w:hint="eastAsia" w:ascii="仿宋" w:hAnsi="仿宋" w:eastAsia="仿宋" w:cs="仿宋"/>
          <w:b/>
          <w:color w:val="auto"/>
          <w:sz w:val="24"/>
          <w:szCs w:val="24"/>
          <w:lang w:val="en-US" w:eastAsia="zh-CN"/>
        </w:rPr>
        <w:br w:type="textWrapping"/>
      </w:r>
      <w:r>
        <w:rPr>
          <w:rFonts w:hint="eastAsia" w:ascii="仿宋" w:hAnsi="仿宋" w:eastAsia="仿宋" w:cs="仿宋"/>
          <w:b/>
          <w:color w:val="auto"/>
          <w:sz w:val="24"/>
          <w:szCs w:val="24"/>
          <w:lang w:val="en-US" w:eastAsia="zh-CN"/>
        </w:rPr>
        <w:t>（2）拟派项目经理需具备建筑工程专业二级（含二级）及以上注册建造师证书，具有有效的安全生产考核合格证（B 证）书，且未担任其他在建工程项目的项目经理</w:t>
      </w:r>
    </w:p>
    <w:p w14:paraId="1BEC4028">
      <w:pPr>
        <w:pStyle w:val="12"/>
        <w:adjustRightInd w:val="0"/>
        <w:snapToGrid w:val="0"/>
        <w:spacing w:line="360" w:lineRule="auto"/>
        <w:jc w:val="center"/>
        <w:rPr>
          <w:rFonts w:hint="eastAsia"/>
          <w:b/>
          <w:color w:val="auto"/>
          <w:sz w:val="36"/>
          <w:szCs w:val="36"/>
          <w:lang w:val="en-US" w:eastAsia="zh-CN"/>
        </w:rPr>
      </w:pPr>
    </w:p>
    <w:p w14:paraId="2860702D">
      <w:pPr>
        <w:pStyle w:val="12"/>
        <w:adjustRightInd w:val="0"/>
        <w:snapToGrid w:val="0"/>
        <w:spacing w:line="360" w:lineRule="auto"/>
        <w:jc w:val="center"/>
        <w:rPr>
          <w:rFonts w:hint="eastAsia"/>
          <w:b/>
          <w:color w:val="auto"/>
          <w:sz w:val="36"/>
          <w:szCs w:val="36"/>
          <w:lang w:val="en-US" w:eastAsia="zh-CN"/>
        </w:rPr>
      </w:pPr>
    </w:p>
    <w:p w14:paraId="342E3C81">
      <w:pPr>
        <w:pStyle w:val="12"/>
        <w:adjustRightInd w:val="0"/>
        <w:snapToGrid w:val="0"/>
        <w:spacing w:line="360" w:lineRule="auto"/>
        <w:jc w:val="center"/>
        <w:rPr>
          <w:rFonts w:hint="eastAsia"/>
          <w:b/>
          <w:color w:val="auto"/>
          <w:sz w:val="36"/>
          <w:szCs w:val="36"/>
          <w:lang w:val="en-US" w:eastAsia="zh-CN"/>
        </w:rPr>
      </w:pPr>
    </w:p>
    <w:p w14:paraId="770B1BCA">
      <w:pPr>
        <w:pStyle w:val="12"/>
        <w:adjustRightInd w:val="0"/>
        <w:snapToGrid w:val="0"/>
        <w:spacing w:line="360" w:lineRule="auto"/>
        <w:jc w:val="center"/>
        <w:rPr>
          <w:rFonts w:hint="eastAsia"/>
          <w:b/>
          <w:color w:val="auto"/>
          <w:sz w:val="36"/>
          <w:szCs w:val="36"/>
          <w:lang w:val="en-US" w:eastAsia="zh-CN"/>
        </w:rPr>
      </w:pPr>
    </w:p>
    <w:p w14:paraId="07C66923">
      <w:pPr>
        <w:pStyle w:val="12"/>
        <w:adjustRightInd w:val="0"/>
        <w:snapToGrid w:val="0"/>
        <w:spacing w:line="360" w:lineRule="auto"/>
        <w:jc w:val="center"/>
        <w:rPr>
          <w:rFonts w:hint="eastAsia"/>
          <w:b/>
          <w:color w:val="auto"/>
          <w:sz w:val="36"/>
          <w:szCs w:val="36"/>
          <w:lang w:val="en-US" w:eastAsia="zh-CN"/>
        </w:rPr>
      </w:pPr>
    </w:p>
    <w:p w14:paraId="49969069">
      <w:pPr>
        <w:pStyle w:val="12"/>
        <w:adjustRightInd w:val="0"/>
        <w:snapToGrid w:val="0"/>
        <w:spacing w:line="360" w:lineRule="auto"/>
        <w:jc w:val="center"/>
        <w:rPr>
          <w:rFonts w:hint="eastAsia"/>
          <w:b/>
          <w:color w:val="auto"/>
          <w:sz w:val="36"/>
          <w:szCs w:val="36"/>
          <w:lang w:val="en-US" w:eastAsia="zh-CN"/>
        </w:rPr>
      </w:pPr>
    </w:p>
    <w:p w14:paraId="10F29AB1">
      <w:pPr>
        <w:pStyle w:val="12"/>
        <w:adjustRightInd w:val="0"/>
        <w:snapToGrid w:val="0"/>
        <w:spacing w:line="360" w:lineRule="auto"/>
        <w:jc w:val="center"/>
        <w:rPr>
          <w:rFonts w:hint="eastAsia"/>
          <w:b/>
          <w:color w:val="auto"/>
          <w:sz w:val="36"/>
          <w:szCs w:val="36"/>
          <w:lang w:val="en-US" w:eastAsia="zh-CN"/>
        </w:rPr>
      </w:pPr>
    </w:p>
    <w:p w14:paraId="34916BB9">
      <w:pPr>
        <w:pStyle w:val="12"/>
        <w:adjustRightInd w:val="0"/>
        <w:snapToGrid w:val="0"/>
        <w:spacing w:line="360" w:lineRule="auto"/>
        <w:jc w:val="center"/>
        <w:rPr>
          <w:rFonts w:hint="eastAsia"/>
          <w:b/>
          <w:color w:val="auto"/>
          <w:sz w:val="36"/>
          <w:szCs w:val="36"/>
          <w:lang w:val="en-US" w:eastAsia="zh-CN"/>
        </w:rPr>
      </w:pPr>
    </w:p>
    <w:p w14:paraId="13890449">
      <w:pPr>
        <w:pStyle w:val="12"/>
        <w:adjustRightInd w:val="0"/>
        <w:snapToGrid w:val="0"/>
        <w:spacing w:line="360" w:lineRule="auto"/>
        <w:jc w:val="center"/>
        <w:rPr>
          <w:rFonts w:hint="eastAsia"/>
          <w:b/>
          <w:color w:val="auto"/>
          <w:sz w:val="36"/>
          <w:szCs w:val="36"/>
          <w:lang w:val="en-US" w:eastAsia="zh-CN"/>
        </w:rPr>
      </w:pPr>
    </w:p>
    <w:p w14:paraId="03EA4344">
      <w:pPr>
        <w:pStyle w:val="12"/>
        <w:adjustRightInd w:val="0"/>
        <w:snapToGrid w:val="0"/>
        <w:spacing w:line="360" w:lineRule="auto"/>
        <w:jc w:val="center"/>
        <w:rPr>
          <w:rFonts w:hint="eastAsia"/>
          <w:b/>
          <w:color w:val="auto"/>
          <w:sz w:val="36"/>
          <w:szCs w:val="36"/>
          <w:lang w:val="en-US" w:eastAsia="zh-CN"/>
        </w:rPr>
      </w:pPr>
    </w:p>
    <w:p w14:paraId="160FD3A0">
      <w:pPr>
        <w:pStyle w:val="12"/>
        <w:adjustRightInd w:val="0"/>
        <w:snapToGrid w:val="0"/>
        <w:spacing w:line="360" w:lineRule="auto"/>
        <w:jc w:val="center"/>
        <w:rPr>
          <w:rFonts w:hint="eastAsia"/>
          <w:b/>
          <w:color w:val="auto"/>
          <w:sz w:val="36"/>
          <w:szCs w:val="36"/>
          <w:lang w:val="en-US" w:eastAsia="zh-CN"/>
        </w:rPr>
      </w:pPr>
    </w:p>
    <w:p w14:paraId="5C960C9E">
      <w:pPr>
        <w:pStyle w:val="12"/>
        <w:adjustRightInd w:val="0"/>
        <w:snapToGrid w:val="0"/>
        <w:spacing w:line="360" w:lineRule="auto"/>
        <w:jc w:val="center"/>
        <w:rPr>
          <w:rFonts w:hint="eastAsia"/>
          <w:b/>
          <w:color w:val="auto"/>
          <w:sz w:val="36"/>
          <w:szCs w:val="36"/>
          <w:lang w:val="en-US" w:eastAsia="zh-CN"/>
        </w:rPr>
      </w:pPr>
    </w:p>
    <w:p w14:paraId="189683F8">
      <w:pPr>
        <w:pStyle w:val="12"/>
        <w:adjustRightInd w:val="0"/>
        <w:snapToGrid w:val="0"/>
        <w:spacing w:line="360" w:lineRule="auto"/>
        <w:jc w:val="center"/>
        <w:rPr>
          <w:rFonts w:hint="eastAsia"/>
          <w:b/>
          <w:color w:val="auto"/>
          <w:sz w:val="36"/>
          <w:szCs w:val="36"/>
          <w:lang w:val="en-US" w:eastAsia="zh-CN"/>
        </w:rPr>
      </w:pPr>
    </w:p>
    <w:p w14:paraId="46521133">
      <w:pPr>
        <w:rPr>
          <w:rFonts w:hint="eastAsia"/>
          <w:b/>
          <w:color w:val="auto"/>
          <w:sz w:val="36"/>
          <w:szCs w:val="36"/>
          <w:lang w:val="en-US" w:eastAsia="zh-CN"/>
        </w:rPr>
      </w:pPr>
      <w:r>
        <w:rPr>
          <w:rFonts w:hint="eastAsia"/>
          <w:b/>
          <w:color w:val="auto"/>
          <w:sz w:val="36"/>
          <w:szCs w:val="36"/>
          <w:lang w:val="en-US" w:eastAsia="zh-CN"/>
        </w:rPr>
        <w:br w:type="page"/>
      </w:r>
    </w:p>
    <w:p w14:paraId="5E055F1F">
      <w:pPr>
        <w:pStyle w:val="12"/>
        <w:adjustRightInd w:val="0"/>
        <w:snapToGrid w:val="0"/>
        <w:spacing w:line="360" w:lineRule="auto"/>
        <w:jc w:val="center"/>
        <w:rPr>
          <w:rFonts w:hAnsi="宋体"/>
          <w:color w:val="auto"/>
          <w:sz w:val="24"/>
          <w:szCs w:val="24"/>
        </w:rPr>
      </w:pPr>
      <w:r>
        <w:rPr>
          <w:rFonts w:hint="eastAsia"/>
          <w:b/>
          <w:color w:val="auto"/>
          <w:sz w:val="36"/>
          <w:szCs w:val="36"/>
          <w:lang w:val="en-US" w:eastAsia="zh-CN"/>
        </w:rPr>
        <w:t>六</w:t>
      </w:r>
      <w:r>
        <w:rPr>
          <w:rFonts w:hint="eastAsia"/>
          <w:b/>
          <w:color w:val="auto"/>
          <w:sz w:val="36"/>
          <w:szCs w:val="36"/>
        </w:rPr>
        <w:t>、缴纳社会保障资金证明</w:t>
      </w:r>
    </w:p>
    <w:p w14:paraId="45B0AC51">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77E16A33">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（1）供应商提供本单位响应截止时间前六个月内已缴纳的至少一个月的社会保障资金缴存单据或社保机构开具的社会保险参保缴费情况证明，单据或证明上应有社保机构或代收机构的公章。；</w:t>
      </w:r>
    </w:p>
    <w:p w14:paraId="360E2F6A">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（2）依法不需要缴纳社会保障资金的供应商应提供相关文件证明；</w:t>
      </w:r>
    </w:p>
    <w:p w14:paraId="735FF8F3">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25AA4684">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（4）新成立未发生缴纳社保资金事项的供应商，应提供缴纳社保资金的书面承诺；</w:t>
      </w:r>
    </w:p>
    <w:p w14:paraId="108AE5C2">
      <w:pPr>
        <w:pStyle w:val="12"/>
        <w:adjustRightInd w:val="0"/>
        <w:snapToGrid w:val="0"/>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（5）原件或复印件可直接装订，复印件加盖供应商单位章。</w:t>
      </w:r>
    </w:p>
    <w:p w14:paraId="360B7C85">
      <w:pPr>
        <w:pStyle w:val="12"/>
        <w:adjustRightInd w:val="0"/>
        <w:snapToGrid w:val="0"/>
        <w:spacing w:line="360" w:lineRule="auto"/>
        <w:jc w:val="left"/>
        <w:rPr>
          <w:b/>
          <w:color w:val="auto"/>
          <w:sz w:val="24"/>
          <w:szCs w:val="24"/>
        </w:rPr>
      </w:pPr>
    </w:p>
    <w:p w14:paraId="4D12066B">
      <w:pPr>
        <w:pStyle w:val="8"/>
        <w:spacing w:before="120" w:beforeLines="50"/>
        <w:ind w:firstLine="0"/>
        <w:rPr>
          <w:rFonts w:ascii="宋体" w:hAnsi="宋体"/>
          <w:b/>
          <w:color w:val="auto"/>
          <w:sz w:val="36"/>
          <w:szCs w:val="36"/>
        </w:rPr>
      </w:pPr>
    </w:p>
    <w:p w14:paraId="48FC2AC6">
      <w:pPr>
        <w:pStyle w:val="8"/>
        <w:spacing w:before="120" w:beforeLines="50"/>
        <w:ind w:firstLine="0"/>
        <w:rPr>
          <w:rFonts w:ascii="宋体" w:hAnsi="宋体"/>
          <w:b/>
          <w:color w:val="auto"/>
          <w:sz w:val="36"/>
          <w:szCs w:val="36"/>
        </w:rPr>
      </w:pPr>
    </w:p>
    <w:p w14:paraId="2CA48A1E">
      <w:pPr>
        <w:pStyle w:val="8"/>
        <w:spacing w:before="120" w:beforeLines="50"/>
        <w:ind w:firstLine="0"/>
        <w:rPr>
          <w:rFonts w:ascii="宋体" w:hAnsi="宋体"/>
          <w:b/>
          <w:color w:val="auto"/>
          <w:sz w:val="36"/>
          <w:szCs w:val="36"/>
        </w:rPr>
      </w:pPr>
    </w:p>
    <w:p w14:paraId="3AB2CC01">
      <w:pPr>
        <w:pStyle w:val="8"/>
        <w:spacing w:before="120" w:beforeLines="50"/>
        <w:ind w:firstLine="0"/>
        <w:rPr>
          <w:rFonts w:ascii="宋体" w:hAnsi="宋体"/>
          <w:b/>
          <w:color w:val="auto"/>
          <w:sz w:val="36"/>
          <w:szCs w:val="36"/>
        </w:rPr>
      </w:pPr>
    </w:p>
    <w:p w14:paraId="28A94B05">
      <w:pPr>
        <w:pStyle w:val="8"/>
        <w:spacing w:before="120" w:beforeLines="50"/>
        <w:ind w:firstLine="0"/>
        <w:rPr>
          <w:rFonts w:ascii="宋体" w:hAnsi="宋体"/>
          <w:b/>
          <w:color w:val="auto"/>
          <w:sz w:val="36"/>
          <w:szCs w:val="36"/>
        </w:rPr>
      </w:pPr>
    </w:p>
    <w:p w14:paraId="18386EE1">
      <w:pPr>
        <w:pStyle w:val="8"/>
        <w:spacing w:before="120" w:beforeLines="50"/>
        <w:ind w:firstLine="0"/>
        <w:rPr>
          <w:rFonts w:ascii="宋体" w:hAnsi="宋体"/>
          <w:b/>
          <w:color w:val="auto"/>
          <w:sz w:val="36"/>
          <w:szCs w:val="36"/>
        </w:rPr>
      </w:pPr>
    </w:p>
    <w:p w14:paraId="7F64221E">
      <w:pPr>
        <w:spacing w:line="560" w:lineRule="exact"/>
        <w:jc w:val="center"/>
        <w:outlineLvl w:val="9"/>
        <w:rPr>
          <w:rFonts w:hint="eastAsia" w:ascii="宋体" w:hAnsi="宋体" w:eastAsia="宋体" w:cs="宋体"/>
          <w:b/>
          <w:bCs/>
          <w:color w:val="auto"/>
          <w:sz w:val="32"/>
          <w:szCs w:val="32"/>
          <w:highlight w:val="none"/>
        </w:rPr>
      </w:pPr>
      <w:r>
        <w:rPr>
          <w:rFonts w:ascii="宋体" w:hAnsi="宋体"/>
          <w:b/>
          <w:color w:val="auto"/>
          <w:sz w:val="36"/>
          <w:szCs w:val="36"/>
        </w:rPr>
        <w:br w:type="page"/>
      </w:r>
      <w:r>
        <w:rPr>
          <w:rFonts w:hint="eastAsia" w:ascii="宋体" w:hAnsi="宋体" w:eastAsia="宋体" w:cs="宋体"/>
          <w:b/>
          <w:bCs/>
          <w:color w:val="auto"/>
          <w:sz w:val="32"/>
          <w:szCs w:val="32"/>
          <w:highlight w:val="none"/>
        </w:rPr>
        <w:t>依法缴纳社会保障资金承诺书</w:t>
      </w:r>
    </w:p>
    <w:p w14:paraId="558E4A51">
      <w:pPr>
        <w:pStyle w:val="8"/>
        <w:spacing w:before="600" w:beforeLines="250"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4935C48C">
      <w:pPr>
        <w:pStyle w:val="8"/>
        <w:spacing w:before="120"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005CD004">
      <w:pPr>
        <w:pStyle w:val="8"/>
        <w:spacing w:line="360" w:lineRule="auto"/>
        <w:ind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我方承诺将依法缴纳社会保障资金，并符合《中华人民共和国政府采购法》及其实施条例和采购文件资格要求的规定。</w:t>
      </w:r>
    </w:p>
    <w:p w14:paraId="683F90F0">
      <w:pPr>
        <w:pStyle w:val="8"/>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27283BFB">
      <w:pPr>
        <w:pStyle w:val="8"/>
        <w:spacing w:line="360" w:lineRule="auto"/>
        <w:ind w:firstLine="573"/>
        <w:jc w:val="left"/>
        <w:rPr>
          <w:rFonts w:hint="eastAsia" w:ascii="仿宋" w:hAnsi="仿宋" w:eastAsia="仿宋" w:cs="仿宋"/>
          <w:color w:val="auto"/>
          <w:sz w:val="24"/>
          <w:szCs w:val="24"/>
          <w:highlight w:val="none"/>
        </w:rPr>
      </w:pPr>
    </w:p>
    <w:p w14:paraId="45857826">
      <w:pPr>
        <w:pStyle w:val="8"/>
        <w:spacing w:line="360" w:lineRule="auto"/>
        <w:ind w:firstLine="573"/>
        <w:jc w:val="left"/>
        <w:rPr>
          <w:rFonts w:hint="eastAsia" w:ascii="仿宋" w:hAnsi="仿宋" w:eastAsia="仿宋" w:cs="仿宋"/>
          <w:color w:val="auto"/>
          <w:sz w:val="24"/>
          <w:szCs w:val="24"/>
          <w:highlight w:val="none"/>
        </w:rPr>
      </w:pPr>
    </w:p>
    <w:p w14:paraId="3C88ADCE">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17034F42">
      <w:pPr>
        <w:pStyle w:val="8"/>
        <w:spacing w:line="360" w:lineRule="auto"/>
        <w:ind w:firstLine="573"/>
        <w:jc w:val="left"/>
        <w:rPr>
          <w:rFonts w:hint="eastAsia" w:ascii="仿宋" w:hAnsi="仿宋" w:eastAsia="仿宋" w:cs="仿宋"/>
          <w:color w:val="auto"/>
          <w:sz w:val="24"/>
          <w:szCs w:val="24"/>
          <w:highlight w:val="none"/>
        </w:rPr>
      </w:pPr>
    </w:p>
    <w:p w14:paraId="28A7E8D3">
      <w:pPr>
        <w:pStyle w:val="8"/>
        <w:spacing w:line="360" w:lineRule="auto"/>
        <w:ind w:firstLine="573"/>
        <w:jc w:val="left"/>
        <w:rPr>
          <w:rFonts w:hint="eastAsia" w:ascii="仿宋" w:hAnsi="仿宋" w:eastAsia="仿宋" w:cs="仿宋"/>
          <w:color w:val="auto"/>
          <w:sz w:val="24"/>
          <w:szCs w:val="24"/>
          <w:highlight w:val="none"/>
        </w:rPr>
      </w:pPr>
    </w:p>
    <w:p w14:paraId="3CB7FBD7">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0A10F153">
      <w:pPr>
        <w:pStyle w:val="8"/>
        <w:spacing w:line="360" w:lineRule="auto"/>
        <w:ind w:firstLine="573"/>
        <w:jc w:val="left"/>
        <w:rPr>
          <w:rFonts w:hint="eastAsia" w:ascii="仿宋" w:hAnsi="仿宋" w:eastAsia="仿宋" w:cs="仿宋"/>
          <w:color w:val="auto"/>
          <w:sz w:val="24"/>
          <w:szCs w:val="24"/>
          <w:highlight w:val="none"/>
        </w:rPr>
      </w:pPr>
    </w:p>
    <w:p w14:paraId="6CBFB970">
      <w:pPr>
        <w:pStyle w:val="8"/>
        <w:spacing w:line="360" w:lineRule="auto"/>
        <w:ind w:firstLine="573"/>
        <w:jc w:val="left"/>
        <w:rPr>
          <w:rFonts w:hint="eastAsia" w:ascii="仿宋" w:hAnsi="仿宋" w:eastAsia="仿宋" w:cs="仿宋"/>
          <w:color w:val="auto"/>
          <w:sz w:val="24"/>
          <w:szCs w:val="24"/>
          <w:highlight w:val="none"/>
        </w:rPr>
      </w:pPr>
    </w:p>
    <w:p w14:paraId="36953FA5">
      <w:pPr>
        <w:jc w:val="right"/>
        <w:rPr>
          <w:rFonts w:ascii="宋体" w:hAnsi="宋体"/>
          <w:b/>
          <w:color w:val="auto"/>
          <w:sz w:val="36"/>
          <w:szCs w:val="36"/>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宋体" w:hAnsi="宋体" w:eastAsia="宋体" w:cs="宋体"/>
          <w:color w:val="auto"/>
          <w:szCs w:val="21"/>
          <w:highlight w:val="none"/>
        </w:rPr>
        <w:t>日</w:t>
      </w:r>
      <w:r>
        <w:rPr>
          <w:rFonts w:ascii="宋体" w:hAnsi="宋体"/>
          <w:b/>
          <w:color w:val="auto"/>
          <w:sz w:val="36"/>
          <w:szCs w:val="36"/>
        </w:rPr>
        <w:br w:type="page"/>
      </w:r>
    </w:p>
    <w:p w14:paraId="3294DFDB">
      <w:pPr>
        <w:jc w:val="center"/>
        <w:rPr>
          <w:rFonts w:hint="eastAsia" w:ascii="宋体" w:hAnsi="宋体" w:eastAsia="宋体"/>
          <w:b/>
          <w:color w:val="auto"/>
          <w:sz w:val="36"/>
          <w:szCs w:val="36"/>
          <w:lang w:val="en-US" w:eastAsia="zh-CN"/>
        </w:rPr>
      </w:pPr>
      <w:r>
        <w:rPr>
          <w:rFonts w:hint="eastAsia" w:ascii="宋体" w:hAnsi="宋体"/>
          <w:b/>
          <w:color w:val="auto"/>
          <w:sz w:val="36"/>
          <w:szCs w:val="36"/>
          <w:lang w:val="en-US" w:eastAsia="zh-CN"/>
        </w:rPr>
        <w:t>七、税收缴纳证明</w:t>
      </w:r>
    </w:p>
    <w:p w14:paraId="4BF9F58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6EDBEBB">
      <w:pP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（1）供应商提供本单位响应截止时间前六个月内已缴纳的至少一个月的纳税证明或完税证明（增值税，印花税，企业所得税等一种或多种税种），依法免税的单位应提供相关证明材料；</w:t>
      </w:r>
    </w:p>
    <w:p w14:paraId="3B287190">
      <w:pPr>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（2）依法免税的应提供相关文件证明；</w:t>
      </w:r>
    </w:p>
    <w:p w14:paraId="5E7984A8">
      <w:pPr>
        <w:pStyle w:val="12"/>
        <w:tabs>
          <w:tab w:val="left" w:pos="851"/>
        </w:tabs>
        <w:adjustRightInd w:val="0"/>
        <w:snapToGrid w:val="0"/>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4BBB5D2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（4）新成立未发生缴纳税收事项的供应商，应提供纳税书面承诺；</w:t>
      </w:r>
    </w:p>
    <w:p w14:paraId="45D9206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（5）原件或复印件可直接装订，复印件加盖供应商单位章。</w:t>
      </w:r>
    </w:p>
    <w:p w14:paraId="45BC328C">
      <w:pPr>
        <w:pStyle w:val="12"/>
        <w:adjustRightInd w:val="0"/>
        <w:snapToGrid w:val="0"/>
        <w:spacing w:line="360" w:lineRule="auto"/>
        <w:ind w:firstLine="420" w:firstLineChars="200"/>
        <w:rPr>
          <w:rFonts w:hAnsi="宋体"/>
          <w:color w:val="auto"/>
        </w:rPr>
      </w:pPr>
    </w:p>
    <w:p w14:paraId="29E8BEAC">
      <w:pPr>
        <w:pStyle w:val="12"/>
        <w:adjustRightInd w:val="0"/>
        <w:snapToGrid w:val="0"/>
        <w:spacing w:line="360" w:lineRule="auto"/>
        <w:jc w:val="left"/>
        <w:rPr>
          <w:color w:val="auto"/>
          <w:sz w:val="24"/>
          <w:szCs w:val="24"/>
        </w:rPr>
      </w:pPr>
    </w:p>
    <w:p w14:paraId="260F9D6C">
      <w:pPr>
        <w:pStyle w:val="8"/>
        <w:spacing w:before="120" w:beforeLines="50"/>
        <w:ind w:firstLine="0"/>
        <w:rPr>
          <w:rFonts w:ascii="宋体" w:hAnsi="宋体"/>
          <w:b/>
          <w:color w:val="auto"/>
          <w:sz w:val="36"/>
          <w:szCs w:val="36"/>
        </w:rPr>
      </w:pPr>
    </w:p>
    <w:p w14:paraId="45B846BF">
      <w:pPr>
        <w:pStyle w:val="8"/>
        <w:spacing w:before="120" w:beforeLines="50"/>
        <w:ind w:firstLine="0"/>
        <w:rPr>
          <w:rFonts w:ascii="宋体" w:hAnsi="宋体"/>
          <w:b/>
          <w:color w:val="auto"/>
          <w:sz w:val="36"/>
          <w:szCs w:val="36"/>
        </w:rPr>
      </w:pPr>
    </w:p>
    <w:p w14:paraId="5236397E">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0BE0796D">
      <w:pPr>
        <w:spacing w:line="560" w:lineRule="exact"/>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依法缴纳税收承诺书</w:t>
      </w:r>
    </w:p>
    <w:p w14:paraId="4AFF62CE">
      <w:pPr>
        <w:pStyle w:val="8"/>
        <w:spacing w:before="720" w:beforeLines="300" w:after="120" w:afterLines="50" w:line="36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6C8DCA3D">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4D810410">
      <w:pPr>
        <w:pStyle w:val="8"/>
        <w:spacing w:line="360" w:lineRule="auto"/>
        <w:ind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我方承诺将依法缴纳税收，并符合《中华人民共和国政府采购法》及其实施条例和采购文件资格要求的规定。</w:t>
      </w:r>
    </w:p>
    <w:p w14:paraId="7FB360E4">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3C61D45B">
      <w:pPr>
        <w:pStyle w:val="8"/>
        <w:spacing w:line="360" w:lineRule="auto"/>
        <w:ind w:firstLine="573"/>
        <w:rPr>
          <w:rFonts w:hint="eastAsia" w:ascii="仿宋" w:hAnsi="仿宋" w:eastAsia="仿宋" w:cs="仿宋"/>
          <w:color w:val="auto"/>
          <w:sz w:val="24"/>
          <w:szCs w:val="24"/>
          <w:highlight w:val="none"/>
        </w:rPr>
      </w:pPr>
    </w:p>
    <w:p w14:paraId="772BDB77">
      <w:pPr>
        <w:pStyle w:val="8"/>
        <w:spacing w:line="360" w:lineRule="auto"/>
        <w:ind w:firstLine="573"/>
        <w:rPr>
          <w:rFonts w:hint="eastAsia" w:ascii="仿宋" w:hAnsi="仿宋" w:eastAsia="仿宋" w:cs="仿宋"/>
          <w:color w:val="auto"/>
          <w:sz w:val="24"/>
          <w:szCs w:val="24"/>
          <w:highlight w:val="none"/>
        </w:rPr>
      </w:pPr>
    </w:p>
    <w:p w14:paraId="13A41DDB">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4A2AF547">
      <w:pPr>
        <w:pStyle w:val="8"/>
        <w:spacing w:line="360" w:lineRule="auto"/>
        <w:ind w:firstLine="573"/>
        <w:rPr>
          <w:rFonts w:hint="eastAsia" w:ascii="仿宋" w:hAnsi="仿宋" w:eastAsia="仿宋" w:cs="仿宋"/>
          <w:color w:val="auto"/>
          <w:sz w:val="24"/>
          <w:szCs w:val="24"/>
          <w:highlight w:val="none"/>
        </w:rPr>
      </w:pPr>
    </w:p>
    <w:p w14:paraId="6CEFA75A">
      <w:pPr>
        <w:pStyle w:val="8"/>
        <w:spacing w:line="360" w:lineRule="auto"/>
        <w:ind w:firstLine="573"/>
        <w:rPr>
          <w:rFonts w:hint="eastAsia" w:ascii="仿宋" w:hAnsi="仿宋" w:eastAsia="仿宋" w:cs="仿宋"/>
          <w:color w:val="auto"/>
          <w:sz w:val="24"/>
          <w:szCs w:val="24"/>
          <w:highlight w:val="none"/>
        </w:rPr>
      </w:pPr>
    </w:p>
    <w:p w14:paraId="14626B38">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4F078DED">
      <w:pPr>
        <w:pStyle w:val="8"/>
        <w:spacing w:line="360" w:lineRule="auto"/>
        <w:ind w:firstLine="573"/>
        <w:rPr>
          <w:rFonts w:hint="eastAsia" w:ascii="仿宋" w:hAnsi="仿宋" w:eastAsia="仿宋" w:cs="仿宋"/>
          <w:color w:val="auto"/>
          <w:sz w:val="24"/>
          <w:szCs w:val="24"/>
          <w:highlight w:val="none"/>
        </w:rPr>
      </w:pPr>
    </w:p>
    <w:p w14:paraId="25D07661">
      <w:pPr>
        <w:pStyle w:val="8"/>
        <w:spacing w:line="360" w:lineRule="auto"/>
        <w:ind w:firstLine="573"/>
        <w:rPr>
          <w:rFonts w:hint="eastAsia" w:ascii="仿宋" w:hAnsi="仿宋" w:eastAsia="仿宋" w:cs="仿宋"/>
          <w:color w:val="auto"/>
          <w:sz w:val="24"/>
          <w:szCs w:val="24"/>
          <w:highlight w:val="none"/>
        </w:rPr>
      </w:pPr>
    </w:p>
    <w:p w14:paraId="308AD803">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D93718D">
      <w:pPr>
        <w:pStyle w:val="12"/>
        <w:adjustRightInd w:val="0"/>
        <w:snapToGrid w:val="0"/>
        <w:spacing w:line="360" w:lineRule="auto"/>
        <w:jc w:val="center"/>
        <w:rPr>
          <w:rFonts w:hint="eastAsia"/>
          <w:b/>
          <w:color w:val="auto"/>
          <w:sz w:val="36"/>
          <w:szCs w:val="36"/>
          <w:lang w:val="en-US" w:eastAsia="zh-CN"/>
        </w:rPr>
      </w:pPr>
    </w:p>
    <w:p w14:paraId="0A3C43FC">
      <w:pPr>
        <w:pStyle w:val="12"/>
        <w:adjustRightInd w:val="0"/>
        <w:snapToGrid w:val="0"/>
        <w:spacing w:line="360" w:lineRule="auto"/>
        <w:jc w:val="center"/>
        <w:rPr>
          <w:rFonts w:hint="eastAsia"/>
          <w:b/>
          <w:color w:val="auto"/>
          <w:sz w:val="36"/>
          <w:szCs w:val="36"/>
          <w:lang w:val="en-US" w:eastAsia="zh-CN"/>
        </w:rPr>
      </w:pPr>
    </w:p>
    <w:p w14:paraId="31AE3661">
      <w:pPr>
        <w:pStyle w:val="12"/>
        <w:adjustRightInd w:val="0"/>
        <w:snapToGrid w:val="0"/>
        <w:spacing w:line="360" w:lineRule="auto"/>
        <w:jc w:val="center"/>
        <w:rPr>
          <w:rFonts w:hint="eastAsia"/>
          <w:b/>
          <w:color w:val="auto"/>
          <w:sz w:val="36"/>
          <w:szCs w:val="36"/>
          <w:lang w:val="en-US" w:eastAsia="zh-CN"/>
        </w:rPr>
      </w:pPr>
    </w:p>
    <w:p w14:paraId="49F1062E">
      <w:pPr>
        <w:pStyle w:val="12"/>
        <w:adjustRightInd w:val="0"/>
        <w:snapToGrid w:val="0"/>
        <w:spacing w:line="360" w:lineRule="auto"/>
        <w:jc w:val="center"/>
        <w:rPr>
          <w:rFonts w:hint="eastAsia"/>
          <w:b/>
          <w:color w:val="auto"/>
          <w:sz w:val="36"/>
          <w:szCs w:val="36"/>
          <w:lang w:val="en-US" w:eastAsia="zh-CN"/>
        </w:rPr>
      </w:pPr>
    </w:p>
    <w:p w14:paraId="1A414A24">
      <w:pPr>
        <w:pStyle w:val="12"/>
        <w:adjustRightInd w:val="0"/>
        <w:snapToGrid w:val="0"/>
        <w:spacing w:line="360" w:lineRule="auto"/>
        <w:jc w:val="center"/>
        <w:rPr>
          <w:rFonts w:hint="eastAsia"/>
          <w:b/>
          <w:color w:val="auto"/>
          <w:sz w:val="36"/>
          <w:szCs w:val="36"/>
          <w:lang w:val="en-US" w:eastAsia="zh-CN"/>
        </w:rPr>
      </w:pPr>
    </w:p>
    <w:p w14:paraId="34F3EA9D">
      <w:pPr>
        <w:pStyle w:val="12"/>
        <w:adjustRightInd w:val="0"/>
        <w:snapToGrid w:val="0"/>
        <w:spacing w:line="360" w:lineRule="auto"/>
        <w:jc w:val="center"/>
        <w:rPr>
          <w:rFonts w:hint="eastAsia"/>
          <w:b/>
          <w:color w:val="auto"/>
          <w:sz w:val="36"/>
          <w:szCs w:val="36"/>
          <w:lang w:val="en-US" w:eastAsia="zh-CN"/>
        </w:rPr>
      </w:pPr>
    </w:p>
    <w:p w14:paraId="5A77E824">
      <w:pPr>
        <w:pStyle w:val="12"/>
        <w:adjustRightInd w:val="0"/>
        <w:snapToGrid w:val="0"/>
        <w:spacing w:line="360" w:lineRule="auto"/>
        <w:jc w:val="both"/>
        <w:rPr>
          <w:rFonts w:hint="eastAsia"/>
          <w:b/>
          <w:color w:val="auto"/>
          <w:sz w:val="36"/>
          <w:szCs w:val="36"/>
          <w:lang w:val="en-US" w:eastAsia="zh-CN"/>
        </w:rPr>
      </w:pPr>
    </w:p>
    <w:p w14:paraId="6E29C1AF">
      <w:pPr>
        <w:jc w:val="center"/>
        <w:rPr>
          <w:b/>
          <w:color w:val="auto"/>
          <w:sz w:val="36"/>
          <w:szCs w:val="36"/>
        </w:rPr>
      </w:pPr>
      <w:r>
        <w:rPr>
          <w:rFonts w:hint="eastAsia" w:ascii="宋体" w:hAnsi="宋体"/>
          <w:b/>
          <w:color w:val="auto"/>
          <w:sz w:val="36"/>
          <w:szCs w:val="36"/>
          <w:lang w:val="en-US" w:eastAsia="zh-CN"/>
        </w:rPr>
        <w:t>八</w:t>
      </w:r>
      <w:r>
        <w:rPr>
          <w:rFonts w:hint="eastAsia"/>
          <w:b/>
          <w:color w:val="auto"/>
          <w:sz w:val="36"/>
          <w:szCs w:val="36"/>
        </w:rPr>
        <w:t>、财务状况报告</w:t>
      </w:r>
    </w:p>
    <w:p w14:paraId="73F21655">
      <w:pPr>
        <w:pStyle w:val="12"/>
        <w:adjustRightInd w:val="0"/>
        <w:snapToGrid w:val="0"/>
        <w:spacing w:line="360" w:lineRule="auto"/>
        <w:jc w:val="left"/>
        <w:rPr>
          <w:b/>
          <w:color w:val="auto"/>
          <w:sz w:val="24"/>
          <w:szCs w:val="24"/>
        </w:rPr>
      </w:pPr>
    </w:p>
    <w:p w14:paraId="48F0831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说明：</w:t>
      </w:r>
    </w:p>
    <w:p w14:paraId="63DDFEE9">
      <w:pPr>
        <w:pStyle w:val="12"/>
        <w:adjustRightInd w:val="0"/>
        <w:snapToGrid w:val="0"/>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1）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ascii="仿宋" w:hAnsi="仿宋" w:eastAsia="仿宋" w:cs="仿宋"/>
          <w:bCs/>
          <w:color w:val="auto"/>
          <w:sz w:val="24"/>
          <w:szCs w:val="24"/>
        </w:rPr>
        <w:t>。</w:t>
      </w:r>
    </w:p>
    <w:p w14:paraId="197BDD3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（2）公益类事业单位、自然人无需提供。</w:t>
      </w:r>
    </w:p>
    <w:p w14:paraId="7FA9557E">
      <w:pPr>
        <w:pStyle w:val="8"/>
        <w:spacing w:before="120" w:beforeLines="50"/>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（3）复印件加盖供应商单位章。</w:t>
      </w:r>
    </w:p>
    <w:p w14:paraId="41E66F3A">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4F4C1622">
      <w:pPr>
        <w:jc w:val="center"/>
        <w:outlineLvl w:val="9"/>
        <w:rPr>
          <w:rFonts w:hint="eastAsia" w:ascii="宋体" w:hAnsi="宋体" w:eastAsia="宋体" w:cs="宋体"/>
          <w:b/>
          <w:bCs/>
          <w:color w:val="auto"/>
          <w:sz w:val="24"/>
          <w:szCs w:val="24"/>
          <w:highlight w:val="none"/>
          <w:lang w:val="en-US" w:eastAsia="zh-CN"/>
        </w:rPr>
      </w:pPr>
      <w:r>
        <w:rPr>
          <w:rFonts w:hint="eastAsia" w:ascii="宋体" w:hAnsi="宋体" w:cs="宋体"/>
          <w:b/>
          <w:color w:val="auto"/>
          <w:kern w:val="0"/>
          <w:sz w:val="36"/>
          <w:szCs w:val="36"/>
          <w:lang w:val="en-US" w:eastAsia="zh-CN"/>
        </w:rPr>
        <w:t>九</w:t>
      </w:r>
      <w:r>
        <w:rPr>
          <w:rFonts w:hint="eastAsia" w:ascii="宋体" w:hAnsi="宋体" w:cs="宋体"/>
          <w:b/>
          <w:color w:val="auto"/>
          <w:kern w:val="0"/>
          <w:sz w:val="36"/>
          <w:szCs w:val="36"/>
        </w:rPr>
        <w:t>、</w:t>
      </w:r>
      <w:r>
        <w:rPr>
          <w:rFonts w:hint="eastAsia" w:ascii="Times New Roman" w:hAnsi="Times New Roman" w:eastAsia="宋体" w:cs="Times New Roman"/>
          <w:b/>
          <w:color w:val="auto"/>
          <w:sz w:val="36"/>
          <w:szCs w:val="36"/>
          <w:lang w:val="en-US" w:eastAsia="zh-CN"/>
        </w:rPr>
        <w:t>无重大违法记录声明</w:t>
      </w:r>
    </w:p>
    <w:p w14:paraId="796E5355">
      <w:pPr>
        <w:autoSpaceDE w:val="0"/>
        <w:autoSpaceDN w:val="0"/>
        <w:adjustRightInd w:val="0"/>
        <w:spacing w:line="348" w:lineRule="auto"/>
        <w:jc w:val="center"/>
        <w:rPr>
          <w:rFonts w:hint="eastAsia" w:ascii="宋体" w:hAnsi="宋体" w:eastAsia="宋体" w:cs="宋体"/>
          <w:b/>
          <w:bCs/>
          <w:color w:val="auto"/>
          <w:kern w:val="2"/>
          <w:sz w:val="32"/>
          <w:szCs w:val="32"/>
          <w:highlight w:val="none"/>
          <w:lang w:val="en-US" w:eastAsia="zh-CN" w:bidi="ar-SA"/>
        </w:rPr>
      </w:pPr>
    </w:p>
    <w:p w14:paraId="66605B1A">
      <w:pPr>
        <w:pStyle w:val="2"/>
        <w:keepLines w:val="0"/>
        <w:pageBreakBefore w:val="0"/>
        <w:widowControl w:val="0"/>
        <w:kinsoku/>
        <w:wordWrap/>
        <w:overflowPunct/>
        <w:topLinePunct w:val="0"/>
        <w:bidi w:val="0"/>
        <w:jc w:val="center"/>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无重大违法记录声明</w:t>
      </w:r>
    </w:p>
    <w:p w14:paraId="0710E1DA">
      <w:pPr>
        <w:spacing w:before="3" w:line="240" w:lineRule="auto"/>
        <w:rPr>
          <w:rFonts w:hint="eastAsia" w:ascii="仿宋" w:hAnsi="仿宋" w:eastAsia="仿宋" w:cs="仿宋"/>
          <w:b/>
          <w:bCs/>
          <w:color w:val="auto"/>
          <w:sz w:val="24"/>
          <w:szCs w:val="24"/>
          <w:highlight w:val="none"/>
        </w:rPr>
      </w:pPr>
    </w:p>
    <w:p w14:paraId="13E11972">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7422A29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z w:val="24"/>
          <w:szCs w:val="24"/>
          <w:highlight w:val="none"/>
        </w:rPr>
      </w:pPr>
    </w:p>
    <w:p w14:paraId="37A44C49">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我公司作为</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，在此郑重声明： </w:t>
      </w:r>
    </w:p>
    <w:p w14:paraId="18DFEADE">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1、在参加本次政府采购活动前</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4"/>
          <w:sz w:val="24"/>
          <w:szCs w:val="24"/>
          <w:highlight w:val="none"/>
        </w:rPr>
        <w:t>年内，在经营活动中</w:t>
      </w:r>
      <w:r>
        <w:rPr>
          <w:rFonts w:hint="eastAsia" w:ascii="仿宋" w:hAnsi="仿宋" w:eastAsia="仿宋" w:cs="仿宋"/>
          <w:color w:val="auto"/>
          <w:spacing w:val="-4"/>
          <w:sz w:val="24"/>
          <w:szCs w:val="24"/>
          <w:highlight w:val="none"/>
          <w:u w:val="single" w:color="000000"/>
        </w:rPr>
        <w:tab/>
      </w:r>
      <w:r>
        <w:rPr>
          <w:rFonts w:hint="eastAsia" w:ascii="仿宋" w:hAnsi="仿宋" w:eastAsia="仿宋" w:cs="仿宋"/>
          <w:color w:val="auto"/>
          <w:spacing w:val="-21"/>
          <w:sz w:val="24"/>
          <w:szCs w:val="24"/>
          <w:highlight w:val="none"/>
        </w:rPr>
        <w:t>（填“没有”或“有”）</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重大违法记录。</w:t>
      </w:r>
    </w:p>
    <w:p w14:paraId="6939EF1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（填“未被列入”或“被列入”）失信被执行人名单。</w:t>
      </w:r>
    </w:p>
    <w:p w14:paraId="3DB0797E">
      <w:pPr>
        <w:pStyle w:val="2"/>
        <w:keepNext w:val="0"/>
        <w:keepLines w:val="0"/>
        <w:pageBreakBefore w:val="0"/>
        <w:widowControl w:val="0"/>
        <w:tabs>
          <w:tab w:val="left" w:pos="2803"/>
        </w:tabs>
        <w:kinsoku/>
        <w:wordWrap/>
        <w:overflowPunct/>
        <w:topLinePunct w:val="0"/>
        <w:autoSpaceDE/>
        <w:autoSpaceDN/>
        <w:bidi w:val="0"/>
        <w:adjustRightInd/>
        <w:snapToGrid/>
        <w:spacing w:after="0" w:line="360" w:lineRule="auto"/>
        <w:ind w:left="0" w:right="0" w:firstLine="47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3、我公司</w:t>
      </w:r>
      <w:r>
        <w:rPr>
          <w:rFonts w:hint="eastAsia" w:ascii="仿宋" w:hAnsi="仿宋" w:eastAsia="仿宋" w:cs="仿宋"/>
          <w:color w:val="auto"/>
          <w:spacing w:val="-2"/>
          <w:sz w:val="24"/>
          <w:szCs w:val="24"/>
          <w:highlight w:val="none"/>
          <w:u w:val="single" w:color="000000"/>
        </w:rPr>
        <w:tab/>
      </w:r>
      <w:r>
        <w:rPr>
          <w:rFonts w:hint="eastAsia" w:ascii="仿宋" w:hAnsi="仿宋" w:eastAsia="仿宋" w:cs="仿宋"/>
          <w:color w:val="auto"/>
          <w:spacing w:val="-2"/>
          <w:sz w:val="24"/>
          <w:szCs w:val="24"/>
          <w:highlight w:val="none"/>
        </w:rPr>
        <w:t>（填“未被列入”或“被列入”）重大税收违法案件当事人名单。</w:t>
      </w:r>
    </w:p>
    <w:p w14:paraId="063C9EA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（填“未被列入”或“被列入”）政府采购严重违法失信行为记录名单。</w:t>
      </w:r>
    </w:p>
    <w:p w14:paraId="5A6F7728">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如有不实，我公司将无条件退出本项目的采购招标活动，并遵照《中华人民共和国政府采购法》有关“提供虚假材料的规定”接受处罚。</w:t>
      </w:r>
    </w:p>
    <w:p w14:paraId="19C738D1">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p>
    <w:p w14:paraId="56ED23A2">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FD67C71">
      <w:pPr>
        <w:rPr>
          <w:rFonts w:hint="eastAsia" w:ascii="仿宋" w:hAnsi="仿宋" w:eastAsia="仿宋" w:cs="仿宋"/>
          <w:color w:val="auto"/>
          <w:sz w:val="24"/>
          <w:szCs w:val="24"/>
          <w:highlight w:val="none"/>
        </w:rPr>
      </w:pPr>
    </w:p>
    <w:p w14:paraId="1D661348">
      <w:pPr>
        <w:spacing w:line="360" w:lineRule="auto"/>
        <w:jc w:val="both"/>
        <w:rPr>
          <w:rFonts w:hint="eastAsia" w:ascii="仿宋" w:hAnsi="仿宋" w:eastAsia="仿宋" w:cs="仿宋"/>
          <w:color w:val="auto"/>
          <w:sz w:val="24"/>
          <w:szCs w:val="24"/>
          <w:highlight w:val="none"/>
          <w:lang w:eastAsia="zh-CN"/>
        </w:rPr>
      </w:pPr>
    </w:p>
    <w:p w14:paraId="4567B149">
      <w:pPr>
        <w:outlineLvl w:val="9"/>
        <w:rPr>
          <w:rFonts w:hint="eastAsia" w:ascii="仿宋" w:hAnsi="仿宋" w:eastAsia="仿宋" w:cs="仿宋"/>
          <w:sz w:val="24"/>
          <w:szCs w:val="24"/>
          <w:lang w:eastAsia="zh-CN"/>
        </w:rPr>
      </w:pPr>
    </w:p>
    <w:p w14:paraId="0E2EDAAA">
      <w:pPr>
        <w:spacing w:line="360" w:lineRule="auto"/>
        <w:ind w:firstLine="2640" w:firstLineChars="11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5864812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5747BF8F">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CB74ECD">
      <w:pPr>
        <w:spacing w:line="360" w:lineRule="auto"/>
        <w:ind w:firstLine="482"/>
        <w:rPr>
          <w:rFonts w:hint="eastAsia" w:ascii="仿宋" w:hAnsi="仿宋" w:eastAsia="仿宋" w:cs="仿宋"/>
          <w:color w:val="auto"/>
          <w:sz w:val="24"/>
          <w:szCs w:val="24"/>
        </w:rPr>
      </w:pPr>
    </w:p>
    <w:p w14:paraId="269230EA">
      <w:pPr>
        <w:spacing w:line="360" w:lineRule="auto"/>
        <w:ind w:firstLine="482"/>
        <w:rPr>
          <w:rFonts w:ascii="楷体" w:hAnsi="楷体" w:eastAsia="楷体"/>
          <w:color w:val="auto"/>
          <w:szCs w:val="21"/>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需要提供其他证明材料，可另纸说明</w:t>
      </w:r>
      <w:r>
        <w:rPr>
          <w:rFonts w:hint="eastAsia" w:ascii="楷体" w:hAnsi="楷体" w:eastAsia="楷体"/>
          <w:color w:val="auto"/>
          <w:szCs w:val="21"/>
        </w:rPr>
        <w:t>）</w:t>
      </w:r>
    </w:p>
    <w:p w14:paraId="5827625B">
      <w:pPr>
        <w:rPr>
          <w:rFonts w:hint="eastAsia" w:ascii="宋体" w:hAnsi="宋体" w:cs="宋体"/>
          <w:b/>
          <w:color w:val="auto"/>
          <w:kern w:val="0"/>
          <w:sz w:val="36"/>
          <w:szCs w:val="36"/>
        </w:rPr>
      </w:pPr>
    </w:p>
    <w:p w14:paraId="1314E4A9">
      <w:pPr>
        <w:pStyle w:val="8"/>
        <w:ind w:firstLine="0"/>
        <w:jc w:val="center"/>
        <w:rPr>
          <w:rFonts w:hint="eastAsia" w:ascii="宋体" w:hAnsi="宋体" w:cs="宋体"/>
          <w:b/>
          <w:color w:val="auto"/>
          <w:kern w:val="0"/>
          <w:sz w:val="36"/>
          <w:szCs w:val="36"/>
        </w:rPr>
      </w:pPr>
    </w:p>
    <w:p w14:paraId="6D0CBD90">
      <w:pPr>
        <w:pStyle w:val="8"/>
        <w:ind w:firstLine="0"/>
        <w:jc w:val="center"/>
        <w:rPr>
          <w:rFonts w:hint="eastAsia" w:ascii="宋体" w:hAnsi="宋体" w:cs="宋体"/>
          <w:b/>
          <w:color w:val="auto"/>
          <w:kern w:val="0"/>
          <w:sz w:val="36"/>
          <w:szCs w:val="36"/>
        </w:rPr>
      </w:pPr>
    </w:p>
    <w:p w14:paraId="72272A30">
      <w:pPr>
        <w:pStyle w:val="8"/>
        <w:ind w:firstLine="0"/>
        <w:jc w:val="center"/>
        <w:rPr>
          <w:rFonts w:hint="eastAsia" w:ascii="宋体" w:hAnsi="宋体" w:cs="宋体"/>
          <w:b/>
          <w:color w:val="auto"/>
          <w:kern w:val="0"/>
          <w:sz w:val="36"/>
          <w:szCs w:val="36"/>
        </w:rPr>
      </w:pPr>
    </w:p>
    <w:p w14:paraId="2CFD8588">
      <w:pPr>
        <w:rPr>
          <w:rFonts w:hint="eastAsia" w:ascii="宋体" w:hAnsi="宋体" w:cs="宋体"/>
          <w:b/>
          <w:color w:val="auto"/>
          <w:kern w:val="0"/>
          <w:sz w:val="36"/>
          <w:szCs w:val="36"/>
          <w:lang w:val="en-US" w:eastAsia="zh-CN"/>
        </w:rPr>
      </w:pPr>
      <w:r>
        <w:rPr>
          <w:rFonts w:hint="eastAsia" w:ascii="宋体" w:hAnsi="宋体" w:cs="宋体"/>
          <w:b/>
          <w:color w:val="auto"/>
          <w:kern w:val="0"/>
          <w:sz w:val="36"/>
          <w:szCs w:val="36"/>
          <w:lang w:val="en-US" w:eastAsia="zh-CN"/>
        </w:rPr>
        <w:br w:type="page"/>
      </w:r>
    </w:p>
    <w:p w14:paraId="6AF6950C">
      <w:pPr>
        <w:pStyle w:val="8"/>
        <w:ind w:firstLine="0"/>
        <w:jc w:val="center"/>
        <w:rPr>
          <w:rFonts w:ascii="宋体" w:hAnsi="宋体" w:cs="宋体"/>
          <w:b/>
          <w:color w:val="auto"/>
          <w:kern w:val="0"/>
          <w:sz w:val="36"/>
          <w:szCs w:val="36"/>
        </w:rPr>
      </w:pPr>
      <w:bookmarkStart w:id="254" w:name="_Toc18074977"/>
      <w:r>
        <w:rPr>
          <w:rFonts w:hint="eastAsia" w:ascii="宋体" w:hAnsi="宋体"/>
          <w:b/>
          <w:color w:val="auto"/>
          <w:sz w:val="36"/>
          <w:szCs w:val="36"/>
          <w:lang w:val="en-US" w:eastAsia="zh-CN"/>
        </w:rPr>
        <w:t>十</w:t>
      </w:r>
      <w:r>
        <w:rPr>
          <w:rFonts w:hint="eastAsia" w:ascii="宋体" w:hAnsi="宋体"/>
          <w:b/>
          <w:color w:val="auto"/>
          <w:sz w:val="36"/>
          <w:szCs w:val="36"/>
        </w:rPr>
        <w:t>、</w:t>
      </w:r>
      <w:r>
        <w:rPr>
          <w:rFonts w:hint="eastAsia" w:ascii="宋体" w:hAnsi="宋体" w:cs="宋体"/>
          <w:b/>
          <w:color w:val="auto"/>
          <w:kern w:val="0"/>
          <w:sz w:val="36"/>
          <w:szCs w:val="36"/>
          <w:lang w:val="zh-CN"/>
        </w:rPr>
        <w:t>具备履行合同所必需的设备及专业技术</w:t>
      </w:r>
      <w:r>
        <w:rPr>
          <w:rFonts w:hint="eastAsia" w:ascii="宋体" w:hAnsi="宋体" w:cs="宋体"/>
          <w:b/>
          <w:color w:val="auto"/>
          <w:kern w:val="0"/>
          <w:sz w:val="36"/>
          <w:szCs w:val="36"/>
        </w:rPr>
        <w:t>能力</w:t>
      </w:r>
    </w:p>
    <w:p w14:paraId="53D8143B">
      <w:pPr>
        <w:pStyle w:val="8"/>
        <w:spacing w:after="240" w:afterLines="100"/>
        <w:ind w:firstLine="0"/>
        <w:jc w:val="center"/>
        <w:rPr>
          <w:rFonts w:ascii="宋体" w:hAnsi="宋体" w:cs="宋体"/>
          <w:b/>
          <w:color w:val="auto"/>
          <w:kern w:val="0"/>
          <w:sz w:val="32"/>
          <w:szCs w:val="32"/>
          <w:lang w:val="zh-CN"/>
        </w:rPr>
      </w:pPr>
    </w:p>
    <w:p w14:paraId="2E66767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具备履行合同所必需的设备及专业技术能力的书面声明</w:t>
      </w:r>
    </w:p>
    <w:p w14:paraId="7F7B9A5E">
      <w:pPr>
        <w:pStyle w:val="2"/>
        <w:rPr>
          <w:rFonts w:hint="eastAsia" w:ascii="仿宋" w:hAnsi="仿宋" w:eastAsia="仿宋" w:cs="仿宋"/>
          <w:color w:val="auto"/>
          <w:sz w:val="24"/>
          <w:szCs w:val="24"/>
        </w:rPr>
      </w:pPr>
    </w:p>
    <w:p w14:paraId="028A3E7C">
      <w:pPr>
        <w:spacing w:line="48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（采购人名称）        ： </w:t>
      </w:r>
    </w:p>
    <w:p w14:paraId="46E15F30">
      <w:pPr>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（供应商名称 ）                   </w:t>
      </w:r>
      <w:r>
        <w:rPr>
          <w:rFonts w:hint="eastAsia" w:ascii="仿宋" w:hAnsi="仿宋" w:eastAsia="仿宋" w:cs="仿宋"/>
          <w:color w:val="auto"/>
          <w:sz w:val="24"/>
          <w:szCs w:val="24"/>
        </w:rPr>
        <w:t>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日在中华人民共和国境内 </w:t>
      </w:r>
      <w:r>
        <w:rPr>
          <w:rFonts w:hint="eastAsia" w:ascii="仿宋" w:hAnsi="仿宋" w:eastAsia="仿宋" w:cs="仿宋"/>
          <w:color w:val="auto"/>
          <w:sz w:val="24"/>
          <w:szCs w:val="24"/>
          <w:u w:val="single"/>
        </w:rPr>
        <w:t xml:space="preserve">（详细注册地址）        </w:t>
      </w:r>
      <w:r>
        <w:rPr>
          <w:rFonts w:hint="eastAsia" w:ascii="仿宋" w:hAnsi="仿宋" w:eastAsia="仿宋" w:cs="仿宋"/>
          <w:color w:val="auto"/>
          <w:sz w:val="24"/>
          <w:szCs w:val="24"/>
        </w:rPr>
        <w:t>合法注册并经营，公司主营业务为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，营业面积为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，现有员工数量为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，其中与履行本合同相关的专业技术人员有</w:t>
      </w:r>
      <w:r>
        <w:rPr>
          <w:rFonts w:hint="eastAsia" w:ascii="仿宋" w:hAnsi="仿宋" w:eastAsia="仿宋" w:cs="仿宋"/>
          <w:color w:val="auto"/>
          <w:sz w:val="24"/>
          <w:szCs w:val="24"/>
          <w:u w:val="single"/>
        </w:rPr>
        <w:t xml:space="preserve">（ 专业能力、数量 ）         </w:t>
      </w:r>
      <w:r>
        <w:rPr>
          <w:rFonts w:hint="eastAsia" w:ascii="仿宋" w:hAnsi="仿宋" w:eastAsia="仿宋" w:cs="仿宋"/>
          <w:color w:val="auto"/>
          <w:sz w:val="24"/>
          <w:szCs w:val="24"/>
        </w:rPr>
        <w:t xml:space="preserve">，本公司郑重声明，具有履行本合同所必需的设备及专业技术能力。如有不实，我方将无条件地退出本项目的采购活动，并遵照《政府采购法》有关“提供虚假材料的规定”接受处罚。 </w:t>
      </w:r>
    </w:p>
    <w:p w14:paraId="4F14114C">
      <w:pPr>
        <w:spacing w:line="480" w:lineRule="auto"/>
        <w:rPr>
          <w:rFonts w:hint="eastAsia" w:ascii="仿宋" w:hAnsi="仿宋" w:eastAsia="仿宋" w:cs="仿宋"/>
          <w:color w:val="auto"/>
          <w:sz w:val="24"/>
          <w:szCs w:val="24"/>
        </w:rPr>
      </w:pPr>
    </w:p>
    <w:p w14:paraId="74BD9A47">
      <w:pPr>
        <w:spacing w:line="480" w:lineRule="auto"/>
        <w:rPr>
          <w:rFonts w:hint="eastAsia" w:ascii="仿宋" w:hAnsi="仿宋" w:eastAsia="仿宋" w:cs="仿宋"/>
          <w:color w:val="auto"/>
          <w:sz w:val="24"/>
          <w:szCs w:val="24"/>
        </w:rPr>
      </w:pPr>
    </w:p>
    <w:p w14:paraId="1370029F">
      <w:pPr>
        <w:spacing w:line="480" w:lineRule="auto"/>
        <w:rPr>
          <w:rFonts w:hint="eastAsia" w:ascii="仿宋" w:hAnsi="仿宋" w:eastAsia="仿宋" w:cs="仿宋"/>
          <w:color w:val="auto"/>
          <w:sz w:val="24"/>
          <w:szCs w:val="24"/>
        </w:rPr>
      </w:pPr>
    </w:p>
    <w:p w14:paraId="23221575">
      <w:pPr>
        <w:spacing w:line="480" w:lineRule="auto"/>
        <w:rPr>
          <w:rFonts w:hint="eastAsia" w:ascii="仿宋" w:hAnsi="仿宋" w:eastAsia="仿宋" w:cs="仿宋"/>
          <w:color w:val="auto"/>
          <w:sz w:val="24"/>
          <w:szCs w:val="24"/>
        </w:rPr>
      </w:pPr>
    </w:p>
    <w:p w14:paraId="66A47221">
      <w:pPr>
        <w:spacing w:line="480" w:lineRule="auto"/>
        <w:rPr>
          <w:rFonts w:hint="eastAsia" w:ascii="仿宋" w:hAnsi="仿宋" w:eastAsia="仿宋" w:cs="仿宋"/>
          <w:color w:val="auto"/>
          <w:sz w:val="24"/>
          <w:szCs w:val="24"/>
        </w:rPr>
      </w:pPr>
    </w:p>
    <w:p w14:paraId="3A19BAF5">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 </w:t>
      </w:r>
    </w:p>
    <w:p w14:paraId="48ED0BC0">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（签字或盖章） </w:t>
      </w:r>
    </w:p>
    <w:p w14:paraId="4FA2F610">
      <w:pPr>
        <w:spacing w:line="480" w:lineRule="auto"/>
        <w:ind w:firstLine="3600" w:firstLineChars="1500"/>
        <w:rPr>
          <w:color w:val="auto"/>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color w:val="auto"/>
        </w:rPr>
        <w:t xml:space="preserve"> </w:t>
      </w:r>
    </w:p>
    <w:p w14:paraId="5A1A2E60">
      <w:pPr>
        <w:spacing w:line="480" w:lineRule="auto"/>
        <w:rPr>
          <w:color w:val="auto"/>
        </w:rPr>
      </w:pPr>
    </w:p>
    <w:p w14:paraId="28D0BD99">
      <w:pPr>
        <w:spacing w:line="480" w:lineRule="auto"/>
        <w:rPr>
          <w:color w:val="auto"/>
        </w:rPr>
      </w:pPr>
    </w:p>
    <w:p w14:paraId="2F7E73B9">
      <w:pPr>
        <w:spacing w:line="480" w:lineRule="auto"/>
        <w:rPr>
          <w:rFonts w:hint="eastAsia" w:ascii="仿宋" w:hAnsi="仿宋" w:eastAsia="仿宋" w:cs="仿宋"/>
          <w:color w:val="auto"/>
          <w:sz w:val="24"/>
          <w:szCs w:val="24"/>
        </w:rPr>
      </w:pPr>
    </w:p>
    <w:p w14:paraId="078C7B5E">
      <w:pPr>
        <w:spacing w:line="480" w:lineRule="auto"/>
        <w:jc w:val="both"/>
        <w:rPr>
          <w:rFonts w:ascii="宋体" w:hAnsi="宋体"/>
          <w:b/>
          <w:color w:val="auto"/>
          <w:sz w:val="36"/>
          <w:szCs w:val="36"/>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 xml:space="preserve">需要提供其他证明材料，可另纸说明） </w:t>
      </w:r>
      <w:bookmarkEnd w:id="254"/>
    </w:p>
    <w:p w14:paraId="5F7E09AD">
      <w:pPr>
        <w:spacing w:line="360" w:lineRule="auto"/>
        <w:jc w:val="left"/>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en-US" w:eastAsia="zh-CN"/>
        </w:rPr>
        <w:t>十一、</w:t>
      </w:r>
      <w:r>
        <w:rPr>
          <w:rFonts w:hint="eastAsia" w:ascii="宋体" w:hAnsi="宋体" w:eastAsia="宋体" w:cs="宋体"/>
          <w:b/>
          <w:color w:val="auto"/>
          <w:kern w:val="0"/>
          <w:sz w:val="36"/>
          <w:szCs w:val="36"/>
          <w:lang w:val="zh-CN"/>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3023FD9E">
      <w:pPr>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zh-CN"/>
        </w:rPr>
        <w:br w:type="page"/>
      </w:r>
    </w:p>
    <w:p w14:paraId="5B14467D">
      <w:pPr>
        <w:pStyle w:val="8"/>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kern w:val="0"/>
          <w:sz w:val="36"/>
          <w:szCs w:val="36"/>
          <w:lang w:val="en-US" w:eastAsia="zh-CN"/>
        </w:rPr>
        <w:t>十二、非联合体声明</w:t>
      </w:r>
    </w:p>
    <w:p w14:paraId="77D89A29">
      <w:pPr>
        <w:pStyle w:val="2"/>
        <w:keepLines w:val="0"/>
        <w:pageBreakBefore w:val="0"/>
        <w:widowControl w:val="0"/>
        <w:kinsoku/>
        <w:wordWrap/>
        <w:overflowPunct/>
        <w:topLinePunct w:val="0"/>
        <w:bidi w:val="0"/>
        <w:jc w:val="center"/>
        <w:textAlignment w:val="auto"/>
        <w:outlineLvl w:val="9"/>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b/>
          <w:bCs/>
          <w:color w:val="auto"/>
          <w:kern w:val="2"/>
          <w:sz w:val="21"/>
          <w:szCs w:val="21"/>
          <w:highlight w:val="none"/>
          <w:lang w:val="en-US" w:eastAsia="zh-CN" w:bidi="ar-SA"/>
        </w:rPr>
        <w:t>非联合体声明</w:t>
      </w:r>
    </w:p>
    <w:p w14:paraId="77FC52DD">
      <w:pPr>
        <w:snapToGrid w:val="0"/>
        <w:spacing w:line="360" w:lineRule="auto"/>
        <w:ind w:firstLine="420" w:firstLineChars="200"/>
        <w:outlineLvl w:val="9"/>
        <w:rPr>
          <w:rFonts w:hint="eastAsia" w:ascii="楷体" w:hAnsi="楷体" w:eastAsia="楷体" w:cs="楷体"/>
          <w:color w:val="auto"/>
          <w:sz w:val="21"/>
          <w:szCs w:val="21"/>
          <w:highlight w:val="none"/>
        </w:rPr>
      </w:pPr>
    </w:p>
    <w:p w14:paraId="29B227FD">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6B4F222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lang w:eastAsia="zh-CN"/>
        </w:rPr>
      </w:pPr>
    </w:p>
    <w:p w14:paraId="21FDC752">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名称）郑重声明在参加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rPr>
        <w:t>活动</w:t>
      </w:r>
      <w:r>
        <w:rPr>
          <w:rFonts w:hint="eastAsia" w:ascii="仿宋" w:hAnsi="仿宋" w:eastAsia="仿宋" w:cs="仿宋"/>
          <w:color w:val="auto"/>
          <w:sz w:val="24"/>
          <w:szCs w:val="24"/>
          <w:highlight w:val="none"/>
          <w:lang w:val="en-US" w:eastAsia="zh-CN"/>
        </w:rPr>
        <w:t>中非联合体</w:t>
      </w:r>
      <w:r>
        <w:rPr>
          <w:rFonts w:hint="eastAsia" w:ascii="仿宋" w:hAnsi="仿宋" w:eastAsia="仿宋" w:cs="仿宋"/>
          <w:color w:val="auto"/>
          <w:sz w:val="24"/>
          <w:szCs w:val="24"/>
          <w:highlight w:val="none"/>
        </w:rPr>
        <w:t xml:space="preserve">。本承诺真实有效，若经查实存在不实情况。我公司愿意接受有关部门的相应处罚，并愿意承担由此带来的法律后果。 </w:t>
      </w:r>
    </w:p>
    <w:p w14:paraId="1965FB0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10A7DC26">
      <w:pPr>
        <w:pStyle w:val="2"/>
        <w:tabs>
          <w:tab w:val="left" w:pos="8935"/>
        </w:tabs>
        <w:spacing w:before="0" w:line="360" w:lineRule="auto"/>
        <w:ind w:right="0"/>
        <w:jc w:val="left"/>
        <w:rPr>
          <w:rFonts w:hint="eastAsia" w:ascii="仿宋" w:hAnsi="仿宋" w:eastAsia="仿宋" w:cs="仿宋"/>
          <w:color w:val="auto"/>
          <w:sz w:val="24"/>
          <w:szCs w:val="24"/>
          <w:highlight w:val="none"/>
        </w:rPr>
      </w:pPr>
    </w:p>
    <w:p w14:paraId="4F825116">
      <w:pPr>
        <w:rPr>
          <w:rFonts w:hint="eastAsia" w:ascii="仿宋" w:hAnsi="仿宋" w:eastAsia="仿宋" w:cs="仿宋"/>
          <w:sz w:val="24"/>
          <w:szCs w:val="24"/>
        </w:rPr>
      </w:pPr>
    </w:p>
    <w:p w14:paraId="05431875">
      <w:pPr>
        <w:rPr>
          <w:rFonts w:hint="eastAsia" w:ascii="仿宋" w:hAnsi="仿宋" w:eastAsia="仿宋" w:cs="仿宋"/>
          <w:sz w:val="24"/>
          <w:szCs w:val="24"/>
        </w:rPr>
      </w:pPr>
    </w:p>
    <w:p w14:paraId="509C4BEB">
      <w:pPr>
        <w:rPr>
          <w:rFonts w:hint="eastAsia" w:ascii="仿宋" w:hAnsi="仿宋" w:eastAsia="仿宋" w:cs="仿宋"/>
          <w:sz w:val="24"/>
          <w:szCs w:val="24"/>
        </w:rPr>
      </w:pPr>
    </w:p>
    <w:p w14:paraId="325A27D3">
      <w:pPr>
        <w:rPr>
          <w:rFonts w:hint="eastAsia" w:ascii="仿宋" w:hAnsi="仿宋" w:eastAsia="仿宋" w:cs="仿宋"/>
          <w:color w:val="auto"/>
          <w:sz w:val="24"/>
          <w:szCs w:val="24"/>
          <w:highlight w:val="none"/>
        </w:rPr>
      </w:pPr>
    </w:p>
    <w:p w14:paraId="52ECB2EA">
      <w:pPr>
        <w:spacing w:line="48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25D7CE70">
      <w:pPr>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0D61E698">
      <w:pPr>
        <w:ind w:firstLine="3120" w:firstLineChars="1300"/>
        <w:rPr>
          <w:rFonts w:hint="eastAsia" w:ascii="楷体" w:hAnsi="楷体" w:eastAsia="楷体" w:cs="楷体"/>
          <w:b/>
          <w:color w:val="auto"/>
          <w:sz w:val="21"/>
          <w:szCs w:val="21"/>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8611BE1">
      <w:pPr>
        <w:pStyle w:val="8"/>
        <w:spacing w:line="480" w:lineRule="auto"/>
        <w:ind w:firstLine="573"/>
        <w:rPr>
          <w:rFonts w:ascii="宋体" w:hAnsi="宋体"/>
          <w:color w:val="auto"/>
          <w:sz w:val="21"/>
          <w:szCs w:val="21"/>
        </w:rPr>
      </w:pPr>
      <w:r>
        <w:rPr>
          <w:rFonts w:hint="eastAsia" w:ascii="宋体" w:hAnsi="宋体"/>
          <w:color w:val="auto"/>
          <w:sz w:val="21"/>
          <w:szCs w:val="21"/>
        </w:rPr>
        <w:t xml:space="preserve">   </w:t>
      </w:r>
    </w:p>
    <w:p w14:paraId="4DA35639">
      <w:pPr>
        <w:spacing w:line="360" w:lineRule="auto"/>
        <w:ind w:firstLine="482"/>
        <w:rPr>
          <w:rFonts w:ascii="楷体" w:hAnsi="楷体" w:eastAsia="楷体"/>
          <w:color w:val="auto"/>
          <w:szCs w:val="21"/>
        </w:rPr>
      </w:pPr>
      <w:r>
        <w:rPr>
          <w:rFonts w:ascii="宋体" w:hAnsi="宋体"/>
          <w:b/>
          <w:color w:val="auto"/>
          <w:sz w:val="36"/>
          <w:szCs w:val="36"/>
        </w:rPr>
        <w:br w:type="page"/>
      </w:r>
    </w:p>
    <w:p w14:paraId="2DD47C47">
      <w:pPr>
        <w:jc w:val="center"/>
        <w:rPr>
          <w:rFonts w:ascii="宋体" w:hAnsi="宋体"/>
          <w:b/>
          <w:color w:val="auto"/>
          <w:sz w:val="36"/>
          <w:szCs w:val="36"/>
        </w:rPr>
      </w:pPr>
      <w:bookmarkStart w:id="255" w:name="_Toc217446088"/>
      <w:r>
        <w:rPr>
          <w:rFonts w:hint="eastAsia" w:ascii="宋体" w:hAnsi="宋体"/>
          <w:b/>
          <w:color w:val="auto"/>
          <w:sz w:val="36"/>
          <w:szCs w:val="36"/>
          <w:lang w:val="en-US" w:eastAsia="zh-CN"/>
        </w:rPr>
        <w:t>附件1：</w:t>
      </w:r>
      <w:r>
        <w:rPr>
          <w:rFonts w:hint="eastAsia" w:ascii="宋体" w:hAnsi="宋体"/>
          <w:b/>
          <w:color w:val="auto"/>
          <w:sz w:val="36"/>
          <w:szCs w:val="36"/>
        </w:rPr>
        <w:t>竞争性磋商响应声明书</w:t>
      </w:r>
    </w:p>
    <w:p w14:paraId="5A06DABC">
      <w:pPr>
        <w:pStyle w:val="8"/>
        <w:ind w:firstLine="0"/>
        <w:jc w:val="center"/>
        <w:rPr>
          <w:rFonts w:ascii="仿宋_GB2312" w:eastAsia="仿宋_GB2312"/>
          <w:b/>
          <w:color w:val="auto"/>
          <w:sz w:val="36"/>
          <w:szCs w:val="36"/>
        </w:rPr>
      </w:pPr>
    </w:p>
    <w:p w14:paraId="7BB7640F">
      <w:pPr>
        <w:pStyle w:val="8"/>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陕西优正项目管理有限公司：</w:t>
      </w:r>
    </w:p>
    <w:p w14:paraId="47B71882">
      <w:pPr>
        <w:pStyle w:val="8"/>
        <w:ind w:firstLine="573"/>
        <w:rPr>
          <w:rFonts w:hint="eastAsia" w:ascii="仿宋" w:hAnsi="仿宋" w:eastAsia="仿宋" w:cs="仿宋"/>
          <w:b/>
          <w:color w:val="auto"/>
          <w:sz w:val="24"/>
          <w:szCs w:val="24"/>
        </w:rPr>
      </w:pPr>
    </w:p>
    <w:p w14:paraId="639F9B3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我方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（供应商名称），就参加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项目</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rPr>
        <w:t>（项目编号：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）磋商事宜，在此郑重声明：</w:t>
      </w:r>
    </w:p>
    <w:p w14:paraId="7C0343CE">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1.我方所提交的响应文件全部真实有效；</w:t>
      </w:r>
    </w:p>
    <w:p w14:paraId="5FA385F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2.我方近3年来无因安全事故、质量事故、投标违规等不良记录被政府有关部门处罚或仍在处罚期限内的情形存在；</w:t>
      </w:r>
    </w:p>
    <w:p w14:paraId="7319F66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3.我方近3年来无违规违法经营受到责令停产(或停止经营)、吊销生产许可证（或经营许可证）、较大数额罚款（举行听证会的）等行政处罚的情形存在；</w:t>
      </w:r>
    </w:p>
    <w:p w14:paraId="7E085031">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4.我方无企业财产被查封、冻结或处于破产状态或严重亏损状态等情形存在；</w:t>
      </w:r>
    </w:p>
    <w:p w14:paraId="44E3507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5.我方承诺在磋商过程中，保证不予其他单位恶意串通，不出让磋商资格，不采取不正当手段诋毁、排挤其他供应商，不向采购人、采购代理机构和磋商小组成员行贿；</w:t>
      </w:r>
    </w:p>
    <w:p w14:paraId="2EA25BC9">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6.我方参加本次政府采购活动近3年内，在经营活动中没有重大违法记录；</w:t>
      </w:r>
    </w:p>
    <w:p w14:paraId="04B4E9FA">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7.我方在提交响应文件时，未被列入政府采购严重违法</w:t>
      </w:r>
      <w:r>
        <w:rPr>
          <w:rFonts w:hint="eastAsia" w:ascii="仿宋" w:hAnsi="仿宋" w:eastAsia="仿宋" w:cs="仿宋"/>
          <w:color w:val="auto"/>
          <w:sz w:val="24"/>
          <w:szCs w:val="24"/>
          <w:shd w:val="clear" w:color="auto" w:fill="FFFFFF"/>
        </w:rPr>
        <w:t>失信行为记录</w:t>
      </w:r>
      <w:r>
        <w:rPr>
          <w:rFonts w:hint="eastAsia" w:ascii="仿宋" w:hAnsi="仿宋" w:eastAsia="仿宋" w:cs="仿宋"/>
          <w:color w:val="auto"/>
          <w:sz w:val="24"/>
          <w:szCs w:val="24"/>
        </w:rPr>
        <w:t>名单、失信被执行人、重大税收违法案件当事人名单。</w:t>
      </w:r>
    </w:p>
    <w:p w14:paraId="66C414E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以上声明若有违反，一经查实，我方愿意接受政府有关部门的相应处罚，并愿意承担由此带来的法律后果。</w:t>
      </w:r>
    </w:p>
    <w:p w14:paraId="51571C98">
      <w:pPr>
        <w:pStyle w:val="8"/>
        <w:spacing w:line="480" w:lineRule="auto"/>
        <w:ind w:firstLine="570"/>
        <w:rPr>
          <w:rFonts w:hint="eastAsia" w:ascii="仿宋" w:hAnsi="仿宋" w:eastAsia="仿宋" w:cs="仿宋"/>
          <w:color w:val="auto"/>
          <w:sz w:val="24"/>
          <w:szCs w:val="24"/>
        </w:rPr>
      </w:pPr>
    </w:p>
    <w:p w14:paraId="4B34851C">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特此声明！</w:t>
      </w:r>
    </w:p>
    <w:p w14:paraId="3AEC484E">
      <w:pPr>
        <w:pStyle w:val="8"/>
        <w:spacing w:line="480" w:lineRule="auto"/>
        <w:ind w:firstLine="570"/>
        <w:rPr>
          <w:rFonts w:hint="eastAsia" w:ascii="仿宋" w:hAnsi="仿宋" w:eastAsia="仿宋" w:cs="仿宋"/>
          <w:color w:val="auto"/>
          <w:sz w:val="24"/>
          <w:szCs w:val="24"/>
        </w:rPr>
      </w:pPr>
    </w:p>
    <w:p w14:paraId="19A00632">
      <w:pPr>
        <w:pStyle w:val="8"/>
        <w:spacing w:line="480" w:lineRule="auto"/>
        <w:ind w:firstLine="570"/>
        <w:rPr>
          <w:rFonts w:hint="eastAsia" w:ascii="仿宋" w:hAnsi="仿宋" w:eastAsia="仿宋" w:cs="仿宋"/>
          <w:color w:val="auto"/>
          <w:sz w:val="24"/>
          <w:szCs w:val="24"/>
        </w:rPr>
      </w:pPr>
    </w:p>
    <w:p w14:paraId="66A4C625">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7B41FB10">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055A911D">
      <w:pPr>
        <w:adjustRightInd w:val="0"/>
        <w:snapToGrid w:val="0"/>
        <w:spacing w:line="360" w:lineRule="auto"/>
        <w:ind w:firstLine="720" w:firstLineChars="300"/>
        <w:rPr>
          <w:rFonts w:ascii="楷体" w:hAnsi="楷体" w:eastAsia="楷体"/>
          <w:color w:val="auto"/>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宋体" w:hAnsi="宋体"/>
          <w:color w:val="auto"/>
          <w:szCs w:val="21"/>
        </w:rPr>
        <w:t xml:space="preserve"> </w:t>
      </w:r>
    </w:p>
    <w:p w14:paraId="45BBE7CE">
      <w:pPr>
        <w:widowControl/>
        <w:jc w:val="left"/>
        <w:rPr>
          <w:color w:val="auto"/>
          <w:kern w:val="0"/>
        </w:rPr>
      </w:pPr>
      <w:r>
        <w:rPr>
          <w:color w:val="auto"/>
          <w:kern w:val="0"/>
        </w:rPr>
        <w:br w:type="page"/>
      </w:r>
    </w:p>
    <w:p w14:paraId="4FA6EC25">
      <w:pPr>
        <w:spacing w:line="360" w:lineRule="auto"/>
        <w:jc w:val="center"/>
        <w:rPr>
          <w:rFonts w:ascii="仿宋" w:hAnsi="仿宋" w:eastAsia="仿宋" w:cs="仿宋"/>
          <w:b/>
          <w:bCs/>
          <w:color w:val="auto"/>
          <w:kern w:val="0"/>
          <w:sz w:val="28"/>
          <w:szCs w:val="28"/>
        </w:rPr>
      </w:pPr>
      <w:r>
        <w:rPr>
          <w:rFonts w:hint="eastAsia" w:ascii="宋体" w:hAnsi="宋体"/>
          <w:b/>
          <w:bCs/>
          <w:color w:val="auto"/>
          <w:sz w:val="36"/>
          <w:szCs w:val="36"/>
          <w:lang w:val="en-US" w:eastAsia="zh-CN"/>
        </w:rPr>
        <w:t>附件2：</w:t>
      </w:r>
      <w:r>
        <w:rPr>
          <w:rFonts w:hint="eastAsia" w:ascii="宋体" w:hAnsi="宋体"/>
          <w:b/>
          <w:bCs/>
          <w:color w:val="auto"/>
          <w:sz w:val="36"/>
          <w:szCs w:val="36"/>
        </w:rPr>
        <w:t>法定代表人（负责人）为同一人或者存在直接控股、管理关系的不同供应商，不得同时参加本采购项目磋商</w:t>
      </w:r>
    </w:p>
    <w:p w14:paraId="42451191">
      <w:pPr>
        <w:autoSpaceDE w:val="0"/>
        <w:autoSpaceDN w:val="0"/>
        <w:adjustRightIn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供应商企业关系关联的声明</w:t>
      </w:r>
    </w:p>
    <w:p w14:paraId="5E695E90">
      <w:pPr>
        <w:autoSpaceDE w:val="0"/>
        <w:autoSpaceDN w:val="0"/>
        <w:adjustRightInd w:val="0"/>
        <w:spacing w:line="360" w:lineRule="auto"/>
        <w:rPr>
          <w:rFonts w:hint="eastAsia" w:ascii="仿宋" w:hAnsi="仿宋" w:eastAsia="仿宋" w:cs="仿宋"/>
          <w:color w:val="auto"/>
          <w:sz w:val="24"/>
          <w:szCs w:val="24"/>
        </w:rPr>
      </w:pPr>
    </w:p>
    <w:p w14:paraId="4CF3847F">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我单位在本磋商项目中，不存在与其它供应商负责人为同一人，有控股、管理等关联关系承诺。</w:t>
      </w:r>
    </w:p>
    <w:p w14:paraId="09400825">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1、管理关系说明：</w:t>
      </w:r>
    </w:p>
    <w:p w14:paraId="4CD8360D">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我单位管理的具有独立法人的下属单位有：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87F7359">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我单位的上级管理单位有：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B8723C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2、股权关系说明：</w:t>
      </w:r>
    </w:p>
    <w:p w14:paraId="01384D34">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我单位控股的单位有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11A5A9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我单位被单位控股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8500AC8">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我单位承诺以上说明真实有效，无虚假内容或隐瞒。</w:t>
      </w:r>
    </w:p>
    <w:p w14:paraId="3DE47819">
      <w:pPr>
        <w:wordWrap w:val="0"/>
        <w:spacing w:line="360" w:lineRule="auto"/>
        <w:rPr>
          <w:rFonts w:hint="eastAsia" w:ascii="仿宋" w:hAnsi="仿宋" w:eastAsia="仿宋" w:cs="仿宋"/>
          <w:color w:val="auto"/>
          <w:sz w:val="24"/>
          <w:szCs w:val="24"/>
          <w:lang w:val="zh-TW" w:eastAsia="zh-TW" w:bidi="zh-TW"/>
        </w:rPr>
      </w:pPr>
    </w:p>
    <w:p w14:paraId="55C3827F">
      <w:pPr>
        <w:wordWrap w:val="0"/>
        <w:spacing w:line="360" w:lineRule="auto"/>
        <w:ind w:firstLine="480" w:firstLineChars="200"/>
        <w:jc w:val="right"/>
        <w:rPr>
          <w:rFonts w:hint="eastAsia" w:ascii="仿宋" w:hAnsi="仿宋" w:eastAsia="仿宋" w:cs="仿宋"/>
          <w:color w:val="auto"/>
          <w:sz w:val="24"/>
          <w:szCs w:val="24"/>
          <w:lang w:val="zh-TW" w:eastAsia="zh-TW" w:bidi="zh-TW"/>
        </w:rPr>
      </w:pPr>
    </w:p>
    <w:p w14:paraId="4B87F01B">
      <w:pPr>
        <w:pStyle w:val="8"/>
        <w:spacing w:line="480" w:lineRule="auto"/>
        <w:ind w:firstLine="570"/>
        <w:rPr>
          <w:rFonts w:hint="eastAsia" w:ascii="仿宋" w:hAnsi="仿宋" w:eastAsia="仿宋" w:cs="仿宋"/>
          <w:color w:val="auto"/>
          <w:sz w:val="24"/>
          <w:szCs w:val="24"/>
        </w:rPr>
      </w:pPr>
      <w:bookmarkStart w:id="256" w:name="4.3_申请人信用信息报告"/>
      <w:bookmarkEnd w:id="256"/>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080788F8">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72B9137C">
      <w:pPr>
        <w:pStyle w:val="8"/>
        <w:spacing w:line="480" w:lineRule="auto"/>
        <w:ind w:firstLine="573"/>
        <w:rPr>
          <w:rFonts w:ascii="宋体" w:hAnsi="宋体"/>
          <w:color w:val="auto"/>
          <w:sz w:val="21"/>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p>
    <w:p w14:paraId="0732A4A7">
      <w:pPr>
        <w:snapToGrid w:val="0"/>
        <w:spacing w:line="480" w:lineRule="auto"/>
        <w:ind w:left="4620" w:leftChars="2200"/>
        <w:rPr>
          <w:rFonts w:ascii="宋体" w:hAnsi="宋体"/>
          <w:color w:val="auto"/>
          <w:szCs w:val="20"/>
          <w:highlight w:val="none"/>
        </w:rPr>
      </w:pPr>
    </w:p>
    <w:p w14:paraId="6CB5131D">
      <w:pPr>
        <w:spacing w:line="360" w:lineRule="auto"/>
        <w:rPr>
          <w:rFonts w:ascii="宋体" w:hAnsi="宋体"/>
          <w:color w:val="auto"/>
          <w:szCs w:val="22"/>
          <w:highlight w:val="none"/>
        </w:rPr>
      </w:pPr>
    </w:p>
    <w:p w14:paraId="6DB07D72">
      <w:pPr>
        <w:spacing w:line="360" w:lineRule="auto"/>
        <w:rPr>
          <w:rFonts w:ascii="宋体" w:hAnsi="宋体"/>
          <w:color w:val="auto"/>
          <w:szCs w:val="22"/>
          <w:highlight w:val="none"/>
        </w:rPr>
      </w:pPr>
    </w:p>
    <w:p w14:paraId="517FD59A">
      <w:pPr>
        <w:spacing w:line="360" w:lineRule="auto"/>
        <w:rPr>
          <w:rFonts w:ascii="宋体" w:hAnsi="宋体"/>
          <w:color w:val="auto"/>
          <w:szCs w:val="22"/>
          <w:highlight w:val="none"/>
        </w:rPr>
      </w:pPr>
    </w:p>
    <w:p w14:paraId="6C8839F3">
      <w:pPr>
        <w:rPr>
          <w:rFonts w:ascii="黑体" w:hAnsi="宋体" w:eastAsia="黑体"/>
          <w:color w:val="auto"/>
          <w:sz w:val="28"/>
          <w:szCs w:val="28"/>
        </w:rPr>
      </w:pPr>
    </w:p>
    <w:p w14:paraId="4B93336E">
      <w:pPr>
        <w:rPr>
          <w:rFonts w:hint="eastAsia" w:ascii="黑体" w:hAnsi="宋体" w:eastAsia="黑体"/>
          <w:color w:val="auto"/>
          <w:sz w:val="28"/>
          <w:szCs w:val="28"/>
        </w:rPr>
      </w:pPr>
    </w:p>
    <w:bookmarkEnd w:id="255"/>
    <w:p w14:paraId="7B6C935B">
      <w:pPr>
        <w:numPr>
          <w:ilvl w:val="0"/>
          <w:numId w:val="0"/>
        </w:numPr>
        <w:jc w:val="center"/>
        <w:outlineLvl w:val="9"/>
        <w:rPr>
          <w:rFonts w:ascii="宋体" w:hAnsi="宋体" w:eastAsia="宋体"/>
          <w:color w:val="auto"/>
          <w:sz w:val="36"/>
          <w:szCs w:val="36"/>
        </w:rPr>
      </w:pPr>
      <w:r>
        <w:rPr>
          <w:rFonts w:hint="eastAsia" w:ascii="宋体" w:hAnsi="宋体" w:eastAsia="宋体"/>
          <w:color w:val="auto"/>
          <w:sz w:val="36"/>
          <w:szCs w:val="36"/>
          <w:lang w:val="en-US" w:eastAsia="zh-CN"/>
        </w:rPr>
        <w:t>十三、</w:t>
      </w:r>
      <w:r>
        <w:rPr>
          <w:rFonts w:hint="eastAsia" w:ascii="宋体" w:hAnsi="宋体" w:eastAsia="宋体"/>
          <w:color w:val="auto"/>
          <w:sz w:val="36"/>
          <w:szCs w:val="36"/>
        </w:rPr>
        <w:t>提供供应商享受政府采购优惠政策的证明材料</w:t>
      </w:r>
    </w:p>
    <w:p w14:paraId="382C041D">
      <w:pPr>
        <w:adjustRightInd w:val="0"/>
        <w:snapToGrid w:val="0"/>
        <w:spacing w:line="360" w:lineRule="auto"/>
        <w:rPr>
          <w:rFonts w:ascii="仿宋_GB2312" w:hAnsi="宋体" w:eastAsia="仿宋_GB2312"/>
          <w:bCs/>
          <w:color w:val="auto"/>
          <w:szCs w:val="21"/>
        </w:rPr>
      </w:pPr>
    </w:p>
    <w:p w14:paraId="2B8969C5">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4930AE9C">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（1）中小企业声明函格式见附件1；</w:t>
      </w:r>
    </w:p>
    <w:p w14:paraId="42982A68">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（2）残疾人福利性单位声明函格式见附件2；</w:t>
      </w:r>
    </w:p>
    <w:p w14:paraId="66CE4172">
      <w:pPr>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（3）监狱企业证明文件见附件3；</w:t>
      </w:r>
    </w:p>
    <w:p w14:paraId="6B8451D1">
      <w:pPr>
        <w:widowControl/>
        <w:jc w:val="left"/>
        <w:rPr>
          <w:color w:val="auto"/>
          <w:kern w:val="0"/>
        </w:rPr>
      </w:pPr>
      <w:r>
        <w:rPr>
          <w:color w:val="auto"/>
          <w:kern w:val="0"/>
        </w:rPr>
        <w:br w:type="page"/>
      </w:r>
    </w:p>
    <w:p w14:paraId="16C75277">
      <w:pPr>
        <w:spacing w:before="312" w:beforeLines="100" w:line="360" w:lineRule="auto"/>
        <w:rPr>
          <w:rFonts w:ascii="黑体" w:hAnsi="宋体" w:eastAsia="黑体"/>
          <w:color w:val="auto"/>
          <w:sz w:val="28"/>
          <w:szCs w:val="28"/>
        </w:rPr>
      </w:pPr>
      <w:r>
        <w:rPr>
          <w:rFonts w:hint="eastAsia" w:ascii="黑体" w:hAnsi="宋体" w:eastAsia="黑体"/>
          <w:color w:val="auto"/>
          <w:sz w:val="28"/>
          <w:szCs w:val="28"/>
        </w:rPr>
        <w:t>附件1：</w:t>
      </w:r>
    </w:p>
    <w:p w14:paraId="6A7C8B13">
      <w:pPr>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中小企业声明函（</w:t>
      </w:r>
      <w:r>
        <w:rPr>
          <w:rFonts w:hint="eastAsia" w:ascii="仿宋" w:hAnsi="仿宋" w:eastAsia="仿宋" w:cs="仿宋"/>
          <w:b/>
          <w:bCs/>
          <w:color w:val="auto"/>
          <w:kern w:val="0"/>
          <w:sz w:val="24"/>
          <w:szCs w:val="24"/>
          <w:highlight w:val="none"/>
          <w:lang w:val="en-US" w:eastAsia="zh-CN"/>
        </w:rPr>
        <w:t>工程</w:t>
      </w:r>
      <w:r>
        <w:rPr>
          <w:rFonts w:hint="eastAsia" w:ascii="仿宋" w:hAnsi="仿宋" w:eastAsia="仿宋" w:cs="仿宋"/>
          <w:b/>
          <w:bCs/>
          <w:color w:val="auto"/>
          <w:kern w:val="0"/>
          <w:sz w:val="24"/>
          <w:szCs w:val="24"/>
          <w:highlight w:val="none"/>
        </w:rPr>
        <w:t>）</w:t>
      </w:r>
    </w:p>
    <w:p w14:paraId="08882DDB">
      <w:pPr>
        <w:adjustRightInd w:val="0"/>
        <w:snapToGrid w:val="0"/>
        <w:ind w:left="420" w:hanging="480" w:hangingChars="200"/>
        <w:jc w:val="left"/>
        <w:rPr>
          <w:rFonts w:hint="eastAsia" w:ascii="仿宋" w:hAnsi="仿宋" w:eastAsia="仿宋" w:cs="仿宋"/>
          <w:color w:val="auto"/>
          <w:sz w:val="24"/>
          <w:szCs w:val="24"/>
          <w:highlight w:val="none"/>
        </w:rPr>
      </w:pPr>
    </w:p>
    <w:p w14:paraId="3E80FA07">
      <w:pPr>
        <w:spacing w:before="624" w:beforeLines="200"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(单位名称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的</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(项目名称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采购活动，工程的施工单位全部为符合要求的中小企业（或者：服务全部由符合政策要求的中小企业承接）。相关企业(含联合体中的中小企业、签订分包意向协议的中小企业)的具体情况如下:</w:t>
      </w:r>
    </w:p>
    <w:p w14:paraId="2C2395A1">
      <w:pPr>
        <w:spacing w:line="360" w:lineRule="auto"/>
        <w:ind w:firstLine="476" w:firstLineChars="18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(采购文件中明确的所属行业)</w:t>
      </w:r>
      <w:r>
        <w:rPr>
          <w:rFonts w:hint="eastAsia" w:ascii="仿宋" w:hAnsi="仿宋" w:eastAsia="仿宋" w:cs="仿宋"/>
          <w:color w:val="auto"/>
          <w:spacing w:val="6"/>
          <w:sz w:val="24"/>
          <w:szCs w:val="24"/>
          <w:highlight w:val="none"/>
        </w:rPr>
        <w:t>；承建（承接）企业为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w:t>
      </w:r>
      <w:r>
        <w:rPr>
          <w:rFonts w:hint="eastAsia" w:ascii="仿宋" w:hAnsi="仿宋" w:eastAsia="仿宋" w:cs="仿宋"/>
          <w:color w:val="auto"/>
          <w:sz w:val="24"/>
          <w:szCs w:val="24"/>
          <w:vertAlign w:val="superscript"/>
        </w:rPr>
        <w:t>1</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u w:val="single"/>
        </w:rPr>
        <w:t>)</w:t>
      </w:r>
      <w:r>
        <w:rPr>
          <w:rFonts w:hint="eastAsia" w:ascii="仿宋" w:hAnsi="仿宋" w:eastAsia="仿宋" w:cs="仿宋"/>
          <w:color w:val="auto"/>
          <w:spacing w:val="6"/>
          <w:sz w:val="24"/>
          <w:szCs w:val="24"/>
          <w:highlight w:val="none"/>
        </w:rPr>
        <w:t>;</w:t>
      </w:r>
    </w:p>
    <w:p w14:paraId="6378469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(采购文件中明确的所属行业)</w:t>
      </w:r>
      <w:r>
        <w:rPr>
          <w:rFonts w:hint="eastAsia" w:ascii="仿宋" w:hAnsi="仿宋" w:eastAsia="仿宋" w:cs="仿宋"/>
          <w:color w:val="auto"/>
          <w:spacing w:val="6"/>
          <w:sz w:val="24"/>
          <w:szCs w:val="24"/>
          <w:highlight w:val="none"/>
        </w:rPr>
        <w:t>;承接企业为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rPr>
        <w:t>。</w:t>
      </w:r>
    </w:p>
    <w:p w14:paraId="30B6F4FD">
      <w:pPr>
        <w:ind w:firstLine="504" w:firstLineChars="200"/>
        <w:rPr>
          <w:rFonts w:hint="eastAsia" w:ascii="仿宋" w:hAnsi="仿宋" w:eastAsia="仿宋" w:cs="仿宋"/>
          <w:color w:val="auto"/>
          <w:spacing w:val="6"/>
          <w:sz w:val="24"/>
          <w:szCs w:val="24"/>
          <w:highlight w:val="none"/>
        </w:rPr>
      </w:pPr>
    </w:p>
    <w:p w14:paraId="022416B7">
      <w:pPr>
        <w:ind w:firstLine="504"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w:t>
      </w:r>
    </w:p>
    <w:p w14:paraId="34F89A77">
      <w:pPr>
        <w:spacing w:line="360" w:lineRule="auto"/>
        <w:ind w:firstLine="504" w:firstLineChars="200"/>
        <w:rPr>
          <w:rFonts w:hint="eastAsia" w:ascii="仿宋" w:hAnsi="仿宋" w:eastAsia="仿宋" w:cs="仿宋"/>
          <w:color w:val="auto"/>
          <w:spacing w:val="6"/>
          <w:sz w:val="24"/>
          <w:szCs w:val="24"/>
          <w:highlight w:val="none"/>
        </w:rPr>
      </w:pPr>
    </w:p>
    <w:p w14:paraId="1B3662EC">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以上企业，不属于大企业的分支机构，不存在控股股东为大企业的情形，也不存在与大企业的负责人为同一人的情形。</w:t>
      </w:r>
    </w:p>
    <w:p w14:paraId="5A7DF6C5">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本企业对上述声明内容的真实性负责。如有虚假，将依法承担相应责任。</w:t>
      </w:r>
    </w:p>
    <w:p w14:paraId="0F490CBE">
      <w:pPr>
        <w:spacing w:line="360" w:lineRule="auto"/>
        <w:ind w:firstLine="504" w:firstLineChars="200"/>
        <w:rPr>
          <w:rFonts w:hint="eastAsia" w:ascii="仿宋" w:hAnsi="仿宋" w:eastAsia="仿宋" w:cs="仿宋"/>
          <w:color w:val="auto"/>
          <w:spacing w:val="6"/>
          <w:sz w:val="24"/>
          <w:szCs w:val="24"/>
          <w:highlight w:val="none"/>
        </w:rPr>
      </w:pPr>
    </w:p>
    <w:p w14:paraId="7A590AED">
      <w:pPr>
        <w:snapToGrid w:val="0"/>
        <w:spacing w:line="480" w:lineRule="auto"/>
        <w:ind w:left="4620" w:leftChars="2200"/>
        <w:rPr>
          <w:rFonts w:hint="eastAsia" w:ascii="仿宋" w:hAnsi="仿宋" w:eastAsia="仿宋" w:cs="仿宋"/>
          <w:color w:val="auto"/>
          <w:sz w:val="24"/>
          <w:szCs w:val="24"/>
        </w:rPr>
      </w:pPr>
      <w:r>
        <w:rPr>
          <w:rFonts w:hint="eastAsia" w:ascii="仿宋" w:hAnsi="仿宋" w:eastAsia="仿宋" w:cs="仿宋"/>
          <w:color w:val="auto"/>
          <w:sz w:val="24"/>
          <w:szCs w:val="24"/>
        </w:rPr>
        <w:t>企业名称（盖章）：</w:t>
      </w:r>
    </w:p>
    <w:p w14:paraId="2DE023EF">
      <w:pPr>
        <w:snapToGrid w:val="0"/>
        <w:spacing w:line="480" w:lineRule="auto"/>
        <w:ind w:left="4620" w:leftChars="2200"/>
        <w:rPr>
          <w:rFonts w:ascii="宋体" w:hAnsi="宋体"/>
          <w:color w:val="auto"/>
          <w:szCs w:val="20"/>
        </w:rPr>
      </w:pPr>
      <w:r>
        <w:rPr>
          <w:rFonts w:hint="eastAsia" w:ascii="仿宋" w:hAnsi="仿宋" w:eastAsia="仿宋" w:cs="仿宋"/>
          <w:color w:val="auto"/>
          <w:sz w:val="24"/>
          <w:szCs w:val="24"/>
        </w:rPr>
        <w:t>日期：</w:t>
      </w:r>
    </w:p>
    <w:p w14:paraId="3B323D16">
      <w:pPr>
        <w:snapToGrid w:val="0"/>
        <w:spacing w:line="480" w:lineRule="auto"/>
        <w:ind w:left="4620" w:leftChars="2200"/>
        <w:rPr>
          <w:rFonts w:ascii="宋体" w:hAnsi="宋体"/>
          <w:color w:val="auto"/>
          <w:szCs w:val="20"/>
          <w:highlight w:val="none"/>
        </w:rPr>
      </w:pPr>
    </w:p>
    <w:p w14:paraId="48C33213">
      <w:pPr>
        <w:spacing w:line="360" w:lineRule="auto"/>
        <w:rPr>
          <w:rFonts w:ascii="宋体" w:hAnsi="宋体"/>
          <w:color w:val="auto"/>
          <w:szCs w:val="22"/>
          <w:highlight w:val="none"/>
        </w:rPr>
      </w:pPr>
    </w:p>
    <w:p w14:paraId="2C752C3E">
      <w:pPr>
        <w:spacing w:line="360" w:lineRule="auto"/>
        <w:rPr>
          <w:rFonts w:ascii="宋体" w:hAnsi="宋体"/>
          <w:color w:val="auto"/>
          <w:szCs w:val="22"/>
          <w:highlight w:val="none"/>
        </w:rPr>
      </w:pPr>
    </w:p>
    <w:p w14:paraId="22464EEE">
      <w:pPr>
        <w:spacing w:line="360" w:lineRule="auto"/>
        <w:rPr>
          <w:rFonts w:ascii="宋体" w:hAnsi="宋体"/>
          <w:color w:val="auto"/>
          <w:szCs w:val="22"/>
          <w:highlight w:val="none"/>
        </w:rPr>
      </w:pPr>
    </w:p>
    <w:p w14:paraId="386CA126">
      <w:pPr>
        <w:tabs>
          <w:tab w:val="left" w:pos="1755"/>
        </w:tabs>
        <w:spacing w:line="500" w:lineRule="atLeast"/>
        <w:rPr>
          <w:rFonts w:ascii="宋体" w:hAnsi="宋体"/>
          <w:color w:val="auto"/>
          <w:szCs w:val="22"/>
          <w:highlight w:val="none"/>
        </w:rPr>
      </w:pPr>
      <w:r>
        <w:rPr>
          <w:rFonts w:hint="eastAsia" w:ascii="宋体" w:hAnsi="宋体"/>
          <w:color w:val="auto"/>
          <w:szCs w:val="22"/>
          <w:highlight w:val="none"/>
          <w:vertAlign w:val="superscript"/>
        </w:rPr>
        <w:t>1</w:t>
      </w:r>
      <w:r>
        <w:rPr>
          <w:rFonts w:hint="eastAsia" w:ascii="仿宋" w:hAnsi="仿宋" w:eastAsia="仿宋" w:cs="仿宋"/>
          <w:color w:val="auto"/>
          <w:sz w:val="24"/>
          <w:szCs w:val="24"/>
          <w:highlight w:val="none"/>
        </w:rPr>
        <w:t>从业人员、营业收入、资产总额填报上一年度数据， 无上一年度数据的新成立企业可不填报</w:t>
      </w:r>
      <w:r>
        <w:rPr>
          <w:rFonts w:ascii="宋体" w:hAnsi="宋体"/>
          <w:color w:val="auto"/>
          <w:szCs w:val="22"/>
          <w:highlight w:val="none"/>
        </w:rPr>
        <w:t>。</w:t>
      </w:r>
    </w:p>
    <w:p w14:paraId="6D5A3B51">
      <w:pPr>
        <w:rPr>
          <w:rFonts w:ascii="黑体" w:hAnsi="宋体" w:eastAsia="黑体"/>
          <w:color w:val="auto"/>
          <w:sz w:val="28"/>
          <w:szCs w:val="28"/>
        </w:rPr>
      </w:pPr>
    </w:p>
    <w:p w14:paraId="6CA94D1A">
      <w:pPr>
        <w:rPr>
          <w:color w:val="auto"/>
        </w:rPr>
      </w:pPr>
    </w:p>
    <w:p w14:paraId="00AD2B2D">
      <w:pPr>
        <w:adjustRightInd w:val="0"/>
        <w:snapToGrid w:val="0"/>
        <w:spacing w:line="360" w:lineRule="auto"/>
        <w:rPr>
          <w:rFonts w:ascii="黑体" w:hAnsi="宋体" w:eastAsia="黑体"/>
          <w:color w:val="auto"/>
          <w:sz w:val="28"/>
          <w:szCs w:val="28"/>
        </w:rPr>
      </w:pPr>
      <w:r>
        <w:rPr>
          <w:rFonts w:hint="eastAsia" w:ascii="黑体" w:hAnsi="宋体" w:eastAsia="黑体"/>
          <w:color w:val="auto"/>
          <w:sz w:val="28"/>
          <w:szCs w:val="28"/>
        </w:rPr>
        <w:t>附件2：</w:t>
      </w:r>
    </w:p>
    <w:p w14:paraId="67DBE309">
      <w:pPr>
        <w:spacing w:line="588" w:lineRule="exact"/>
        <w:jc w:val="center"/>
        <w:rPr>
          <w:rFonts w:ascii="宋体" w:hAnsi="宋体"/>
          <w:b/>
          <w:color w:val="auto"/>
          <w:spacing w:val="6"/>
          <w:sz w:val="36"/>
          <w:szCs w:val="36"/>
        </w:rPr>
      </w:pPr>
      <w:bookmarkStart w:id="257" w:name="OLE_LINK14"/>
      <w:bookmarkStart w:id="258" w:name="OLE_LINK13"/>
    </w:p>
    <w:p w14:paraId="5EAD639C">
      <w:pPr>
        <w:spacing w:line="588" w:lineRule="exact"/>
        <w:jc w:val="center"/>
        <w:rPr>
          <w:rFonts w:hint="eastAsia" w:ascii="仿宋" w:hAnsi="仿宋" w:eastAsia="仿宋" w:cs="仿宋"/>
          <w:b/>
          <w:color w:val="auto"/>
          <w:spacing w:val="6"/>
          <w:sz w:val="24"/>
          <w:szCs w:val="24"/>
        </w:rPr>
      </w:pPr>
      <w:r>
        <w:rPr>
          <w:rFonts w:hint="eastAsia" w:ascii="仿宋" w:hAnsi="仿宋" w:eastAsia="仿宋" w:cs="仿宋"/>
          <w:b/>
          <w:color w:val="auto"/>
          <w:spacing w:val="6"/>
          <w:sz w:val="24"/>
          <w:szCs w:val="24"/>
        </w:rPr>
        <w:t>残疾人福利性单位声明函</w:t>
      </w:r>
    </w:p>
    <w:bookmarkEnd w:id="257"/>
    <w:bookmarkEnd w:id="258"/>
    <w:p w14:paraId="25B57041">
      <w:pPr>
        <w:spacing w:line="588" w:lineRule="exact"/>
        <w:rPr>
          <w:rFonts w:hint="eastAsia" w:ascii="仿宋" w:hAnsi="仿宋" w:eastAsia="仿宋" w:cs="仿宋"/>
          <w:b/>
          <w:color w:val="auto"/>
          <w:spacing w:val="6"/>
          <w:sz w:val="24"/>
          <w:szCs w:val="24"/>
        </w:rPr>
      </w:pPr>
    </w:p>
    <w:p w14:paraId="23841CDE">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本单位郑重声明，根据《财政部 民政部 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158C76">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本单位对上述声明的真实性负责。如有虚假，将依法承担相应责任。</w:t>
      </w:r>
    </w:p>
    <w:p w14:paraId="68BE78A1">
      <w:pPr>
        <w:spacing w:line="360" w:lineRule="auto"/>
        <w:ind w:firstLine="504" w:firstLineChars="200"/>
        <w:rPr>
          <w:rFonts w:hint="eastAsia" w:ascii="仿宋" w:hAnsi="仿宋" w:eastAsia="仿宋" w:cs="仿宋"/>
          <w:color w:val="auto"/>
          <w:spacing w:val="6"/>
          <w:sz w:val="24"/>
          <w:szCs w:val="24"/>
        </w:rPr>
      </w:pPr>
    </w:p>
    <w:p w14:paraId="2715AB9F">
      <w:pPr>
        <w:spacing w:line="360" w:lineRule="auto"/>
        <w:ind w:firstLine="504" w:firstLineChars="200"/>
        <w:rPr>
          <w:rFonts w:hint="eastAsia" w:ascii="仿宋" w:hAnsi="仿宋" w:eastAsia="仿宋" w:cs="仿宋"/>
          <w:color w:val="auto"/>
          <w:spacing w:val="6"/>
          <w:sz w:val="24"/>
          <w:szCs w:val="24"/>
        </w:rPr>
      </w:pPr>
    </w:p>
    <w:p w14:paraId="36DC4EE9">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单位名称：</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（盖单位章）</w:t>
      </w:r>
    </w:p>
    <w:p w14:paraId="6B2A81CC">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p>
    <w:p w14:paraId="4226F4CE">
      <w:pPr>
        <w:tabs>
          <w:tab w:val="left" w:pos="4860"/>
        </w:tabs>
        <w:spacing w:line="360" w:lineRule="auto"/>
        <w:ind w:right="1560" w:firstLine="504" w:firstLineChars="200"/>
        <w:jc w:val="center"/>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                   日    期：</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月</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日</w:t>
      </w:r>
    </w:p>
    <w:p w14:paraId="515528CC">
      <w:pPr>
        <w:adjustRightInd w:val="0"/>
        <w:snapToGrid w:val="0"/>
        <w:spacing w:line="360" w:lineRule="auto"/>
        <w:rPr>
          <w:rFonts w:hint="eastAsia" w:ascii="仿宋" w:hAnsi="仿宋" w:eastAsia="仿宋" w:cs="仿宋"/>
          <w:b/>
          <w:color w:val="auto"/>
          <w:sz w:val="24"/>
          <w:szCs w:val="24"/>
        </w:rPr>
      </w:pPr>
    </w:p>
    <w:p w14:paraId="63CC75BE">
      <w:pPr>
        <w:adjustRightInd w:val="0"/>
        <w:snapToGrid w:val="0"/>
        <w:spacing w:before="50" w:line="360" w:lineRule="auto"/>
        <w:jc w:val="center"/>
        <w:rPr>
          <w:rFonts w:hint="eastAsia" w:ascii="仿宋" w:hAnsi="仿宋" w:eastAsia="仿宋" w:cs="仿宋"/>
          <w:b/>
          <w:color w:val="auto"/>
          <w:sz w:val="24"/>
          <w:szCs w:val="24"/>
        </w:rPr>
      </w:pPr>
    </w:p>
    <w:p w14:paraId="0527B26E">
      <w:pPr>
        <w:adjustRightInd w:val="0"/>
        <w:snapToGrid w:val="0"/>
        <w:spacing w:before="50" w:line="360" w:lineRule="auto"/>
        <w:jc w:val="center"/>
        <w:rPr>
          <w:rFonts w:hint="eastAsia" w:ascii="仿宋" w:hAnsi="仿宋" w:eastAsia="仿宋" w:cs="仿宋"/>
          <w:b/>
          <w:color w:val="auto"/>
          <w:sz w:val="24"/>
          <w:szCs w:val="24"/>
        </w:rPr>
      </w:pPr>
    </w:p>
    <w:p w14:paraId="52CC5AF0">
      <w:pPr>
        <w:adjustRightInd w:val="0"/>
        <w:snapToGrid w:val="0"/>
        <w:spacing w:before="50" w:line="360" w:lineRule="auto"/>
        <w:jc w:val="center"/>
        <w:rPr>
          <w:rFonts w:hint="eastAsia" w:ascii="仿宋" w:hAnsi="仿宋" w:eastAsia="仿宋" w:cs="仿宋"/>
          <w:b/>
          <w:color w:val="auto"/>
          <w:sz w:val="24"/>
          <w:szCs w:val="24"/>
        </w:rPr>
      </w:pPr>
    </w:p>
    <w:p w14:paraId="2551173D">
      <w:pPr>
        <w:adjustRightInd w:val="0"/>
        <w:snapToGrid w:val="0"/>
        <w:spacing w:before="50" w:line="360" w:lineRule="auto"/>
        <w:jc w:val="center"/>
        <w:rPr>
          <w:rFonts w:hint="eastAsia" w:ascii="仿宋" w:hAnsi="仿宋" w:eastAsia="仿宋" w:cs="仿宋"/>
          <w:b/>
          <w:color w:val="auto"/>
          <w:sz w:val="24"/>
          <w:szCs w:val="24"/>
        </w:rPr>
      </w:pPr>
    </w:p>
    <w:p w14:paraId="278ADBB7">
      <w:pPr>
        <w:adjustRightInd w:val="0"/>
        <w:snapToGrid w:val="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说明：（1）填报前请认真阅读</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w:t>
      </w:r>
    </w:p>
    <w:p w14:paraId="454AC792">
      <w:pPr>
        <w:adjustRightInd w:val="0"/>
        <w:snapToGrid w:val="0"/>
        <w:spacing w:line="360" w:lineRule="exact"/>
        <w:ind w:firstLine="600" w:firstLineChars="250"/>
        <w:rPr>
          <w:rFonts w:ascii="楷体" w:hAnsi="楷体" w:eastAsia="楷体"/>
          <w:bCs/>
          <w:color w:val="auto"/>
          <w:szCs w:val="21"/>
        </w:rPr>
      </w:pPr>
      <w:r>
        <w:rPr>
          <w:rFonts w:hint="eastAsia" w:ascii="仿宋" w:hAnsi="仿宋" w:eastAsia="仿宋" w:cs="仿宋"/>
          <w:color w:val="auto"/>
          <w:sz w:val="24"/>
          <w:szCs w:val="24"/>
        </w:rPr>
        <w:t>（2）供应商属于残疾人福利性单位的，必须填报有关数据，</w:t>
      </w:r>
      <w:r>
        <w:rPr>
          <w:rFonts w:hint="eastAsia" w:ascii="仿宋" w:hAnsi="仿宋" w:eastAsia="仿宋" w:cs="仿宋"/>
          <w:bCs/>
          <w:color w:val="auto"/>
          <w:sz w:val="24"/>
          <w:szCs w:val="24"/>
        </w:rPr>
        <w:t>未按要求提供的，不享受报价扣除优惠政策。</w:t>
      </w:r>
    </w:p>
    <w:p w14:paraId="3FEC2CA1">
      <w:pPr>
        <w:adjustRightInd w:val="0"/>
        <w:snapToGrid w:val="0"/>
        <w:spacing w:line="360" w:lineRule="exact"/>
        <w:ind w:firstLine="525" w:firstLineChars="250"/>
        <w:rPr>
          <w:rFonts w:ascii="楷体" w:hAnsi="楷体" w:eastAsia="楷体"/>
          <w:color w:val="auto"/>
          <w:szCs w:val="21"/>
        </w:rPr>
      </w:pPr>
    </w:p>
    <w:p w14:paraId="0001D13B">
      <w:pPr>
        <w:pStyle w:val="12"/>
        <w:rPr>
          <w:color w:val="auto"/>
        </w:rPr>
      </w:pPr>
    </w:p>
    <w:p w14:paraId="68EB5ADC">
      <w:pPr>
        <w:adjustRightInd w:val="0"/>
        <w:snapToGrid w:val="0"/>
        <w:spacing w:line="360" w:lineRule="auto"/>
        <w:rPr>
          <w:rFonts w:ascii="宋体" w:hAnsi="宋体"/>
          <w:b/>
          <w:color w:val="auto"/>
          <w:sz w:val="28"/>
          <w:szCs w:val="28"/>
        </w:rPr>
      </w:pPr>
    </w:p>
    <w:p w14:paraId="2EBB6B41">
      <w:pPr>
        <w:pStyle w:val="2"/>
        <w:rPr>
          <w:rFonts w:ascii="宋体" w:hAnsi="宋体"/>
          <w:b/>
          <w:color w:val="auto"/>
          <w:sz w:val="28"/>
          <w:szCs w:val="28"/>
        </w:rPr>
      </w:pPr>
    </w:p>
    <w:p w14:paraId="6FE1A832">
      <w:pPr>
        <w:rPr>
          <w:color w:val="auto"/>
        </w:rPr>
      </w:pPr>
    </w:p>
    <w:p w14:paraId="3328E988">
      <w:pPr>
        <w:pStyle w:val="12"/>
        <w:rPr>
          <w:color w:val="auto"/>
        </w:rPr>
      </w:pPr>
    </w:p>
    <w:p w14:paraId="3BECD423">
      <w:pPr>
        <w:adjustRightInd w:val="0"/>
        <w:snapToGrid w:val="0"/>
        <w:spacing w:line="360" w:lineRule="auto"/>
        <w:rPr>
          <w:rFonts w:hint="eastAsia" w:ascii="黑体" w:hAnsi="宋体" w:eastAsia="黑体"/>
          <w:color w:val="auto"/>
          <w:sz w:val="28"/>
          <w:szCs w:val="28"/>
        </w:rPr>
      </w:pPr>
      <w:r>
        <w:rPr>
          <w:rFonts w:hint="eastAsia" w:ascii="黑体" w:hAnsi="宋体" w:eastAsia="黑体"/>
          <w:color w:val="auto"/>
          <w:sz w:val="28"/>
          <w:szCs w:val="28"/>
        </w:rPr>
        <w:t>附件3：</w:t>
      </w:r>
    </w:p>
    <w:p w14:paraId="69DFE21B">
      <w:pPr>
        <w:adjustRightInd w:val="0"/>
        <w:snapToGrid w:val="0"/>
        <w:spacing w:before="50" w:line="360" w:lineRule="auto"/>
        <w:jc w:val="center"/>
        <w:rPr>
          <w:rFonts w:ascii="宋体" w:hAnsi="宋体"/>
          <w:b/>
          <w:color w:val="auto"/>
          <w:sz w:val="36"/>
          <w:szCs w:val="36"/>
        </w:rPr>
      </w:pPr>
      <w:r>
        <w:rPr>
          <w:rFonts w:hint="eastAsia" w:ascii="宋体" w:hAnsi="宋体"/>
          <w:b/>
          <w:color w:val="auto"/>
          <w:sz w:val="36"/>
          <w:szCs w:val="36"/>
        </w:rPr>
        <w:t>监狱企业证明文件</w:t>
      </w:r>
    </w:p>
    <w:p w14:paraId="2FD2A52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1C9D1D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609F74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 购 人 名 称 )    </w:t>
      </w:r>
    </w:p>
    <w:p w14:paraId="114E12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4A390C7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794922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本单位郑重声明，根据《财政部司法部关于政府采购支持监狱企业发展有关问题的通知》(财库〔2014)68号〕的规定，本单位为符合条件的监狱企业，且本单位参加单位的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项目采购活动提供本单位制造的货物(由本单位承担工程/提供 服务)。</w:t>
      </w:r>
    </w:p>
    <w:p w14:paraId="4BBB90B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6BD2D5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特此声明。</w:t>
      </w:r>
    </w:p>
    <w:p w14:paraId="4D38DA44">
      <w:pPr>
        <w:rPr>
          <w:rFonts w:hint="eastAsia" w:ascii="仿宋" w:hAnsi="仿宋" w:eastAsia="仿宋" w:cs="仿宋"/>
          <w:sz w:val="24"/>
          <w:szCs w:val="24"/>
        </w:rPr>
      </w:pPr>
    </w:p>
    <w:p w14:paraId="41B1C43E">
      <w:pPr>
        <w:rPr>
          <w:rFonts w:hint="eastAsia" w:ascii="仿宋" w:hAnsi="仿宋" w:eastAsia="仿宋" w:cs="仿宋"/>
          <w:sz w:val="24"/>
          <w:szCs w:val="24"/>
        </w:rPr>
      </w:pPr>
    </w:p>
    <w:p w14:paraId="413FCCAE">
      <w:pPr>
        <w:rPr>
          <w:rFonts w:hint="eastAsia" w:ascii="仿宋" w:hAnsi="仿宋" w:eastAsia="仿宋" w:cs="仿宋"/>
          <w:sz w:val="24"/>
          <w:szCs w:val="24"/>
        </w:rPr>
      </w:pPr>
    </w:p>
    <w:p w14:paraId="6E99F4F2">
      <w:pPr>
        <w:rPr>
          <w:rFonts w:hint="eastAsia" w:ascii="仿宋" w:hAnsi="仿宋" w:eastAsia="仿宋" w:cs="仿宋"/>
          <w:sz w:val="24"/>
          <w:szCs w:val="24"/>
        </w:rPr>
      </w:pPr>
    </w:p>
    <w:p w14:paraId="037A0E7A">
      <w:pPr>
        <w:rPr>
          <w:rFonts w:hint="eastAsia" w:ascii="仿宋" w:hAnsi="仿宋" w:eastAsia="仿宋" w:cs="仿宋"/>
          <w:sz w:val="24"/>
          <w:szCs w:val="24"/>
        </w:rPr>
      </w:pPr>
    </w:p>
    <w:p w14:paraId="586D59E4">
      <w:pPr>
        <w:rPr>
          <w:rFonts w:hint="eastAsia" w:ascii="仿宋" w:hAnsi="仿宋" w:eastAsia="仿宋" w:cs="仿宋"/>
          <w:sz w:val="24"/>
          <w:szCs w:val="24"/>
        </w:rPr>
      </w:pPr>
    </w:p>
    <w:p w14:paraId="6CED71E2">
      <w:pPr>
        <w:jc w:val="right"/>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盖 单 位 章 )</w:t>
      </w:r>
    </w:p>
    <w:p w14:paraId="64F4237B">
      <w:pPr>
        <w:rPr>
          <w:rFonts w:hint="eastAsia" w:ascii="仿宋" w:hAnsi="仿宋" w:eastAsia="仿宋" w:cs="仿宋"/>
          <w:sz w:val="24"/>
          <w:szCs w:val="24"/>
        </w:rPr>
      </w:pPr>
    </w:p>
    <w:p w14:paraId="75A3DCAD">
      <w:pPr>
        <w:rPr>
          <w:rFonts w:hint="eastAsia" w:ascii="仿宋" w:hAnsi="仿宋" w:eastAsia="仿宋" w:cs="仿宋"/>
          <w:sz w:val="24"/>
          <w:szCs w:val="24"/>
        </w:rPr>
      </w:pPr>
    </w:p>
    <w:p w14:paraId="7093AEE7">
      <w:pPr>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_</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1A421F1D">
      <w:pPr>
        <w:rPr>
          <w:rFonts w:hint="eastAsia" w:ascii="仿宋" w:hAnsi="仿宋" w:eastAsia="仿宋" w:cs="仿宋"/>
          <w:b/>
          <w:color w:val="auto"/>
          <w:sz w:val="24"/>
          <w:szCs w:val="24"/>
        </w:rPr>
      </w:pPr>
    </w:p>
    <w:p w14:paraId="63BF1990">
      <w:pPr>
        <w:pStyle w:val="2"/>
        <w:rPr>
          <w:rFonts w:hint="eastAsia" w:ascii="仿宋" w:hAnsi="仿宋" w:eastAsia="仿宋" w:cs="仿宋"/>
          <w:color w:val="auto"/>
          <w:sz w:val="24"/>
          <w:szCs w:val="24"/>
        </w:rPr>
      </w:pPr>
    </w:p>
    <w:p w14:paraId="28124EEF">
      <w:pPr>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39E1DF6">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1.填报前请认真阅读</w:t>
      </w:r>
      <w:r>
        <w:rPr>
          <w:rFonts w:hint="eastAsia" w:ascii="仿宋" w:hAnsi="仿宋" w:eastAsia="仿宋" w:cs="仿宋"/>
          <w:color w:val="auto"/>
          <w:spacing w:val="6"/>
          <w:sz w:val="24"/>
          <w:szCs w:val="24"/>
        </w:rPr>
        <w:t>《财政部、司法部关于政府采购支持监狱企业发展有关问题的通知》（财库</w:t>
      </w:r>
      <w:r>
        <w:rPr>
          <w:rFonts w:hint="eastAsia" w:ascii="仿宋" w:hAnsi="仿宋" w:eastAsia="仿宋" w:cs="仿宋"/>
          <w:color w:val="auto"/>
          <w:sz w:val="24"/>
          <w:szCs w:val="24"/>
        </w:rPr>
        <w:t>〔2014〕68</w:t>
      </w:r>
      <w:r>
        <w:rPr>
          <w:rFonts w:hint="eastAsia" w:ascii="仿宋" w:hAnsi="仿宋" w:eastAsia="仿宋" w:cs="仿宋"/>
          <w:color w:val="auto"/>
          <w:spacing w:val="6"/>
          <w:sz w:val="24"/>
          <w:szCs w:val="24"/>
        </w:rPr>
        <w:t>号）的规定；</w:t>
      </w:r>
    </w:p>
    <w:p w14:paraId="5B88FC5A">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2.无格式要求，由出具监狱企业证明的单位自行拟定；</w:t>
      </w:r>
    </w:p>
    <w:p w14:paraId="39AFE2E8">
      <w:pPr>
        <w:adjustRightInd w:val="0"/>
        <w:snapToGrid w:val="0"/>
        <w:spacing w:line="360" w:lineRule="exact"/>
        <w:ind w:firstLine="600" w:firstLineChars="250"/>
        <w:rPr>
          <w:rFonts w:hint="eastAsia" w:ascii="仿宋" w:hAnsi="仿宋" w:eastAsia="仿宋" w:cs="仿宋"/>
          <w:bCs/>
          <w:color w:val="auto"/>
          <w:sz w:val="24"/>
          <w:szCs w:val="24"/>
        </w:rPr>
      </w:pPr>
      <w:r>
        <w:rPr>
          <w:rFonts w:hint="eastAsia" w:ascii="仿宋" w:hAnsi="仿宋" w:eastAsia="仿宋" w:cs="仿宋"/>
          <w:color w:val="auto"/>
          <w:sz w:val="24"/>
          <w:szCs w:val="24"/>
        </w:rPr>
        <w:t>供应商属于监狱企业的，</w:t>
      </w:r>
      <w:r>
        <w:rPr>
          <w:rFonts w:hint="eastAsia" w:ascii="仿宋" w:hAnsi="仿宋" w:eastAsia="仿宋" w:cs="仿宋"/>
          <w:bCs/>
          <w:color w:val="auto"/>
          <w:sz w:val="24"/>
          <w:szCs w:val="24"/>
        </w:rPr>
        <w:t>未按上述要求提供的，不享受报价扣除优惠政策。</w:t>
      </w:r>
    </w:p>
    <w:p w14:paraId="375DBBD4">
      <w:pPr>
        <w:adjustRightInd w:val="0"/>
        <w:snapToGrid w:val="0"/>
        <w:spacing w:line="360" w:lineRule="exact"/>
        <w:ind w:left="525" w:leftChars="250"/>
        <w:rPr>
          <w:rFonts w:ascii="楷体" w:hAnsi="楷体" w:eastAsia="楷体"/>
          <w:bCs/>
          <w:color w:val="auto"/>
          <w:szCs w:val="21"/>
        </w:rPr>
      </w:pPr>
    </w:p>
    <w:p w14:paraId="2AFDA664">
      <w:pPr>
        <w:pStyle w:val="2"/>
        <w:rPr>
          <w:rFonts w:eastAsia="楷体"/>
          <w:color w:val="auto"/>
        </w:rPr>
      </w:pPr>
    </w:p>
    <w:p w14:paraId="22350E93">
      <w:pPr>
        <w:adjustRightInd w:val="0"/>
        <w:snapToGrid w:val="0"/>
        <w:spacing w:line="360" w:lineRule="auto"/>
        <w:ind w:firstLine="525"/>
        <w:rPr>
          <w:rFonts w:ascii="楷体" w:hAnsi="楷体" w:eastAsia="楷体"/>
          <w:color w:val="auto"/>
          <w:szCs w:val="21"/>
        </w:rPr>
      </w:pPr>
    </w:p>
    <w:p w14:paraId="565C16B4">
      <w:pPr>
        <w:rPr>
          <w:rFonts w:ascii="楷体" w:hAnsi="楷体" w:eastAsia="楷体"/>
          <w:color w:val="auto"/>
          <w:szCs w:val="21"/>
        </w:rPr>
      </w:pPr>
      <w:r>
        <w:rPr>
          <w:rFonts w:hint="eastAsia" w:ascii="楷体" w:hAnsi="楷体" w:eastAsia="楷体"/>
          <w:color w:val="auto"/>
          <w:szCs w:val="21"/>
        </w:rPr>
        <w:br w:type="page"/>
      </w:r>
    </w:p>
    <w:p w14:paraId="47DBE615">
      <w:pPr>
        <w:tabs>
          <w:tab w:val="left" w:pos="3600"/>
        </w:tabs>
        <w:adjustRightInd w:val="0"/>
        <w:snapToGrid w:val="0"/>
        <w:spacing w:line="360" w:lineRule="auto"/>
        <w:ind w:firstLine="723" w:firstLineChars="200"/>
        <w:jc w:val="left"/>
        <w:rPr>
          <w:rFonts w:ascii="宋体" w:hAnsi="宋体"/>
          <w:b/>
          <w:bCs/>
          <w:color w:val="auto"/>
          <w:sz w:val="36"/>
          <w:szCs w:val="36"/>
        </w:rPr>
      </w:pPr>
      <w:r>
        <w:rPr>
          <w:rFonts w:hint="eastAsia" w:ascii="宋体" w:hAnsi="宋体"/>
          <w:b/>
          <w:bCs/>
          <w:color w:val="auto"/>
          <w:sz w:val="36"/>
          <w:szCs w:val="36"/>
        </w:rPr>
        <w:t>十</w:t>
      </w:r>
      <w:r>
        <w:rPr>
          <w:rFonts w:hint="eastAsia" w:ascii="宋体" w:hAnsi="宋体"/>
          <w:b/>
          <w:bCs/>
          <w:color w:val="auto"/>
          <w:sz w:val="36"/>
          <w:szCs w:val="36"/>
          <w:lang w:val="en-US" w:eastAsia="zh-CN"/>
        </w:rPr>
        <w:t>四</w:t>
      </w:r>
      <w:r>
        <w:rPr>
          <w:rFonts w:hint="eastAsia" w:ascii="宋体" w:hAnsi="宋体"/>
          <w:b/>
          <w:bCs/>
          <w:color w:val="auto"/>
          <w:sz w:val="36"/>
          <w:szCs w:val="36"/>
        </w:rPr>
        <w:t>、供应商认为需要提供的其他文件和资料</w:t>
      </w:r>
    </w:p>
    <w:p w14:paraId="18CF253F">
      <w:pPr>
        <w:pStyle w:val="14"/>
        <w:rPr>
          <w:rFonts w:ascii="宋体" w:hAnsi="宋体"/>
          <w:b/>
          <w:bCs/>
          <w:color w:val="auto"/>
          <w:sz w:val="36"/>
          <w:szCs w:val="36"/>
        </w:rPr>
      </w:pPr>
    </w:p>
    <w:p w14:paraId="14C8C5BA">
      <w:pPr>
        <w:pStyle w:val="14"/>
        <w:rPr>
          <w:rFonts w:ascii="宋体" w:hAnsi="宋体"/>
          <w:b/>
          <w:bCs/>
          <w:color w:val="auto"/>
          <w:sz w:val="36"/>
          <w:szCs w:val="36"/>
        </w:rPr>
      </w:pPr>
    </w:p>
    <w:p w14:paraId="0EFD8EB5">
      <w:pPr>
        <w:pStyle w:val="14"/>
        <w:rPr>
          <w:rFonts w:ascii="宋体" w:hAnsi="宋体"/>
          <w:b/>
          <w:bCs/>
          <w:color w:val="auto"/>
          <w:sz w:val="36"/>
          <w:szCs w:val="36"/>
        </w:rPr>
      </w:pPr>
    </w:p>
    <w:p w14:paraId="2C0428A2">
      <w:pPr>
        <w:pStyle w:val="14"/>
        <w:rPr>
          <w:rFonts w:ascii="宋体" w:hAnsi="宋体"/>
          <w:b/>
          <w:bCs/>
          <w:color w:val="auto"/>
          <w:sz w:val="36"/>
          <w:szCs w:val="36"/>
        </w:rPr>
      </w:pPr>
    </w:p>
    <w:p w14:paraId="4DAAA93F">
      <w:pPr>
        <w:pStyle w:val="14"/>
        <w:rPr>
          <w:rFonts w:ascii="宋体" w:hAnsi="宋体"/>
          <w:b/>
          <w:bCs/>
          <w:color w:val="auto"/>
          <w:sz w:val="36"/>
          <w:szCs w:val="36"/>
        </w:rPr>
      </w:pPr>
    </w:p>
    <w:p w14:paraId="1F960DFF">
      <w:pPr>
        <w:pStyle w:val="14"/>
        <w:rPr>
          <w:rFonts w:ascii="宋体" w:hAnsi="宋体"/>
          <w:b/>
          <w:bCs/>
          <w:color w:val="auto"/>
          <w:sz w:val="36"/>
          <w:szCs w:val="36"/>
        </w:rPr>
      </w:pPr>
    </w:p>
    <w:p w14:paraId="3E47B317">
      <w:pPr>
        <w:pStyle w:val="14"/>
        <w:rPr>
          <w:rFonts w:ascii="宋体" w:hAnsi="宋体"/>
          <w:b/>
          <w:bCs/>
          <w:color w:val="auto"/>
          <w:sz w:val="36"/>
          <w:szCs w:val="36"/>
        </w:rPr>
      </w:pPr>
    </w:p>
    <w:p w14:paraId="63D9202A">
      <w:pPr>
        <w:pStyle w:val="14"/>
        <w:rPr>
          <w:rFonts w:ascii="宋体" w:hAnsi="宋体"/>
          <w:b/>
          <w:bCs/>
          <w:color w:val="auto"/>
          <w:sz w:val="36"/>
          <w:szCs w:val="36"/>
        </w:rPr>
      </w:pPr>
    </w:p>
    <w:p w14:paraId="4E72214A">
      <w:pPr>
        <w:pStyle w:val="14"/>
        <w:rPr>
          <w:rFonts w:ascii="宋体" w:hAnsi="宋体"/>
          <w:b/>
          <w:bCs/>
          <w:color w:val="auto"/>
          <w:sz w:val="36"/>
          <w:szCs w:val="36"/>
        </w:rPr>
      </w:pPr>
    </w:p>
    <w:p w14:paraId="65675848">
      <w:pPr>
        <w:pStyle w:val="14"/>
        <w:rPr>
          <w:rFonts w:ascii="宋体" w:hAnsi="宋体"/>
          <w:b/>
          <w:bCs/>
          <w:color w:val="auto"/>
          <w:sz w:val="36"/>
          <w:szCs w:val="36"/>
        </w:rPr>
      </w:pPr>
    </w:p>
    <w:p w14:paraId="36FF96AA">
      <w:pPr>
        <w:pStyle w:val="14"/>
        <w:rPr>
          <w:rFonts w:ascii="宋体" w:hAnsi="宋体"/>
          <w:b/>
          <w:bCs/>
          <w:color w:val="auto"/>
          <w:sz w:val="36"/>
          <w:szCs w:val="36"/>
        </w:rPr>
      </w:pPr>
    </w:p>
    <w:p w14:paraId="580CD59B">
      <w:pPr>
        <w:pStyle w:val="14"/>
        <w:rPr>
          <w:rFonts w:ascii="宋体" w:hAnsi="宋体"/>
          <w:b/>
          <w:bCs/>
          <w:color w:val="auto"/>
          <w:sz w:val="36"/>
          <w:szCs w:val="36"/>
        </w:rPr>
      </w:pPr>
    </w:p>
    <w:p w14:paraId="7B0BD0F9">
      <w:pPr>
        <w:pStyle w:val="14"/>
        <w:rPr>
          <w:rFonts w:ascii="宋体" w:hAnsi="宋体"/>
          <w:b/>
          <w:bCs/>
          <w:color w:val="auto"/>
          <w:sz w:val="36"/>
          <w:szCs w:val="36"/>
        </w:rPr>
      </w:pPr>
    </w:p>
    <w:p w14:paraId="77B6F77B">
      <w:pPr>
        <w:pStyle w:val="14"/>
        <w:rPr>
          <w:rFonts w:ascii="宋体" w:hAnsi="宋体"/>
          <w:b/>
          <w:bCs/>
          <w:color w:val="auto"/>
          <w:sz w:val="36"/>
          <w:szCs w:val="36"/>
        </w:rPr>
      </w:pPr>
    </w:p>
    <w:p w14:paraId="0266E456">
      <w:pPr>
        <w:pStyle w:val="14"/>
        <w:rPr>
          <w:rFonts w:ascii="宋体" w:hAnsi="宋体"/>
          <w:b/>
          <w:bCs/>
          <w:color w:val="auto"/>
          <w:sz w:val="36"/>
          <w:szCs w:val="36"/>
        </w:rPr>
      </w:pPr>
    </w:p>
    <w:p w14:paraId="180C9D6B">
      <w:pPr>
        <w:pStyle w:val="14"/>
        <w:rPr>
          <w:rFonts w:ascii="宋体" w:hAnsi="宋体"/>
          <w:b/>
          <w:bCs/>
          <w:color w:val="auto"/>
          <w:sz w:val="36"/>
          <w:szCs w:val="36"/>
        </w:rPr>
      </w:pPr>
    </w:p>
    <w:p w14:paraId="64C906EA">
      <w:pPr>
        <w:pStyle w:val="14"/>
        <w:rPr>
          <w:rFonts w:ascii="宋体" w:hAnsi="宋体"/>
          <w:b/>
          <w:bCs/>
          <w:color w:val="auto"/>
          <w:sz w:val="36"/>
          <w:szCs w:val="36"/>
        </w:rPr>
      </w:pPr>
    </w:p>
    <w:p w14:paraId="7F8C0447">
      <w:pPr>
        <w:pStyle w:val="14"/>
        <w:rPr>
          <w:rFonts w:ascii="宋体" w:hAnsi="宋体"/>
          <w:b/>
          <w:bCs/>
          <w:color w:val="auto"/>
          <w:sz w:val="36"/>
          <w:szCs w:val="36"/>
        </w:rPr>
      </w:pPr>
    </w:p>
    <w:p w14:paraId="631CFD0F">
      <w:pPr>
        <w:pStyle w:val="14"/>
        <w:rPr>
          <w:rFonts w:ascii="宋体" w:hAnsi="宋体"/>
          <w:b/>
          <w:bCs/>
          <w:color w:val="auto"/>
          <w:sz w:val="36"/>
          <w:szCs w:val="36"/>
        </w:rPr>
      </w:pPr>
    </w:p>
    <w:p w14:paraId="5FA0E531">
      <w:pPr>
        <w:pStyle w:val="14"/>
        <w:rPr>
          <w:rFonts w:ascii="宋体" w:hAnsi="宋体"/>
          <w:b/>
          <w:bCs/>
          <w:color w:val="auto"/>
          <w:sz w:val="36"/>
          <w:szCs w:val="36"/>
        </w:rPr>
      </w:pPr>
    </w:p>
    <w:p w14:paraId="0927B667">
      <w:pPr>
        <w:pStyle w:val="14"/>
        <w:rPr>
          <w:rFonts w:ascii="宋体" w:hAnsi="宋体"/>
          <w:b/>
          <w:bCs/>
          <w:color w:val="auto"/>
          <w:sz w:val="36"/>
          <w:szCs w:val="36"/>
        </w:rPr>
      </w:pPr>
    </w:p>
    <w:p w14:paraId="402A4CF0">
      <w:pPr>
        <w:pStyle w:val="14"/>
        <w:rPr>
          <w:rFonts w:ascii="宋体" w:hAnsi="宋体"/>
          <w:b/>
          <w:bCs/>
          <w:color w:val="auto"/>
          <w:sz w:val="36"/>
          <w:szCs w:val="36"/>
        </w:rPr>
      </w:pPr>
    </w:p>
    <w:p w14:paraId="67F6510C">
      <w:pPr>
        <w:pStyle w:val="14"/>
        <w:rPr>
          <w:rFonts w:ascii="宋体" w:hAnsi="宋体"/>
          <w:b/>
          <w:bCs/>
          <w:color w:val="auto"/>
          <w:sz w:val="36"/>
          <w:szCs w:val="36"/>
        </w:rPr>
      </w:pPr>
    </w:p>
    <w:p w14:paraId="3367F5A0">
      <w:pPr>
        <w:pStyle w:val="14"/>
        <w:rPr>
          <w:rFonts w:ascii="宋体" w:hAnsi="宋体"/>
          <w:b/>
          <w:bCs/>
          <w:color w:val="auto"/>
          <w:sz w:val="36"/>
          <w:szCs w:val="36"/>
        </w:rPr>
      </w:pPr>
    </w:p>
    <w:p w14:paraId="50848429">
      <w:pPr>
        <w:pStyle w:val="14"/>
        <w:rPr>
          <w:rFonts w:ascii="宋体" w:hAnsi="宋体"/>
          <w:b/>
          <w:bCs/>
          <w:color w:val="auto"/>
          <w:sz w:val="36"/>
          <w:szCs w:val="36"/>
        </w:rPr>
      </w:pPr>
    </w:p>
    <w:p w14:paraId="46A17EB0">
      <w:pPr>
        <w:pStyle w:val="14"/>
        <w:rPr>
          <w:rFonts w:ascii="宋体" w:hAnsi="宋体"/>
          <w:b/>
          <w:bCs/>
          <w:color w:val="auto"/>
          <w:sz w:val="36"/>
          <w:szCs w:val="36"/>
        </w:rPr>
      </w:pPr>
    </w:p>
    <w:p w14:paraId="704C09A4">
      <w:pPr>
        <w:pStyle w:val="14"/>
        <w:rPr>
          <w:rFonts w:ascii="宋体" w:hAnsi="宋体"/>
          <w:b/>
          <w:bCs/>
          <w:color w:val="auto"/>
          <w:sz w:val="36"/>
          <w:szCs w:val="36"/>
        </w:rPr>
      </w:pPr>
    </w:p>
    <w:p w14:paraId="020BA415">
      <w:pPr>
        <w:pStyle w:val="14"/>
        <w:rPr>
          <w:rFonts w:ascii="宋体" w:hAnsi="宋体"/>
          <w:b/>
          <w:bCs/>
          <w:color w:val="auto"/>
          <w:sz w:val="36"/>
          <w:szCs w:val="36"/>
        </w:rPr>
      </w:pPr>
    </w:p>
    <w:p w14:paraId="0881982F">
      <w:pPr>
        <w:pStyle w:val="14"/>
        <w:rPr>
          <w:rFonts w:ascii="宋体" w:hAnsi="宋体"/>
          <w:b/>
          <w:bCs/>
          <w:color w:val="auto"/>
          <w:sz w:val="36"/>
          <w:szCs w:val="36"/>
        </w:rPr>
      </w:pPr>
    </w:p>
    <w:p w14:paraId="25FFFB22">
      <w:pPr>
        <w:pStyle w:val="14"/>
        <w:rPr>
          <w:rFonts w:ascii="宋体" w:hAnsi="宋体"/>
          <w:b/>
          <w:bCs/>
          <w:color w:val="auto"/>
          <w:sz w:val="36"/>
          <w:szCs w:val="36"/>
        </w:rPr>
      </w:pPr>
    </w:p>
    <w:p w14:paraId="03301C3F">
      <w:pPr>
        <w:pStyle w:val="14"/>
        <w:rPr>
          <w:rFonts w:ascii="宋体" w:hAnsi="宋体"/>
          <w:b/>
          <w:bCs/>
          <w:color w:val="auto"/>
          <w:sz w:val="36"/>
          <w:szCs w:val="36"/>
        </w:rPr>
      </w:pPr>
    </w:p>
    <w:p w14:paraId="1CC8B381">
      <w:pPr>
        <w:pStyle w:val="14"/>
        <w:rPr>
          <w:rFonts w:ascii="宋体" w:hAnsi="宋体"/>
          <w:b/>
          <w:bCs/>
          <w:color w:val="auto"/>
          <w:sz w:val="36"/>
          <w:szCs w:val="36"/>
        </w:rPr>
      </w:pPr>
    </w:p>
    <w:p w14:paraId="701787FC">
      <w:pPr>
        <w:pStyle w:val="14"/>
        <w:rPr>
          <w:rFonts w:ascii="宋体" w:hAnsi="宋体"/>
          <w:b/>
          <w:bCs/>
          <w:color w:val="auto"/>
          <w:sz w:val="36"/>
          <w:szCs w:val="36"/>
        </w:rPr>
      </w:pPr>
    </w:p>
    <w:p w14:paraId="79E52A5D">
      <w:pPr>
        <w:pStyle w:val="14"/>
        <w:rPr>
          <w:rFonts w:ascii="宋体" w:hAnsi="宋体"/>
          <w:b/>
          <w:bCs/>
          <w:color w:val="auto"/>
          <w:sz w:val="36"/>
          <w:szCs w:val="36"/>
        </w:rPr>
      </w:pPr>
    </w:p>
    <w:p w14:paraId="59C392FF">
      <w:pPr>
        <w:pStyle w:val="14"/>
        <w:rPr>
          <w:rFonts w:ascii="宋体" w:hAnsi="宋体"/>
          <w:b/>
          <w:bCs/>
          <w:color w:val="auto"/>
          <w:sz w:val="36"/>
          <w:szCs w:val="36"/>
        </w:rPr>
      </w:pPr>
    </w:p>
    <w:p w14:paraId="50E3B3A6">
      <w:pPr>
        <w:pStyle w:val="14"/>
        <w:rPr>
          <w:rFonts w:ascii="宋体" w:hAnsi="宋体"/>
          <w:b/>
          <w:bCs/>
          <w:color w:val="auto"/>
          <w:sz w:val="36"/>
          <w:szCs w:val="36"/>
        </w:rPr>
      </w:pPr>
    </w:p>
    <w:p w14:paraId="5D9E2ABC">
      <w:pPr>
        <w:pStyle w:val="14"/>
        <w:rPr>
          <w:rFonts w:ascii="宋体" w:hAnsi="宋体"/>
          <w:b/>
          <w:bCs/>
          <w:color w:val="auto"/>
          <w:sz w:val="36"/>
          <w:szCs w:val="36"/>
        </w:rPr>
      </w:pPr>
    </w:p>
    <w:p w14:paraId="7E3F6A71">
      <w:pPr>
        <w:pStyle w:val="8"/>
        <w:spacing w:before="120" w:beforeLines="50"/>
        <w:ind w:firstLine="0"/>
        <w:jc w:val="center"/>
        <w:outlineLvl w:val="9"/>
        <w:rPr>
          <w:rFonts w:ascii="宋体" w:hAnsi="宋体"/>
          <w:b/>
          <w:color w:val="auto"/>
          <w:sz w:val="72"/>
          <w:szCs w:val="72"/>
        </w:rPr>
      </w:pPr>
      <w:bookmarkStart w:id="259" w:name="_Toc15461"/>
      <w:r>
        <w:rPr>
          <w:rFonts w:hint="eastAsia" w:ascii="宋体" w:hAnsi="宋体"/>
          <w:b/>
          <w:color w:val="auto"/>
          <w:sz w:val="72"/>
          <w:szCs w:val="72"/>
        </w:rPr>
        <w:t>商务与技术部分</w:t>
      </w:r>
      <w:bookmarkEnd w:id="259"/>
    </w:p>
    <w:p w14:paraId="0BA0DCC3">
      <w:pPr>
        <w:pStyle w:val="8"/>
        <w:spacing w:before="120" w:beforeLines="50"/>
        <w:ind w:firstLine="0"/>
        <w:rPr>
          <w:rFonts w:ascii="仿宋_GB2312" w:eastAsia="仿宋_GB2312"/>
          <w:color w:val="auto"/>
          <w:sz w:val="36"/>
          <w:szCs w:val="36"/>
        </w:rPr>
      </w:pPr>
    </w:p>
    <w:p w14:paraId="03173B2D">
      <w:pPr>
        <w:pStyle w:val="8"/>
        <w:spacing w:before="120" w:beforeLines="50"/>
        <w:ind w:firstLine="0"/>
        <w:rPr>
          <w:rFonts w:ascii="仿宋_GB2312" w:eastAsia="仿宋_GB2312"/>
          <w:color w:val="auto"/>
          <w:sz w:val="36"/>
          <w:szCs w:val="36"/>
        </w:rPr>
      </w:pPr>
    </w:p>
    <w:p w14:paraId="5550E049">
      <w:pPr>
        <w:pStyle w:val="8"/>
        <w:spacing w:before="120" w:beforeLines="50"/>
        <w:ind w:firstLine="0"/>
        <w:rPr>
          <w:rFonts w:ascii="仿宋_GB2312" w:eastAsia="仿宋_GB2312"/>
          <w:color w:val="auto"/>
          <w:sz w:val="36"/>
          <w:szCs w:val="36"/>
        </w:rPr>
      </w:pPr>
    </w:p>
    <w:p w14:paraId="7772E773">
      <w:pPr>
        <w:pStyle w:val="8"/>
        <w:spacing w:before="120" w:beforeLines="50"/>
        <w:ind w:firstLine="0"/>
        <w:rPr>
          <w:rFonts w:ascii="仿宋_GB2312" w:eastAsia="仿宋_GB2312"/>
          <w:color w:val="auto"/>
          <w:sz w:val="36"/>
          <w:szCs w:val="36"/>
        </w:rPr>
      </w:pPr>
    </w:p>
    <w:p w14:paraId="41F4CBA7">
      <w:pPr>
        <w:spacing w:line="400" w:lineRule="exact"/>
        <w:jc w:val="center"/>
        <w:outlineLvl w:val="9"/>
        <w:rPr>
          <w:rFonts w:ascii="仿宋_GB2312" w:eastAsia="仿宋_GB2312"/>
          <w:b/>
          <w:bCs/>
          <w:color w:val="auto"/>
          <w:sz w:val="28"/>
          <w:szCs w:val="28"/>
        </w:rPr>
      </w:pPr>
      <w:r>
        <w:rPr>
          <w:rFonts w:ascii="仿宋_GB2312" w:eastAsia="仿宋_GB2312"/>
          <w:color w:val="auto"/>
          <w:sz w:val="36"/>
          <w:szCs w:val="36"/>
        </w:rPr>
        <w:br w:type="page"/>
      </w:r>
      <w:bookmarkStart w:id="260" w:name="_Toc1609"/>
      <w:r>
        <w:rPr>
          <w:rFonts w:hint="eastAsia" w:ascii="宋体" w:hAnsi="宋体"/>
          <w:b/>
          <w:bCs/>
          <w:color w:val="auto"/>
          <w:sz w:val="36"/>
          <w:szCs w:val="36"/>
        </w:rPr>
        <w:t>一、竞争性磋商响应函</w:t>
      </w:r>
      <w:bookmarkEnd w:id="260"/>
    </w:p>
    <w:p w14:paraId="0405AF31">
      <w:pPr>
        <w:pStyle w:val="13"/>
        <w:spacing w:after="240" w:afterLines="100" w:line="400" w:lineRule="exact"/>
        <w:ind w:firstLine="0"/>
        <w:outlineLvl w:val="9"/>
        <w:rPr>
          <w:rFonts w:ascii="宋体" w:hAnsi="宋体"/>
          <w:bCs/>
          <w:color w:val="auto"/>
          <w:sz w:val="21"/>
          <w:szCs w:val="21"/>
        </w:rPr>
      </w:pPr>
      <w:r>
        <w:rPr>
          <w:rFonts w:hint="eastAsia" w:ascii="宋体" w:hAnsi="宋体"/>
          <w:b/>
          <w:bCs/>
          <w:color w:val="auto"/>
          <w:sz w:val="21"/>
          <w:szCs w:val="21"/>
        </w:rPr>
        <w:t>陕西优正项目管理有限公司</w:t>
      </w:r>
      <w:r>
        <w:rPr>
          <w:rFonts w:hint="eastAsia" w:ascii="宋体" w:hAnsi="宋体"/>
          <w:bCs/>
          <w:color w:val="auto"/>
          <w:sz w:val="21"/>
          <w:szCs w:val="21"/>
        </w:rPr>
        <w:t>：</w:t>
      </w:r>
    </w:p>
    <w:p w14:paraId="7B07916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我方已仔细研究了</w:t>
      </w:r>
      <w:r>
        <w:rPr>
          <w:rFonts w:hint="eastAsia" w:ascii="宋体" w:hAnsi="宋体"/>
          <w:color w:val="auto"/>
          <w:sz w:val="21"/>
          <w:szCs w:val="21"/>
          <w:u w:val="single"/>
        </w:rPr>
        <w:t xml:space="preserve">                   (</w:t>
      </w:r>
      <w:r>
        <w:rPr>
          <w:rFonts w:hint="eastAsia" w:ascii="宋体" w:hAnsi="宋体"/>
          <w:color w:val="auto"/>
          <w:sz w:val="21"/>
          <w:szCs w:val="21"/>
        </w:rPr>
        <w:t>项目名称</w:t>
      </w:r>
      <w:r>
        <w:rPr>
          <w:rFonts w:hint="eastAsia" w:ascii="宋体" w:hAnsi="宋体"/>
          <w:color w:val="auto"/>
          <w:sz w:val="21"/>
          <w:szCs w:val="21"/>
          <w:lang w:val="en-US" w:eastAsia="zh-CN"/>
        </w:rPr>
        <w:t>＋标段号</w:t>
      </w:r>
      <w:r>
        <w:rPr>
          <w:rFonts w:hint="eastAsia" w:ascii="宋体" w:hAnsi="宋体"/>
          <w:color w:val="auto"/>
          <w:sz w:val="21"/>
          <w:szCs w:val="21"/>
        </w:rPr>
        <w:t>)的磋商文件（项目编号：</w:t>
      </w:r>
      <w:r>
        <w:rPr>
          <w:rFonts w:hint="eastAsia" w:ascii="宋体" w:hAnsi="宋体"/>
          <w:color w:val="auto"/>
          <w:sz w:val="21"/>
          <w:szCs w:val="21"/>
          <w:u w:val="single"/>
        </w:rPr>
        <w:t xml:space="preserve">            </w:t>
      </w:r>
      <w:r>
        <w:rPr>
          <w:rFonts w:hint="eastAsia" w:ascii="宋体" w:hAnsi="宋体"/>
          <w:color w:val="auto"/>
          <w:sz w:val="21"/>
          <w:szCs w:val="21"/>
        </w:rPr>
        <w:t>）的全部内容，知悉参加磋商的风险，我方承诺接受磋商文件的全部条款且无任何异议，</w:t>
      </w:r>
      <w:r>
        <w:rPr>
          <w:rFonts w:hint="eastAsia" w:ascii="宋体" w:hAnsi="宋体"/>
          <w:bCs/>
          <w:color w:val="auto"/>
          <w:sz w:val="21"/>
          <w:szCs w:val="21"/>
        </w:rPr>
        <w:t>决定参加贵单位组织的本项目磋商。</w:t>
      </w:r>
    </w:p>
    <w:p w14:paraId="12F49849">
      <w:pPr>
        <w:pStyle w:val="12"/>
        <w:adjustRightInd w:val="0"/>
        <w:snapToGrid w:val="0"/>
        <w:spacing w:line="360" w:lineRule="auto"/>
        <w:ind w:firstLine="420" w:firstLineChars="200"/>
        <w:rPr>
          <w:rFonts w:hAnsi="宋体"/>
          <w:bCs/>
          <w:color w:val="auto"/>
        </w:rPr>
      </w:pPr>
      <w:r>
        <w:rPr>
          <w:rFonts w:hint="eastAsia" w:hAnsi="宋体"/>
          <w:color w:val="auto"/>
        </w:rPr>
        <w:t>一、我方提交响应文件正本一套和副本</w:t>
      </w:r>
      <w:r>
        <w:rPr>
          <w:rFonts w:hint="eastAsia" w:hAnsi="宋体"/>
          <w:color w:val="auto"/>
          <w:u w:val="single"/>
        </w:rPr>
        <w:t xml:space="preserve">    </w:t>
      </w:r>
      <w:r>
        <w:rPr>
          <w:rFonts w:hint="eastAsia" w:hAnsi="宋体"/>
          <w:color w:val="auto"/>
        </w:rPr>
        <w:t>套，</w:t>
      </w:r>
      <w:r>
        <w:rPr>
          <w:rFonts w:hint="eastAsia" w:hAnsi="宋体"/>
          <w:bCs/>
          <w:color w:val="auto"/>
        </w:rPr>
        <w:t>电子文件</w:t>
      </w:r>
      <w:r>
        <w:rPr>
          <w:rFonts w:hint="eastAsia" w:hAnsi="宋体"/>
          <w:bCs/>
          <w:color w:val="auto"/>
          <w:u w:val="single"/>
        </w:rPr>
        <w:t xml:space="preserve">    </w:t>
      </w:r>
      <w:r>
        <w:rPr>
          <w:rFonts w:hint="eastAsia" w:hAnsi="宋体"/>
          <w:bCs/>
          <w:color w:val="auto"/>
        </w:rPr>
        <w:t>份。</w:t>
      </w:r>
    </w:p>
    <w:p w14:paraId="399B76DB">
      <w:pPr>
        <w:pStyle w:val="12"/>
        <w:adjustRightInd w:val="0"/>
        <w:snapToGrid w:val="0"/>
        <w:spacing w:line="360" w:lineRule="auto"/>
        <w:ind w:firstLine="420" w:firstLineChars="200"/>
        <w:rPr>
          <w:rFonts w:hAnsi="宋体"/>
          <w:color w:val="auto"/>
        </w:rPr>
      </w:pPr>
      <w:r>
        <w:rPr>
          <w:rFonts w:hint="eastAsia" w:hAnsi="宋体"/>
          <w:color w:val="auto"/>
        </w:rPr>
        <w:t>二、我方的磋商总报价为人民币（大写）</w:t>
      </w:r>
      <w:r>
        <w:rPr>
          <w:rFonts w:hint="eastAsia" w:hAnsi="宋体"/>
          <w:color w:val="auto"/>
          <w:u w:val="single"/>
        </w:rPr>
        <w:t xml:space="preserve">            </w:t>
      </w:r>
      <w:r>
        <w:rPr>
          <w:rFonts w:hint="eastAsia" w:hAnsi="宋体"/>
          <w:color w:val="auto"/>
        </w:rPr>
        <w:t xml:space="preserve"> （小写￥</w:t>
      </w:r>
      <w:r>
        <w:rPr>
          <w:rFonts w:hint="eastAsia" w:hAnsi="宋体"/>
          <w:color w:val="auto"/>
          <w:u w:val="single"/>
        </w:rPr>
        <w:t xml:space="preserve">          </w:t>
      </w:r>
      <w:r>
        <w:rPr>
          <w:rFonts w:hint="eastAsia" w:hAnsi="宋体"/>
          <w:color w:val="auto"/>
        </w:rPr>
        <w:t xml:space="preserve"> 元）</w:t>
      </w:r>
      <w:r>
        <w:rPr>
          <w:rFonts w:hint="eastAsia" w:hAnsi="宋体"/>
          <w:color w:val="auto"/>
          <w:lang w:eastAsia="zh-CN"/>
        </w:rPr>
        <w:t>，</w:t>
      </w:r>
      <w:r>
        <w:rPr>
          <w:rFonts w:hint="eastAsia" w:hAnsi="宋体"/>
          <w:color w:val="auto"/>
          <w:lang w:val="en-US" w:eastAsia="zh-CN"/>
        </w:rPr>
        <w:t>工期</w:t>
      </w:r>
      <w:r>
        <w:rPr>
          <w:rFonts w:hint="eastAsia" w:hAnsi="宋体"/>
          <w:color w:val="auto"/>
        </w:rPr>
        <w:t>为</w:t>
      </w:r>
      <w:r>
        <w:rPr>
          <w:rFonts w:hint="eastAsia" w:hAnsi="宋体"/>
          <w:bCs/>
          <w:color w:val="auto"/>
          <w:u w:val="single"/>
        </w:rPr>
        <w:t xml:space="preserve">        </w:t>
      </w:r>
      <w:r>
        <w:rPr>
          <w:rFonts w:hint="eastAsia" w:hAnsi="宋体"/>
          <w:color w:val="auto"/>
        </w:rPr>
        <w:t>， 磋商有效期为</w:t>
      </w:r>
      <w:r>
        <w:rPr>
          <w:rFonts w:hint="eastAsia" w:hAnsi="宋体"/>
          <w:color w:val="auto"/>
          <w:lang w:val="en-US" w:eastAsia="zh-CN"/>
        </w:rPr>
        <w:t>首次</w:t>
      </w:r>
      <w:r>
        <w:rPr>
          <w:rFonts w:hint="eastAsia"/>
          <w:color w:val="auto"/>
          <w:lang w:val="zh-CN"/>
        </w:rPr>
        <w:t>提交响应文件截止日起</w:t>
      </w:r>
      <w:r>
        <w:rPr>
          <w:rFonts w:hint="eastAsia"/>
          <w:color w:val="auto"/>
          <w:u w:val="single"/>
          <w:lang w:val="zh-CN"/>
        </w:rPr>
        <w:t xml:space="preserve">     </w:t>
      </w:r>
      <w:r>
        <w:rPr>
          <w:rFonts w:hint="eastAsia"/>
          <w:color w:val="auto"/>
          <w:lang w:val="zh-CN"/>
        </w:rPr>
        <w:t>日历</w:t>
      </w:r>
      <w:r>
        <w:rPr>
          <w:rFonts w:hint="eastAsia"/>
          <w:color w:val="auto"/>
        </w:rPr>
        <w:t>天。</w:t>
      </w:r>
    </w:p>
    <w:p w14:paraId="463F0B40">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三、我方承诺承诺除商务和服务（技术）偏离表列出的偏差外，我方响应磋商文件的全部要求。</w:t>
      </w:r>
    </w:p>
    <w:p w14:paraId="6408494E">
      <w:pPr>
        <w:pStyle w:val="12"/>
        <w:adjustRightInd w:val="0"/>
        <w:snapToGrid w:val="0"/>
        <w:spacing w:line="360" w:lineRule="auto"/>
        <w:ind w:firstLine="420" w:firstLineChars="200"/>
        <w:rPr>
          <w:rFonts w:hAnsi="宋体"/>
          <w:color w:val="auto"/>
        </w:rPr>
      </w:pPr>
      <w:r>
        <w:rPr>
          <w:rFonts w:hint="eastAsia" w:hAnsi="宋体"/>
          <w:color w:val="auto"/>
        </w:rPr>
        <w:t>四、我方愿意向贵方提供任何与本项采购有关的数据、情况和技术资料。若贵方需要，我方愿意提供我方作出的一切承诺的证明材料。</w:t>
      </w:r>
    </w:p>
    <w:p w14:paraId="585FF403">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五、</w:t>
      </w:r>
      <w:r>
        <w:rPr>
          <w:rFonts w:hint="eastAsia" w:ascii="宋体" w:hAnsi="宋体"/>
          <w:bCs/>
          <w:color w:val="auto"/>
          <w:sz w:val="21"/>
          <w:szCs w:val="21"/>
        </w:rPr>
        <w:t>我方承诺在磋商文件规定的磋商有效期内不撤销响应文件。</w:t>
      </w:r>
    </w:p>
    <w:p w14:paraId="2F2AB54B">
      <w:pPr>
        <w:pStyle w:val="12"/>
        <w:adjustRightInd w:val="0"/>
        <w:snapToGrid w:val="0"/>
        <w:spacing w:line="360" w:lineRule="auto"/>
        <w:ind w:firstLine="420" w:firstLineChars="200"/>
        <w:rPr>
          <w:rFonts w:hAnsi="宋体"/>
          <w:color w:val="auto"/>
        </w:rPr>
      </w:pPr>
      <w:r>
        <w:rPr>
          <w:rFonts w:hint="eastAsia" w:hAnsi="宋体"/>
          <w:color w:val="auto"/>
        </w:rPr>
        <w:t>六、我方承诺遵守《中华人民共和国政府采购法》及其实施条例等法律法规的有关规定，保证在获得成交资格后：</w:t>
      </w:r>
    </w:p>
    <w:p w14:paraId="00EBB05A">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1.在收到成交通知书后，在成交通知书规定的期限内与采购人签订合同；</w:t>
      </w:r>
    </w:p>
    <w:p w14:paraId="65F3BA8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2.在签订合同时不向采购人提出附加条件；</w:t>
      </w:r>
    </w:p>
    <w:p w14:paraId="3FF2DB5A">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3.在合同规定期限内完成合同规定的全部义务；</w:t>
      </w:r>
      <w:r>
        <w:rPr>
          <w:rFonts w:hint="eastAsia" w:ascii="宋体" w:hAnsi="宋体"/>
          <w:bCs/>
          <w:color w:val="auto"/>
          <w:sz w:val="21"/>
          <w:szCs w:val="21"/>
        </w:rPr>
        <w:t xml:space="preserve"> </w:t>
      </w:r>
    </w:p>
    <w:p w14:paraId="6B87F35F">
      <w:pPr>
        <w:pStyle w:val="12"/>
        <w:adjustRightInd w:val="0"/>
        <w:snapToGrid w:val="0"/>
        <w:spacing w:line="360" w:lineRule="auto"/>
        <w:ind w:firstLine="420" w:firstLineChars="200"/>
        <w:rPr>
          <w:rFonts w:hAnsi="宋体"/>
          <w:color w:val="auto"/>
        </w:rPr>
      </w:pPr>
      <w:r>
        <w:rPr>
          <w:rFonts w:hint="eastAsia" w:hAnsi="宋体"/>
          <w:color w:val="auto"/>
          <w:lang w:val="en-US" w:eastAsia="zh-CN"/>
        </w:rPr>
        <w:t>4</w:t>
      </w:r>
      <w:r>
        <w:rPr>
          <w:rFonts w:hint="eastAsia" w:hAnsi="宋体"/>
          <w:color w:val="auto"/>
        </w:rPr>
        <w:t>.按照磋商文件规定提交履约保证金。</w:t>
      </w:r>
    </w:p>
    <w:p w14:paraId="73F2A559">
      <w:pPr>
        <w:pStyle w:val="12"/>
        <w:adjustRightInd w:val="0"/>
        <w:snapToGrid w:val="0"/>
        <w:spacing w:line="360" w:lineRule="auto"/>
        <w:ind w:firstLine="420" w:firstLineChars="200"/>
        <w:rPr>
          <w:rFonts w:hAnsi="宋体"/>
          <w:color w:val="auto"/>
        </w:rPr>
      </w:pPr>
      <w:r>
        <w:rPr>
          <w:rFonts w:hint="eastAsia" w:hAnsi="宋体"/>
          <w:color w:val="auto"/>
        </w:rPr>
        <w:t>七、我方完全理解并同意磋商文件中有关不退还磋商保证金条款所规定的情形。</w:t>
      </w:r>
    </w:p>
    <w:p w14:paraId="69D4E4EF">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八、</w:t>
      </w:r>
      <w:r>
        <w:rPr>
          <w:rFonts w:hint="eastAsia" w:ascii="宋体" w:hAnsi="宋体"/>
          <w:bCs/>
          <w:color w:val="auto"/>
          <w:sz w:val="21"/>
          <w:szCs w:val="21"/>
        </w:rPr>
        <w:t>我方完全理解最低报价不是成交的唯一条件，并尊重磋商小组的评审结论和成交结果。</w:t>
      </w:r>
    </w:p>
    <w:p w14:paraId="086F41F6">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九、</w:t>
      </w:r>
      <w:r>
        <w:rPr>
          <w:rFonts w:hint="eastAsia" w:hAnsi="宋体"/>
          <w:color w:val="auto"/>
          <w:sz w:val="21"/>
          <w:szCs w:val="21"/>
        </w:rPr>
        <w:t>我方在此声明，所递交的响应文件及有关资料内容完整、真实和准确，且不存在第二章“供应商须知”第</w:t>
      </w:r>
      <w:r>
        <w:rPr>
          <w:rFonts w:hint="eastAsia" w:ascii="宋体" w:hAnsi="宋体"/>
          <w:color w:val="auto"/>
          <w:sz w:val="21"/>
          <w:szCs w:val="21"/>
        </w:rPr>
        <w:t>1.3.2</w:t>
      </w:r>
      <w:r>
        <w:rPr>
          <w:rFonts w:hint="eastAsia" w:hAnsi="宋体"/>
          <w:color w:val="auto"/>
          <w:sz w:val="21"/>
          <w:szCs w:val="21"/>
        </w:rPr>
        <w:t>条款规定的任何一种情形。否则，愿承担《中华人民共和国政府采购法》</w:t>
      </w:r>
      <w:r>
        <w:rPr>
          <w:rFonts w:hint="eastAsia" w:hAnsi="宋体"/>
          <w:bCs/>
          <w:color w:val="auto"/>
          <w:sz w:val="21"/>
          <w:szCs w:val="21"/>
        </w:rPr>
        <w:t>第七十七条规定的法律责任。</w:t>
      </w:r>
    </w:p>
    <w:p w14:paraId="4469D7AF">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w:t>
      </w:r>
      <w:r>
        <w:rPr>
          <w:rFonts w:hint="eastAsia" w:ascii="宋体" w:hAnsi="宋体"/>
          <w:bCs/>
          <w:color w:val="auto"/>
          <w:sz w:val="21"/>
          <w:szCs w:val="21"/>
          <w:u w:val="single"/>
        </w:rPr>
        <w:t xml:space="preserve">                                      </w:t>
      </w:r>
      <w:r>
        <w:rPr>
          <w:rFonts w:hint="eastAsia" w:ascii="宋体" w:hAnsi="宋体"/>
          <w:bCs/>
          <w:color w:val="auto"/>
          <w:sz w:val="21"/>
          <w:szCs w:val="21"/>
        </w:rPr>
        <w:t>（其他补充说明）。</w:t>
      </w:r>
    </w:p>
    <w:p w14:paraId="796636F3">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十一、有关本项目的所有函电，请按下列地址联系：</w:t>
      </w:r>
    </w:p>
    <w:p w14:paraId="360660E3">
      <w:pPr>
        <w:pStyle w:val="13"/>
        <w:spacing w:line="360" w:lineRule="auto"/>
        <w:ind w:firstLine="0"/>
        <w:rPr>
          <w:rFonts w:ascii="宋体" w:hAnsi="宋体"/>
          <w:bCs/>
          <w:color w:val="auto"/>
          <w:sz w:val="21"/>
          <w:szCs w:val="21"/>
        </w:rPr>
      </w:pPr>
    </w:p>
    <w:p w14:paraId="3105B3A9">
      <w:pPr>
        <w:pStyle w:val="13"/>
        <w:spacing w:line="360" w:lineRule="auto"/>
        <w:ind w:firstLine="0"/>
        <w:rPr>
          <w:rFonts w:ascii="宋体" w:hAnsi="宋体"/>
          <w:bCs/>
          <w:color w:val="auto"/>
          <w:sz w:val="21"/>
          <w:szCs w:val="21"/>
        </w:rPr>
      </w:pPr>
    </w:p>
    <w:p w14:paraId="756585EC">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供应商名称：</w:t>
      </w:r>
      <w:r>
        <w:rPr>
          <w:rFonts w:hint="eastAsia" w:ascii="宋体" w:hAnsi="宋体"/>
          <w:bCs/>
          <w:color w:val="auto"/>
          <w:sz w:val="21"/>
          <w:szCs w:val="21"/>
          <w:u w:val="single"/>
        </w:rPr>
        <w:t xml:space="preserve">                                 </w:t>
      </w:r>
      <w:r>
        <w:rPr>
          <w:rFonts w:hint="eastAsia" w:ascii="宋体" w:hAnsi="宋体"/>
          <w:bCs/>
          <w:color w:val="auto"/>
          <w:sz w:val="21"/>
          <w:szCs w:val="21"/>
        </w:rPr>
        <w:t>（盖单位章）</w:t>
      </w:r>
    </w:p>
    <w:p w14:paraId="656D3343">
      <w:pPr>
        <w:pStyle w:val="13"/>
        <w:spacing w:line="360" w:lineRule="auto"/>
        <w:ind w:firstLine="420" w:firstLineChars="200"/>
        <w:rPr>
          <w:rFonts w:ascii="宋体" w:hAnsi="宋体"/>
          <w:bCs/>
          <w:color w:val="auto"/>
          <w:sz w:val="21"/>
          <w:szCs w:val="21"/>
        </w:rPr>
      </w:pPr>
    </w:p>
    <w:p w14:paraId="17E8B2A9">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法定代表人或委托代理人：</w:t>
      </w:r>
      <w:r>
        <w:rPr>
          <w:rFonts w:hint="eastAsia" w:ascii="宋体" w:hAnsi="宋体"/>
          <w:bCs/>
          <w:color w:val="auto"/>
          <w:sz w:val="21"/>
          <w:szCs w:val="21"/>
          <w:u w:val="single"/>
        </w:rPr>
        <w:t xml:space="preserve">                     </w:t>
      </w:r>
      <w:r>
        <w:rPr>
          <w:rFonts w:hint="eastAsia" w:ascii="宋体" w:hAnsi="宋体"/>
          <w:bCs/>
          <w:color w:val="auto"/>
          <w:sz w:val="21"/>
          <w:szCs w:val="21"/>
        </w:rPr>
        <w:t>（签字或盖章）</w:t>
      </w:r>
    </w:p>
    <w:p w14:paraId="0A757997">
      <w:pPr>
        <w:spacing w:line="360" w:lineRule="auto"/>
        <w:rPr>
          <w:rFonts w:ascii="仿宋_GB2312" w:hAnsi="宋体" w:eastAsia="仿宋_GB2312"/>
          <w:b/>
          <w:color w:val="auto"/>
          <w:sz w:val="28"/>
          <w:szCs w:val="28"/>
        </w:rPr>
      </w:pPr>
    </w:p>
    <w:p w14:paraId="29EC0481">
      <w:pPr>
        <w:spacing w:line="360" w:lineRule="auto"/>
        <w:ind w:firstLine="420" w:firstLineChars="200"/>
        <w:rPr>
          <w:rFonts w:ascii="宋体" w:hAnsi="宋体"/>
          <w:bCs/>
          <w:color w:val="auto"/>
          <w:szCs w:val="21"/>
        </w:rPr>
      </w:pPr>
      <w:r>
        <w:rPr>
          <w:rFonts w:hint="eastAsia" w:ascii="宋体" w:hAnsi="宋体"/>
          <w:bCs/>
          <w:color w:val="auto"/>
          <w:szCs w:val="21"/>
        </w:rPr>
        <w:t>通讯地址：</w:t>
      </w:r>
    </w:p>
    <w:p w14:paraId="3373E199">
      <w:pPr>
        <w:spacing w:line="360" w:lineRule="auto"/>
        <w:ind w:firstLine="420" w:firstLineChars="200"/>
        <w:rPr>
          <w:rFonts w:ascii="宋体" w:hAnsi="宋体"/>
          <w:bCs/>
          <w:color w:val="auto"/>
          <w:szCs w:val="21"/>
        </w:rPr>
      </w:pPr>
      <w:r>
        <w:rPr>
          <w:rFonts w:hint="eastAsia" w:ascii="宋体" w:hAnsi="宋体"/>
          <w:bCs/>
          <w:color w:val="auto"/>
          <w:szCs w:val="21"/>
        </w:rPr>
        <w:t>邮政编码：</w:t>
      </w:r>
    </w:p>
    <w:p w14:paraId="5E813CA3">
      <w:pPr>
        <w:spacing w:line="360" w:lineRule="auto"/>
        <w:ind w:firstLine="420" w:firstLineChars="200"/>
        <w:rPr>
          <w:rFonts w:ascii="宋体" w:hAnsi="宋体"/>
          <w:bCs/>
          <w:color w:val="auto"/>
          <w:szCs w:val="21"/>
        </w:rPr>
      </w:pPr>
      <w:r>
        <w:rPr>
          <w:rFonts w:hint="eastAsia" w:ascii="宋体" w:hAnsi="宋体"/>
          <w:bCs/>
          <w:color w:val="auto"/>
          <w:szCs w:val="21"/>
        </w:rPr>
        <w:t>联系电话：</w:t>
      </w:r>
    </w:p>
    <w:p w14:paraId="7B5E08F6">
      <w:pPr>
        <w:spacing w:line="360" w:lineRule="auto"/>
        <w:ind w:firstLine="420" w:firstLineChars="200"/>
        <w:rPr>
          <w:rFonts w:ascii="宋体" w:hAnsi="宋体"/>
          <w:bCs/>
          <w:color w:val="auto"/>
          <w:szCs w:val="21"/>
        </w:rPr>
      </w:pPr>
      <w:r>
        <w:rPr>
          <w:rFonts w:hint="eastAsia" w:ascii="宋体" w:hAnsi="宋体"/>
          <w:bCs/>
          <w:color w:val="auto"/>
          <w:szCs w:val="21"/>
        </w:rPr>
        <w:t>传    真：</w:t>
      </w:r>
    </w:p>
    <w:p w14:paraId="1A19990E">
      <w:pPr>
        <w:spacing w:line="360" w:lineRule="auto"/>
        <w:ind w:firstLine="420" w:firstLineChars="200"/>
        <w:rPr>
          <w:rFonts w:ascii="宋体" w:hAnsi="宋体"/>
          <w:bCs/>
          <w:color w:val="auto"/>
          <w:szCs w:val="21"/>
        </w:rPr>
      </w:pPr>
      <w:r>
        <w:rPr>
          <w:rFonts w:hint="eastAsia" w:ascii="宋体" w:hAnsi="宋体"/>
          <w:bCs/>
          <w:color w:val="auto"/>
          <w:szCs w:val="21"/>
        </w:rPr>
        <w:t>电子邮件：</w:t>
      </w:r>
    </w:p>
    <w:p w14:paraId="5B9FBB9F">
      <w:pPr>
        <w:spacing w:line="360" w:lineRule="auto"/>
        <w:ind w:firstLine="420" w:firstLineChars="200"/>
        <w:rPr>
          <w:rFonts w:ascii="宋体" w:hAnsi="宋体"/>
          <w:bCs/>
          <w:color w:val="auto"/>
          <w:szCs w:val="21"/>
        </w:rPr>
      </w:pPr>
      <w:r>
        <w:rPr>
          <w:rFonts w:hint="eastAsia" w:ascii="宋体" w:hAnsi="宋体"/>
          <w:bCs/>
          <w:color w:val="auto"/>
          <w:szCs w:val="21"/>
        </w:rPr>
        <w:t>开户银行:</w:t>
      </w:r>
    </w:p>
    <w:p w14:paraId="1419C87A">
      <w:pPr>
        <w:spacing w:line="360" w:lineRule="auto"/>
        <w:ind w:firstLine="420" w:firstLineChars="200"/>
        <w:rPr>
          <w:rFonts w:ascii="宋体" w:hAnsi="宋体"/>
          <w:bCs/>
          <w:color w:val="auto"/>
          <w:szCs w:val="21"/>
        </w:rPr>
      </w:pPr>
      <w:r>
        <w:rPr>
          <w:rFonts w:hint="eastAsia" w:ascii="宋体" w:hAnsi="宋体"/>
          <w:bCs/>
          <w:color w:val="auto"/>
          <w:szCs w:val="21"/>
        </w:rPr>
        <w:t>帐    号：</w:t>
      </w:r>
    </w:p>
    <w:p w14:paraId="2508BBC4">
      <w:pPr>
        <w:spacing w:line="360" w:lineRule="auto"/>
        <w:ind w:firstLine="420" w:firstLineChars="200"/>
        <w:rPr>
          <w:rFonts w:ascii="宋体" w:hAnsi="宋体"/>
          <w:bCs/>
          <w:color w:val="auto"/>
          <w:szCs w:val="21"/>
        </w:rPr>
      </w:pPr>
      <w:r>
        <w:rPr>
          <w:rFonts w:hint="eastAsia" w:ascii="宋体" w:hAnsi="宋体"/>
          <w:bCs/>
          <w:color w:val="auto"/>
          <w:szCs w:val="21"/>
        </w:rPr>
        <w:t>日    期：    年   月   日</w:t>
      </w:r>
    </w:p>
    <w:p w14:paraId="07DB1498">
      <w:pPr>
        <w:rPr>
          <w:rFonts w:ascii="仿宋_GB2312" w:hAnsi="宋体" w:eastAsia="仿宋_GB2312"/>
          <w:b/>
          <w:color w:val="auto"/>
          <w:sz w:val="28"/>
          <w:szCs w:val="28"/>
        </w:rPr>
      </w:pPr>
    </w:p>
    <w:p w14:paraId="01BF25C7">
      <w:pPr>
        <w:rPr>
          <w:rFonts w:ascii="仿宋_GB2312" w:hAnsi="宋体" w:eastAsia="仿宋_GB2312"/>
          <w:b/>
          <w:color w:val="auto"/>
          <w:sz w:val="28"/>
          <w:szCs w:val="28"/>
        </w:rPr>
      </w:pPr>
    </w:p>
    <w:p w14:paraId="3DE7AA1E">
      <w:pPr>
        <w:rPr>
          <w:rFonts w:ascii="仿宋_GB2312" w:hAnsi="宋体" w:eastAsia="仿宋_GB2312"/>
          <w:b/>
          <w:color w:val="auto"/>
          <w:sz w:val="28"/>
          <w:szCs w:val="28"/>
        </w:rPr>
      </w:pPr>
    </w:p>
    <w:p w14:paraId="4AC013A2">
      <w:pPr>
        <w:rPr>
          <w:rFonts w:ascii="仿宋_GB2312" w:hAnsi="宋体" w:eastAsia="仿宋_GB2312"/>
          <w:b/>
          <w:color w:val="auto"/>
          <w:sz w:val="28"/>
          <w:szCs w:val="28"/>
        </w:rPr>
      </w:pPr>
    </w:p>
    <w:p w14:paraId="264355F9">
      <w:pPr>
        <w:rPr>
          <w:rFonts w:ascii="仿宋_GB2312" w:hAnsi="宋体" w:eastAsia="仿宋_GB2312"/>
          <w:b/>
          <w:color w:val="auto"/>
          <w:sz w:val="28"/>
          <w:szCs w:val="28"/>
        </w:rPr>
      </w:pPr>
    </w:p>
    <w:p w14:paraId="1811DA76">
      <w:pPr>
        <w:rPr>
          <w:rFonts w:ascii="仿宋_GB2312" w:hAnsi="宋体" w:eastAsia="仿宋_GB2312"/>
          <w:b/>
          <w:color w:val="auto"/>
          <w:sz w:val="28"/>
          <w:szCs w:val="28"/>
        </w:rPr>
      </w:pPr>
    </w:p>
    <w:p w14:paraId="44EF8A02">
      <w:pPr>
        <w:rPr>
          <w:rFonts w:ascii="仿宋_GB2312" w:hAnsi="宋体" w:eastAsia="仿宋_GB2312"/>
          <w:b/>
          <w:color w:val="auto"/>
          <w:sz w:val="28"/>
          <w:szCs w:val="28"/>
        </w:rPr>
      </w:pPr>
    </w:p>
    <w:p w14:paraId="63014D55">
      <w:pPr>
        <w:rPr>
          <w:rFonts w:ascii="仿宋_GB2312" w:hAnsi="宋体" w:eastAsia="仿宋_GB2312"/>
          <w:b/>
          <w:color w:val="auto"/>
          <w:sz w:val="28"/>
          <w:szCs w:val="28"/>
        </w:rPr>
      </w:pPr>
    </w:p>
    <w:p w14:paraId="5A675A2E">
      <w:pPr>
        <w:rPr>
          <w:rFonts w:ascii="仿宋_GB2312" w:hAnsi="宋体" w:eastAsia="仿宋_GB2312"/>
          <w:b/>
          <w:color w:val="auto"/>
          <w:sz w:val="28"/>
          <w:szCs w:val="28"/>
        </w:rPr>
      </w:pPr>
    </w:p>
    <w:p w14:paraId="35387456">
      <w:pPr>
        <w:rPr>
          <w:rFonts w:ascii="仿宋_GB2312" w:hAnsi="宋体" w:eastAsia="仿宋_GB2312"/>
          <w:b/>
          <w:color w:val="auto"/>
          <w:sz w:val="28"/>
          <w:szCs w:val="28"/>
        </w:rPr>
      </w:pPr>
    </w:p>
    <w:p w14:paraId="745F2930">
      <w:pPr>
        <w:rPr>
          <w:rFonts w:ascii="仿宋_GB2312" w:hAnsi="宋体" w:eastAsia="仿宋_GB2312"/>
          <w:b/>
          <w:color w:val="auto"/>
          <w:sz w:val="28"/>
          <w:szCs w:val="28"/>
        </w:rPr>
      </w:pPr>
    </w:p>
    <w:p w14:paraId="26BA7B49">
      <w:pPr>
        <w:rPr>
          <w:rFonts w:ascii="仿宋_GB2312" w:hAnsi="宋体" w:eastAsia="仿宋_GB2312"/>
          <w:b/>
          <w:color w:val="auto"/>
          <w:sz w:val="28"/>
          <w:szCs w:val="28"/>
        </w:rPr>
      </w:pPr>
    </w:p>
    <w:p w14:paraId="2B8C585E">
      <w:pPr>
        <w:rPr>
          <w:rFonts w:ascii="仿宋_GB2312" w:hAnsi="宋体" w:eastAsia="仿宋_GB2312"/>
          <w:b/>
          <w:color w:val="auto"/>
          <w:sz w:val="28"/>
          <w:szCs w:val="28"/>
        </w:rPr>
      </w:pPr>
    </w:p>
    <w:p w14:paraId="23FAB0A2">
      <w:pPr>
        <w:rPr>
          <w:rFonts w:ascii="仿宋_GB2312" w:hAnsi="宋体" w:eastAsia="仿宋_GB2312"/>
          <w:b/>
          <w:color w:val="auto"/>
          <w:sz w:val="28"/>
          <w:szCs w:val="28"/>
        </w:rPr>
      </w:pPr>
      <w:r>
        <w:rPr>
          <w:rFonts w:ascii="仿宋_GB2312" w:hAnsi="宋体" w:eastAsia="仿宋_GB2312"/>
          <w:b/>
          <w:color w:val="auto"/>
          <w:sz w:val="28"/>
          <w:szCs w:val="28"/>
        </w:rPr>
        <w:br w:type="page"/>
      </w:r>
    </w:p>
    <w:p w14:paraId="7B9FDBFE">
      <w:pPr>
        <w:spacing w:line="400" w:lineRule="exact"/>
        <w:jc w:val="center"/>
        <w:outlineLvl w:val="9"/>
        <w:rPr>
          <w:rFonts w:ascii="宋体" w:hAnsi="宋体"/>
          <w:b/>
          <w:color w:val="auto"/>
          <w:sz w:val="36"/>
          <w:szCs w:val="36"/>
        </w:rPr>
      </w:pPr>
      <w:bookmarkStart w:id="261" w:name="_Toc659"/>
      <w:bookmarkStart w:id="262" w:name="_Toc18074978"/>
      <w:r>
        <w:rPr>
          <w:rFonts w:hint="eastAsia" w:ascii="宋体" w:hAnsi="宋体"/>
          <w:b/>
          <w:bCs/>
          <w:color w:val="auto"/>
          <w:sz w:val="36"/>
          <w:szCs w:val="36"/>
        </w:rPr>
        <w:t>二、</w:t>
      </w:r>
      <w:r>
        <w:rPr>
          <w:rFonts w:hint="eastAsia" w:ascii="宋体" w:hAnsi="宋体"/>
          <w:b/>
          <w:color w:val="auto"/>
          <w:sz w:val="36"/>
          <w:szCs w:val="36"/>
        </w:rPr>
        <w:t>磋商报价一览表</w:t>
      </w:r>
      <w:bookmarkEnd w:id="261"/>
      <w:bookmarkEnd w:id="262"/>
    </w:p>
    <w:p w14:paraId="429336E1">
      <w:pPr>
        <w:rPr>
          <w:rFonts w:ascii="宋体" w:hAnsi="宋体"/>
          <w:b/>
          <w:color w:val="auto"/>
          <w:sz w:val="36"/>
          <w:szCs w:val="36"/>
        </w:rPr>
      </w:pPr>
    </w:p>
    <w:tbl>
      <w:tblPr>
        <w:tblStyle w:val="23"/>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6659"/>
      </w:tblGrid>
      <w:tr w14:paraId="65F3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3E83B8EF">
            <w:pPr>
              <w:jc w:val="center"/>
              <w:rPr>
                <w:rFonts w:hint="default" w:eastAsia="宋体"/>
                <w:color w:val="auto"/>
                <w:lang w:val="en-US" w:eastAsia="zh-CN"/>
              </w:rPr>
            </w:pPr>
            <w:r>
              <w:rPr>
                <w:rFonts w:hint="eastAsia"/>
                <w:color w:val="auto"/>
              </w:rPr>
              <w:t>项目名称</w:t>
            </w:r>
            <w:r>
              <w:rPr>
                <w:rFonts w:hint="eastAsia"/>
                <w:color w:val="auto"/>
                <w:lang w:val="en-US" w:eastAsia="zh-CN"/>
              </w:rPr>
              <w:t>＋标段号</w:t>
            </w:r>
          </w:p>
        </w:tc>
        <w:tc>
          <w:tcPr>
            <w:tcW w:w="6659" w:type="dxa"/>
            <w:vAlign w:val="center"/>
          </w:tcPr>
          <w:p w14:paraId="589335BF">
            <w:pPr>
              <w:rPr>
                <w:color w:val="auto"/>
              </w:rPr>
            </w:pPr>
          </w:p>
        </w:tc>
      </w:tr>
      <w:tr w14:paraId="4BD5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0C6253C0">
            <w:pPr>
              <w:jc w:val="center"/>
              <w:rPr>
                <w:color w:val="auto"/>
              </w:rPr>
            </w:pPr>
            <w:r>
              <w:rPr>
                <w:rFonts w:hint="eastAsia"/>
                <w:color w:val="auto"/>
              </w:rPr>
              <w:t>项目编号</w:t>
            </w:r>
          </w:p>
        </w:tc>
        <w:tc>
          <w:tcPr>
            <w:tcW w:w="6659" w:type="dxa"/>
            <w:vAlign w:val="center"/>
          </w:tcPr>
          <w:p w14:paraId="64899B49">
            <w:pPr>
              <w:rPr>
                <w:color w:val="auto"/>
              </w:rPr>
            </w:pPr>
          </w:p>
        </w:tc>
      </w:tr>
      <w:tr w14:paraId="5C27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3" w:type="dxa"/>
            <w:vMerge w:val="restart"/>
            <w:vAlign w:val="center"/>
          </w:tcPr>
          <w:p w14:paraId="7B45B820">
            <w:pPr>
              <w:jc w:val="center"/>
              <w:rPr>
                <w:color w:val="auto"/>
              </w:rPr>
            </w:pPr>
            <w:r>
              <w:rPr>
                <w:rFonts w:hint="eastAsia"/>
                <w:color w:val="auto"/>
              </w:rPr>
              <w:t>磋商总报价（元）</w:t>
            </w:r>
          </w:p>
        </w:tc>
        <w:tc>
          <w:tcPr>
            <w:tcW w:w="6659" w:type="dxa"/>
            <w:vAlign w:val="center"/>
          </w:tcPr>
          <w:p w14:paraId="2E2ED7DF">
            <w:pPr>
              <w:rPr>
                <w:color w:val="auto"/>
              </w:rPr>
            </w:pPr>
            <w:r>
              <w:rPr>
                <w:rFonts w:hint="eastAsia"/>
                <w:color w:val="auto"/>
              </w:rPr>
              <w:t>大写：</w:t>
            </w:r>
          </w:p>
        </w:tc>
      </w:tr>
      <w:tr w14:paraId="4CE3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03" w:type="dxa"/>
            <w:vMerge w:val="continue"/>
            <w:vAlign w:val="center"/>
          </w:tcPr>
          <w:p w14:paraId="1F508CAF">
            <w:pPr>
              <w:jc w:val="center"/>
              <w:rPr>
                <w:color w:val="auto"/>
              </w:rPr>
            </w:pPr>
          </w:p>
        </w:tc>
        <w:tc>
          <w:tcPr>
            <w:tcW w:w="6659" w:type="dxa"/>
            <w:vAlign w:val="center"/>
          </w:tcPr>
          <w:p w14:paraId="4EF8A2F2">
            <w:pPr>
              <w:rPr>
                <w:color w:val="auto"/>
              </w:rPr>
            </w:pPr>
            <w:r>
              <w:rPr>
                <w:rFonts w:hint="eastAsia"/>
                <w:color w:val="auto"/>
              </w:rPr>
              <w:t>小写：</w:t>
            </w:r>
          </w:p>
        </w:tc>
      </w:tr>
      <w:tr w14:paraId="083B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18F15132">
            <w:pPr>
              <w:jc w:val="center"/>
              <w:rPr>
                <w:rFonts w:hint="eastAsia" w:eastAsia="宋体"/>
                <w:color w:val="auto"/>
                <w:lang w:eastAsia="zh-CN"/>
              </w:rPr>
            </w:pPr>
            <w:r>
              <w:rPr>
                <w:rFonts w:hint="eastAsia"/>
                <w:color w:val="auto"/>
              </w:rPr>
              <w:t>项目</w:t>
            </w:r>
            <w:r>
              <w:rPr>
                <w:rFonts w:hint="eastAsia"/>
                <w:color w:val="auto"/>
                <w:lang w:val="en-US" w:eastAsia="zh-CN"/>
              </w:rPr>
              <w:t>负责人</w:t>
            </w:r>
          </w:p>
        </w:tc>
        <w:tc>
          <w:tcPr>
            <w:tcW w:w="6659" w:type="dxa"/>
            <w:vAlign w:val="center"/>
          </w:tcPr>
          <w:p w14:paraId="16E25E73">
            <w:pPr>
              <w:rPr>
                <w:color w:val="auto"/>
              </w:rPr>
            </w:pPr>
          </w:p>
        </w:tc>
      </w:tr>
      <w:tr w14:paraId="6693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402DC060">
            <w:pPr>
              <w:jc w:val="center"/>
              <w:rPr>
                <w:rFonts w:hint="default" w:eastAsia="宋体"/>
                <w:color w:val="auto"/>
                <w:lang w:val="en-US" w:eastAsia="zh-CN"/>
              </w:rPr>
            </w:pPr>
            <w:r>
              <w:rPr>
                <w:rFonts w:hint="eastAsia"/>
                <w:color w:val="auto"/>
                <w:lang w:val="en-US" w:eastAsia="zh-CN"/>
              </w:rPr>
              <w:t>质量</w:t>
            </w:r>
          </w:p>
        </w:tc>
        <w:tc>
          <w:tcPr>
            <w:tcW w:w="6659" w:type="dxa"/>
            <w:vAlign w:val="center"/>
          </w:tcPr>
          <w:p w14:paraId="1BC226A6">
            <w:pPr>
              <w:rPr>
                <w:color w:val="auto"/>
              </w:rPr>
            </w:pPr>
          </w:p>
        </w:tc>
      </w:tr>
      <w:tr w14:paraId="45D1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903" w:type="dxa"/>
            <w:vAlign w:val="center"/>
          </w:tcPr>
          <w:p w14:paraId="58647B3C">
            <w:pPr>
              <w:pStyle w:val="20"/>
              <w:spacing w:before="0" w:beforeAutospacing="0" w:after="0" w:afterAutospacing="0"/>
              <w:jc w:val="center"/>
              <w:rPr>
                <w:rFonts w:hint="default" w:eastAsia="宋体" w:cs="Courier New"/>
                <w:color w:val="auto"/>
                <w:sz w:val="21"/>
                <w:szCs w:val="21"/>
                <w:lang w:val="en-US" w:eastAsia="zh-CN"/>
              </w:rPr>
            </w:pPr>
            <w:r>
              <w:rPr>
                <w:rFonts w:hint="eastAsia" w:cs="Courier New"/>
                <w:color w:val="auto"/>
                <w:sz w:val="21"/>
                <w:szCs w:val="21"/>
                <w:lang w:val="en-US" w:eastAsia="zh-CN"/>
              </w:rPr>
              <w:t>工期</w:t>
            </w:r>
          </w:p>
        </w:tc>
        <w:tc>
          <w:tcPr>
            <w:tcW w:w="6659" w:type="dxa"/>
            <w:vAlign w:val="center"/>
          </w:tcPr>
          <w:p w14:paraId="02E01527">
            <w:pPr>
              <w:pStyle w:val="20"/>
              <w:spacing w:before="0" w:beforeAutospacing="0" w:after="0" w:afterAutospacing="0"/>
              <w:jc w:val="center"/>
              <w:rPr>
                <w:rFonts w:cs="Courier New"/>
                <w:color w:val="auto"/>
                <w:sz w:val="21"/>
                <w:szCs w:val="21"/>
              </w:rPr>
            </w:pPr>
          </w:p>
        </w:tc>
      </w:tr>
    </w:tbl>
    <w:p w14:paraId="13D87D37">
      <w:pPr>
        <w:pStyle w:val="20"/>
        <w:spacing w:before="0" w:beforeAutospacing="0" w:after="0" w:afterAutospacing="0" w:line="360" w:lineRule="auto"/>
        <w:ind w:firstLine="480"/>
        <w:rPr>
          <w:color w:val="auto"/>
          <w:sz w:val="21"/>
          <w:szCs w:val="21"/>
        </w:rPr>
      </w:pPr>
    </w:p>
    <w:p w14:paraId="5D42EA07">
      <w:pPr>
        <w:adjustRightInd w:val="0"/>
        <w:snapToGrid w:val="0"/>
        <w:spacing w:before="120" w:beforeLines="50"/>
        <w:ind w:left="752" w:leftChars="58" w:hanging="630" w:hangingChars="300"/>
        <w:rPr>
          <w:rFonts w:ascii="楷体" w:hAnsi="楷体" w:eastAsia="楷体"/>
          <w:color w:val="auto"/>
          <w:szCs w:val="21"/>
        </w:rPr>
      </w:pPr>
      <w:r>
        <w:rPr>
          <w:rFonts w:hint="eastAsia" w:ascii="楷体" w:hAnsi="楷体" w:eastAsia="楷体"/>
          <w:color w:val="auto"/>
          <w:szCs w:val="21"/>
        </w:rPr>
        <w:t>说明：1.报价精确到小数点后两位，大小写不一致时，以大写为准；</w:t>
      </w:r>
    </w:p>
    <w:p w14:paraId="328D8A5B">
      <w:pPr>
        <w:adjustRightInd w:val="0"/>
        <w:snapToGrid w:val="0"/>
        <w:spacing w:before="120" w:beforeLines="50"/>
        <w:ind w:left="748" w:leftChars="356"/>
        <w:rPr>
          <w:rFonts w:ascii="楷体" w:hAnsi="楷体" w:eastAsia="楷体"/>
          <w:color w:val="auto"/>
          <w:szCs w:val="21"/>
        </w:rPr>
      </w:pPr>
      <w:r>
        <w:rPr>
          <w:rFonts w:hint="eastAsia" w:ascii="楷体" w:hAnsi="楷体" w:eastAsia="楷体"/>
          <w:color w:val="auto"/>
          <w:szCs w:val="21"/>
        </w:rPr>
        <w:t>2.本表所列各项数据与磋商文件其他地方表述不一致时，以本表为准。</w:t>
      </w:r>
    </w:p>
    <w:p w14:paraId="6BC250C0">
      <w:pPr>
        <w:spacing w:before="120" w:beforeLines="50" w:line="200" w:lineRule="exact"/>
        <w:ind w:left="412" w:leftChars="196" w:firstLine="315" w:firstLineChars="150"/>
        <w:jc w:val="left"/>
        <w:rPr>
          <w:rFonts w:ascii="宋体" w:hAnsi="宋体"/>
          <w:color w:val="auto"/>
          <w:szCs w:val="21"/>
        </w:rPr>
      </w:pPr>
    </w:p>
    <w:p w14:paraId="16435D19">
      <w:pPr>
        <w:pStyle w:val="20"/>
        <w:spacing w:before="0" w:beforeAutospacing="0" w:after="0" w:afterAutospacing="0" w:line="360" w:lineRule="auto"/>
        <w:rPr>
          <w:color w:val="auto"/>
          <w:sz w:val="21"/>
          <w:szCs w:val="21"/>
        </w:rPr>
      </w:pPr>
    </w:p>
    <w:p w14:paraId="785AED6C">
      <w:pPr>
        <w:pStyle w:val="20"/>
        <w:spacing w:before="0" w:beforeAutospacing="0" w:after="0" w:afterAutospacing="0" w:line="360" w:lineRule="auto"/>
        <w:ind w:firstLine="3045" w:firstLineChars="1450"/>
        <w:rPr>
          <w:color w:val="auto"/>
          <w:sz w:val="21"/>
          <w:szCs w:val="21"/>
        </w:rPr>
      </w:pPr>
    </w:p>
    <w:p w14:paraId="3A751A3A">
      <w:pPr>
        <w:pStyle w:val="20"/>
        <w:spacing w:before="0" w:beforeAutospacing="0" w:after="0" w:afterAutospacing="0" w:line="480" w:lineRule="auto"/>
        <w:ind w:firstLine="2940" w:firstLineChars="1400"/>
        <w:rPr>
          <w:color w:val="auto"/>
          <w:sz w:val="21"/>
          <w:szCs w:val="21"/>
          <w:u w:val="single"/>
        </w:rPr>
      </w:pPr>
      <w:r>
        <w:rPr>
          <w:rFonts w:hint="eastAsia"/>
          <w:color w:val="auto"/>
          <w:sz w:val="21"/>
          <w:szCs w:val="21"/>
        </w:rPr>
        <w:t>供应商名称：</w:t>
      </w:r>
      <w:r>
        <w:rPr>
          <w:rFonts w:hint="eastAsia"/>
          <w:color w:val="auto"/>
          <w:sz w:val="21"/>
          <w:szCs w:val="21"/>
          <w:u w:val="single"/>
        </w:rPr>
        <w:t xml:space="preserve">                         </w:t>
      </w:r>
      <w:r>
        <w:rPr>
          <w:rFonts w:hint="eastAsia"/>
          <w:bCs/>
          <w:color w:val="auto"/>
          <w:sz w:val="21"/>
          <w:szCs w:val="21"/>
        </w:rPr>
        <w:t>（盖单位章）</w:t>
      </w:r>
    </w:p>
    <w:p w14:paraId="634F6085">
      <w:pPr>
        <w:pStyle w:val="20"/>
        <w:spacing w:before="0" w:beforeAutospacing="0" w:after="0" w:afterAutospacing="0" w:line="480" w:lineRule="auto"/>
        <w:ind w:firstLine="2940" w:firstLineChars="1400"/>
        <w:rPr>
          <w:color w:val="auto"/>
          <w:sz w:val="21"/>
          <w:szCs w:val="21"/>
        </w:rPr>
      </w:pPr>
      <w:r>
        <w:rPr>
          <w:rFonts w:hint="eastAsia"/>
          <w:color w:val="auto"/>
          <w:sz w:val="21"/>
          <w:szCs w:val="21"/>
        </w:rPr>
        <w:t>法定代表人或授权代理人：</w:t>
      </w:r>
      <w:r>
        <w:rPr>
          <w:rFonts w:hint="eastAsia"/>
          <w:color w:val="auto"/>
          <w:sz w:val="21"/>
          <w:szCs w:val="21"/>
          <w:u w:val="single"/>
        </w:rPr>
        <w:t xml:space="preserve">             </w:t>
      </w:r>
      <w:r>
        <w:rPr>
          <w:rFonts w:hint="eastAsia"/>
          <w:color w:val="auto"/>
          <w:sz w:val="21"/>
          <w:szCs w:val="21"/>
        </w:rPr>
        <w:t>（签字或盖章）</w:t>
      </w:r>
    </w:p>
    <w:p w14:paraId="77D00ADA">
      <w:pPr>
        <w:pStyle w:val="20"/>
        <w:spacing w:before="0" w:beforeAutospacing="0" w:after="0" w:afterAutospacing="0" w:line="480" w:lineRule="auto"/>
        <w:ind w:firstLine="2940" w:firstLineChars="1400"/>
        <w:rPr>
          <w:color w:val="auto"/>
          <w:sz w:val="21"/>
          <w:szCs w:val="21"/>
        </w:rPr>
        <w:sectPr>
          <w:footerReference r:id="rId12" w:type="first"/>
          <w:headerReference r:id="rId8" w:type="default"/>
          <w:footerReference r:id="rId10" w:type="default"/>
          <w:headerReference r:id="rId9" w:type="even"/>
          <w:footerReference r:id="rId11" w:type="even"/>
          <w:pgSz w:w="11907" w:h="16840"/>
          <w:pgMar w:top="1440" w:right="1080" w:bottom="1440" w:left="1080" w:header="851" w:footer="992" w:gutter="0"/>
          <w:cols w:space="720" w:num="1"/>
          <w:titlePg/>
        </w:sectPr>
      </w:pPr>
      <w:r>
        <w:rPr>
          <w:rFonts w:hint="eastAsia"/>
          <w:color w:val="auto"/>
          <w:sz w:val="21"/>
          <w:szCs w:val="21"/>
        </w:rPr>
        <w:t xml:space="preserve">日       期： </w:t>
      </w:r>
      <w:r>
        <w:rPr>
          <w:rFonts w:hint="eastAsia"/>
          <w:color w:val="auto"/>
          <w:sz w:val="21"/>
          <w:szCs w:val="21"/>
          <w:u w:val="single"/>
        </w:rPr>
        <w:t xml:space="preserve">    </w:t>
      </w:r>
      <w:r>
        <w:rPr>
          <w:rFonts w:hint="eastAsia"/>
          <w:color w:val="auto"/>
          <w:sz w:val="21"/>
          <w:szCs w:val="21"/>
        </w:rPr>
        <w:t>年</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rPr>
        <w:t>日</w:t>
      </w:r>
    </w:p>
    <w:p w14:paraId="547446FA">
      <w:pPr>
        <w:bidi w:val="0"/>
        <w:jc w:val="center"/>
        <w:rPr>
          <w:b/>
          <w:bCs/>
          <w:color w:val="auto"/>
          <w:sz w:val="36"/>
          <w:szCs w:val="36"/>
        </w:rPr>
      </w:pPr>
      <w:bookmarkStart w:id="263" w:name="_Toc28486"/>
      <w:bookmarkStart w:id="264" w:name="_Toc15504"/>
      <w:r>
        <w:rPr>
          <w:rFonts w:hint="eastAsia"/>
          <w:b/>
          <w:bCs/>
          <w:color w:val="auto"/>
          <w:sz w:val="36"/>
          <w:szCs w:val="36"/>
        </w:rPr>
        <w:t>分项报价明细表</w:t>
      </w:r>
      <w:bookmarkEnd w:id="263"/>
    </w:p>
    <w:p w14:paraId="189F72D9">
      <w:pPr>
        <w:shd w:val="clear"/>
        <w:spacing w:line="360" w:lineRule="auto"/>
        <w:rPr>
          <w:rFonts w:ascii="宋体" w:hAnsi="宋体"/>
          <w:bCs/>
          <w:color w:val="auto"/>
          <w:kern w:val="0"/>
          <w:szCs w:val="21"/>
          <w:highlight w:val="none"/>
        </w:rPr>
      </w:pPr>
    </w:p>
    <w:p w14:paraId="553030C1">
      <w:pPr>
        <w:shd w:val="clear"/>
        <w:adjustRightInd w:val="0"/>
        <w:snapToGrid w:val="0"/>
        <w:ind w:left="-88" w:leftChars="-42"/>
        <w:rPr>
          <w:rFonts w:hint="eastAsia" w:ascii="楷体" w:hAnsi="楷体" w:eastAsia="楷体"/>
          <w:color w:val="auto"/>
          <w:szCs w:val="21"/>
          <w:highlight w:val="none"/>
          <w:lang w:eastAsia="zh-CN"/>
        </w:rPr>
      </w:pPr>
      <w:r>
        <w:rPr>
          <w:rFonts w:ascii="楷体" w:hAnsi="楷体" w:eastAsia="楷体"/>
          <w:color w:val="auto"/>
          <w:szCs w:val="21"/>
          <w:highlight w:val="none"/>
        </w:rPr>
        <w:t>说明：</w:t>
      </w:r>
      <w:r>
        <w:rPr>
          <w:rFonts w:hint="eastAsia" w:ascii="楷体" w:hAnsi="楷体" w:eastAsia="楷体"/>
          <w:color w:val="auto"/>
          <w:szCs w:val="21"/>
          <w:highlight w:val="none"/>
          <w:lang w:eastAsia="zh-CN"/>
        </w:rPr>
        <w:t>格式自拟，</w:t>
      </w:r>
      <w:r>
        <w:rPr>
          <w:rFonts w:hint="eastAsia" w:ascii="楷体" w:hAnsi="楷体" w:eastAsia="楷体"/>
          <w:color w:val="auto"/>
          <w:szCs w:val="21"/>
          <w:highlight w:val="none"/>
        </w:rPr>
        <w:t>各分项报价合计应当与“磋商报价一览表”总报价相等</w:t>
      </w:r>
      <w:r>
        <w:rPr>
          <w:rFonts w:hint="eastAsia" w:ascii="楷体" w:hAnsi="楷体" w:eastAsia="楷体"/>
          <w:color w:val="auto"/>
          <w:szCs w:val="21"/>
          <w:highlight w:val="none"/>
          <w:lang w:eastAsia="zh-CN"/>
        </w:rPr>
        <w:t>。</w:t>
      </w:r>
    </w:p>
    <w:p w14:paraId="51DA4505">
      <w:pPr>
        <w:shd w:val="clear"/>
        <w:spacing w:line="360" w:lineRule="auto"/>
        <w:ind w:firstLine="1680" w:firstLineChars="800"/>
        <w:rPr>
          <w:rFonts w:ascii="宋体" w:hAnsi="宋体"/>
          <w:color w:val="auto"/>
          <w:szCs w:val="21"/>
          <w:highlight w:val="none"/>
        </w:rPr>
      </w:pPr>
    </w:p>
    <w:p w14:paraId="60F90CA4">
      <w:pPr>
        <w:shd w:val="clear"/>
        <w:outlineLvl w:val="9"/>
        <w:rPr>
          <w:rFonts w:ascii="宋体" w:hAnsi="宋体"/>
          <w:color w:val="auto"/>
          <w:szCs w:val="21"/>
          <w:highlight w:val="none"/>
        </w:rPr>
      </w:pPr>
    </w:p>
    <w:p w14:paraId="2C518CB1">
      <w:pPr>
        <w:shd w:val="clear"/>
        <w:outlineLvl w:val="9"/>
        <w:rPr>
          <w:rFonts w:ascii="宋体" w:hAnsi="宋体"/>
          <w:color w:val="auto"/>
          <w:szCs w:val="21"/>
          <w:highlight w:val="none"/>
        </w:rPr>
      </w:pPr>
    </w:p>
    <w:p w14:paraId="176F0E8D">
      <w:pPr>
        <w:shd w:val="clear"/>
        <w:outlineLvl w:val="9"/>
        <w:rPr>
          <w:rFonts w:ascii="宋体" w:hAnsi="宋体"/>
          <w:color w:val="auto"/>
          <w:szCs w:val="21"/>
          <w:highlight w:val="none"/>
        </w:rPr>
      </w:pPr>
    </w:p>
    <w:p w14:paraId="038F240B">
      <w:pPr>
        <w:shd w:val="clear"/>
        <w:outlineLvl w:val="9"/>
        <w:rPr>
          <w:rFonts w:ascii="宋体" w:hAnsi="宋体"/>
          <w:color w:val="auto"/>
          <w:szCs w:val="21"/>
          <w:highlight w:val="none"/>
        </w:rPr>
      </w:pPr>
    </w:p>
    <w:p w14:paraId="181D0F05">
      <w:pPr>
        <w:shd w:val="clear"/>
        <w:outlineLvl w:val="9"/>
        <w:rPr>
          <w:rFonts w:ascii="宋体" w:hAnsi="宋体"/>
          <w:color w:val="auto"/>
          <w:szCs w:val="21"/>
          <w:highlight w:val="none"/>
        </w:rPr>
      </w:pPr>
    </w:p>
    <w:p w14:paraId="148AE63F">
      <w:pPr>
        <w:shd w:val="clear"/>
        <w:outlineLvl w:val="9"/>
        <w:rPr>
          <w:rFonts w:ascii="宋体" w:hAnsi="宋体"/>
          <w:color w:val="auto"/>
          <w:szCs w:val="21"/>
          <w:highlight w:val="none"/>
        </w:rPr>
      </w:pPr>
    </w:p>
    <w:p w14:paraId="097AC317">
      <w:pPr>
        <w:shd w:val="clear"/>
        <w:outlineLvl w:val="9"/>
        <w:rPr>
          <w:color w:val="auto"/>
          <w:highlight w:val="none"/>
        </w:rPr>
      </w:pPr>
    </w:p>
    <w:p w14:paraId="5E936F41">
      <w:pPr>
        <w:pStyle w:val="20"/>
        <w:shd w:val="clear"/>
        <w:spacing w:before="0" w:beforeAutospacing="0" w:after="0" w:afterAutospacing="0" w:line="480" w:lineRule="auto"/>
        <w:ind w:firstLine="2940" w:firstLineChars="1400"/>
        <w:rPr>
          <w:color w:val="auto"/>
          <w:sz w:val="21"/>
          <w:szCs w:val="21"/>
          <w:highlight w:val="none"/>
          <w:u w:val="single"/>
        </w:rPr>
      </w:pPr>
      <w:r>
        <w:rPr>
          <w:rFonts w:hint="eastAsia"/>
          <w:color w:val="auto"/>
          <w:sz w:val="21"/>
          <w:szCs w:val="21"/>
          <w:highlight w:val="none"/>
        </w:rPr>
        <w:t>供应商名称：</w:t>
      </w:r>
      <w:r>
        <w:rPr>
          <w:rFonts w:hint="eastAsia"/>
          <w:color w:val="auto"/>
          <w:sz w:val="21"/>
          <w:szCs w:val="21"/>
          <w:highlight w:val="none"/>
          <w:u w:val="single"/>
        </w:rPr>
        <w:t xml:space="preserve">                     </w:t>
      </w:r>
      <w:r>
        <w:rPr>
          <w:rFonts w:hint="eastAsia" w:ascii="宋体" w:hAnsi="宋体"/>
          <w:bCs/>
          <w:color w:val="auto"/>
          <w:sz w:val="21"/>
          <w:szCs w:val="21"/>
          <w:highlight w:val="none"/>
        </w:rPr>
        <w:t>（盖单位章）</w:t>
      </w:r>
    </w:p>
    <w:p w14:paraId="7DB07C49">
      <w:pPr>
        <w:pStyle w:val="20"/>
        <w:shd w:val="clear"/>
        <w:spacing w:before="0" w:beforeAutospacing="0" w:after="0" w:afterAutospacing="0" w:line="480" w:lineRule="auto"/>
        <w:ind w:firstLine="2940" w:firstLineChars="1400"/>
        <w:rPr>
          <w:rFonts w:hint="eastAsia"/>
          <w:color w:val="auto"/>
          <w:sz w:val="21"/>
          <w:szCs w:val="21"/>
          <w:highlight w:val="none"/>
          <w:u w:val="none"/>
        </w:rPr>
      </w:pPr>
      <w:r>
        <w:rPr>
          <w:rFonts w:hint="eastAsia"/>
          <w:color w:val="auto"/>
          <w:sz w:val="21"/>
          <w:szCs w:val="21"/>
          <w:highlight w:val="none"/>
        </w:rPr>
        <w:t>法定代表人或授权代理人：</w:t>
      </w:r>
      <w:r>
        <w:rPr>
          <w:rFonts w:hint="eastAsia"/>
          <w:color w:val="auto"/>
          <w:sz w:val="21"/>
          <w:szCs w:val="21"/>
          <w:highlight w:val="none"/>
          <w:u w:val="single"/>
        </w:rPr>
        <w:t xml:space="preserve">         </w:t>
      </w:r>
      <w:r>
        <w:rPr>
          <w:rFonts w:hint="eastAsia"/>
          <w:color w:val="auto"/>
          <w:sz w:val="21"/>
          <w:szCs w:val="21"/>
          <w:highlight w:val="none"/>
          <w:u w:val="none"/>
        </w:rPr>
        <w:t>（签字或盖章）</w:t>
      </w:r>
    </w:p>
    <w:p w14:paraId="700C4E72">
      <w:pPr>
        <w:pStyle w:val="20"/>
        <w:shd w:val="clear"/>
        <w:spacing w:before="0" w:beforeAutospacing="0" w:after="0" w:afterAutospacing="0" w:line="480" w:lineRule="auto"/>
        <w:ind w:firstLine="2940" w:firstLineChars="1400"/>
        <w:rPr>
          <w:rFonts w:hint="eastAsia" w:eastAsia="宋体"/>
          <w:color w:val="auto"/>
          <w:sz w:val="21"/>
          <w:szCs w:val="21"/>
          <w:highlight w:val="none"/>
          <w:lang w:val="en-US" w:eastAsia="zh-CN"/>
        </w:rPr>
        <w:sectPr>
          <w:headerReference r:id="rId13" w:type="default"/>
          <w:footerReference r:id="rId15" w:type="default"/>
          <w:headerReference r:id="rId14" w:type="even"/>
          <w:footerReference r:id="rId16"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color w:val="auto"/>
          <w:sz w:val="21"/>
          <w:szCs w:val="21"/>
          <w:highlight w:val="none"/>
          <w:u w:val="none"/>
          <w:lang w:eastAsia="zh-CN"/>
        </w:rPr>
        <w:t>日</w:t>
      </w:r>
      <w:r>
        <w:rPr>
          <w:rFonts w:hint="eastAsia"/>
          <w:color w:val="auto"/>
          <w:sz w:val="21"/>
          <w:szCs w:val="21"/>
          <w:highlight w:val="none"/>
          <w:u w:val="none"/>
          <w:lang w:val="en-US" w:eastAsia="zh-CN"/>
        </w:rPr>
        <w:t xml:space="preserve">      </w:t>
      </w:r>
      <w:r>
        <w:rPr>
          <w:rFonts w:hint="eastAsia"/>
          <w:color w:val="auto"/>
          <w:sz w:val="21"/>
          <w:szCs w:val="21"/>
          <w:highlight w:val="none"/>
          <w:u w:val="none"/>
          <w:lang w:eastAsia="zh-CN"/>
        </w:rPr>
        <w:t>期：</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日</w:t>
      </w:r>
    </w:p>
    <w:p w14:paraId="0098AC87">
      <w:pPr>
        <w:spacing w:before="78" w:line="218" w:lineRule="auto"/>
        <w:ind w:left="3583"/>
        <w:outlineLvl w:val="9"/>
        <w:rPr>
          <w:rFonts w:hint="eastAsia" w:ascii="仿宋" w:hAnsi="仿宋" w:eastAsia="仿宋" w:cs="仿宋"/>
          <w:sz w:val="36"/>
          <w:szCs w:val="36"/>
        </w:rPr>
      </w:pPr>
      <w:r>
        <w:rPr>
          <w:rFonts w:hint="eastAsia" w:ascii="仿宋" w:hAnsi="仿宋" w:eastAsia="仿宋" w:cs="仿宋"/>
          <w:spacing w:val="-1"/>
          <w:sz w:val="36"/>
          <w:szCs w:val="36"/>
          <w:lang w:val="en-US" w:eastAsia="zh-CN"/>
          <w14:textOutline w14:w="4358" w14:cap="sq" w14:cmpd="sng">
            <w14:solidFill>
              <w14:srgbClr w14:val="000000"/>
            </w14:solidFill>
            <w14:prstDash w14:val="solid"/>
            <w14:bevel/>
          </w14:textOutline>
        </w:rPr>
        <w:t>最终</w:t>
      </w:r>
      <w:r>
        <w:rPr>
          <w:rFonts w:hint="eastAsia" w:ascii="仿宋" w:hAnsi="仿宋" w:eastAsia="仿宋" w:cs="仿宋"/>
          <w:spacing w:val="-1"/>
          <w:sz w:val="36"/>
          <w:szCs w:val="36"/>
          <w14:textOutline w14:w="4358" w14:cap="sq" w14:cmpd="sng">
            <w14:solidFill>
              <w14:srgbClr w14:val="000000"/>
            </w14:solidFill>
            <w14:prstDash w14:val="solid"/>
            <w14:bevel/>
          </w14:textOutline>
        </w:rPr>
        <w:t>磋商报价表</w:t>
      </w:r>
    </w:p>
    <w:p w14:paraId="585D4C4E">
      <w:pPr>
        <w:pStyle w:val="2"/>
        <w:spacing w:line="285" w:lineRule="auto"/>
        <w:rPr>
          <w:rFonts w:hint="eastAsia" w:ascii="仿宋" w:hAnsi="仿宋" w:eastAsia="仿宋" w:cs="仿宋"/>
          <w:sz w:val="24"/>
          <w:szCs w:val="24"/>
        </w:rPr>
      </w:pPr>
    </w:p>
    <w:p w14:paraId="6935DA1C">
      <w:pPr>
        <w:pStyle w:val="2"/>
        <w:spacing w:line="286" w:lineRule="auto"/>
        <w:rPr>
          <w:rFonts w:hint="eastAsia" w:ascii="仿宋" w:hAnsi="仿宋" w:eastAsia="仿宋" w:cs="仿宋"/>
          <w:sz w:val="24"/>
          <w:szCs w:val="24"/>
        </w:rPr>
      </w:pPr>
    </w:p>
    <w:p w14:paraId="3953460D">
      <w:pPr>
        <w:spacing w:before="78" w:line="220" w:lineRule="auto"/>
        <w:ind w:left="493"/>
        <w:rPr>
          <w:rFonts w:hint="eastAsia" w:ascii="仿宋" w:hAnsi="仿宋" w:eastAsia="仿宋" w:cs="仿宋"/>
          <w:sz w:val="24"/>
          <w:szCs w:val="24"/>
        </w:rPr>
      </w:pPr>
      <w:r>
        <w:rPr>
          <w:rFonts w:hint="eastAsia" w:ascii="仿宋" w:hAnsi="仿宋" w:eastAsia="仿宋" w:cs="仿宋"/>
          <w:spacing w:val="-3"/>
          <w:sz w:val="24"/>
          <w:szCs w:val="24"/>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p>
    <w:p w14:paraId="12AD6C50">
      <w:pPr>
        <w:spacing w:before="181" w:line="219" w:lineRule="auto"/>
        <w:ind w:left="488"/>
        <w:rPr>
          <w:rFonts w:hint="eastAsia" w:ascii="仿宋" w:hAnsi="仿宋" w:eastAsia="仿宋" w:cs="仿宋"/>
          <w:sz w:val="24"/>
          <w:szCs w:val="24"/>
          <w:u w:val="single" w:color="auto"/>
        </w:rPr>
      </w:pPr>
      <w:r>
        <w:rPr>
          <w:rFonts w:hint="eastAsia" w:ascii="仿宋" w:hAnsi="仿宋" w:eastAsia="仿宋" w:cs="仿宋"/>
          <w:spacing w:val="-2"/>
          <w:sz w:val="24"/>
          <w:szCs w:val="24"/>
        </w:rPr>
        <w:t>采购编号：</w:t>
      </w:r>
      <w:r>
        <w:rPr>
          <w:rFonts w:hint="eastAsia" w:ascii="仿宋" w:hAnsi="仿宋" w:eastAsia="仿宋" w:cs="仿宋"/>
          <w:sz w:val="24"/>
          <w:szCs w:val="24"/>
          <w:u w:val="single" w:color="auto"/>
        </w:rPr>
        <w:t xml:space="preserve">                               </w:t>
      </w:r>
    </w:p>
    <w:p w14:paraId="0234E7E1">
      <w:pPr>
        <w:spacing w:line="131" w:lineRule="exact"/>
        <w:rPr>
          <w:rFonts w:hint="eastAsia" w:ascii="仿宋" w:hAnsi="仿宋" w:eastAsia="仿宋" w:cs="仿宋"/>
          <w:sz w:val="24"/>
          <w:szCs w:val="24"/>
          <w:u w:val="single" w:color="auto"/>
        </w:rPr>
      </w:pPr>
    </w:p>
    <w:tbl>
      <w:tblPr>
        <w:tblStyle w:val="42"/>
        <w:tblW w:w="8752"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1"/>
        <w:gridCol w:w="5761"/>
      </w:tblGrid>
      <w:tr w14:paraId="1FB4A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2991" w:type="dxa"/>
            <w:vMerge w:val="restart"/>
            <w:tcBorders>
              <w:bottom w:val="nil"/>
            </w:tcBorders>
            <w:vAlign w:val="top"/>
          </w:tcPr>
          <w:p w14:paraId="1485CBD4">
            <w:pPr>
              <w:spacing w:line="327" w:lineRule="auto"/>
              <w:rPr>
                <w:rFonts w:hint="eastAsia" w:ascii="仿宋" w:hAnsi="仿宋" w:eastAsia="仿宋" w:cs="仿宋"/>
                <w:sz w:val="24"/>
                <w:szCs w:val="24"/>
              </w:rPr>
            </w:pPr>
          </w:p>
          <w:p w14:paraId="58A64962">
            <w:pPr>
              <w:spacing w:line="327" w:lineRule="auto"/>
              <w:rPr>
                <w:rFonts w:hint="eastAsia" w:ascii="仿宋" w:hAnsi="仿宋" w:eastAsia="仿宋" w:cs="仿宋"/>
                <w:sz w:val="24"/>
                <w:szCs w:val="24"/>
              </w:rPr>
            </w:pPr>
          </w:p>
          <w:p w14:paraId="39ACEF1B">
            <w:pPr>
              <w:pStyle w:val="41"/>
              <w:spacing w:before="78" w:line="218" w:lineRule="auto"/>
              <w:ind w:left="1261"/>
              <w:rPr>
                <w:rFonts w:hint="eastAsia" w:ascii="仿宋" w:hAnsi="仿宋" w:eastAsia="仿宋" w:cs="仿宋"/>
                <w:sz w:val="24"/>
                <w:szCs w:val="24"/>
              </w:rPr>
            </w:pPr>
            <w:r>
              <w:rPr>
                <w:rFonts w:hint="eastAsia" w:ascii="仿宋" w:hAnsi="仿宋" w:eastAsia="仿宋" w:cs="仿宋"/>
                <w:spacing w:val="-3"/>
                <w:sz w:val="24"/>
                <w:szCs w:val="24"/>
              </w:rPr>
              <w:t>磋商总价</w:t>
            </w:r>
          </w:p>
        </w:tc>
        <w:tc>
          <w:tcPr>
            <w:tcW w:w="5761" w:type="dxa"/>
            <w:vAlign w:val="center"/>
          </w:tcPr>
          <w:p w14:paraId="7D16645E">
            <w:pPr>
              <w:pStyle w:val="41"/>
              <w:spacing w:before="189" w:line="220" w:lineRule="auto"/>
              <w:jc w:val="left"/>
              <w:rPr>
                <w:rFonts w:hint="eastAsia" w:ascii="仿宋" w:hAnsi="仿宋" w:eastAsia="仿宋" w:cs="仿宋"/>
                <w:sz w:val="24"/>
                <w:szCs w:val="24"/>
              </w:rPr>
            </w:pPr>
            <w:r>
              <w:rPr>
                <w:rFonts w:hint="eastAsia" w:ascii="仿宋" w:hAnsi="仿宋" w:eastAsia="仿宋" w:cs="仿宋"/>
                <w:spacing w:val="-4"/>
                <w:sz w:val="24"/>
                <w:szCs w:val="24"/>
              </w:rPr>
              <w:t>小</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写</w:t>
            </w:r>
            <w:r>
              <w:rPr>
                <w:rFonts w:hint="eastAsia" w:ascii="仿宋" w:hAnsi="仿宋" w:eastAsia="仿宋" w:cs="仿宋"/>
                <w:spacing w:val="-4"/>
                <w:sz w:val="24"/>
                <w:szCs w:val="24"/>
                <w:lang w:eastAsia="zh-CN"/>
              </w:rPr>
              <w:t>：</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元</w:t>
            </w:r>
          </w:p>
        </w:tc>
      </w:tr>
      <w:tr w14:paraId="4842B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2991" w:type="dxa"/>
            <w:vMerge w:val="continue"/>
            <w:tcBorders>
              <w:top w:val="nil"/>
            </w:tcBorders>
            <w:vAlign w:val="top"/>
          </w:tcPr>
          <w:p w14:paraId="077E59ED">
            <w:pPr>
              <w:rPr>
                <w:rFonts w:hint="eastAsia" w:ascii="仿宋" w:hAnsi="仿宋" w:eastAsia="仿宋" w:cs="仿宋"/>
                <w:sz w:val="24"/>
                <w:szCs w:val="24"/>
              </w:rPr>
            </w:pPr>
          </w:p>
        </w:tc>
        <w:tc>
          <w:tcPr>
            <w:tcW w:w="5761" w:type="dxa"/>
            <w:vAlign w:val="center"/>
          </w:tcPr>
          <w:p w14:paraId="2460E7A8">
            <w:pPr>
              <w:jc w:val="left"/>
              <w:rPr>
                <w:rFonts w:hint="eastAsia" w:ascii="仿宋" w:hAnsi="仿宋" w:eastAsia="仿宋" w:cs="仿宋"/>
                <w:sz w:val="24"/>
                <w:szCs w:val="24"/>
                <w:lang w:eastAsia="zh-CN"/>
              </w:rPr>
            </w:pPr>
            <w:r>
              <w:rPr>
                <w:rFonts w:hint="eastAsia" w:ascii="仿宋" w:hAnsi="仿宋" w:eastAsia="仿宋" w:cs="仿宋"/>
                <w:spacing w:val="-3"/>
                <w:sz w:val="24"/>
                <w:szCs w:val="24"/>
              </w:rPr>
              <w:t>大</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写</w:t>
            </w:r>
            <w:r>
              <w:rPr>
                <w:rFonts w:hint="eastAsia" w:ascii="仿宋" w:hAnsi="仿宋" w:eastAsia="仿宋" w:cs="仿宋"/>
                <w:spacing w:val="-3"/>
                <w:sz w:val="24"/>
                <w:szCs w:val="24"/>
                <w:lang w:eastAsia="zh-CN"/>
              </w:rPr>
              <w:t>：</w:t>
            </w:r>
          </w:p>
        </w:tc>
      </w:tr>
      <w:tr w14:paraId="6D403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338BC059">
            <w:pPr>
              <w:pStyle w:val="41"/>
              <w:spacing w:before="267" w:line="220" w:lineRule="auto"/>
              <w:ind w:left="1205"/>
              <w:rPr>
                <w:rFonts w:hint="eastAsia" w:ascii="仿宋" w:hAnsi="仿宋" w:eastAsia="仿宋" w:cs="仿宋"/>
                <w:sz w:val="24"/>
                <w:szCs w:val="24"/>
              </w:rPr>
            </w:pPr>
            <w:r>
              <w:rPr>
                <w:rFonts w:hint="eastAsia" w:ascii="仿宋" w:hAnsi="仿宋" w:eastAsia="仿宋" w:cs="仿宋"/>
                <w:spacing w:val="-7"/>
                <w:sz w:val="24"/>
                <w:szCs w:val="24"/>
              </w:rPr>
              <w:t>工</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期</w:t>
            </w:r>
          </w:p>
        </w:tc>
        <w:tc>
          <w:tcPr>
            <w:tcW w:w="5761" w:type="dxa"/>
            <w:vAlign w:val="top"/>
          </w:tcPr>
          <w:p w14:paraId="2A076A5C">
            <w:pPr>
              <w:pStyle w:val="41"/>
              <w:spacing w:before="267" w:line="220" w:lineRule="auto"/>
              <w:ind w:left="2537"/>
              <w:rPr>
                <w:rFonts w:hint="eastAsia" w:ascii="仿宋" w:hAnsi="仿宋" w:eastAsia="仿宋" w:cs="仿宋"/>
                <w:sz w:val="24"/>
                <w:szCs w:val="24"/>
              </w:rPr>
            </w:pPr>
          </w:p>
        </w:tc>
      </w:tr>
      <w:tr w14:paraId="0C4C3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72F0E4C0">
            <w:pPr>
              <w:pStyle w:val="41"/>
              <w:spacing w:before="267" w:line="220" w:lineRule="auto"/>
              <w:ind w:left="1203"/>
              <w:rPr>
                <w:rFonts w:hint="eastAsia" w:ascii="仿宋" w:hAnsi="仿宋" w:eastAsia="仿宋" w:cs="仿宋"/>
                <w:sz w:val="24"/>
                <w:szCs w:val="24"/>
              </w:rPr>
            </w:pPr>
            <w:r>
              <w:rPr>
                <w:rFonts w:hint="eastAsia" w:ascii="仿宋" w:hAnsi="仿宋" w:eastAsia="仿宋" w:cs="仿宋"/>
                <w:spacing w:val="-6"/>
                <w:sz w:val="24"/>
                <w:szCs w:val="24"/>
              </w:rPr>
              <w:t>质</w:t>
            </w:r>
            <w:r>
              <w:rPr>
                <w:rFonts w:hint="eastAsia" w:ascii="仿宋" w:hAnsi="仿宋" w:eastAsia="仿宋" w:cs="仿宋"/>
                <w:spacing w:val="2"/>
                <w:sz w:val="24"/>
                <w:szCs w:val="24"/>
              </w:rPr>
              <w:t xml:space="preserve"> </w:t>
            </w:r>
            <w:r>
              <w:rPr>
                <w:rFonts w:hint="eastAsia" w:ascii="仿宋" w:hAnsi="仿宋" w:eastAsia="仿宋" w:cs="仿宋"/>
                <w:spacing w:val="-6"/>
                <w:sz w:val="24"/>
                <w:szCs w:val="24"/>
              </w:rPr>
              <w:t>量</w:t>
            </w:r>
          </w:p>
        </w:tc>
        <w:tc>
          <w:tcPr>
            <w:tcW w:w="5761" w:type="dxa"/>
            <w:vAlign w:val="top"/>
          </w:tcPr>
          <w:p w14:paraId="7EB0C644">
            <w:pPr>
              <w:rPr>
                <w:rFonts w:hint="eastAsia" w:ascii="仿宋" w:hAnsi="仿宋" w:eastAsia="仿宋" w:cs="仿宋"/>
                <w:sz w:val="24"/>
                <w:szCs w:val="24"/>
              </w:rPr>
            </w:pPr>
          </w:p>
        </w:tc>
      </w:tr>
      <w:tr w14:paraId="021A6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26ADAA7F">
            <w:pPr>
              <w:pStyle w:val="41"/>
              <w:spacing w:before="267" w:line="220" w:lineRule="auto"/>
              <w:ind w:left="1203"/>
              <w:rPr>
                <w:rFonts w:hint="eastAsia" w:ascii="仿宋" w:hAnsi="仿宋" w:eastAsia="仿宋" w:cs="仿宋"/>
                <w:spacing w:val="-6"/>
                <w:sz w:val="24"/>
                <w:szCs w:val="24"/>
                <w:lang w:eastAsia="zh-CN"/>
              </w:rPr>
            </w:pPr>
            <w:r>
              <w:rPr>
                <w:rFonts w:hint="eastAsia" w:ascii="仿宋" w:hAnsi="仿宋" w:eastAsia="仿宋" w:cs="仿宋"/>
                <w:spacing w:val="-6"/>
                <w:sz w:val="24"/>
                <w:szCs w:val="24"/>
                <w:lang w:eastAsia="zh-CN"/>
              </w:rPr>
              <w:t>项目经理</w:t>
            </w:r>
          </w:p>
        </w:tc>
        <w:tc>
          <w:tcPr>
            <w:tcW w:w="5761" w:type="dxa"/>
            <w:vAlign w:val="top"/>
          </w:tcPr>
          <w:p w14:paraId="1AABC391">
            <w:pPr>
              <w:rPr>
                <w:rFonts w:hint="eastAsia" w:ascii="仿宋" w:hAnsi="仿宋" w:eastAsia="仿宋" w:cs="仿宋"/>
                <w:sz w:val="24"/>
                <w:szCs w:val="24"/>
              </w:rPr>
            </w:pPr>
          </w:p>
        </w:tc>
      </w:tr>
      <w:tr w14:paraId="24F44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8752" w:type="dxa"/>
            <w:gridSpan w:val="2"/>
            <w:vAlign w:val="center"/>
          </w:tcPr>
          <w:p w14:paraId="09AA740D">
            <w:pPr>
              <w:jc w:val="both"/>
              <w:rPr>
                <w:rFonts w:hint="eastAsia" w:ascii="仿宋" w:hAnsi="仿宋" w:eastAsia="仿宋" w:cs="仿宋"/>
                <w:sz w:val="24"/>
                <w:szCs w:val="24"/>
              </w:rPr>
            </w:pPr>
            <w:r>
              <w:rPr>
                <w:rFonts w:hint="eastAsia" w:ascii="仿宋" w:hAnsi="仿宋" w:eastAsia="仿宋" w:cs="仿宋"/>
                <w:sz w:val="24"/>
                <w:szCs w:val="24"/>
              </w:rPr>
              <w:t>备注：表内报价内容以元为单位，最多保留小数点后（两位）。</w:t>
            </w:r>
          </w:p>
        </w:tc>
      </w:tr>
    </w:tbl>
    <w:p w14:paraId="2C513DD6">
      <w:pPr>
        <w:pStyle w:val="2"/>
        <w:spacing w:line="251" w:lineRule="auto"/>
        <w:rPr>
          <w:rFonts w:hint="eastAsia" w:ascii="仿宋" w:hAnsi="仿宋" w:eastAsia="仿宋" w:cs="仿宋"/>
          <w:sz w:val="24"/>
          <w:szCs w:val="24"/>
        </w:rPr>
      </w:pPr>
    </w:p>
    <w:p w14:paraId="3D25D8D2">
      <w:pPr>
        <w:spacing w:before="78" w:line="218" w:lineRule="auto"/>
        <w:ind w:left="489"/>
        <w:rPr>
          <w:rFonts w:hint="eastAsia" w:ascii="仿宋" w:hAnsi="仿宋" w:eastAsia="仿宋" w:cs="仿宋"/>
          <w:sz w:val="24"/>
          <w:szCs w:val="24"/>
        </w:rPr>
      </w:pPr>
      <w:r>
        <w:rPr>
          <w:rFonts w:hint="eastAsia" w:ascii="仿宋" w:hAnsi="仿宋" w:eastAsia="仿宋" w:cs="仿宋"/>
          <w:color w:val="FF0000"/>
          <w:spacing w:val="-1"/>
          <w:sz w:val="24"/>
          <w:szCs w:val="24"/>
        </w:rPr>
        <w:t>注：</w:t>
      </w:r>
      <w:r>
        <w:rPr>
          <w:rFonts w:hint="eastAsia" w:ascii="仿宋" w:hAnsi="仿宋" w:eastAsia="仿宋" w:cs="仿宋"/>
          <w:color w:val="FF0000"/>
          <w:spacing w:val="-1"/>
          <w:sz w:val="24"/>
          <w:szCs w:val="24"/>
          <w:lang w:val="en-US" w:eastAsia="zh-CN"/>
        </w:rPr>
        <w:t>不得装订在响应文件中，现场报价环节提交</w:t>
      </w:r>
      <w:r>
        <w:rPr>
          <w:rFonts w:hint="eastAsia" w:ascii="仿宋" w:hAnsi="仿宋" w:eastAsia="仿宋" w:cs="仿宋"/>
          <w:color w:val="FF0000"/>
          <w:spacing w:val="-1"/>
          <w:sz w:val="24"/>
          <w:szCs w:val="24"/>
        </w:rPr>
        <w:t>。</w:t>
      </w:r>
    </w:p>
    <w:p w14:paraId="084A58B2">
      <w:pPr>
        <w:pStyle w:val="2"/>
        <w:spacing w:line="258" w:lineRule="auto"/>
        <w:rPr>
          <w:rFonts w:hint="eastAsia" w:ascii="仿宋" w:hAnsi="仿宋" w:eastAsia="仿宋" w:cs="仿宋"/>
          <w:sz w:val="24"/>
          <w:szCs w:val="24"/>
        </w:rPr>
      </w:pPr>
    </w:p>
    <w:p w14:paraId="7D444CFE">
      <w:pPr>
        <w:pStyle w:val="2"/>
        <w:spacing w:line="259" w:lineRule="auto"/>
        <w:rPr>
          <w:rFonts w:hint="eastAsia" w:ascii="仿宋" w:hAnsi="仿宋" w:eastAsia="仿宋" w:cs="仿宋"/>
          <w:sz w:val="24"/>
          <w:szCs w:val="24"/>
        </w:rPr>
      </w:pPr>
    </w:p>
    <w:p w14:paraId="00804783">
      <w:pPr>
        <w:pStyle w:val="2"/>
        <w:spacing w:line="259" w:lineRule="auto"/>
        <w:rPr>
          <w:rFonts w:hint="eastAsia" w:ascii="仿宋" w:hAnsi="仿宋" w:eastAsia="仿宋" w:cs="仿宋"/>
          <w:sz w:val="24"/>
          <w:szCs w:val="24"/>
        </w:rPr>
      </w:pPr>
    </w:p>
    <w:p w14:paraId="7BA123AF">
      <w:pPr>
        <w:pStyle w:val="2"/>
        <w:spacing w:line="259" w:lineRule="auto"/>
        <w:rPr>
          <w:rFonts w:hint="eastAsia" w:ascii="仿宋" w:hAnsi="仿宋" w:eastAsia="仿宋" w:cs="仿宋"/>
          <w:sz w:val="24"/>
          <w:szCs w:val="24"/>
        </w:rPr>
      </w:pPr>
    </w:p>
    <w:p w14:paraId="5D949DDF">
      <w:pPr>
        <w:pStyle w:val="2"/>
        <w:spacing w:line="360" w:lineRule="auto"/>
        <w:ind w:firstLine="708" w:firstLineChars="300"/>
        <w:rPr>
          <w:rFonts w:hint="eastAsia" w:ascii="仿宋" w:hAnsi="仿宋" w:eastAsia="仿宋" w:cs="仿宋"/>
          <w:sz w:val="24"/>
          <w:szCs w:val="24"/>
          <w:lang w:eastAsia="zh-CN"/>
        </w:rPr>
      </w:pPr>
      <w:r>
        <w:rPr>
          <w:rFonts w:hint="eastAsia" w:ascii="仿宋" w:hAnsi="仿宋" w:eastAsia="仿宋" w:cs="仿宋"/>
          <w:spacing w:val="-2"/>
          <w:sz w:val="24"/>
          <w:szCs w:val="24"/>
        </w:rPr>
        <w:t>供应商名称</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盖章</w:t>
      </w:r>
      <w:r>
        <w:rPr>
          <w:rFonts w:hint="eastAsia" w:ascii="仿宋" w:hAnsi="仿宋" w:eastAsia="仿宋" w:cs="仿宋"/>
          <w:sz w:val="24"/>
          <w:szCs w:val="24"/>
          <w:u w:val="single" w:color="auto"/>
          <w:lang w:eastAsia="zh-CN"/>
        </w:rPr>
        <w:t>）</w:t>
      </w:r>
    </w:p>
    <w:p w14:paraId="518BFD56">
      <w:pPr>
        <w:spacing w:before="79" w:line="360" w:lineRule="auto"/>
        <w:ind w:left="243"/>
        <w:rPr>
          <w:rFonts w:hint="eastAsia" w:ascii="仿宋" w:hAnsi="仿宋" w:eastAsia="仿宋" w:cs="仿宋"/>
          <w:sz w:val="24"/>
          <w:szCs w:val="24"/>
          <w:lang w:eastAsia="zh-CN"/>
        </w:rPr>
      </w:pPr>
      <w:r>
        <w:rPr>
          <w:rFonts w:hint="eastAsia" w:ascii="仿宋" w:hAnsi="仿宋" w:eastAsia="仿宋" w:cs="仿宋"/>
          <w:spacing w:val="-1"/>
          <w:sz w:val="24"/>
          <w:szCs w:val="24"/>
        </w:rPr>
        <w:t>法定代表人或授权代理人</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签字或盖章</w:t>
      </w:r>
      <w:r>
        <w:rPr>
          <w:rFonts w:hint="eastAsia" w:ascii="仿宋" w:hAnsi="仿宋" w:eastAsia="仿宋" w:cs="仿宋"/>
          <w:sz w:val="24"/>
          <w:szCs w:val="24"/>
          <w:u w:val="single" w:color="auto"/>
          <w:lang w:eastAsia="zh-CN"/>
        </w:rPr>
        <w:t>）</w:t>
      </w:r>
    </w:p>
    <w:p w14:paraId="0FFC33DB">
      <w:pPr>
        <w:ind w:firstLine="1744" w:firstLineChars="800"/>
        <w:rPr>
          <w:rFonts w:hint="eastAsia" w:ascii="宋体" w:hAnsi="宋体" w:eastAsia="宋体" w:cs="宋体"/>
          <w:color w:val="auto"/>
          <w:sz w:val="36"/>
          <w:szCs w:val="36"/>
          <w:highlight w:val="none"/>
          <w:lang w:val="en-US" w:eastAsia="zh-CN"/>
        </w:rPr>
      </w:pPr>
      <w:r>
        <w:rPr>
          <w:rFonts w:hint="eastAsia" w:ascii="仿宋" w:hAnsi="仿宋" w:eastAsia="仿宋" w:cs="仿宋"/>
          <w:spacing w:val="-11"/>
          <w:sz w:val="24"/>
          <w:szCs w:val="24"/>
        </w:rPr>
        <w:t>日期：</w:t>
      </w:r>
      <w:r>
        <w:rPr>
          <w:rFonts w:hint="eastAsia" w:ascii="仿宋" w:hAnsi="仿宋" w:eastAsia="仿宋" w:cs="仿宋"/>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11"/>
          <w:sz w:val="24"/>
          <w:szCs w:val="24"/>
        </w:rPr>
        <w:t xml:space="preserve">年 </w:t>
      </w:r>
      <w:r>
        <w:rPr>
          <w:rFonts w:hint="eastAsia" w:ascii="仿宋" w:hAnsi="仿宋" w:eastAsia="仿宋" w:cs="仿宋"/>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60"/>
          <w:sz w:val="24"/>
          <w:szCs w:val="24"/>
          <w:u w:val="single" w:color="auto"/>
        </w:rPr>
        <w:t xml:space="preserve">  </w:t>
      </w:r>
      <w:r>
        <w:rPr>
          <w:rFonts w:hint="eastAsia" w:ascii="仿宋" w:hAnsi="仿宋" w:eastAsia="仿宋" w:cs="仿宋"/>
          <w:spacing w:val="-70"/>
          <w:sz w:val="24"/>
          <w:szCs w:val="24"/>
        </w:rPr>
        <w:t xml:space="preserve"> </w:t>
      </w:r>
      <w:r>
        <w:rPr>
          <w:rFonts w:hint="eastAsia" w:ascii="仿宋" w:hAnsi="仿宋" w:eastAsia="仿宋" w:cs="仿宋"/>
          <w:spacing w:val="-11"/>
          <w:sz w:val="24"/>
          <w:szCs w:val="24"/>
        </w:rPr>
        <w:t>日</w:t>
      </w:r>
      <w:r>
        <w:rPr>
          <w:rFonts w:hint="eastAsia" w:ascii="宋体" w:hAnsi="宋体" w:eastAsia="宋体" w:cs="宋体"/>
          <w:color w:val="auto"/>
          <w:sz w:val="36"/>
          <w:szCs w:val="36"/>
          <w:highlight w:val="none"/>
          <w:lang w:val="en-US" w:eastAsia="zh-CN"/>
        </w:rPr>
        <w:br w:type="page"/>
      </w:r>
    </w:p>
    <w:p w14:paraId="429CC1B4">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default" w:ascii="宋体" w:hAnsi="宋体" w:eastAsia="宋体" w:cs="宋体"/>
          <w:color w:val="auto"/>
          <w:sz w:val="36"/>
          <w:szCs w:val="36"/>
          <w:highlight w:val="none"/>
          <w:lang w:val="en-US"/>
        </w:rPr>
      </w:pPr>
      <w:r>
        <w:rPr>
          <w:rFonts w:hint="eastAsia" w:ascii="宋体" w:hAnsi="宋体" w:eastAsia="宋体" w:cs="宋体"/>
          <w:color w:val="auto"/>
          <w:sz w:val="36"/>
          <w:szCs w:val="36"/>
          <w:highlight w:val="none"/>
          <w:lang w:val="en-US" w:eastAsia="zh-CN"/>
        </w:rPr>
        <w:t>三</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技术方案</w:t>
      </w:r>
    </w:p>
    <w:p w14:paraId="59DE152D">
      <w:pPr>
        <w:shd w:val="clear"/>
        <w:adjustRightInd w:val="0"/>
        <w:spacing w:line="400" w:lineRule="exact"/>
        <w:jc w:val="center"/>
        <w:rPr>
          <w:rFonts w:hint="eastAsia" w:ascii="宋体" w:hAnsi="宋体" w:eastAsia="宋体" w:cs="宋体"/>
          <w:b/>
          <w:color w:val="auto"/>
          <w:sz w:val="36"/>
          <w:szCs w:val="36"/>
          <w:highlight w:val="none"/>
        </w:rPr>
      </w:pPr>
    </w:p>
    <w:p w14:paraId="3AB39554">
      <w:pPr>
        <w:shd w:val="clear"/>
        <w:adjustRightInd w:val="0"/>
        <w:spacing w:line="40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格式自拟。</w:t>
      </w:r>
      <w:r>
        <w:rPr>
          <w:rFonts w:hint="eastAsia" w:ascii="仿宋" w:hAnsi="仿宋" w:eastAsia="仿宋" w:cs="仿宋"/>
          <w:color w:val="auto"/>
          <w:sz w:val="24"/>
          <w:szCs w:val="24"/>
          <w:highlight w:val="none"/>
        </w:rPr>
        <w:t>供应商根据磋商文件要求和采购需求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2E05B721">
      <w:pPr>
        <w:shd w:val="clear"/>
        <w:spacing w:beforeLines="50"/>
        <w:jc w:val="left"/>
        <w:rPr>
          <w:rFonts w:hint="eastAsia" w:ascii="宋体" w:hAnsi="宋体" w:eastAsia="宋体" w:cs="宋体"/>
          <w:color w:val="auto"/>
          <w:szCs w:val="21"/>
          <w:highlight w:val="none"/>
        </w:rPr>
      </w:pPr>
    </w:p>
    <w:p w14:paraId="38F492D5">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Cs/>
          <w:color w:val="auto"/>
          <w:sz w:val="36"/>
          <w:szCs w:val="36"/>
          <w:highlight w:val="none"/>
        </w:rPr>
        <w:br w:type="page"/>
      </w:r>
    </w:p>
    <w:p w14:paraId="061575B3">
      <w:pPr>
        <w:spacing w:line="440" w:lineRule="exact"/>
        <w:rPr>
          <w:rFonts w:ascii="宋体" w:hAnsi="宋体" w:cs="宋体"/>
          <w:b/>
          <w:bCs/>
          <w:color w:val="auto"/>
          <w:szCs w:val="21"/>
        </w:rPr>
      </w:pPr>
      <w:r>
        <w:rPr>
          <w:rFonts w:hint="eastAsia" w:ascii="宋体" w:hAnsi="宋体" w:cs="宋体"/>
          <w:b/>
          <w:bCs/>
          <w:color w:val="auto"/>
          <w:szCs w:val="21"/>
        </w:rPr>
        <w:t>附表1：</w:t>
      </w:r>
    </w:p>
    <w:p w14:paraId="3ECD14ED">
      <w:pPr>
        <w:keepNext/>
        <w:keepLines/>
        <w:spacing w:line="440" w:lineRule="exact"/>
        <w:outlineLvl w:val="9"/>
        <w:rPr>
          <w:rFonts w:hint="eastAsia" w:ascii="宋体" w:hAnsi="宋体" w:eastAsia="宋体" w:cs="宋体"/>
          <w:color w:val="auto"/>
          <w:sz w:val="28"/>
          <w:szCs w:val="28"/>
          <w:lang w:val="en-US" w:eastAsia="zh-CN"/>
        </w:rPr>
      </w:pPr>
    </w:p>
    <w:p w14:paraId="37E80641">
      <w:pPr>
        <w:spacing w:after="120" w:afterLines="50" w:line="56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项目人员组成表</w:t>
      </w:r>
    </w:p>
    <w:tbl>
      <w:tblPr>
        <w:tblStyle w:val="23"/>
        <w:tblW w:w="9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05"/>
        <w:gridCol w:w="1125"/>
        <w:gridCol w:w="1695"/>
        <w:gridCol w:w="1335"/>
        <w:gridCol w:w="1380"/>
        <w:gridCol w:w="1290"/>
        <w:gridCol w:w="793"/>
      </w:tblGrid>
      <w:tr w14:paraId="7E49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4" w:type="dxa"/>
            <w:vAlign w:val="center"/>
          </w:tcPr>
          <w:p w14:paraId="301E106B">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305" w:type="dxa"/>
            <w:vAlign w:val="center"/>
          </w:tcPr>
          <w:p w14:paraId="4D4AAAE8">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125" w:type="dxa"/>
            <w:vAlign w:val="center"/>
          </w:tcPr>
          <w:p w14:paraId="25EF449C">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color w:val="auto"/>
                <w:spacing w:val="-3"/>
                <w:kern w:val="0"/>
                <w:szCs w:val="21"/>
                <w:highlight w:val="none"/>
              </w:rPr>
              <w:t>专业</w:t>
            </w:r>
          </w:p>
        </w:tc>
        <w:tc>
          <w:tcPr>
            <w:tcW w:w="1695" w:type="dxa"/>
            <w:vAlign w:val="center"/>
          </w:tcPr>
          <w:p w14:paraId="73DEAA1F">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专业</w:t>
            </w:r>
            <w:r>
              <w:rPr>
                <w:rFonts w:hint="eastAsia" w:ascii="宋体" w:hAnsi="宋体" w:eastAsia="宋体" w:cs="宋体"/>
                <w:color w:val="auto"/>
                <w:spacing w:val="-3"/>
                <w:kern w:val="0"/>
                <w:szCs w:val="21"/>
                <w:highlight w:val="none"/>
              </w:rPr>
              <w:t>工作年限</w:t>
            </w:r>
          </w:p>
        </w:tc>
        <w:tc>
          <w:tcPr>
            <w:tcW w:w="1335" w:type="dxa"/>
            <w:vAlign w:val="center"/>
          </w:tcPr>
          <w:p w14:paraId="01F0A7DA">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职称</w:t>
            </w:r>
          </w:p>
        </w:tc>
        <w:tc>
          <w:tcPr>
            <w:tcW w:w="1380" w:type="dxa"/>
            <w:tcBorders>
              <w:left w:val="single" w:color="auto" w:sz="4" w:space="0"/>
            </w:tcBorders>
            <w:vAlign w:val="center"/>
          </w:tcPr>
          <w:p w14:paraId="704682B1">
            <w:pPr>
              <w:shd w:val="clear"/>
              <w:adjustRightInd w:val="0"/>
              <w:snapToGrid w:val="0"/>
              <w:spacing w:line="240" w:lineRule="auto"/>
              <w:ind w:right="24"/>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资格</w:t>
            </w:r>
            <w:r>
              <w:rPr>
                <w:rFonts w:hint="eastAsia" w:ascii="宋体" w:hAnsi="宋体" w:cs="宋体"/>
                <w:bCs/>
                <w:color w:val="auto"/>
                <w:szCs w:val="21"/>
                <w:highlight w:val="none"/>
                <w:lang w:val="en-US" w:eastAsia="zh-CN"/>
              </w:rPr>
              <w:t>证号</w:t>
            </w:r>
          </w:p>
        </w:tc>
        <w:tc>
          <w:tcPr>
            <w:tcW w:w="1290" w:type="dxa"/>
            <w:tcBorders>
              <w:left w:val="single" w:color="auto" w:sz="4" w:space="0"/>
            </w:tcBorders>
            <w:vAlign w:val="center"/>
          </w:tcPr>
          <w:p w14:paraId="226A97A9">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拟任职务</w:t>
            </w:r>
          </w:p>
        </w:tc>
        <w:tc>
          <w:tcPr>
            <w:tcW w:w="793" w:type="dxa"/>
            <w:tcBorders>
              <w:left w:val="single" w:color="auto" w:sz="4" w:space="0"/>
            </w:tcBorders>
            <w:vAlign w:val="center"/>
          </w:tcPr>
          <w:p w14:paraId="6F334A21">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备注</w:t>
            </w:r>
          </w:p>
        </w:tc>
      </w:tr>
      <w:tr w14:paraId="31C5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A037A2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AB4FA9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154A1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5212D3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277A1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F8CD5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3AAFC6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A6B4BAC">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531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28C716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8715C9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002361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2D59089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B5F708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3FD11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CD5BB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B3F8B3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FE1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B36CB0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951AF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085C2E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596EE7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94E38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8102C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889D39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5E5AED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A34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F03BA3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40CDEB9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AEB2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83F36A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320BC0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8EE649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CC5572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B90D99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C9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639E84A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333209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79DAA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05C75F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2D74EEC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46930B5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4BEBB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DA2C3F3">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78C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73A5551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2BBA6C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376AD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961B17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5DAC68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B2DA9A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1DCC6D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45FCF2A">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19345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32EF24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C82099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09404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330875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463C50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166EF6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64B84D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0D9BB5B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1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9E1A18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9102D3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E43F9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6C9B8C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BBF948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A8E164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AC517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EEB16E9">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6F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7EC64E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5E5C2F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23FF21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D2BF3F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A4D085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E9A25B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533391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075745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2722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D7D901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BAD8D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A49030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69A2F5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06ECAF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B46140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0DD620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C23A600">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3DD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579178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C3F3A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691DE4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05FA8B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92D6A6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4ED9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D88C7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6E4527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C7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60DAA3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D372C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D4FAC7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C67F9D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CB52D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E2328D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8FAAD8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12A6AA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6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295B1A2">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305" w:type="dxa"/>
            <w:vAlign w:val="center"/>
          </w:tcPr>
          <w:p w14:paraId="35D79AF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A772B0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78FBA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CDECE2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77E0BF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2679C3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1442F364">
            <w:pPr>
              <w:shd w:val="clear"/>
              <w:adjustRightInd w:val="0"/>
              <w:snapToGrid w:val="0"/>
              <w:spacing w:line="240" w:lineRule="auto"/>
              <w:ind w:right="24"/>
              <w:jc w:val="center"/>
              <w:rPr>
                <w:rFonts w:hint="eastAsia" w:ascii="宋体" w:hAnsi="宋体" w:eastAsia="宋体" w:cs="宋体"/>
                <w:bCs/>
                <w:color w:val="auto"/>
                <w:szCs w:val="21"/>
                <w:highlight w:val="none"/>
              </w:rPr>
            </w:pPr>
          </w:p>
        </w:tc>
      </w:tr>
    </w:tbl>
    <w:p w14:paraId="7E953C7F">
      <w:pPr>
        <w:shd w:val="clea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后附项目人员相关证明材料</w:t>
      </w:r>
      <w:r>
        <w:rPr>
          <w:rFonts w:hint="eastAsia" w:ascii="宋体" w:hAnsi="宋体" w:cs="宋体"/>
          <w:color w:val="auto"/>
          <w:sz w:val="24"/>
          <w:szCs w:val="24"/>
          <w:highlight w:val="none"/>
          <w:lang w:val="en-US" w:eastAsia="zh-CN"/>
        </w:rPr>
        <w:t>（身份证、职称证或岗位证）</w:t>
      </w:r>
      <w:r>
        <w:rPr>
          <w:rFonts w:hint="eastAsia" w:ascii="宋体" w:hAnsi="宋体" w:eastAsia="宋体" w:cs="宋体"/>
          <w:color w:val="auto"/>
          <w:sz w:val="24"/>
          <w:szCs w:val="24"/>
          <w:highlight w:val="none"/>
          <w:lang w:val="en-US" w:eastAsia="zh-CN"/>
        </w:rPr>
        <w:t>复印件加盖公章。</w:t>
      </w:r>
      <w:r>
        <w:rPr>
          <w:rFonts w:hint="eastAsia" w:ascii="宋体" w:hAnsi="宋体" w:eastAsia="宋体" w:cs="宋体"/>
          <w:color w:val="auto"/>
          <w:sz w:val="24"/>
          <w:szCs w:val="24"/>
          <w:highlight w:val="none"/>
          <w:lang w:eastAsia="zh-CN"/>
        </w:rPr>
        <w:t>页面可相同格式扩展。</w:t>
      </w:r>
    </w:p>
    <w:p w14:paraId="544E41AF">
      <w:pPr>
        <w:pStyle w:val="20"/>
        <w:shd w:val="clear"/>
        <w:spacing w:before="0" w:beforeAutospacing="0" w:after="0" w:afterAutospacing="0" w:line="480" w:lineRule="auto"/>
        <w:ind w:firstLine="4560" w:firstLineChars="19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（盖单位章）</w:t>
      </w:r>
    </w:p>
    <w:p w14:paraId="5279CED1">
      <w:pPr>
        <w:pStyle w:val="20"/>
        <w:shd w:val="clear"/>
        <w:spacing w:before="0" w:beforeAutospacing="0" w:after="0" w:afterAutospacing="0" w:line="480" w:lineRule="auto"/>
        <w:ind w:firstLine="3840" w:firstLineChars="16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（签字或盖章）</w:t>
      </w:r>
    </w:p>
    <w:p w14:paraId="54BC64FA">
      <w:pPr>
        <w:shd w:val="clear"/>
        <w:adjustRightInd w:val="0"/>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14:paraId="1CD31242">
      <w:pPr>
        <w:rPr>
          <w:rFonts w:hint="eastAsia" w:ascii="宋体" w:hAnsi="宋体" w:eastAsia="宋体" w:cs="宋体"/>
          <w:b/>
          <w:color w:val="auto"/>
          <w:kern w:val="2"/>
          <w:sz w:val="36"/>
          <w:szCs w:val="36"/>
          <w:highlight w:val="none"/>
          <w:lang w:val="en-US" w:eastAsia="zh-CN" w:bidi="ar-SA"/>
        </w:rPr>
      </w:pPr>
      <w:bookmarkStart w:id="265" w:name="_Toc7798"/>
      <w:r>
        <w:rPr>
          <w:rFonts w:hint="eastAsia" w:ascii="宋体" w:hAnsi="宋体" w:eastAsia="宋体" w:cs="宋体"/>
          <w:b/>
          <w:color w:val="auto"/>
          <w:kern w:val="2"/>
          <w:sz w:val="36"/>
          <w:szCs w:val="36"/>
          <w:highlight w:val="none"/>
          <w:lang w:val="en-US" w:eastAsia="zh-CN" w:bidi="ar-SA"/>
        </w:rPr>
        <w:br w:type="page"/>
      </w:r>
    </w:p>
    <w:p w14:paraId="3ADF79C3">
      <w:pPr>
        <w:shd w:val="clear"/>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kern w:val="2"/>
          <w:sz w:val="36"/>
          <w:szCs w:val="36"/>
          <w:highlight w:val="none"/>
          <w:lang w:val="en-US" w:eastAsia="zh-CN" w:bidi="ar-SA"/>
        </w:rPr>
        <w:t>四、</w:t>
      </w:r>
      <w:r>
        <w:rPr>
          <w:rFonts w:hint="eastAsia" w:ascii="宋体" w:hAnsi="宋体" w:eastAsia="宋体" w:cs="宋体"/>
          <w:b/>
          <w:bCs/>
          <w:color w:val="auto"/>
          <w:sz w:val="36"/>
          <w:szCs w:val="36"/>
          <w:highlight w:val="none"/>
        </w:rPr>
        <w:t>商务条款</w:t>
      </w:r>
      <w:r>
        <w:rPr>
          <w:rFonts w:hint="eastAsia" w:ascii="宋体" w:hAnsi="宋体" w:eastAsia="宋体" w:cs="宋体"/>
          <w:b/>
          <w:color w:val="auto"/>
          <w:sz w:val="36"/>
          <w:szCs w:val="36"/>
          <w:highlight w:val="none"/>
        </w:rPr>
        <w:t>偏离表</w:t>
      </w:r>
    </w:p>
    <w:p w14:paraId="37830D03">
      <w:pPr>
        <w:pStyle w:val="8"/>
        <w:shd w:val="clear"/>
        <w:spacing w:beforeLines="50" w:afterLines="50"/>
        <w:ind w:firstLine="0"/>
        <w:rPr>
          <w:rFonts w:hint="eastAsia" w:ascii="宋体" w:hAnsi="宋体" w:eastAsia="宋体" w:cs="宋体"/>
          <w:color w:val="auto"/>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73"/>
        <w:gridCol w:w="1435"/>
        <w:gridCol w:w="2074"/>
        <w:gridCol w:w="1040"/>
        <w:gridCol w:w="2020"/>
      </w:tblGrid>
      <w:tr w14:paraId="1FCE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78" w:type="dxa"/>
            <w:vAlign w:val="center"/>
          </w:tcPr>
          <w:p w14:paraId="79CEFA2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473" w:type="dxa"/>
            <w:vAlign w:val="center"/>
          </w:tcPr>
          <w:p w14:paraId="69A998D7">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文件条目号</w:t>
            </w:r>
          </w:p>
        </w:tc>
        <w:tc>
          <w:tcPr>
            <w:tcW w:w="1435" w:type="dxa"/>
            <w:vAlign w:val="center"/>
          </w:tcPr>
          <w:p w14:paraId="279B72A9">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磋商文件</w:t>
            </w:r>
          </w:p>
          <w:p w14:paraId="1A6DAA1D">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商务要求</w:t>
            </w:r>
          </w:p>
        </w:tc>
        <w:tc>
          <w:tcPr>
            <w:tcW w:w="2074" w:type="dxa"/>
            <w:vAlign w:val="center"/>
          </w:tcPr>
          <w:p w14:paraId="7DE7E95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响应文件</w:t>
            </w:r>
          </w:p>
          <w:p w14:paraId="4155F11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商务响应</w:t>
            </w:r>
          </w:p>
        </w:tc>
        <w:tc>
          <w:tcPr>
            <w:tcW w:w="1040" w:type="dxa"/>
            <w:vAlign w:val="center"/>
          </w:tcPr>
          <w:p w14:paraId="39D3059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w:t>
            </w:r>
          </w:p>
        </w:tc>
        <w:tc>
          <w:tcPr>
            <w:tcW w:w="2020" w:type="dxa"/>
            <w:vAlign w:val="center"/>
          </w:tcPr>
          <w:p w14:paraId="50349B8F">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偏离及其影响</w:t>
            </w:r>
          </w:p>
        </w:tc>
      </w:tr>
      <w:tr w14:paraId="0F4F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2AE592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5D2561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441D2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ED255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243F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346E18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2BB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A177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B35E2F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EEC85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82828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4A507C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0462EFA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0F12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78" w:type="dxa"/>
          </w:tcPr>
          <w:p w14:paraId="16E7278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26D947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C3550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03FCE4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CFC859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19F1A9A">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42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A78F16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130AB89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5DC62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F934D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8F8311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06D9D8">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2C1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D1A261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5FE23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527B5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43246EA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09DE33C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7F8DA31D">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188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58C65F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9D744F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7E5FB0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27C4B85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D5089B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035134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3157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F30859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0297902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486B87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9C3A3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4F918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EEDBBE6">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283D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9F24A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23F163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7BE7BF4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E92D13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F503C2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E5DF450">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BF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93650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896B82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F48F1F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787BC7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755200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B955E54">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0E6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70D81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51020F7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D547C9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CB962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C1EA9F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9B74CE">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042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F2A3DF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D9F92D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1E800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7F39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6262F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B14167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151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BDD4A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E4ABA7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2F0B7C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4AF657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D251D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CD65783">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12FF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1B147BE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AB8D6F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A79A4B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254B14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78D5351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70644D2">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2299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741E3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6F2722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FA484E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8C2A8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98554B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877D7FD">
            <w:pPr>
              <w:shd w:val="clear"/>
              <w:adjustRightInd w:val="0"/>
              <w:snapToGrid w:val="0"/>
              <w:spacing w:line="360" w:lineRule="auto"/>
              <w:ind w:right="24"/>
              <w:rPr>
                <w:rFonts w:hint="eastAsia" w:ascii="仿宋" w:hAnsi="仿宋" w:eastAsia="仿宋" w:cs="仿宋"/>
                <w:bCs/>
                <w:color w:val="auto"/>
                <w:sz w:val="24"/>
                <w:szCs w:val="24"/>
                <w:highlight w:val="none"/>
              </w:rPr>
            </w:pPr>
          </w:p>
        </w:tc>
      </w:tr>
    </w:tbl>
    <w:p w14:paraId="78324440">
      <w:pPr>
        <w:shd w:val="clear"/>
        <w:spacing w:beforeLines="5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0CEEAC9A">
      <w:pPr>
        <w:shd w:val="clear"/>
        <w:spacing w:line="400" w:lineRule="exact"/>
        <w:ind w:left="141" w:leftChars="67" w:firstLine="676" w:firstLineChars="2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1.本表只填写响应文件中与磋商文件有偏离（包括正偏离和负偏离）的内容，响应文件中商务响应与磋商文件要求完全一致的，不用在此表中列出，但必须提交空白表。</w:t>
      </w:r>
    </w:p>
    <w:p w14:paraId="45EBB352">
      <w:pPr>
        <w:shd w:val="clear"/>
        <w:spacing w:line="400" w:lineRule="exact"/>
        <w:ind w:left="141" w:leftChars="67"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2.供应商必须据实填写，不得虚假响应，否则将取消其磋商或成交资格，并按有关规定进处罚。</w:t>
      </w:r>
    </w:p>
    <w:p w14:paraId="6F5E0C52">
      <w:pPr>
        <w:shd w:val="clear"/>
        <w:adjustRightInd w:val="0"/>
        <w:spacing w:line="400" w:lineRule="exact"/>
        <w:ind w:firstLine="480" w:firstLineChars="200"/>
        <w:jc w:val="left"/>
        <w:rPr>
          <w:rFonts w:hint="eastAsia" w:ascii="仿宋" w:hAnsi="仿宋" w:eastAsia="仿宋" w:cs="仿宋"/>
          <w:bCs/>
          <w:color w:val="auto"/>
          <w:sz w:val="24"/>
          <w:szCs w:val="24"/>
          <w:highlight w:val="none"/>
        </w:rPr>
      </w:pPr>
    </w:p>
    <w:p w14:paraId="20597CFE">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（盖单位章）</w:t>
      </w:r>
    </w:p>
    <w:p w14:paraId="53B2274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19847D59">
      <w:pPr>
        <w:pStyle w:val="20"/>
        <w:shd w:val="clear"/>
        <w:spacing w:before="0" w:beforeAutospacing="0" w:after="0" w:afterAutospacing="0" w:line="480" w:lineRule="auto"/>
        <w:ind w:firstLine="3360" w:firstLineChars="1400"/>
        <w:rPr>
          <w:rFonts w:hint="eastAsia" w:ascii="宋体" w:hAnsi="宋体" w:eastAsia="宋体" w:cs="宋体"/>
          <w:color w:val="auto"/>
          <w:sz w:val="21"/>
          <w:szCs w:val="21"/>
          <w:highlight w:val="none"/>
          <w:lang w:val="en-US" w:eastAsia="zh-CN"/>
        </w:rPr>
        <w:sectPr>
          <w:footerReference r:id="rId18" w:type="default"/>
          <w:headerReference r:id="rId17" w:type="even"/>
          <w:footerReference r:id="rId19"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56A1B01">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eastAsia" w:ascii="宋体" w:hAnsi="宋体" w:eastAsia="宋体" w:cs="宋体"/>
          <w:bCs/>
          <w:color w:val="auto"/>
          <w:sz w:val="36"/>
          <w:szCs w:val="36"/>
          <w:highlight w:val="none"/>
          <w:lang w:val="en-US" w:eastAsia="zh-CN"/>
        </w:rPr>
      </w:pPr>
      <w:r>
        <w:rPr>
          <w:rFonts w:hint="eastAsia" w:ascii="宋体" w:hAnsi="宋体" w:eastAsia="宋体" w:cs="宋体"/>
          <w:bCs/>
          <w:color w:val="auto"/>
          <w:sz w:val="36"/>
          <w:szCs w:val="36"/>
          <w:highlight w:val="none"/>
          <w:lang w:val="en-US" w:eastAsia="zh-CN"/>
        </w:rPr>
        <w:t>五</w:t>
      </w:r>
      <w:r>
        <w:rPr>
          <w:rFonts w:hint="eastAsia" w:ascii="宋体" w:hAnsi="宋体" w:eastAsia="宋体" w:cs="宋体"/>
          <w:color w:val="auto"/>
          <w:sz w:val="36"/>
          <w:szCs w:val="36"/>
          <w:highlight w:val="none"/>
        </w:rPr>
        <w:t>、</w:t>
      </w:r>
      <w:bookmarkEnd w:id="265"/>
      <w:r>
        <w:rPr>
          <w:rFonts w:hint="eastAsia" w:ascii="宋体" w:hAnsi="宋体" w:eastAsia="宋体" w:cs="宋体"/>
          <w:bCs/>
          <w:color w:val="auto"/>
          <w:sz w:val="36"/>
          <w:szCs w:val="36"/>
          <w:highlight w:val="none"/>
          <w:lang w:val="en-US" w:eastAsia="zh-CN"/>
        </w:rPr>
        <w:t>履约能力</w:t>
      </w:r>
    </w:p>
    <w:p w14:paraId="0F491B4E">
      <w:pPr>
        <w:pStyle w:val="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供应商根据磋商文件要求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7F237771">
      <w:pPr>
        <w:pStyle w:val="2"/>
        <w:ind w:firstLine="2940" w:firstLineChars="1400"/>
        <w:rPr>
          <w:color w:val="auto"/>
        </w:rPr>
      </w:pPr>
      <w:r>
        <w:rPr>
          <w:rFonts w:hint="eastAsia" w:ascii="宋体" w:hAnsi="宋体"/>
          <w:bCs/>
          <w:color w:val="auto"/>
        </w:rPr>
        <w:t xml:space="preserve"> </w:t>
      </w:r>
    </w:p>
    <w:p w14:paraId="233690CA">
      <w:pPr>
        <w:rPr>
          <w:rFonts w:ascii="宋体" w:hAnsi="宋体"/>
          <w:color w:val="auto"/>
          <w:sz w:val="36"/>
          <w:szCs w:val="36"/>
        </w:rPr>
      </w:pPr>
      <w:r>
        <w:rPr>
          <w:rFonts w:hint="eastAsia" w:ascii="宋体" w:hAnsi="宋体"/>
          <w:color w:val="auto"/>
          <w:sz w:val="36"/>
          <w:szCs w:val="36"/>
        </w:rPr>
        <w:br w:type="page"/>
      </w:r>
    </w:p>
    <w:bookmarkEnd w:id="264"/>
    <w:p w14:paraId="3C522221">
      <w:pPr>
        <w:shd w:val="clear"/>
        <w:adjustRightInd w:val="0"/>
        <w:snapToGrid w:val="0"/>
        <w:spacing w:afterLines="5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color w:val="auto"/>
          <w:sz w:val="28"/>
          <w:szCs w:val="28"/>
          <w:highlight w:val="none"/>
          <w:lang w:val="en-US" w:eastAsia="zh-CN"/>
        </w:rPr>
        <w:t>附件1：供应商近三年完成的类似项目业绩一览表</w:t>
      </w:r>
    </w:p>
    <w:p w14:paraId="1CCF7C72">
      <w:pPr>
        <w:shd w:val="clear"/>
        <w:ind w:firstLine="720" w:firstLineChars="300"/>
        <w:rPr>
          <w:rFonts w:hint="eastAsia" w:ascii="仿宋" w:hAnsi="仿宋" w:eastAsia="仿宋" w:cs="仿宋"/>
          <w:b w:val="0"/>
          <w:bCs w:val="0"/>
          <w:color w:val="auto"/>
          <w:sz w:val="24"/>
          <w:szCs w:val="24"/>
          <w:highlight w:val="none"/>
        </w:rPr>
      </w:pPr>
      <w:bookmarkStart w:id="266" w:name="_Toc18074980"/>
      <w:r>
        <w:rPr>
          <w:rFonts w:hint="eastAsia" w:ascii="仿宋" w:hAnsi="仿宋" w:eastAsia="仿宋" w:cs="仿宋"/>
          <w:b w:val="0"/>
          <w:bCs w:val="0"/>
          <w:color w:val="auto"/>
          <w:sz w:val="24"/>
          <w:szCs w:val="24"/>
          <w:highlight w:val="none"/>
          <w:lang w:eastAsia="zh-CN"/>
        </w:rPr>
        <w:t>项目名称</w:t>
      </w:r>
      <w:r>
        <w:rPr>
          <w:rFonts w:hint="eastAsia" w:ascii="仿宋" w:hAnsi="仿宋" w:eastAsia="仿宋" w:cs="仿宋"/>
          <w:b w:val="0"/>
          <w:bCs w:val="0"/>
          <w:color w:val="auto"/>
          <w:sz w:val="24"/>
          <w:szCs w:val="24"/>
          <w:highlight w:val="none"/>
        </w:rPr>
        <w:t>：                                                  单位：万元</w:t>
      </w:r>
      <w:bookmarkEnd w:id="26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671"/>
        <w:gridCol w:w="1984"/>
        <w:gridCol w:w="1391"/>
        <w:gridCol w:w="1704"/>
        <w:gridCol w:w="874"/>
      </w:tblGrid>
      <w:tr w14:paraId="6831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23" w:type="dxa"/>
            <w:vAlign w:val="center"/>
          </w:tcPr>
          <w:p w14:paraId="1DECC2EC">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671" w:type="dxa"/>
            <w:vAlign w:val="center"/>
          </w:tcPr>
          <w:p w14:paraId="732BFC28">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业主</w:t>
            </w:r>
            <w:r>
              <w:rPr>
                <w:rFonts w:hint="eastAsia" w:ascii="仿宋" w:hAnsi="仿宋" w:eastAsia="仿宋" w:cs="仿宋"/>
                <w:b w:val="0"/>
                <w:bCs w:val="0"/>
                <w:color w:val="auto"/>
                <w:sz w:val="24"/>
                <w:szCs w:val="24"/>
                <w:highlight w:val="none"/>
              </w:rPr>
              <w:t>单位名称</w:t>
            </w:r>
          </w:p>
        </w:tc>
        <w:tc>
          <w:tcPr>
            <w:tcW w:w="1984" w:type="dxa"/>
            <w:vAlign w:val="center"/>
          </w:tcPr>
          <w:p w14:paraId="7A85A6DA">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项目名称</w:t>
            </w:r>
          </w:p>
        </w:tc>
        <w:tc>
          <w:tcPr>
            <w:tcW w:w="1391" w:type="dxa"/>
            <w:vAlign w:val="center"/>
          </w:tcPr>
          <w:p w14:paraId="0DC26CD2">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合同金额</w:t>
            </w:r>
          </w:p>
        </w:tc>
        <w:tc>
          <w:tcPr>
            <w:tcW w:w="1704" w:type="dxa"/>
            <w:vAlign w:val="center"/>
          </w:tcPr>
          <w:p w14:paraId="1403E7B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合同签订时间</w:t>
            </w:r>
          </w:p>
        </w:tc>
        <w:tc>
          <w:tcPr>
            <w:tcW w:w="874" w:type="dxa"/>
            <w:vAlign w:val="center"/>
          </w:tcPr>
          <w:p w14:paraId="64B0F07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备注</w:t>
            </w:r>
          </w:p>
        </w:tc>
      </w:tr>
      <w:tr w14:paraId="69FE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28C13CF">
            <w:pPr>
              <w:pStyle w:val="8"/>
              <w:shd w:val="clear"/>
              <w:ind w:firstLine="0"/>
              <w:rPr>
                <w:rFonts w:hint="eastAsia" w:ascii="仿宋" w:hAnsi="仿宋" w:eastAsia="仿宋" w:cs="仿宋"/>
                <w:color w:val="auto"/>
                <w:sz w:val="24"/>
                <w:szCs w:val="24"/>
                <w:highlight w:val="none"/>
              </w:rPr>
            </w:pPr>
          </w:p>
        </w:tc>
        <w:tc>
          <w:tcPr>
            <w:tcW w:w="1671" w:type="dxa"/>
          </w:tcPr>
          <w:p w14:paraId="48F47E36">
            <w:pPr>
              <w:pStyle w:val="8"/>
              <w:shd w:val="clear"/>
              <w:ind w:firstLine="0"/>
              <w:rPr>
                <w:rFonts w:hint="eastAsia" w:ascii="仿宋" w:hAnsi="仿宋" w:eastAsia="仿宋" w:cs="仿宋"/>
                <w:color w:val="auto"/>
                <w:sz w:val="24"/>
                <w:szCs w:val="24"/>
                <w:highlight w:val="none"/>
              </w:rPr>
            </w:pPr>
          </w:p>
        </w:tc>
        <w:tc>
          <w:tcPr>
            <w:tcW w:w="1984" w:type="dxa"/>
          </w:tcPr>
          <w:p w14:paraId="296828F2">
            <w:pPr>
              <w:pStyle w:val="8"/>
              <w:shd w:val="clear"/>
              <w:ind w:firstLine="0"/>
              <w:rPr>
                <w:rFonts w:hint="eastAsia" w:ascii="仿宋" w:hAnsi="仿宋" w:eastAsia="仿宋" w:cs="仿宋"/>
                <w:color w:val="auto"/>
                <w:sz w:val="24"/>
                <w:szCs w:val="24"/>
                <w:highlight w:val="none"/>
              </w:rPr>
            </w:pPr>
          </w:p>
        </w:tc>
        <w:tc>
          <w:tcPr>
            <w:tcW w:w="1391" w:type="dxa"/>
          </w:tcPr>
          <w:p w14:paraId="33FBC908">
            <w:pPr>
              <w:pStyle w:val="8"/>
              <w:shd w:val="clear"/>
              <w:ind w:firstLine="0"/>
              <w:rPr>
                <w:rFonts w:hint="eastAsia" w:ascii="仿宋" w:hAnsi="仿宋" w:eastAsia="仿宋" w:cs="仿宋"/>
                <w:color w:val="auto"/>
                <w:sz w:val="24"/>
                <w:szCs w:val="24"/>
                <w:highlight w:val="none"/>
              </w:rPr>
            </w:pPr>
          </w:p>
        </w:tc>
        <w:tc>
          <w:tcPr>
            <w:tcW w:w="1704" w:type="dxa"/>
          </w:tcPr>
          <w:p w14:paraId="77D413FD">
            <w:pPr>
              <w:pStyle w:val="8"/>
              <w:shd w:val="clear"/>
              <w:ind w:firstLine="0"/>
              <w:rPr>
                <w:rFonts w:hint="eastAsia" w:ascii="仿宋" w:hAnsi="仿宋" w:eastAsia="仿宋" w:cs="仿宋"/>
                <w:color w:val="auto"/>
                <w:sz w:val="24"/>
                <w:szCs w:val="24"/>
                <w:highlight w:val="none"/>
              </w:rPr>
            </w:pPr>
          </w:p>
        </w:tc>
        <w:tc>
          <w:tcPr>
            <w:tcW w:w="874" w:type="dxa"/>
          </w:tcPr>
          <w:p w14:paraId="78BD12AA">
            <w:pPr>
              <w:pStyle w:val="8"/>
              <w:shd w:val="clear"/>
              <w:ind w:firstLine="0"/>
              <w:rPr>
                <w:rFonts w:hint="eastAsia" w:ascii="仿宋" w:hAnsi="仿宋" w:eastAsia="仿宋" w:cs="仿宋"/>
                <w:color w:val="auto"/>
                <w:sz w:val="24"/>
                <w:szCs w:val="24"/>
                <w:highlight w:val="none"/>
              </w:rPr>
            </w:pPr>
          </w:p>
        </w:tc>
      </w:tr>
      <w:tr w14:paraId="0866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469A817">
            <w:pPr>
              <w:pStyle w:val="8"/>
              <w:shd w:val="clear"/>
              <w:ind w:firstLine="0"/>
              <w:rPr>
                <w:rFonts w:hint="eastAsia" w:ascii="仿宋" w:hAnsi="仿宋" w:eastAsia="仿宋" w:cs="仿宋"/>
                <w:color w:val="auto"/>
                <w:sz w:val="24"/>
                <w:szCs w:val="24"/>
                <w:highlight w:val="none"/>
              </w:rPr>
            </w:pPr>
          </w:p>
        </w:tc>
        <w:tc>
          <w:tcPr>
            <w:tcW w:w="1671" w:type="dxa"/>
          </w:tcPr>
          <w:p w14:paraId="0EDA8E6E">
            <w:pPr>
              <w:pStyle w:val="8"/>
              <w:shd w:val="clear"/>
              <w:ind w:firstLine="0"/>
              <w:rPr>
                <w:rFonts w:hint="eastAsia" w:ascii="仿宋" w:hAnsi="仿宋" w:eastAsia="仿宋" w:cs="仿宋"/>
                <w:color w:val="auto"/>
                <w:sz w:val="24"/>
                <w:szCs w:val="24"/>
                <w:highlight w:val="none"/>
              </w:rPr>
            </w:pPr>
          </w:p>
        </w:tc>
        <w:tc>
          <w:tcPr>
            <w:tcW w:w="1984" w:type="dxa"/>
          </w:tcPr>
          <w:p w14:paraId="271FEA52">
            <w:pPr>
              <w:pStyle w:val="8"/>
              <w:shd w:val="clear"/>
              <w:ind w:firstLine="0"/>
              <w:rPr>
                <w:rFonts w:hint="eastAsia" w:ascii="仿宋" w:hAnsi="仿宋" w:eastAsia="仿宋" w:cs="仿宋"/>
                <w:color w:val="auto"/>
                <w:sz w:val="24"/>
                <w:szCs w:val="24"/>
                <w:highlight w:val="none"/>
              </w:rPr>
            </w:pPr>
          </w:p>
        </w:tc>
        <w:tc>
          <w:tcPr>
            <w:tcW w:w="1391" w:type="dxa"/>
          </w:tcPr>
          <w:p w14:paraId="257822A6">
            <w:pPr>
              <w:pStyle w:val="8"/>
              <w:shd w:val="clear"/>
              <w:ind w:firstLine="0"/>
              <w:rPr>
                <w:rFonts w:hint="eastAsia" w:ascii="仿宋" w:hAnsi="仿宋" w:eastAsia="仿宋" w:cs="仿宋"/>
                <w:color w:val="auto"/>
                <w:sz w:val="24"/>
                <w:szCs w:val="24"/>
                <w:highlight w:val="none"/>
              </w:rPr>
            </w:pPr>
          </w:p>
        </w:tc>
        <w:tc>
          <w:tcPr>
            <w:tcW w:w="1704" w:type="dxa"/>
          </w:tcPr>
          <w:p w14:paraId="1086386E">
            <w:pPr>
              <w:pStyle w:val="8"/>
              <w:shd w:val="clear"/>
              <w:ind w:firstLine="0"/>
              <w:rPr>
                <w:rFonts w:hint="eastAsia" w:ascii="仿宋" w:hAnsi="仿宋" w:eastAsia="仿宋" w:cs="仿宋"/>
                <w:color w:val="auto"/>
                <w:sz w:val="24"/>
                <w:szCs w:val="24"/>
                <w:highlight w:val="none"/>
              </w:rPr>
            </w:pPr>
          </w:p>
        </w:tc>
        <w:tc>
          <w:tcPr>
            <w:tcW w:w="874" w:type="dxa"/>
          </w:tcPr>
          <w:p w14:paraId="02C077AD">
            <w:pPr>
              <w:pStyle w:val="8"/>
              <w:shd w:val="clear"/>
              <w:ind w:firstLine="0"/>
              <w:rPr>
                <w:rFonts w:hint="eastAsia" w:ascii="仿宋" w:hAnsi="仿宋" w:eastAsia="仿宋" w:cs="仿宋"/>
                <w:color w:val="auto"/>
                <w:sz w:val="24"/>
                <w:szCs w:val="24"/>
                <w:highlight w:val="none"/>
              </w:rPr>
            </w:pPr>
          </w:p>
        </w:tc>
      </w:tr>
      <w:tr w14:paraId="6A64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6A90FC16">
            <w:pPr>
              <w:pStyle w:val="8"/>
              <w:shd w:val="clear"/>
              <w:ind w:firstLine="0"/>
              <w:rPr>
                <w:rFonts w:hint="eastAsia" w:ascii="仿宋" w:hAnsi="仿宋" w:eastAsia="仿宋" w:cs="仿宋"/>
                <w:b/>
                <w:color w:val="auto"/>
                <w:sz w:val="24"/>
                <w:szCs w:val="24"/>
                <w:highlight w:val="none"/>
              </w:rPr>
            </w:pPr>
          </w:p>
        </w:tc>
        <w:tc>
          <w:tcPr>
            <w:tcW w:w="1671" w:type="dxa"/>
          </w:tcPr>
          <w:p w14:paraId="6858D72F">
            <w:pPr>
              <w:pStyle w:val="8"/>
              <w:shd w:val="clear"/>
              <w:ind w:firstLine="0"/>
              <w:rPr>
                <w:rFonts w:hint="eastAsia" w:ascii="仿宋" w:hAnsi="仿宋" w:eastAsia="仿宋" w:cs="仿宋"/>
                <w:b/>
                <w:color w:val="auto"/>
                <w:sz w:val="24"/>
                <w:szCs w:val="24"/>
                <w:highlight w:val="none"/>
              </w:rPr>
            </w:pPr>
          </w:p>
        </w:tc>
        <w:tc>
          <w:tcPr>
            <w:tcW w:w="1984" w:type="dxa"/>
          </w:tcPr>
          <w:p w14:paraId="21E56AF0">
            <w:pPr>
              <w:pStyle w:val="8"/>
              <w:shd w:val="clear"/>
              <w:ind w:firstLine="0"/>
              <w:rPr>
                <w:rFonts w:hint="eastAsia" w:ascii="仿宋" w:hAnsi="仿宋" w:eastAsia="仿宋" w:cs="仿宋"/>
                <w:b/>
                <w:color w:val="auto"/>
                <w:sz w:val="24"/>
                <w:szCs w:val="24"/>
                <w:highlight w:val="none"/>
              </w:rPr>
            </w:pPr>
          </w:p>
        </w:tc>
        <w:tc>
          <w:tcPr>
            <w:tcW w:w="1391" w:type="dxa"/>
          </w:tcPr>
          <w:p w14:paraId="4B334D8D">
            <w:pPr>
              <w:pStyle w:val="8"/>
              <w:shd w:val="clear"/>
              <w:ind w:firstLine="0"/>
              <w:rPr>
                <w:rFonts w:hint="eastAsia" w:ascii="仿宋" w:hAnsi="仿宋" w:eastAsia="仿宋" w:cs="仿宋"/>
                <w:b/>
                <w:color w:val="auto"/>
                <w:sz w:val="24"/>
                <w:szCs w:val="24"/>
                <w:highlight w:val="none"/>
              </w:rPr>
            </w:pPr>
          </w:p>
        </w:tc>
        <w:tc>
          <w:tcPr>
            <w:tcW w:w="1704" w:type="dxa"/>
          </w:tcPr>
          <w:p w14:paraId="7C614A91">
            <w:pPr>
              <w:pStyle w:val="8"/>
              <w:shd w:val="clear"/>
              <w:ind w:firstLine="0"/>
              <w:rPr>
                <w:rFonts w:hint="eastAsia" w:ascii="仿宋" w:hAnsi="仿宋" w:eastAsia="仿宋" w:cs="仿宋"/>
                <w:b/>
                <w:color w:val="auto"/>
                <w:sz w:val="24"/>
                <w:szCs w:val="24"/>
                <w:highlight w:val="none"/>
              </w:rPr>
            </w:pPr>
          </w:p>
        </w:tc>
        <w:tc>
          <w:tcPr>
            <w:tcW w:w="874" w:type="dxa"/>
          </w:tcPr>
          <w:p w14:paraId="7F63B832">
            <w:pPr>
              <w:pStyle w:val="8"/>
              <w:shd w:val="clear"/>
              <w:ind w:firstLine="0"/>
              <w:rPr>
                <w:rFonts w:hint="eastAsia" w:ascii="仿宋" w:hAnsi="仿宋" w:eastAsia="仿宋" w:cs="仿宋"/>
                <w:b/>
                <w:color w:val="auto"/>
                <w:sz w:val="24"/>
                <w:szCs w:val="24"/>
                <w:highlight w:val="none"/>
              </w:rPr>
            </w:pPr>
          </w:p>
        </w:tc>
      </w:tr>
      <w:tr w14:paraId="36ED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0A97D6E">
            <w:pPr>
              <w:pStyle w:val="8"/>
              <w:shd w:val="clear"/>
              <w:ind w:firstLine="0"/>
              <w:rPr>
                <w:rFonts w:hint="eastAsia" w:ascii="仿宋" w:hAnsi="仿宋" w:eastAsia="仿宋" w:cs="仿宋"/>
                <w:color w:val="auto"/>
                <w:sz w:val="24"/>
                <w:szCs w:val="24"/>
                <w:highlight w:val="none"/>
              </w:rPr>
            </w:pPr>
          </w:p>
        </w:tc>
        <w:tc>
          <w:tcPr>
            <w:tcW w:w="1671" w:type="dxa"/>
          </w:tcPr>
          <w:p w14:paraId="5649531E">
            <w:pPr>
              <w:pStyle w:val="8"/>
              <w:shd w:val="clear"/>
              <w:ind w:firstLine="0"/>
              <w:rPr>
                <w:rFonts w:hint="eastAsia" w:ascii="仿宋" w:hAnsi="仿宋" w:eastAsia="仿宋" w:cs="仿宋"/>
                <w:color w:val="auto"/>
                <w:sz w:val="24"/>
                <w:szCs w:val="24"/>
                <w:highlight w:val="none"/>
              </w:rPr>
            </w:pPr>
          </w:p>
        </w:tc>
        <w:tc>
          <w:tcPr>
            <w:tcW w:w="1984" w:type="dxa"/>
          </w:tcPr>
          <w:p w14:paraId="367D76E6">
            <w:pPr>
              <w:pStyle w:val="8"/>
              <w:shd w:val="clear"/>
              <w:ind w:firstLine="0"/>
              <w:rPr>
                <w:rFonts w:hint="eastAsia" w:ascii="仿宋" w:hAnsi="仿宋" w:eastAsia="仿宋" w:cs="仿宋"/>
                <w:color w:val="auto"/>
                <w:sz w:val="24"/>
                <w:szCs w:val="24"/>
                <w:highlight w:val="none"/>
              </w:rPr>
            </w:pPr>
          </w:p>
        </w:tc>
        <w:tc>
          <w:tcPr>
            <w:tcW w:w="1391" w:type="dxa"/>
          </w:tcPr>
          <w:p w14:paraId="5DEAB98D">
            <w:pPr>
              <w:pStyle w:val="8"/>
              <w:shd w:val="clear"/>
              <w:ind w:firstLine="0"/>
              <w:rPr>
                <w:rFonts w:hint="eastAsia" w:ascii="仿宋" w:hAnsi="仿宋" w:eastAsia="仿宋" w:cs="仿宋"/>
                <w:color w:val="auto"/>
                <w:sz w:val="24"/>
                <w:szCs w:val="24"/>
                <w:highlight w:val="none"/>
              </w:rPr>
            </w:pPr>
          </w:p>
        </w:tc>
        <w:tc>
          <w:tcPr>
            <w:tcW w:w="1704" w:type="dxa"/>
          </w:tcPr>
          <w:p w14:paraId="7833EE9E">
            <w:pPr>
              <w:pStyle w:val="8"/>
              <w:shd w:val="clear"/>
              <w:ind w:firstLine="0"/>
              <w:rPr>
                <w:rFonts w:hint="eastAsia" w:ascii="仿宋" w:hAnsi="仿宋" w:eastAsia="仿宋" w:cs="仿宋"/>
                <w:color w:val="auto"/>
                <w:sz w:val="24"/>
                <w:szCs w:val="24"/>
                <w:highlight w:val="none"/>
              </w:rPr>
            </w:pPr>
          </w:p>
        </w:tc>
        <w:tc>
          <w:tcPr>
            <w:tcW w:w="874" w:type="dxa"/>
          </w:tcPr>
          <w:p w14:paraId="59BB8DDB">
            <w:pPr>
              <w:pStyle w:val="8"/>
              <w:shd w:val="clear"/>
              <w:ind w:firstLine="0"/>
              <w:rPr>
                <w:rFonts w:hint="eastAsia" w:ascii="仿宋" w:hAnsi="仿宋" w:eastAsia="仿宋" w:cs="仿宋"/>
                <w:color w:val="auto"/>
                <w:sz w:val="24"/>
                <w:szCs w:val="24"/>
                <w:highlight w:val="none"/>
              </w:rPr>
            </w:pPr>
          </w:p>
        </w:tc>
      </w:tr>
      <w:tr w14:paraId="30BF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F7B98DD">
            <w:pPr>
              <w:pStyle w:val="8"/>
              <w:shd w:val="clear"/>
              <w:ind w:firstLine="0"/>
              <w:rPr>
                <w:rFonts w:hint="eastAsia" w:ascii="仿宋" w:hAnsi="仿宋" w:eastAsia="仿宋" w:cs="仿宋"/>
                <w:color w:val="auto"/>
                <w:sz w:val="24"/>
                <w:szCs w:val="24"/>
                <w:highlight w:val="none"/>
              </w:rPr>
            </w:pPr>
          </w:p>
        </w:tc>
        <w:tc>
          <w:tcPr>
            <w:tcW w:w="1671" w:type="dxa"/>
          </w:tcPr>
          <w:p w14:paraId="7A298CF2">
            <w:pPr>
              <w:pStyle w:val="8"/>
              <w:shd w:val="clear"/>
              <w:ind w:firstLine="0"/>
              <w:rPr>
                <w:rFonts w:hint="eastAsia" w:ascii="仿宋" w:hAnsi="仿宋" w:eastAsia="仿宋" w:cs="仿宋"/>
                <w:color w:val="auto"/>
                <w:sz w:val="24"/>
                <w:szCs w:val="24"/>
                <w:highlight w:val="none"/>
              </w:rPr>
            </w:pPr>
          </w:p>
        </w:tc>
        <w:tc>
          <w:tcPr>
            <w:tcW w:w="1984" w:type="dxa"/>
          </w:tcPr>
          <w:p w14:paraId="588893C5">
            <w:pPr>
              <w:pStyle w:val="8"/>
              <w:shd w:val="clear"/>
              <w:ind w:firstLine="0"/>
              <w:rPr>
                <w:rFonts w:hint="eastAsia" w:ascii="仿宋" w:hAnsi="仿宋" w:eastAsia="仿宋" w:cs="仿宋"/>
                <w:color w:val="auto"/>
                <w:sz w:val="24"/>
                <w:szCs w:val="24"/>
                <w:highlight w:val="none"/>
              </w:rPr>
            </w:pPr>
          </w:p>
        </w:tc>
        <w:tc>
          <w:tcPr>
            <w:tcW w:w="1391" w:type="dxa"/>
          </w:tcPr>
          <w:p w14:paraId="22483BC3">
            <w:pPr>
              <w:pStyle w:val="8"/>
              <w:shd w:val="clear"/>
              <w:ind w:firstLine="0"/>
              <w:rPr>
                <w:rFonts w:hint="eastAsia" w:ascii="仿宋" w:hAnsi="仿宋" w:eastAsia="仿宋" w:cs="仿宋"/>
                <w:color w:val="auto"/>
                <w:sz w:val="24"/>
                <w:szCs w:val="24"/>
                <w:highlight w:val="none"/>
              </w:rPr>
            </w:pPr>
          </w:p>
        </w:tc>
        <w:tc>
          <w:tcPr>
            <w:tcW w:w="1704" w:type="dxa"/>
          </w:tcPr>
          <w:p w14:paraId="451EDE53">
            <w:pPr>
              <w:pStyle w:val="8"/>
              <w:shd w:val="clear"/>
              <w:ind w:firstLine="0"/>
              <w:rPr>
                <w:rFonts w:hint="eastAsia" w:ascii="仿宋" w:hAnsi="仿宋" w:eastAsia="仿宋" w:cs="仿宋"/>
                <w:color w:val="auto"/>
                <w:sz w:val="24"/>
                <w:szCs w:val="24"/>
                <w:highlight w:val="none"/>
              </w:rPr>
            </w:pPr>
          </w:p>
        </w:tc>
        <w:tc>
          <w:tcPr>
            <w:tcW w:w="874" w:type="dxa"/>
          </w:tcPr>
          <w:p w14:paraId="495B9A84">
            <w:pPr>
              <w:pStyle w:val="8"/>
              <w:shd w:val="clear"/>
              <w:ind w:firstLine="0"/>
              <w:rPr>
                <w:rFonts w:hint="eastAsia" w:ascii="仿宋" w:hAnsi="仿宋" w:eastAsia="仿宋" w:cs="仿宋"/>
                <w:color w:val="auto"/>
                <w:sz w:val="24"/>
                <w:szCs w:val="24"/>
                <w:highlight w:val="none"/>
              </w:rPr>
            </w:pPr>
          </w:p>
        </w:tc>
      </w:tr>
      <w:tr w14:paraId="296E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95288A9">
            <w:pPr>
              <w:pStyle w:val="8"/>
              <w:shd w:val="clear"/>
              <w:ind w:firstLine="0"/>
              <w:rPr>
                <w:rFonts w:hint="eastAsia" w:ascii="仿宋" w:hAnsi="仿宋" w:eastAsia="仿宋" w:cs="仿宋"/>
                <w:color w:val="auto"/>
                <w:sz w:val="24"/>
                <w:szCs w:val="24"/>
                <w:highlight w:val="none"/>
              </w:rPr>
            </w:pPr>
          </w:p>
        </w:tc>
        <w:tc>
          <w:tcPr>
            <w:tcW w:w="1671" w:type="dxa"/>
          </w:tcPr>
          <w:p w14:paraId="36496E35">
            <w:pPr>
              <w:pStyle w:val="8"/>
              <w:shd w:val="clear"/>
              <w:ind w:firstLine="0"/>
              <w:rPr>
                <w:rFonts w:hint="eastAsia" w:ascii="仿宋" w:hAnsi="仿宋" w:eastAsia="仿宋" w:cs="仿宋"/>
                <w:color w:val="auto"/>
                <w:sz w:val="24"/>
                <w:szCs w:val="24"/>
                <w:highlight w:val="none"/>
              </w:rPr>
            </w:pPr>
          </w:p>
        </w:tc>
        <w:tc>
          <w:tcPr>
            <w:tcW w:w="1984" w:type="dxa"/>
          </w:tcPr>
          <w:p w14:paraId="5A7A7E21">
            <w:pPr>
              <w:pStyle w:val="8"/>
              <w:shd w:val="clear"/>
              <w:ind w:firstLine="0"/>
              <w:rPr>
                <w:rFonts w:hint="eastAsia" w:ascii="仿宋" w:hAnsi="仿宋" w:eastAsia="仿宋" w:cs="仿宋"/>
                <w:color w:val="auto"/>
                <w:sz w:val="24"/>
                <w:szCs w:val="24"/>
                <w:highlight w:val="none"/>
              </w:rPr>
            </w:pPr>
          </w:p>
        </w:tc>
        <w:tc>
          <w:tcPr>
            <w:tcW w:w="1391" w:type="dxa"/>
          </w:tcPr>
          <w:p w14:paraId="5D512DE6">
            <w:pPr>
              <w:pStyle w:val="8"/>
              <w:shd w:val="clear"/>
              <w:ind w:firstLine="0"/>
              <w:rPr>
                <w:rFonts w:hint="eastAsia" w:ascii="仿宋" w:hAnsi="仿宋" w:eastAsia="仿宋" w:cs="仿宋"/>
                <w:color w:val="auto"/>
                <w:sz w:val="24"/>
                <w:szCs w:val="24"/>
                <w:highlight w:val="none"/>
              </w:rPr>
            </w:pPr>
          </w:p>
        </w:tc>
        <w:tc>
          <w:tcPr>
            <w:tcW w:w="1704" w:type="dxa"/>
          </w:tcPr>
          <w:p w14:paraId="2F0FA142">
            <w:pPr>
              <w:pStyle w:val="8"/>
              <w:shd w:val="clear"/>
              <w:ind w:firstLine="0"/>
              <w:rPr>
                <w:rFonts w:hint="eastAsia" w:ascii="仿宋" w:hAnsi="仿宋" w:eastAsia="仿宋" w:cs="仿宋"/>
                <w:color w:val="auto"/>
                <w:sz w:val="24"/>
                <w:szCs w:val="24"/>
                <w:highlight w:val="none"/>
              </w:rPr>
            </w:pPr>
          </w:p>
        </w:tc>
        <w:tc>
          <w:tcPr>
            <w:tcW w:w="874" w:type="dxa"/>
          </w:tcPr>
          <w:p w14:paraId="11A95CCE">
            <w:pPr>
              <w:pStyle w:val="8"/>
              <w:shd w:val="clear"/>
              <w:ind w:firstLine="0"/>
              <w:rPr>
                <w:rFonts w:hint="eastAsia" w:ascii="仿宋" w:hAnsi="仿宋" w:eastAsia="仿宋" w:cs="仿宋"/>
                <w:color w:val="auto"/>
                <w:sz w:val="24"/>
                <w:szCs w:val="24"/>
                <w:highlight w:val="none"/>
              </w:rPr>
            </w:pPr>
          </w:p>
        </w:tc>
      </w:tr>
      <w:tr w14:paraId="65DD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5A029C2A">
            <w:pPr>
              <w:pStyle w:val="8"/>
              <w:shd w:val="clear"/>
              <w:ind w:firstLine="0"/>
              <w:rPr>
                <w:rFonts w:hint="eastAsia" w:ascii="仿宋" w:hAnsi="仿宋" w:eastAsia="仿宋" w:cs="仿宋"/>
                <w:color w:val="auto"/>
                <w:sz w:val="24"/>
                <w:szCs w:val="24"/>
                <w:highlight w:val="none"/>
              </w:rPr>
            </w:pPr>
          </w:p>
        </w:tc>
        <w:tc>
          <w:tcPr>
            <w:tcW w:w="1671" w:type="dxa"/>
          </w:tcPr>
          <w:p w14:paraId="6DD10F37">
            <w:pPr>
              <w:pStyle w:val="8"/>
              <w:shd w:val="clear"/>
              <w:ind w:firstLine="0"/>
              <w:rPr>
                <w:rFonts w:hint="eastAsia" w:ascii="仿宋" w:hAnsi="仿宋" w:eastAsia="仿宋" w:cs="仿宋"/>
                <w:color w:val="auto"/>
                <w:sz w:val="24"/>
                <w:szCs w:val="24"/>
                <w:highlight w:val="none"/>
              </w:rPr>
            </w:pPr>
          </w:p>
        </w:tc>
        <w:tc>
          <w:tcPr>
            <w:tcW w:w="1984" w:type="dxa"/>
          </w:tcPr>
          <w:p w14:paraId="529E97D8">
            <w:pPr>
              <w:pStyle w:val="8"/>
              <w:shd w:val="clear"/>
              <w:ind w:firstLine="0"/>
              <w:rPr>
                <w:rFonts w:hint="eastAsia" w:ascii="仿宋" w:hAnsi="仿宋" w:eastAsia="仿宋" w:cs="仿宋"/>
                <w:color w:val="auto"/>
                <w:sz w:val="24"/>
                <w:szCs w:val="24"/>
                <w:highlight w:val="none"/>
              </w:rPr>
            </w:pPr>
          </w:p>
        </w:tc>
        <w:tc>
          <w:tcPr>
            <w:tcW w:w="1391" w:type="dxa"/>
          </w:tcPr>
          <w:p w14:paraId="19B7AB74">
            <w:pPr>
              <w:pStyle w:val="8"/>
              <w:shd w:val="clear"/>
              <w:ind w:firstLine="0"/>
              <w:rPr>
                <w:rFonts w:hint="eastAsia" w:ascii="仿宋" w:hAnsi="仿宋" w:eastAsia="仿宋" w:cs="仿宋"/>
                <w:color w:val="auto"/>
                <w:sz w:val="24"/>
                <w:szCs w:val="24"/>
                <w:highlight w:val="none"/>
              </w:rPr>
            </w:pPr>
          </w:p>
        </w:tc>
        <w:tc>
          <w:tcPr>
            <w:tcW w:w="1704" w:type="dxa"/>
          </w:tcPr>
          <w:p w14:paraId="4915C610">
            <w:pPr>
              <w:pStyle w:val="8"/>
              <w:shd w:val="clear"/>
              <w:ind w:firstLine="0"/>
              <w:rPr>
                <w:rFonts w:hint="eastAsia" w:ascii="仿宋" w:hAnsi="仿宋" w:eastAsia="仿宋" w:cs="仿宋"/>
                <w:color w:val="auto"/>
                <w:sz w:val="24"/>
                <w:szCs w:val="24"/>
                <w:highlight w:val="none"/>
              </w:rPr>
            </w:pPr>
          </w:p>
        </w:tc>
        <w:tc>
          <w:tcPr>
            <w:tcW w:w="874" w:type="dxa"/>
          </w:tcPr>
          <w:p w14:paraId="002D8FF9">
            <w:pPr>
              <w:pStyle w:val="8"/>
              <w:shd w:val="clear"/>
              <w:ind w:firstLine="0"/>
              <w:rPr>
                <w:rFonts w:hint="eastAsia" w:ascii="仿宋" w:hAnsi="仿宋" w:eastAsia="仿宋" w:cs="仿宋"/>
                <w:color w:val="auto"/>
                <w:sz w:val="24"/>
                <w:szCs w:val="24"/>
                <w:highlight w:val="none"/>
              </w:rPr>
            </w:pPr>
          </w:p>
        </w:tc>
      </w:tr>
      <w:tr w14:paraId="77E0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40A09A9">
            <w:pPr>
              <w:pStyle w:val="8"/>
              <w:shd w:val="clear"/>
              <w:ind w:firstLine="0"/>
              <w:rPr>
                <w:rFonts w:hint="eastAsia" w:ascii="仿宋" w:hAnsi="仿宋" w:eastAsia="仿宋" w:cs="仿宋"/>
                <w:color w:val="auto"/>
                <w:sz w:val="24"/>
                <w:szCs w:val="24"/>
                <w:highlight w:val="none"/>
              </w:rPr>
            </w:pPr>
          </w:p>
        </w:tc>
        <w:tc>
          <w:tcPr>
            <w:tcW w:w="1671" w:type="dxa"/>
          </w:tcPr>
          <w:p w14:paraId="43C4EF9F">
            <w:pPr>
              <w:pStyle w:val="8"/>
              <w:shd w:val="clear"/>
              <w:ind w:firstLine="0"/>
              <w:rPr>
                <w:rFonts w:hint="eastAsia" w:ascii="仿宋" w:hAnsi="仿宋" w:eastAsia="仿宋" w:cs="仿宋"/>
                <w:color w:val="auto"/>
                <w:sz w:val="24"/>
                <w:szCs w:val="24"/>
                <w:highlight w:val="none"/>
              </w:rPr>
            </w:pPr>
          </w:p>
        </w:tc>
        <w:tc>
          <w:tcPr>
            <w:tcW w:w="1984" w:type="dxa"/>
          </w:tcPr>
          <w:p w14:paraId="5668A09B">
            <w:pPr>
              <w:pStyle w:val="8"/>
              <w:shd w:val="clear"/>
              <w:ind w:firstLine="0"/>
              <w:rPr>
                <w:rFonts w:hint="eastAsia" w:ascii="仿宋" w:hAnsi="仿宋" w:eastAsia="仿宋" w:cs="仿宋"/>
                <w:color w:val="auto"/>
                <w:sz w:val="24"/>
                <w:szCs w:val="24"/>
                <w:highlight w:val="none"/>
              </w:rPr>
            </w:pPr>
          </w:p>
        </w:tc>
        <w:tc>
          <w:tcPr>
            <w:tcW w:w="1391" w:type="dxa"/>
          </w:tcPr>
          <w:p w14:paraId="2D6D2704">
            <w:pPr>
              <w:pStyle w:val="8"/>
              <w:shd w:val="clear"/>
              <w:ind w:firstLine="0"/>
              <w:rPr>
                <w:rFonts w:hint="eastAsia" w:ascii="仿宋" w:hAnsi="仿宋" w:eastAsia="仿宋" w:cs="仿宋"/>
                <w:color w:val="auto"/>
                <w:sz w:val="24"/>
                <w:szCs w:val="24"/>
                <w:highlight w:val="none"/>
              </w:rPr>
            </w:pPr>
          </w:p>
        </w:tc>
        <w:tc>
          <w:tcPr>
            <w:tcW w:w="1704" w:type="dxa"/>
          </w:tcPr>
          <w:p w14:paraId="3B1047F4">
            <w:pPr>
              <w:pStyle w:val="8"/>
              <w:shd w:val="clear"/>
              <w:ind w:firstLine="0"/>
              <w:rPr>
                <w:rFonts w:hint="eastAsia" w:ascii="仿宋" w:hAnsi="仿宋" w:eastAsia="仿宋" w:cs="仿宋"/>
                <w:color w:val="auto"/>
                <w:sz w:val="24"/>
                <w:szCs w:val="24"/>
                <w:highlight w:val="none"/>
              </w:rPr>
            </w:pPr>
          </w:p>
        </w:tc>
        <w:tc>
          <w:tcPr>
            <w:tcW w:w="874" w:type="dxa"/>
          </w:tcPr>
          <w:p w14:paraId="19F5E629">
            <w:pPr>
              <w:pStyle w:val="8"/>
              <w:shd w:val="clear"/>
              <w:ind w:firstLine="0"/>
              <w:rPr>
                <w:rFonts w:hint="eastAsia" w:ascii="仿宋" w:hAnsi="仿宋" w:eastAsia="仿宋" w:cs="仿宋"/>
                <w:color w:val="auto"/>
                <w:sz w:val="24"/>
                <w:szCs w:val="24"/>
                <w:highlight w:val="none"/>
              </w:rPr>
            </w:pPr>
          </w:p>
        </w:tc>
      </w:tr>
      <w:tr w14:paraId="2E5E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14A7431">
            <w:pPr>
              <w:pStyle w:val="8"/>
              <w:shd w:val="clear"/>
              <w:ind w:firstLine="0"/>
              <w:rPr>
                <w:rFonts w:hint="eastAsia" w:ascii="仿宋" w:hAnsi="仿宋" w:eastAsia="仿宋" w:cs="仿宋"/>
                <w:color w:val="auto"/>
                <w:sz w:val="24"/>
                <w:szCs w:val="24"/>
                <w:highlight w:val="none"/>
              </w:rPr>
            </w:pPr>
          </w:p>
        </w:tc>
        <w:tc>
          <w:tcPr>
            <w:tcW w:w="1671" w:type="dxa"/>
          </w:tcPr>
          <w:p w14:paraId="4182EAAF">
            <w:pPr>
              <w:pStyle w:val="8"/>
              <w:shd w:val="clear"/>
              <w:ind w:firstLine="0"/>
              <w:rPr>
                <w:rFonts w:hint="eastAsia" w:ascii="仿宋" w:hAnsi="仿宋" w:eastAsia="仿宋" w:cs="仿宋"/>
                <w:color w:val="auto"/>
                <w:sz w:val="24"/>
                <w:szCs w:val="24"/>
                <w:highlight w:val="none"/>
              </w:rPr>
            </w:pPr>
          </w:p>
        </w:tc>
        <w:tc>
          <w:tcPr>
            <w:tcW w:w="1984" w:type="dxa"/>
          </w:tcPr>
          <w:p w14:paraId="5BBF0879">
            <w:pPr>
              <w:pStyle w:val="8"/>
              <w:shd w:val="clear"/>
              <w:ind w:firstLine="0"/>
              <w:rPr>
                <w:rFonts w:hint="eastAsia" w:ascii="仿宋" w:hAnsi="仿宋" w:eastAsia="仿宋" w:cs="仿宋"/>
                <w:color w:val="auto"/>
                <w:sz w:val="24"/>
                <w:szCs w:val="24"/>
                <w:highlight w:val="none"/>
              </w:rPr>
            </w:pPr>
          </w:p>
        </w:tc>
        <w:tc>
          <w:tcPr>
            <w:tcW w:w="1391" w:type="dxa"/>
          </w:tcPr>
          <w:p w14:paraId="0753C0F6">
            <w:pPr>
              <w:pStyle w:val="8"/>
              <w:shd w:val="clear"/>
              <w:ind w:firstLine="0"/>
              <w:rPr>
                <w:rFonts w:hint="eastAsia" w:ascii="仿宋" w:hAnsi="仿宋" w:eastAsia="仿宋" w:cs="仿宋"/>
                <w:color w:val="auto"/>
                <w:sz w:val="24"/>
                <w:szCs w:val="24"/>
                <w:highlight w:val="none"/>
              </w:rPr>
            </w:pPr>
          </w:p>
        </w:tc>
        <w:tc>
          <w:tcPr>
            <w:tcW w:w="1704" w:type="dxa"/>
          </w:tcPr>
          <w:p w14:paraId="49373B7C">
            <w:pPr>
              <w:pStyle w:val="8"/>
              <w:shd w:val="clear"/>
              <w:ind w:firstLine="0"/>
              <w:rPr>
                <w:rFonts w:hint="eastAsia" w:ascii="仿宋" w:hAnsi="仿宋" w:eastAsia="仿宋" w:cs="仿宋"/>
                <w:color w:val="auto"/>
                <w:sz w:val="24"/>
                <w:szCs w:val="24"/>
                <w:highlight w:val="none"/>
              </w:rPr>
            </w:pPr>
          </w:p>
        </w:tc>
        <w:tc>
          <w:tcPr>
            <w:tcW w:w="874" w:type="dxa"/>
          </w:tcPr>
          <w:p w14:paraId="478923A6">
            <w:pPr>
              <w:pStyle w:val="8"/>
              <w:shd w:val="clear"/>
              <w:ind w:firstLine="0"/>
              <w:rPr>
                <w:rFonts w:hint="eastAsia" w:ascii="仿宋" w:hAnsi="仿宋" w:eastAsia="仿宋" w:cs="仿宋"/>
                <w:color w:val="auto"/>
                <w:sz w:val="24"/>
                <w:szCs w:val="24"/>
                <w:highlight w:val="none"/>
              </w:rPr>
            </w:pPr>
          </w:p>
        </w:tc>
      </w:tr>
      <w:tr w14:paraId="1696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838DD21">
            <w:pPr>
              <w:pStyle w:val="8"/>
              <w:shd w:val="clear"/>
              <w:ind w:firstLine="0"/>
              <w:rPr>
                <w:rFonts w:hint="eastAsia" w:ascii="仿宋" w:hAnsi="仿宋" w:eastAsia="仿宋" w:cs="仿宋"/>
                <w:color w:val="auto"/>
                <w:sz w:val="24"/>
                <w:szCs w:val="24"/>
                <w:highlight w:val="none"/>
              </w:rPr>
            </w:pPr>
          </w:p>
        </w:tc>
        <w:tc>
          <w:tcPr>
            <w:tcW w:w="1671" w:type="dxa"/>
          </w:tcPr>
          <w:p w14:paraId="1C11B4AF">
            <w:pPr>
              <w:pStyle w:val="8"/>
              <w:shd w:val="clear"/>
              <w:ind w:firstLine="0"/>
              <w:rPr>
                <w:rFonts w:hint="eastAsia" w:ascii="仿宋" w:hAnsi="仿宋" w:eastAsia="仿宋" w:cs="仿宋"/>
                <w:color w:val="auto"/>
                <w:sz w:val="24"/>
                <w:szCs w:val="24"/>
                <w:highlight w:val="none"/>
              </w:rPr>
            </w:pPr>
          </w:p>
        </w:tc>
        <w:tc>
          <w:tcPr>
            <w:tcW w:w="1984" w:type="dxa"/>
          </w:tcPr>
          <w:p w14:paraId="22610E09">
            <w:pPr>
              <w:pStyle w:val="8"/>
              <w:shd w:val="clear"/>
              <w:ind w:firstLine="0"/>
              <w:rPr>
                <w:rFonts w:hint="eastAsia" w:ascii="仿宋" w:hAnsi="仿宋" w:eastAsia="仿宋" w:cs="仿宋"/>
                <w:color w:val="auto"/>
                <w:sz w:val="24"/>
                <w:szCs w:val="24"/>
                <w:highlight w:val="none"/>
              </w:rPr>
            </w:pPr>
          </w:p>
        </w:tc>
        <w:tc>
          <w:tcPr>
            <w:tcW w:w="1391" w:type="dxa"/>
          </w:tcPr>
          <w:p w14:paraId="3741707E">
            <w:pPr>
              <w:pStyle w:val="8"/>
              <w:shd w:val="clear"/>
              <w:ind w:firstLine="0"/>
              <w:rPr>
                <w:rFonts w:hint="eastAsia" w:ascii="仿宋" w:hAnsi="仿宋" w:eastAsia="仿宋" w:cs="仿宋"/>
                <w:color w:val="auto"/>
                <w:sz w:val="24"/>
                <w:szCs w:val="24"/>
                <w:highlight w:val="none"/>
              </w:rPr>
            </w:pPr>
          </w:p>
        </w:tc>
        <w:tc>
          <w:tcPr>
            <w:tcW w:w="1704" w:type="dxa"/>
          </w:tcPr>
          <w:p w14:paraId="7325F8BC">
            <w:pPr>
              <w:pStyle w:val="8"/>
              <w:shd w:val="clear"/>
              <w:ind w:firstLine="0"/>
              <w:rPr>
                <w:rFonts w:hint="eastAsia" w:ascii="仿宋" w:hAnsi="仿宋" w:eastAsia="仿宋" w:cs="仿宋"/>
                <w:color w:val="auto"/>
                <w:sz w:val="24"/>
                <w:szCs w:val="24"/>
                <w:highlight w:val="none"/>
              </w:rPr>
            </w:pPr>
          </w:p>
        </w:tc>
        <w:tc>
          <w:tcPr>
            <w:tcW w:w="874" w:type="dxa"/>
          </w:tcPr>
          <w:p w14:paraId="0C357DE6">
            <w:pPr>
              <w:pStyle w:val="8"/>
              <w:shd w:val="clear"/>
              <w:ind w:firstLine="0"/>
              <w:rPr>
                <w:rFonts w:hint="eastAsia" w:ascii="仿宋" w:hAnsi="仿宋" w:eastAsia="仿宋" w:cs="仿宋"/>
                <w:color w:val="auto"/>
                <w:sz w:val="24"/>
                <w:szCs w:val="24"/>
                <w:highlight w:val="none"/>
              </w:rPr>
            </w:pPr>
          </w:p>
        </w:tc>
      </w:tr>
      <w:tr w14:paraId="74D6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2D4A45F0">
            <w:pPr>
              <w:pStyle w:val="8"/>
              <w:shd w:val="clear"/>
              <w:ind w:firstLine="0"/>
              <w:rPr>
                <w:rFonts w:hint="eastAsia" w:ascii="仿宋" w:hAnsi="仿宋" w:eastAsia="仿宋" w:cs="仿宋"/>
                <w:color w:val="auto"/>
                <w:sz w:val="24"/>
                <w:szCs w:val="24"/>
                <w:highlight w:val="none"/>
              </w:rPr>
            </w:pPr>
          </w:p>
        </w:tc>
        <w:tc>
          <w:tcPr>
            <w:tcW w:w="1671" w:type="dxa"/>
          </w:tcPr>
          <w:p w14:paraId="0D68B074">
            <w:pPr>
              <w:pStyle w:val="8"/>
              <w:shd w:val="clear"/>
              <w:ind w:firstLine="0"/>
              <w:rPr>
                <w:rFonts w:hint="eastAsia" w:ascii="仿宋" w:hAnsi="仿宋" w:eastAsia="仿宋" w:cs="仿宋"/>
                <w:color w:val="auto"/>
                <w:sz w:val="24"/>
                <w:szCs w:val="24"/>
                <w:highlight w:val="none"/>
              </w:rPr>
            </w:pPr>
          </w:p>
        </w:tc>
        <w:tc>
          <w:tcPr>
            <w:tcW w:w="1984" w:type="dxa"/>
          </w:tcPr>
          <w:p w14:paraId="19981A7A">
            <w:pPr>
              <w:pStyle w:val="8"/>
              <w:shd w:val="clear"/>
              <w:ind w:firstLine="0"/>
              <w:rPr>
                <w:rFonts w:hint="eastAsia" w:ascii="仿宋" w:hAnsi="仿宋" w:eastAsia="仿宋" w:cs="仿宋"/>
                <w:color w:val="auto"/>
                <w:sz w:val="24"/>
                <w:szCs w:val="24"/>
                <w:highlight w:val="none"/>
              </w:rPr>
            </w:pPr>
          </w:p>
        </w:tc>
        <w:tc>
          <w:tcPr>
            <w:tcW w:w="1391" w:type="dxa"/>
          </w:tcPr>
          <w:p w14:paraId="582C7B09">
            <w:pPr>
              <w:pStyle w:val="8"/>
              <w:shd w:val="clear"/>
              <w:ind w:firstLine="0"/>
              <w:rPr>
                <w:rFonts w:hint="eastAsia" w:ascii="仿宋" w:hAnsi="仿宋" w:eastAsia="仿宋" w:cs="仿宋"/>
                <w:color w:val="auto"/>
                <w:sz w:val="24"/>
                <w:szCs w:val="24"/>
                <w:highlight w:val="none"/>
              </w:rPr>
            </w:pPr>
          </w:p>
        </w:tc>
        <w:tc>
          <w:tcPr>
            <w:tcW w:w="1704" w:type="dxa"/>
          </w:tcPr>
          <w:p w14:paraId="0139A884">
            <w:pPr>
              <w:pStyle w:val="8"/>
              <w:shd w:val="clear"/>
              <w:ind w:firstLine="0"/>
              <w:rPr>
                <w:rFonts w:hint="eastAsia" w:ascii="仿宋" w:hAnsi="仿宋" w:eastAsia="仿宋" w:cs="仿宋"/>
                <w:color w:val="auto"/>
                <w:sz w:val="24"/>
                <w:szCs w:val="24"/>
                <w:highlight w:val="none"/>
              </w:rPr>
            </w:pPr>
          </w:p>
        </w:tc>
        <w:tc>
          <w:tcPr>
            <w:tcW w:w="874" w:type="dxa"/>
          </w:tcPr>
          <w:p w14:paraId="7EF0643D">
            <w:pPr>
              <w:pStyle w:val="8"/>
              <w:shd w:val="clear"/>
              <w:ind w:firstLine="0"/>
              <w:rPr>
                <w:rFonts w:hint="eastAsia" w:ascii="仿宋" w:hAnsi="仿宋" w:eastAsia="仿宋" w:cs="仿宋"/>
                <w:color w:val="auto"/>
                <w:sz w:val="24"/>
                <w:szCs w:val="24"/>
                <w:highlight w:val="none"/>
              </w:rPr>
            </w:pPr>
          </w:p>
        </w:tc>
      </w:tr>
      <w:tr w14:paraId="2C12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23" w:type="dxa"/>
          </w:tcPr>
          <w:p w14:paraId="2429B273">
            <w:pPr>
              <w:pStyle w:val="8"/>
              <w:shd w:val="clear"/>
              <w:ind w:firstLine="0"/>
              <w:rPr>
                <w:rFonts w:hint="eastAsia" w:ascii="仿宋" w:hAnsi="仿宋" w:eastAsia="仿宋" w:cs="仿宋"/>
                <w:color w:val="auto"/>
                <w:sz w:val="24"/>
                <w:szCs w:val="24"/>
                <w:highlight w:val="none"/>
              </w:rPr>
            </w:pPr>
          </w:p>
        </w:tc>
        <w:tc>
          <w:tcPr>
            <w:tcW w:w="1671" w:type="dxa"/>
          </w:tcPr>
          <w:p w14:paraId="169BF117">
            <w:pPr>
              <w:pStyle w:val="8"/>
              <w:shd w:val="clear"/>
              <w:ind w:firstLine="0"/>
              <w:rPr>
                <w:rFonts w:hint="eastAsia" w:ascii="仿宋" w:hAnsi="仿宋" w:eastAsia="仿宋" w:cs="仿宋"/>
                <w:color w:val="auto"/>
                <w:sz w:val="24"/>
                <w:szCs w:val="24"/>
                <w:highlight w:val="none"/>
              </w:rPr>
            </w:pPr>
          </w:p>
        </w:tc>
        <w:tc>
          <w:tcPr>
            <w:tcW w:w="1984" w:type="dxa"/>
          </w:tcPr>
          <w:p w14:paraId="31BF36F6">
            <w:pPr>
              <w:pStyle w:val="8"/>
              <w:shd w:val="clear"/>
              <w:ind w:firstLine="0"/>
              <w:rPr>
                <w:rFonts w:hint="eastAsia" w:ascii="仿宋" w:hAnsi="仿宋" w:eastAsia="仿宋" w:cs="仿宋"/>
                <w:color w:val="auto"/>
                <w:sz w:val="24"/>
                <w:szCs w:val="24"/>
                <w:highlight w:val="none"/>
              </w:rPr>
            </w:pPr>
          </w:p>
        </w:tc>
        <w:tc>
          <w:tcPr>
            <w:tcW w:w="1391" w:type="dxa"/>
          </w:tcPr>
          <w:p w14:paraId="150DF800">
            <w:pPr>
              <w:pStyle w:val="8"/>
              <w:shd w:val="clear"/>
              <w:ind w:firstLine="0"/>
              <w:rPr>
                <w:rFonts w:hint="eastAsia" w:ascii="仿宋" w:hAnsi="仿宋" w:eastAsia="仿宋" w:cs="仿宋"/>
                <w:color w:val="auto"/>
                <w:sz w:val="24"/>
                <w:szCs w:val="24"/>
                <w:highlight w:val="none"/>
              </w:rPr>
            </w:pPr>
          </w:p>
        </w:tc>
        <w:tc>
          <w:tcPr>
            <w:tcW w:w="1704" w:type="dxa"/>
          </w:tcPr>
          <w:p w14:paraId="37CA885C">
            <w:pPr>
              <w:pStyle w:val="8"/>
              <w:shd w:val="clear"/>
              <w:ind w:firstLine="0"/>
              <w:rPr>
                <w:rFonts w:hint="eastAsia" w:ascii="仿宋" w:hAnsi="仿宋" w:eastAsia="仿宋" w:cs="仿宋"/>
                <w:color w:val="auto"/>
                <w:sz w:val="24"/>
                <w:szCs w:val="24"/>
                <w:highlight w:val="none"/>
              </w:rPr>
            </w:pPr>
          </w:p>
        </w:tc>
        <w:tc>
          <w:tcPr>
            <w:tcW w:w="874" w:type="dxa"/>
          </w:tcPr>
          <w:p w14:paraId="72103957">
            <w:pPr>
              <w:pStyle w:val="8"/>
              <w:shd w:val="clear"/>
              <w:ind w:firstLine="0"/>
              <w:rPr>
                <w:rFonts w:hint="eastAsia" w:ascii="仿宋" w:hAnsi="仿宋" w:eastAsia="仿宋" w:cs="仿宋"/>
                <w:color w:val="auto"/>
                <w:sz w:val="24"/>
                <w:szCs w:val="24"/>
                <w:highlight w:val="none"/>
              </w:rPr>
            </w:pPr>
          </w:p>
        </w:tc>
      </w:tr>
    </w:tbl>
    <w:p w14:paraId="57D74C95">
      <w:pPr>
        <w:shd w:val="clear"/>
        <w:autoSpaceDE w:val="0"/>
        <w:autoSpaceDN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说明：1.</w:t>
      </w:r>
      <w:r>
        <w:rPr>
          <w:rFonts w:hint="eastAsia" w:ascii="仿宋" w:hAnsi="仿宋" w:eastAsia="仿宋" w:cs="仿宋"/>
          <w:color w:val="auto"/>
          <w:kern w:val="0"/>
          <w:sz w:val="24"/>
          <w:szCs w:val="24"/>
          <w:highlight w:val="none"/>
          <w:lang w:val="zh-CN"/>
        </w:rPr>
        <w:t>提供自20</w:t>
      </w:r>
      <w:r>
        <w:rPr>
          <w:rFonts w:hint="eastAsia" w:ascii="仿宋" w:hAnsi="仿宋" w:eastAsia="仿宋" w:cs="仿宋"/>
          <w:color w:val="auto"/>
          <w:kern w:val="0"/>
          <w:sz w:val="24"/>
          <w:szCs w:val="24"/>
          <w:highlight w:val="none"/>
          <w:lang w:val="en-US" w:eastAsia="zh-CN"/>
        </w:rPr>
        <w:t>23</w:t>
      </w:r>
      <w:r>
        <w:rPr>
          <w:rFonts w:hint="eastAsia" w:ascii="仿宋" w:hAnsi="仿宋" w:eastAsia="仿宋" w:cs="仿宋"/>
          <w:color w:val="auto"/>
          <w:kern w:val="0"/>
          <w:sz w:val="24"/>
          <w:szCs w:val="24"/>
          <w:highlight w:val="none"/>
          <w:lang w:val="zh-CN"/>
        </w:rPr>
        <w:t>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val="zh-CN"/>
        </w:rPr>
        <w:t>月1日至今（以合同签订时间为准）的</w:t>
      </w:r>
      <w:r>
        <w:rPr>
          <w:rFonts w:hint="eastAsia" w:ascii="仿宋" w:hAnsi="仿宋" w:eastAsia="仿宋" w:cs="仿宋"/>
          <w:color w:val="auto"/>
          <w:kern w:val="0"/>
          <w:sz w:val="24"/>
          <w:szCs w:val="24"/>
          <w:highlight w:val="none"/>
          <w:lang w:val="en-US" w:eastAsia="zh-CN"/>
        </w:rPr>
        <w:t>类似</w:t>
      </w:r>
      <w:r>
        <w:rPr>
          <w:rFonts w:hint="eastAsia" w:ascii="仿宋" w:hAnsi="仿宋" w:eastAsia="仿宋" w:cs="仿宋"/>
          <w:color w:val="auto"/>
          <w:kern w:val="0"/>
          <w:sz w:val="24"/>
          <w:szCs w:val="24"/>
          <w:highlight w:val="none"/>
          <w:lang w:val="zh-CN"/>
        </w:rPr>
        <w:t>业绩证明材料；2.表后附加盖公章的合同复印件；3.供应</w:t>
      </w:r>
      <w:r>
        <w:rPr>
          <w:rFonts w:hint="eastAsia" w:ascii="仿宋" w:hAnsi="仿宋" w:eastAsia="仿宋" w:cs="仿宋"/>
          <w:color w:val="auto"/>
          <w:sz w:val="24"/>
          <w:szCs w:val="24"/>
          <w:highlight w:val="none"/>
        </w:rPr>
        <w:t>商人</w:t>
      </w:r>
      <w:r>
        <w:rPr>
          <w:rFonts w:hint="eastAsia" w:ascii="仿宋" w:hAnsi="仿宋" w:eastAsia="仿宋" w:cs="仿宋"/>
          <w:bCs/>
          <w:color w:val="auto"/>
          <w:sz w:val="24"/>
          <w:szCs w:val="24"/>
          <w:highlight w:val="none"/>
        </w:rPr>
        <w:t>未按上述要求提供、</w:t>
      </w:r>
      <w:r>
        <w:rPr>
          <w:rFonts w:hint="eastAsia" w:ascii="仿宋" w:hAnsi="仿宋" w:eastAsia="仿宋" w:cs="仿宋"/>
          <w:color w:val="auto"/>
          <w:sz w:val="24"/>
          <w:szCs w:val="24"/>
          <w:highlight w:val="none"/>
        </w:rPr>
        <w:t>填写</w:t>
      </w:r>
      <w:r>
        <w:rPr>
          <w:rFonts w:hint="eastAsia" w:ascii="仿宋" w:hAnsi="仿宋" w:eastAsia="仿宋" w:cs="仿宋"/>
          <w:bCs/>
          <w:color w:val="auto"/>
          <w:sz w:val="24"/>
          <w:szCs w:val="24"/>
          <w:highlight w:val="none"/>
        </w:rPr>
        <w:t>的，评审时不予加分</w:t>
      </w:r>
    </w:p>
    <w:p w14:paraId="334590EC">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rPr>
      </w:pPr>
    </w:p>
    <w:p w14:paraId="4082F1C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D42F">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0D4A63B4">
      <w:pPr>
        <w:pStyle w:val="20"/>
        <w:shd w:val="clear"/>
        <w:spacing w:before="0" w:beforeAutospacing="0" w:after="0" w:afterAutospacing="0" w:line="480" w:lineRule="auto"/>
        <w:ind w:firstLine="3360" w:firstLineChars="1400"/>
        <w:rPr>
          <w:rFonts w:hint="eastAsia" w:ascii="宋体" w:hAnsi="宋体" w:eastAsia="宋体"/>
          <w:color w:val="auto"/>
          <w:sz w:val="36"/>
          <w:szCs w:val="36"/>
        </w:r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r>
        <w:rPr>
          <w:rFonts w:hint="eastAsia" w:ascii="宋体" w:hAnsi="宋体" w:eastAsia="宋体" w:cs="宋体"/>
          <w:bCs/>
          <w:color w:val="auto"/>
          <w:highlight w:val="none"/>
        </w:rPr>
        <w:t xml:space="preserve">  </w:t>
      </w:r>
    </w:p>
    <w:p w14:paraId="3321A731">
      <w:pPr>
        <w:adjustRightInd w:val="0"/>
        <w:snapToGrid w:val="0"/>
        <w:jc w:val="center"/>
        <w:rPr>
          <w:rFonts w:hint="eastAsia" w:ascii="宋体" w:hAnsi="宋体"/>
          <w:b/>
          <w:bCs/>
          <w:color w:val="auto"/>
          <w:sz w:val="36"/>
          <w:szCs w:val="36"/>
        </w:rPr>
      </w:pPr>
      <w:bookmarkStart w:id="267" w:name="_Toc12907"/>
    </w:p>
    <w:p w14:paraId="3A5E1C0D">
      <w:pPr>
        <w:adjustRightInd w:val="0"/>
        <w:snapToGrid w:val="0"/>
        <w:jc w:val="center"/>
        <w:rPr>
          <w:rFonts w:hint="eastAsia" w:ascii="宋体" w:hAnsi="宋体"/>
          <w:b/>
          <w:bCs/>
          <w:color w:val="auto"/>
          <w:sz w:val="36"/>
          <w:szCs w:val="36"/>
        </w:rPr>
      </w:pPr>
    </w:p>
    <w:p w14:paraId="4E7C0645">
      <w:pPr>
        <w:adjustRightInd w:val="0"/>
        <w:snapToGrid w:val="0"/>
        <w:jc w:val="center"/>
        <w:rPr>
          <w:rFonts w:hint="eastAsia" w:ascii="宋体" w:hAnsi="宋体"/>
          <w:b/>
          <w:bCs/>
          <w:color w:val="auto"/>
          <w:sz w:val="36"/>
          <w:szCs w:val="36"/>
        </w:rPr>
      </w:pPr>
    </w:p>
    <w:p w14:paraId="5B497F20">
      <w:pPr>
        <w:adjustRightInd w:val="0"/>
        <w:snapToGrid w:val="0"/>
        <w:jc w:val="center"/>
        <w:rPr>
          <w:rFonts w:ascii="宋体" w:hAnsi="宋体"/>
          <w:b/>
          <w:bCs/>
          <w:color w:val="auto"/>
          <w:sz w:val="36"/>
          <w:szCs w:val="36"/>
        </w:rPr>
      </w:pPr>
      <w:r>
        <w:rPr>
          <w:rFonts w:hint="eastAsia" w:ascii="宋体" w:hAnsi="宋体"/>
          <w:b/>
          <w:bCs/>
          <w:color w:val="auto"/>
          <w:sz w:val="36"/>
          <w:szCs w:val="36"/>
          <w:lang w:val="en-US" w:eastAsia="zh-CN"/>
        </w:rPr>
        <w:t>六</w:t>
      </w:r>
      <w:r>
        <w:rPr>
          <w:rFonts w:hint="eastAsia" w:ascii="宋体" w:hAnsi="宋体"/>
          <w:b/>
          <w:bCs/>
          <w:color w:val="auto"/>
          <w:sz w:val="36"/>
          <w:szCs w:val="36"/>
        </w:rPr>
        <w:t>、供应商认为需要提供的其他文件和资料</w:t>
      </w:r>
    </w:p>
    <w:p w14:paraId="68011B71">
      <w:pPr>
        <w:pStyle w:val="31"/>
        <w:spacing w:line="400" w:lineRule="exact"/>
        <w:rPr>
          <w:color w:val="auto"/>
        </w:rPr>
      </w:pPr>
    </w:p>
    <w:p w14:paraId="68799468">
      <w:pPr>
        <w:pStyle w:val="31"/>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说明：格式自定。</w:t>
      </w:r>
    </w:p>
    <w:p w14:paraId="62072E8E">
      <w:pPr>
        <w:pStyle w:val="31"/>
        <w:spacing w:line="400" w:lineRule="exact"/>
        <w:jc w:val="center"/>
        <w:rPr>
          <w:rFonts w:ascii="宋体" w:hAnsi="宋体" w:cs="宋体"/>
          <w:b/>
          <w:bCs/>
          <w:color w:val="auto"/>
          <w:sz w:val="36"/>
          <w:szCs w:val="36"/>
        </w:rPr>
      </w:pPr>
    </w:p>
    <w:p w14:paraId="696AF33B">
      <w:pPr>
        <w:pStyle w:val="31"/>
        <w:spacing w:line="400" w:lineRule="exact"/>
        <w:jc w:val="center"/>
        <w:rPr>
          <w:rFonts w:ascii="宋体" w:hAnsi="宋体" w:cs="宋体"/>
          <w:b/>
          <w:bCs/>
          <w:color w:val="auto"/>
          <w:sz w:val="36"/>
          <w:szCs w:val="36"/>
        </w:rPr>
      </w:pPr>
    </w:p>
    <w:p w14:paraId="3B3CEFA9">
      <w:pPr>
        <w:pStyle w:val="31"/>
        <w:spacing w:line="400" w:lineRule="exact"/>
        <w:jc w:val="center"/>
        <w:rPr>
          <w:rFonts w:ascii="宋体" w:hAnsi="宋体" w:cs="宋体"/>
          <w:b/>
          <w:bCs/>
          <w:color w:val="auto"/>
          <w:sz w:val="36"/>
          <w:szCs w:val="36"/>
        </w:rPr>
      </w:pPr>
    </w:p>
    <w:p w14:paraId="5C6431CE">
      <w:pPr>
        <w:pStyle w:val="31"/>
        <w:spacing w:line="400" w:lineRule="exact"/>
        <w:jc w:val="center"/>
        <w:rPr>
          <w:rFonts w:ascii="宋体" w:hAnsi="宋体" w:cs="宋体"/>
          <w:b/>
          <w:bCs/>
          <w:color w:val="auto"/>
          <w:sz w:val="36"/>
          <w:szCs w:val="36"/>
        </w:rPr>
      </w:pPr>
    </w:p>
    <w:p w14:paraId="17DE94F2">
      <w:pPr>
        <w:pStyle w:val="31"/>
        <w:spacing w:line="400" w:lineRule="exact"/>
        <w:jc w:val="center"/>
        <w:rPr>
          <w:rFonts w:ascii="宋体" w:hAnsi="宋体" w:cs="宋体"/>
          <w:b/>
          <w:bCs/>
          <w:color w:val="auto"/>
          <w:sz w:val="36"/>
          <w:szCs w:val="36"/>
        </w:rPr>
      </w:pPr>
    </w:p>
    <w:p w14:paraId="2739078B">
      <w:pPr>
        <w:pStyle w:val="31"/>
        <w:spacing w:line="400" w:lineRule="exact"/>
        <w:jc w:val="center"/>
        <w:rPr>
          <w:rFonts w:ascii="宋体" w:hAnsi="宋体" w:cs="宋体"/>
          <w:b/>
          <w:bCs/>
          <w:color w:val="auto"/>
          <w:sz w:val="36"/>
          <w:szCs w:val="36"/>
        </w:rPr>
      </w:pPr>
    </w:p>
    <w:p w14:paraId="366B68F3">
      <w:pPr>
        <w:pStyle w:val="31"/>
        <w:spacing w:line="400" w:lineRule="exact"/>
        <w:jc w:val="center"/>
        <w:rPr>
          <w:rFonts w:ascii="宋体" w:hAnsi="宋体" w:cs="宋体"/>
          <w:b/>
          <w:bCs/>
          <w:color w:val="auto"/>
          <w:sz w:val="36"/>
          <w:szCs w:val="36"/>
        </w:rPr>
      </w:pPr>
    </w:p>
    <w:p w14:paraId="3D765F70">
      <w:pPr>
        <w:pStyle w:val="31"/>
        <w:spacing w:line="400" w:lineRule="exact"/>
        <w:jc w:val="center"/>
        <w:rPr>
          <w:rFonts w:ascii="宋体" w:hAnsi="宋体" w:cs="宋体"/>
          <w:b/>
          <w:bCs/>
          <w:color w:val="auto"/>
          <w:sz w:val="36"/>
          <w:szCs w:val="36"/>
        </w:rPr>
      </w:pPr>
    </w:p>
    <w:p w14:paraId="10936179">
      <w:pPr>
        <w:pStyle w:val="31"/>
        <w:spacing w:line="400" w:lineRule="exact"/>
        <w:jc w:val="center"/>
        <w:rPr>
          <w:rFonts w:ascii="宋体" w:hAnsi="宋体" w:cs="宋体"/>
          <w:b/>
          <w:bCs/>
          <w:color w:val="auto"/>
          <w:sz w:val="36"/>
          <w:szCs w:val="36"/>
        </w:rPr>
      </w:pPr>
    </w:p>
    <w:p w14:paraId="6F4367A4">
      <w:pPr>
        <w:pStyle w:val="31"/>
        <w:spacing w:line="400" w:lineRule="exact"/>
        <w:jc w:val="center"/>
        <w:rPr>
          <w:rFonts w:ascii="宋体" w:hAnsi="宋体" w:cs="宋体"/>
          <w:b/>
          <w:bCs/>
          <w:color w:val="auto"/>
          <w:sz w:val="36"/>
          <w:szCs w:val="36"/>
        </w:rPr>
      </w:pPr>
    </w:p>
    <w:p w14:paraId="18DA81CF">
      <w:pPr>
        <w:pStyle w:val="31"/>
        <w:spacing w:line="400" w:lineRule="exact"/>
        <w:jc w:val="center"/>
        <w:rPr>
          <w:rFonts w:ascii="宋体" w:hAnsi="宋体" w:cs="宋体"/>
          <w:b/>
          <w:bCs/>
          <w:color w:val="auto"/>
          <w:sz w:val="36"/>
          <w:szCs w:val="36"/>
        </w:rPr>
      </w:pPr>
    </w:p>
    <w:p w14:paraId="696C85C0">
      <w:pPr>
        <w:pStyle w:val="31"/>
        <w:spacing w:line="400" w:lineRule="exact"/>
        <w:jc w:val="center"/>
        <w:rPr>
          <w:rFonts w:ascii="宋体" w:hAnsi="宋体" w:cs="宋体"/>
          <w:b/>
          <w:bCs/>
          <w:color w:val="auto"/>
          <w:sz w:val="36"/>
          <w:szCs w:val="36"/>
        </w:rPr>
      </w:pPr>
    </w:p>
    <w:p w14:paraId="09750DB7">
      <w:pPr>
        <w:pStyle w:val="31"/>
        <w:spacing w:line="400" w:lineRule="exact"/>
        <w:jc w:val="center"/>
        <w:rPr>
          <w:rFonts w:ascii="宋体" w:hAnsi="宋体" w:cs="宋体"/>
          <w:b/>
          <w:bCs/>
          <w:color w:val="auto"/>
          <w:sz w:val="36"/>
          <w:szCs w:val="36"/>
        </w:rPr>
      </w:pPr>
    </w:p>
    <w:p w14:paraId="4F25159F">
      <w:pPr>
        <w:pStyle w:val="31"/>
        <w:spacing w:line="400" w:lineRule="exact"/>
        <w:jc w:val="center"/>
        <w:rPr>
          <w:rFonts w:ascii="宋体" w:hAnsi="宋体" w:cs="宋体"/>
          <w:b/>
          <w:bCs/>
          <w:color w:val="auto"/>
          <w:sz w:val="36"/>
          <w:szCs w:val="36"/>
        </w:rPr>
      </w:pPr>
    </w:p>
    <w:p w14:paraId="4C5138FC">
      <w:pPr>
        <w:pStyle w:val="31"/>
        <w:spacing w:line="400" w:lineRule="exact"/>
        <w:jc w:val="center"/>
        <w:rPr>
          <w:rFonts w:ascii="宋体" w:hAnsi="宋体" w:cs="宋体"/>
          <w:b/>
          <w:bCs/>
          <w:color w:val="auto"/>
          <w:sz w:val="36"/>
          <w:szCs w:val="36"/>
        </w:rPr>
      </w:pPr>
    </w:p>
    <w:p w14:paraId="41C9F516">
      <w:pPr>
        <w:pStyle w:val="31"/>
        <w:spacing w:line="400" w:lineRule="exact"/>
        <w:jc w:val="center"/>
        <w:rPr>
          <w:rFonts w:ascii="宋体" w:hAnsi="宋体" w:cs="宋体"/>
          <w:b/>
          <w:bCs/>
          <w:color w:val="auto"/>
          <w:sz w:val="36"/>
          <w:szCs w:val="36"/>
        </w:rPr>
      </w:pPr>
    </w:p>
    <w:p w14:paraId="25AE061D">
      <w:pPr>
        <w:pStyle w:val="31"/>
        <w:spacing w:line="400" w:lineRule="exact"/>
        <w:jc w:val="center"/>
        <w:rPr>
          <w:rFonts w:ascii="宋体" w:hAnsi="宋体" w:cs="宋体"/>
          <w:b/>
          <w:bCs/>
          <w:color w:val="auto"/>
          <w:sz w:val="36"/>
          <w:szCs w:val="36"/>
        </w:rPr>
      </w:pPr>
    </w:p>
    <w:p w14:paraId="217FBEF3">
      <w:pPr>
        <w:pStyle w:val="31"/>
        <w:spacing w:line="400" w:lineRule="exact"/>
        <w:jc w:val="center"/>
        <w:rPr>
          <w:rFonts w:ascii="宋体" w:hAnsi="宋体" w:cs="宋体"/>
          <w:b/>
          <w:bCs/>
          <w:color w:val="auto"/>
          <w:sz w:val="36"/>
          <w:szCs w:val="36"/>
        </w:rPr>
      </w:pPr>
    </w:p>
    <w:p w14:paraId="0EE4484B">
      <w:pPr>
        <w:pStyle w:val="31"/>
        <w:spacing w:line="400" w:lineRule="exact"/>
        <w:jc w:val="center"/>
        <w:rPr>
          <w:rFonts w:ascii="宋体" w:hAnsi="宋体" w:cs="宋体"/>
          <w:b/>
          <w:bCs/>
          <w:color w:val="auto"/>
          <w:sz w:val="36"/>
          <w:szCs w:val="36"/>
        </w:rPr>
      </w:pPr>
    </w:p>
    <w:p w14:paraId="1AA9DEE0">
      <w:pPr>
        <w:pStyle w:val="31"/>
        <w:spacing w:line="400" w:lineRule="exact"/>
        <w:jc w:val="center"/>
        <w:rPr>
          <w:rFonts w:ascii="宋体" w:hAnsi="宋体" w:cs="宋体"/>
          <w:b/>
          <w:bCs/>
          <w:color w:val="auto"/>
          <w:sz w:val="36"/>
          <w:szCs w:val="36"/>
        </w:rPr>
      </w:pPr>
    </w:p>
    <w:p w14:paraId="0BFB6C1D">
      <w:pPr>
        <w:pStyle w:val="31"/>
        <w:spacing w:line="400" w:lineRule="exact"/>
        <w:jc w:val="center"/>
        <w:rPr>
          <w:rFonts w:ascii="宋体" w:hAnsi="宋体" w:cs="宋体"/>
          <w:b/>
          <w:bCs/>
          <w:color w:val="auto"/>
          <w:sz w:val="36"/>
          <w:szCs w:val="36"/>
        </w:rPr>
      </w:pPr>
    </w:p>
    <w:p w14:paraId="62E3B1D9">
      <w:pPr>
        <w:pStyle w:val="31"/>
        <w:spacing w:line="400" w:lineRule="exact"/>
        <w:jc w:val="center"/>
        <w:rPr>
          <w:rFonts w:ascii="宋体" w:hAnsi="宋体" w:cs="宋体"/>
          <w:b/>
          <w:bCs/>
          <w:color w:val="auto"/>
          <w:sz w:val="36"/>
          <w:szCs w:val="36"/>
        </w:rPr>
      </w:pPr>
    </w:p>
    <w:p w14:paraId="07BB68D3">
      <w:pPr>
        <w:pStyle w:val="31"/>
        <w:spacing w:line="400" w:lineRule="exact"/>
        <w:jc w:val="center"/>
        <w:rPr>
          <w:rFonts w:ascii="宋体" w:hAnsi="宋体" w:cs="宋体"/>
          <w:b/>
          <w:bCs/>
          <w:color w:val="auto"/>
          <w:sz w:val="36"/>
          <w:szCs w:val="36"/>
        </w:rPr>
      </w:pPr>
    </w:p>
    <w:p w14:paraId="1C5B1FFD">
      <w:pPr>
        <w:pStyle w:val="31"/>
        <w:spacing w:line="400" w:lineRule="exact"/>
        <w:jc w:val="center"/>
        <w:rPr>
          <w:rFonts w:ascii="宋体" w:hAnsi="宋体" w:cs="宋体"/>
          <w:b/>
          <w:bCs/>
          <w:color w:val="auto"/>
          <w:sz w:val="36"/>
          <w:szCs w:val="36"/>
        </w:rPr>
      </w:pPr>
    </w:p>
    <w:p w14:paraId="2746D7B9">
      <w:pPr>
        <w:pStyle w:val="31"/>
        <w:spacing w:line="400" w:lineRule="exact"/>
        <w:jc w:val="center"/>
        <w:rPr>
          <w:rFonts w:ascii="宋体" w:hAnsi="宋体" w:cs="宋体"/>
          <w:b/>
          <w:bCs/>
          <w:color w:val="auto"/>
          <w:sz w:val="36"/>
          <w:szCs w:val="36"/>
        </w:rPr>
      </w:pPr>
    </w:p>
    <w:p w14:paraId="47E639AC">
      <w:pPr>
        <w:pStyle w:val="31"/>
        <w:spacing w:line="400" w:lineRule="exact"/>
        <w:jc w:val="center"/>
        <w:rPr>
          <w:rFonts w:ascii="宋体" w:hAnsi="宋体" w:cs="宋体"/>
          <w:b/>
          <w:bCs/>
          <w:color w:val="auto"/>
          <w:sz w:val="36"/>
          <w:szCs w:val="36"/>
        </w:rPr>
      </w:pPr>
    </w:p>
    <w:p w14:paraId="2D089D17">
      <w:pPr>
        <w:pStyle w:val="31"/>
        <w:spacing w:line="400" w:lineRule="exact"/>
        <w:jc w:val="center"/>
        <w:rPr>
          <w:rFonts w:ascii="宋体" w:hAnsi="宋体" w:cs="宋体"/>
          <w:b/>
          <w:bCs/>
          <w:color w:val="auto"/>
          <w:sz w:val="36"/>
          <w:szCs w:val="36"/>
        </w:rPr>
      </w:pPr>
    </w:p>
    <w:p w14:paraId="7A567364">
      <w:pPr>
        <w:pStyle w:val="31"/>
        <w:spacing w:line="400" w:lineRule="exact"/>
        <w:jc w:val="center"/>
        <w:rPr>
          <w:rFonts w:ascii="宋体" w:hAnsi="宋体" w:cs="宋体"/>
          <w:b/>
          <w:bCs/>
          <w:color w:val="auto"/>
          <w:sz w:val="36"/>
          <w:szCs w:val="36"/>
        </w:rPr>
      </w:pPr>
    </w:p>
    <w:p w14:paraId="529D1449">
      <w:pPr>
        <w:pStyle w:val="31"/>
        <w:spacing w:line="400" w:lineRule="exact"/>
        <w:jc w:val="center"/>
        <w:rPr>
          <w:rFonts w:ascii="宋体" w:hAnsi="宋体" w:cs="宋体"/>
          <w:b/>
          <w:bCs/>
          <w:color w:val="auto"/>
          <w:sz w:val="36"/>
          <w:szCs w:val="36"/>
        </w:rPr>
      </w:pPr>
    </w:p>
    <w:p w14:paraId="1DC20802">
      <w:pPr>
        <w:pStyle w:val="31"/>
        <w:spacing w:line="400" w:lineRule="exact"/>
        <w:jc w:val="center"/>
        <w:rPr>
          <w:rFonts w:ascii="宋体" w:hAnsi="宋体" w:cs="宋体"/>
          <w:b/>
          <w:bCs/>
          <w:color w:val="auto"/>
          <w:sz w:val="36"/>
          <w:szCs w:val="36"/>
        </w:rPr>
      </w:pPr>
    </w:p>
    <w:p w14:paraId="45725C69">
      <w:pPr>
        <w:pStyle w:val="31"/>
        <w:spacing w:line="400" w:lineRule="exact"/>
        <w:jc w:val="center"/>
        <w:rPr>
          <w:rFonts w:ascii="宋体" w:hAnsi="宋体" w:cs="宋体"/>
          <w:b/>
          <w:bCs/>
          <w:color w:val="auto"/>
          <w:sz w:val="36"/>
          <w:szCs w:val="36"/>
        </w:rPr>
      </w:pPr>
    </w:p>
    <w:p w14:paraId="1E688827">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lang w:val="en-US" w:eastAsia="zh-CN"/>
        </w:rPr>
        <w:t>七</w:t>
      </w:r>
      <w:r>
        <w:rPr>
          <w:rFonts w:hint="eastAsia" w:ascii="宋体" w:hAnsi="宋体" w:cs="宋体"/>
          <w:b/>
          <w:bCs/>
          <w:color w:val="auto"/>
          <w:sz w:val="36"/>
          <w:szCs w:val="36"/>
        </w:rPr>
        <w:t>、陕西省政府采购供应商拒绝政府采购领域商业贿赂</w:t>
      </w:r>
    </w:p>
    <w:p w14:paraId="35DB444E">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rPr>
        <w:t>承诺书</w:t>
      </w:r>
    </w:p>
    <w:p w14:paraId="22A87953">
      <w:pPr>
        <w:pStyle w:val="31"/>
        <w:spacing w:line="400" w:lineRule="exact"/>
        <w:jc w:val="center"/>
        <w:rPr>
          <w:rFonts w:ascii="宋体" w:hAnsi="宋体" w:cs="宋体"/>
          <w:b/>
          <w:bCs/>
          <w:color w:val="auto"/>
          <w:sz w:val="36"/>
          <w:szCs w:val="36"/>
        </w:rPr>
      </w:pPr>
    </w:p>
    <w:p w14:paraId="5CD06CB4">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为响应党中央、国务院关于治理政府采购领域商业贿赂行为的号召，我公司在此庄严承诺：</w:t>
      </w:r>
    </w:p>
    <w:p w14:paraId="0D913BD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1、在参与政府采购活动中遵纪守法、诚信经营、公平竞标。</w:t>
      </w:r>
    </w:p>
    <w:p w14:paraId="338485D8">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2、不向政府采购人、采购代理机构和政府采购评审专家进行任何形式的商业贿赂以谋取交易机会。</w:t>
      </w:r>
    </w:p>
    <w:p w14:paraId="2EFDBB9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3、不向政府采购代理机构和采购人提供虚假资质文件或采用虚假应标方式参与政府采购市场竞争并谋取成交、成交。</w:t>
      </w:r>
    </w:p>
    <w:p w14:paraId="6B5C16F9">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4、不采取“围标、陪标”等商业欺诈手段获得政府采购定单。</w:t>
      </w:r>
    </w:p>
    <w:p w14:paraId="6DD7BB9A">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5、不采取不正当手段诋毁、排挤其他供应商。</w:t>
      </w:r>
    </w:p>
    <w:p w14:paraId="6A0523C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6、不在提供商品和服务及工程时“偷梁换柱、以次充好”损害采购人的合法权益。</w:t>
      </w:r>
    </w:p>
    <w:p w14:paraId="1DE8C1A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7、不与采购人、采购代理机构政府采购评审专家或其它供应商恶意串通，进行质疑和投诉，维护政府采购市场秩序。</w:t>
      </w:r>
    </w:p>
    <w:p w14:paraId="374AF39D">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8、尊重和接受政府采购监督管理部门的监督和政府采购代理机构招标采购要求，承担因违约行为给采购人造成的损失。</w:t>
      </w:r>
    </w:p>
    <w:p w14:paraId="5440ABB1">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9、不发生其他有悖于政府采购公开、公平、公正和诚信原则的行为。</w:t>
      </w:r>
    </w:p>
    <w:p w14:paraId="74303B0C">
      <w:pPr>
        <w:pStyle w:val="2"/>
        <w:rPr>
          <w:rFonts w:hint="eastAsia" w:ascii="仿宋" w:hAnsi="仿宋" w:eastAsia="仿宋" w:cs="仿宋"/>
          <w:color w:val="auto"/>
          <w:sz w:val="24"/>
          <w:szCs w:val="24"/>
        </w:rPr>
      </w:pPr>
    </w:p>
    <w:p w14:paraId="26F559E1">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w:t>
      </w:r>
      <w:r>
        <w:rPr>
          <w:rFonts w:hint="eastAsia" w:ascii="仿宋" w:hAnsi="仿宋" w:eastAsia="仿宋" w:cs="仿宋"/>
          <w:bCs/>
          <w:color w:val="auto"/>
          <w:sz w:val="24"/>
          <w:szCs w:val="24"/>
        </w:rPr>
        <w:t>全称并盖公章</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u w:val="single"/>
        </w:rPr>
        <w:t xml:space="preserve">            </w:t>
      </w:r>
    </w:p>
    <w:p w14:paraId="2DE1A970">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法定代表人或被授权人（签字或盖章）：</w:t>
      </w:r>
    </w:p>
    <w:p w14:paraId="5F97FD7C">
      <w:pPr>
        <w:ind w:left="1"/>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日期：    年   月   日</w:t>
      </w:r>
    </w:p>
    <w:p w14:paraId="3134D75E">
      <w:pPr>
        <w:adjustRightInd w:val="0"/>
        <w:snapToGrid w:val="0"/>
        <w:jc w:val="center"/>
        <w:rPr>
          <w:rFonts w:ascii="宋体" w:hAnsi="宋体"/>
          <w:b/>
          <w:bCs/>
          <w:color w:val="auto"/>
          <w:sz w:val="36"/>
          <w:szCs w:val="36"/>
        </w:rPr>
      </w:pPr>
    </w:p>
    <w:p w14:paraId="24FECDCB">
      <w:pPr>
        <w:adjustRightInd w:val="0"/>
        <w:snapToGrid w:val="0"/>
        <w:jc w:val="center"/>
        <w:rPr>
          <w:rFonts w:ascii="宋体" w:hAnsi="宋体"/>
          <w:b/>
          <w:bCs/>
          <w:color w:val="auto"/>
          <w:sz w:val="36"/>
          <w:szCs w:val="36"/>
        </w:rPr>
      </w:pPr>
    </w:p>
    <w:p w14:paraId="3F27FB7E">
      <w:pPr>
        <w:adjustRightInd w:val="0"/>
        <w:snapToGrid w:val="0"/>
        <w:jc w:val="center"/>
        <w:rPr>
          <w:rFonts w:ascii="宋体" w:hAnsi="宋体"/>
          <w:b/>
          <w:bCs/>
          <w:color w:val="auto"/>
          <w:sz w:val="36"/>
          <w:szCs w:val="36"/>
        </w:rPr>
      </w:pPr>
    </w:p>
    <w:p w14:paraId="12170825">
      <w:pPr>
        <w:adjustRightInd w:val="0"/>
        <w:snapToGrid w:val="0"/>
        <w:jc w:val="center"/>
        <w:rPr>
          <w:rFonts w:ascii="宋体" w:hAnsi="宋体"/>
          <w:b/>
          <w:bCs/>
          <w:color w:val="auto"/>
          <w:sz w:val="36"/>
          <w:szCs w:val="36"/>
        </w:rPr>
      </w:pPr>
    </w:p>
    <w:p w14:paraId="5ABAC507">
      <w:pPr>
        <w:adjustRightInd w:val="0"/>
        <w:snapToGrid w:val="0"/>
        <w:jc w:val="center"/>
        <w:rPr>
          <w:rFonts w:ascii="宋体" w:hAnsi="宋体"/>
          <w:b/>
          <w:bCs/>
          <w:color w:val="auto"/>
          <w:sz w:val="36"/>
          <w:szCs w:val="36"/>
        </w:rPr>
      </w:pPr>
    </w:p>
    <w:bookmarkEnd w:id="267"/>
    <w:p w14:paraId="6CDCEB4F">
      <w:pPr>
        <w:rPr>
          <w:color w:val="auto"/>
        </w:rPr>
      </w:pPr>
    </w:p>
    <w:sectPr>
      <w:headerReference r:id="rId20" w:type="default"/>
      <w:footerReference r:id="rId21" w:type="default"/>
      <w:pgSz w:w="11907" w:h="16840"/>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0D95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12B3EC75">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464E7D3E">
    <w:pPr>
      <w:pStyle w:val="14"/>
      <w:spacing w:line="240" w:lineRule="exact"/>
      <w:ind w:right="357"/>
      <w:jc w:val="center"/>
    </w:pPr>
    <w:r>
      <w:rPr>
        <w:rFonts w:hint="eastAsia"/>
        <w:b/>
        <w:kern w:val="0"/>
        <w:szCs w:val="21"/>
      </w:rPr>
      <w:t>地址：咸阳市秦都区人民中路新华大厦1508室  电话：029-33284736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E811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6E06A652">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5F49186E">
    <w:pPr>
      <w:pStyle w:val="14"/>
      <w:spacing w:line="240" w:lineRule="exact"/>
      <w:ind w:right="357"/>
      <w:jc w:val="center"/>
    </w:pPr>
    <w:r>
      <w:rPr>
        <w:rFonts w:hint="eastAsia"/>
        <w:b/>
        <w:kern w:val="0"/>
        <w:szCs w:val="21"/>
      </w:rPr>
      <w:t>地址：咸阳市秦都区人民中路新华大厦1508室  电话：029-33284736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0177">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4D09AB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19CF9A57">
    <w:pPr>
      <w:pStyle w:val="14"/>
      <w:spacing w:line="240" w:lineRule="exact"/>
      <w:ind w:right="357"/>
      <w:jc w:val="center"/>
    </w:pPr>
    <w:r>
      <w:rPr>
        <w:rFonts w:hint="eastAsia"/>
        <w:b/>
        <w:kern w:val="0"/>
        <w:szCs w:val="21"/>
      </w:rPr>
      <w:t>地址：咸阳市秦都区人民中路新华大厦1508室  电话：029-33284736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62EAE">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FC355E3">
    <w:pPr>
      <w:pStyle w:val="14"/>
      <w:pBdr>
        <w:bottom w:val="single" w:color="auto" w:sz="6" w:space="1"/>
      </w:pBdr>
      <w:ind w:right="360"/>
      <w:rPr>
        <w:kern w:val="0"/>
        <w:szCs w:val="21"/>
      </w:rPr>
    </w:pPr>
  </w:p>
  <w:p w14:paraId="5C9E8009">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3E56D4B2">
    <w:pPr>
      <w:pStyle w:val="14"/>
      <w:jc w:val="both"/>
    </w:pPr>
    <w:r>
      <w:rPr>
        <w:rFonts w:hint="eastAsia"/>
        <w:kern w:val="0"/>
        <w:szCs w:val="21"/>
      </w:rPr>
      <w:t>联系电话：029-88472386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6CA5">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2260418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37CDCF24">
    <w:pPr>
      <w:pStyle w:val="14"/>
      <w:spacing w:line="240" w:lineRule="exact"/>
      <w:ind w:right="357"/>
      <w:jc w:val="center"/>
    </w:pPr>
    <w:r>
      <w:rPr>
        <w:rFonts w:hint="eastAsia"/>
        <w:b/>
        <w:kern w:val="0"/>
        <w:szCs w:val="21"/>
      </w:rPr>
      <w:t>地址：咸阳市秦都区人民中路新华大厦1508室  电话：029-33284736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D766">
    <w:pPr>
      <w:pStyle w:val="14"/>
      <w:jc w:val="center"/>
    </w:pPr>
    <w:r>
      <w:rPr>
        <w:rFonts w:hint="eastAsia"/>
        <w:kern w:val="0"/>
        <w:szCs w:val="21"/>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838C">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1372C2A4">
    <w:pPr>
      <w:pStyle w:val="14"/>
      <w:pBdr>
        <w:bottom w:val="single" w:color="auto" w:sz="6" w:space="1"/>
      </w:pBdr>
      <w:ind w:right="360"/>
      <w:rPr>
        <w:kern w:val="0"/>
        <w:szCs w:val="21"/>
      </w:rPr>
    </w:pPr>
  </w:p>
  <w:p w14:paraId="2942DD9D">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7049672C">
    <w:pPr>
      <w:pStyle w:val="14"/>
      <w:jc w:val="both"/>
    </w:pPr>
    <w:r>
      <w:rPr>
        <w:rFonts w:hint="eastAsia"/>
        <w:kern w:val="0"/>
        <w:szCs w:val="21"/>
      </w:rPr>
      <w:t>联系电话：029-88472386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46759">
    <w:pPr>
      <w:pStyle w:val="14"/>
      <w:ind w:right="360"/>
      <w:jc w:val="center"/>
      <w:rPr>
        <w:rFonts w:hint="eastAsia"/>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5966E51B">
    <w:pPr>
      <w:pStyle w:val="14"/>
      <w:spacing w:line="240" w:lineRule="exact"/>
      <w:ind w:right="357"/>
      <w:jc w:val="center"/>
      <w:rPr>
        <w:rFonts w:hint="eastAsia"/>
        <w:b/>
        <w:kern w:val="0"/>
        <w:szCs w:val="21"/>
      </w:rPr>
    </w:pPr>
    <w:r>
      <w:rPr>
        <w:rFonts w:hint="eastAsia"/>
        <w:b/>
        <w:kern w:val="0"/>
        <w:szCs w:val="21"/>
        <w:lang w:eastAsia="zh-CN"/>
      </w:rPr>
      <w:t>陕西优正项目管理有限公司</w:t>
    </w:r>
    <w:r>
      <w:rPr>
        <w:b/>
        <w:kern w:val="0"/>
        <w:szCs w:val="21"/>
      </w:rPr>
      <w:t>Shaa</w:t>
    </w:r>
    <w:r>
      <w:rPr>
        <w:rFonts w:hint="eastAsia"/>
        <w:b/>
        <w:kern w:val="0"/>
        <w:szCs w:val="21"/>
        <w:lang w:val="en-US" w:eastAsia="zh-CN"/>
      </w:rPr>
      <w:t>n</w:t>
    </w:r>
    <w:r>
      <w:rPr>
        <w:b/>
        <w:kern w:val="0"/>
        <w:szCs w:val="21"/>
      </w:rPr>
      <w:t xml:space="preserve">xi </w:t>
    </w:r>
    <w:r>
      <w:rPr>
        <w:rFonts w:hint="eastAsia"/>
        <w:b/>
        <w:kern w:val="0"/>
        <w:szCs w:val="21"/>
      </w:rPr>
      <w:t xml:space="preserve"> </w:t>
    </w:r>
    <w:r>
      <w:rPr>
        <w:rFonts w:hint="eastAsia"/>
        <w:b/>
        <w:kern w:val="0"/>
        <w:szCs w:val="21"/>
        <w:lang w:eastAsia="zh-CN"/>
      </w:rPr>
      <w:t>YOZH  Project  Management</w:t>
    </w:r>
    <w:r>
      <w:rPr>
        <w:b/>
        <w:kern w:val="0"/>
        <w:szCs w:val="21"/>
      </w:rPr>
      <w:t xml:space="preserve">  Co., Ltd</w:t>
    </w:r>
  </w:p>
  <w:p w14:paraId="6319360E">
    <w:pPr>
      <w:pStyle w:val="14"/>
      <w:spacing w:line="240" w:lineRule="exact"/>
      <w:ind w:right="357"/>
      <w:jc w:val="center"/>
    </w:pPr>
    <w:r>
      <w:rPr>
        <w:rFonts w:hint="eastAsia"/>
        <w:b/>
        <w:kern w:val="0"/>
        <w:szCs w:val="21"/>
      </w:rPr>
      <w:t>地址：</w:t>
    </w:r>
    <w:r>
      <w:rPr>
        <w:rFonts w:hint="eastAsia"/>
        <w:b/>
        <w:kern w:val="0"/>
        <w:szCs w:val="21"/>
        <w:lang w:eastAsia="zh-CN"/>
      </w:rPr>
      <w:t>咸阳市秦都区人民中路新华大厦1508室</w:t>
    </w:r>
    <w:r>
      <w:rPr>
        <w:rFonts w:hint="eastAsia"/>
        <w:b/>
        <w:kern w:val="0"/>
        <w:szCs w:val="21"/>
      </w:rPr>
      <w:t xml:space="preserve">  电话：</w:t>
    </w:r>
    <w:r>
      <w:rPr>
        <w:rFonts w:hint="eastAsia"/>
        <w:b/>
        <w:kern w:val="0"/>
        <w:szCs w:val="21"/>
        <w:lang w:eastAsia="zh-CN"/>
      </w:rPr>
      <w:t>029-33284736</w:t>
    </w:r>
    <w:r>
      <w:rPr>
        <w:rFonts w:hint="eastAsia"/>
        <w:kern w:val="0"/>
        <w:szCs w:val="21"/>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3CF81">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9DFB000">
    <w:pPr>
      <w:pStyle w:val="14"/>
      <w:pBdr>
        <w:bottom w:val="single" w:color="auto" w:sz="6" w:space="1"/>
      </w:pBdr>
      <w:ind w:right="360"/>
      <w:rPr>
        <w:kern w:val="0"/>
        <w:szCs w:val="21"/>
      </w:rPr>
    </w:pPr>
  </w:p>
  <w:p w14:paraId="6C410474">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0C3994EE">
    <w:pPr>
      <w:pStyle w:val="14"/>
      <w:jc w:val="both"/>
    </w:pPr>
    <w:r>
      <w:rPr>
        <w:rFonts w:hint="eastAsia"/>
        <w:kern w:val="0"/>
        <w:szCs w:val="21"/>
      </w:rPr>
      <w:t>联系电话：029-88472386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6DE2E">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6AAABA4">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22EE4491">
    <w:pPr>
      <w:pStyle w:val="14"/>
      <w:spacing w:line="240" w:lineRule="exact"/>
      <w:ind w:right="357"/>
      <w:jc w:val="center"/>
    </w:pPr>
    <w:r>
      <w:rPr>
        <w:rFonts w:hint="eastAsia"/>
        <w:b/>
        <w:kern w:val="0"/>
        <w:szCs w:val="21"/>
      </w:rPr>
      <w:t>地址：咸阳市秦都区人民中路新华大厦1508室  电话：029-33284736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B1E04">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459F4">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58269">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8582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963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F25E1">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14885">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597D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0063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w:t>
    </w:r>
    <w:r>
      <w:rPr>
        <w:rFonts w:hint="eastAsia" w:ascii="宋体" w:hAnsi="宋体"/>
        <w:b/>
        <w:szCs w:val="21"/>
        <w:lang w:val="en-US" w:eastAsia="zh-CN"/>
      </w:rPr>
      <w:t xml:space="preserve">                                              </w:t>
    </w:r>
    <w:r>
      <w:rPr>
        <w:rFonts w:hint="eastAsia" w:ascii="宋体" w:hAnsi="宋体"/>
        <w:b/>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C18B55"/>
    <w:multiLevelType w:val="singleLevel"/>
    <w:tmpl w:val="F9C18B55"/>
    <w:lvl w:ilvl="0" w:tentative="0">
      <w:start w:val="1"/>
      <w:numFmt w:val="chineseCounting"/>
      <w:suff w:val="nothing"/>
      <w:lvlText w:val="%1、"/>
      <w:lvlJc w:val="left"/>
      <w:rPr>
        <w:rFonts w:hint="eastAsia"/>
      </w:rPr>
    </w:lvl>
  </w:abstractNum>
  <w:abstractNum w:abstractNumId="1">
    <w:nsid w:val="1E090170"/>
    <w:multiLevelType w:val="multilevel"/>
    <w:tmpl w:val="1E090170"/>
    <w:lvl w:ilvl="0" w:tentative="0">
      <w:start w:val="1"/>
      <w:numFmt w:val="chineseCountingThousand"/>
      <w:suff w:val="space"/>
      <w:lvlText w:val="第%1章"/>
      <w:lvlJc w:val="left"/>
      <w:pPr>
        <w:ind w:left="432" w:hanging="432"/>
      </w:pPr>
      <w:rPr>
        <w:rFonts w:hint="eastAsia"/>
      </w:rPr>
    </w:lvl>
    <w:lvl w:ilvl="1" w:tentative="0">
      <w:start w:val="1"/>
      <w:numFmt w:val="decimal"/>
      <w:suff w:val="space"/>
      <w:lvlText w:val="%2"/>
      <w:lvlJc w:val="left"/>
      <w:pPr>
        <w:ind w:left="576" w:hanging="576"/>
      </w:pPr>
      <w:rPr>
        <w:rFonts w:hint="eastAsia"/>
      </w:rPr>
    </w:lvl>
    <w:lvl w:ilvl="2" w:tentative="0">
      <w:start w:val="1"/>
      <w:numFmt w:val="decimal"/>
      <w:pStyle w:val="37"/>
      <w:suff w:val="space"/>
      <w:lvlText w:val="%2.%3"/>
      <w:lvlJc w:val="left"/>
      <w:pPr>
        <w:ind w:left="720" w:hanging="720"/>
      </w:pPr>
      <w:rPr>
        <w:rFonts w:hint="eastAsia"/>
      </w:rPr>
    </w:lvl>
    <w:lvl w:ilvl="3" w:tentative="0">
      <w:start w:val="1"/>
      <w:numFmt w:val="decimal"/>
      <w:suff w:val="space"/>
      <w:lvlText w:val="%2.%3.%4"/>
      <w:lvlJc w:val="left"/>
      <w:pPr>
        <w:ind w:left="864" w:hanging="864"/>
      </w:pPr>
      <w:rPr>
        <w:rFonts w:hint="eastAsia"/>
      </w:rPr>
    </w:lvl>
    <w:lvl w:ilvl="4" w:tentative="0">
      <w:start w:val="1"/>
      <w:numFmt w:val="decimal"/>
      <w:suff w:val="space"/>
      <w:lvlText w:val="%2.%3.%4.%5"/>
      <w:lvlJc w:val="left"/>
      <w:pPr>
        <w:ind w:left="1008" w:hanging="1008"/>
      </w:pPr>
      <w:rPr>
        <w:rFonts w:hint="eastAsia"/>
      </w:rPr>
    </w:lvl>
    <w:lvl w:ilvl="5" w:tentative="0">
      <w:start w:val="1"/>
      <w:numFmt w:val="decimal"/>
      <w:suff w:val="space"/>
      <w:lvlText w:val="%2.%3.%4.%5.%6"/>
      <w:lvlJc w:val="left"/>
      <w:pPr>
        <w:ind w:left="1152" w:hanging="1152"/>
      </w:pPr>
      <w:rPr>
        <w:rFonts w:hint="eastAsia"/>
      </w:rPr>
    </w:lvl>
    <w:lvl w:ilvl="6" w:tentative="0">
      <w:start w:val="1"/>
      <w:numFmt w:val="decimal"/>
      <w:suff w:val="space"/>
      <w:lvlText w:val="%2.%3.%4.%5.%6.%7"/>
      <w:lvlJc w:val="left"/>
      <w:pPr>
        <w:ind w:left="1296" w:hanging="1296"/>
      </w:pPr>
      <w:rPr>
        <w:rFonts w:hint="eastAsia"/>
      </w:rPr>
    </w:lvl>
    <w:lvl w:ilvl="7" w:tentative="0">
      <w:start w:val="1"/>
      <w:numFmt w:val="decimal"/>
      <w:suff w:val="space"/>
      <w:lvlText w:val="%2.%3.%4.%5.%6.%7.%8"/>
      <w:lvlJc w:val="left"/>
      <w:pPr>
        <w:ind w:left="1440" w:hanging="1440"/>
      </w:pPr>
      <w:rPr>
        <w:rFonts w:hint="eastAsia"/>
      </w:rPr>
    </w:lvl>
    <w:lvl w:ilvl="8" w:tentative="0">
      <w:start w:val="1"/>
      <w:numFmt w:val="decimal"/>
      <w:suff w:val="space"/>
      <w:lvlText w:val="%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Y2U3MGY0ZmY4NmQ5ZjFhZjQ4MjVmZWNmY2YxMTQifQ=="/>
  </w:docVars>
  <w:rsids>
    <w:rsidRoot w:val="59744013"/>
    <w:rsid w:val="00012F7A"/>
    <w:rsid w:val="001525B6"/>
    <w:rsid w:val="00231B5B"/>
    <w:rsid w:val="002C06A4"/>
    <w:rsid w:val="008201C6"/>
    <w:rsid w:val="008C5F60"/>
    <w:rsid w:val="008C7414"/>
    <w:rsid w:val="00A3429A"/>
    <w:rsid w:val="014021FF"/>
    <w:rsid w:val="017D5CD0"/>
    <w:rsid w:val="01C664EF"/>
    <w:rsid w:val="01D5675C"/>
    <w:rsid w:val="02332F74"/>
    <w:rsid w:val="02391D90"/>
    <w:rsid w:val="02DC59B0"/>
    <w:rsid w:val="02EA4363"/>
    <w:rsid w:val="03103BAE"/>
    <w:rsid w:val="03177DA2"/>
    <w:rsid w:val="033B78B3"/>
    <w:rsid w:val="0386200F"/>
    <w:rsid w:val="03B66504"/>
    <w:rsid w:val="03F5700C"/>
    <w:rsid w:val="04162569"/>
    <w:rsid w:val="043C6354"/>
    <w:rsid w:val="04467BEA"/>
    <w:rsid w:val="04666CAC"/>
    <w:rsid w:val="046B692F"/>
    <w:rsid w:val="046E3BBF"/>
    <w:rsid w:val="04792C91"/>
    <w:rsid w:val="048302AB"/>
    <w:rsid w:val="04BD38C2"/>
    <w:rsid w:val="053B274F"/>
    <w:rsid w:val="059C373C"/>
    <w:rsid w:val="05C84C14"/>
    <w:rsid w:val="05EE314E"/>
    <w:rsid w:val="060B6FA9"/>
    <w:rsid w:val="06345BBB"/>
    <w:rsid w:val="06420522"/>
    <w:rsid w:val="066940D3"/>
    <w:rsid w:val="06CB5A95"/>
    <w:rsid w:val="06E33EC7"/>
    <w:rsid w:val="06F00351"/>
    <w:rsid w:val="074C2CB3"/>
    <w:rsid w:val="075C69CC"/>
    <w:rsid w:val="077147B1"/>
    <w:rsid w:val="083976FA"/>
    <w:rsid w:val="084560A8"/>
    <w:rsid w:val="08664D49"/>
    <w:rsid w:val="08904039"/>
    <w:rsid w:val="09135DCA"/>
    <w:rsid w:val="09710286"/>
    <w:rsid w:val="098450EC"/>
    <w:rsid w:val="09B94BC9"/>
    <w:rsid w:val="09BC63DC"/>
    <w:rsid w:val="09CA2D09"/>
    <w:rsid w:val="09E04B47"/>
    <w:rsid w:val="0A314FFA"/>
    <w:rsid w:val="0A48220A"/>
    <w:rsid w:val="0A5C7676"/>
    <w:rsid w:val="0A735578"/>
    <w:rsid w:val="0A8B37F3"/>
    <w:rsid w:val="0ADB6B62"/>
    <w:rsid w:val="0B631455"/>
    <w:rsid w:val="0B8429AC"/>
    <w:rsid w:val="0BCA1543"/>
    <w:rsid w:val="0BEC538A"/>
    <w:rsid w:val="0C421CC7"/>
    <w:rsid w:val="0C462A3C"/>
    <w:rsid w:val="0C7E4044"/>
    <w:rsid w:val="0C7E718C"/>
    <w:rsid w:val="0D170517"/>
    <w:rsid w:val="0D336D28"/>
    <w:rsid w:val="0D35123B"/>
    <w:rsid w:val="0D502F38"/>
    <w:rsid w:val="0DB17D41"/>
    <w:rsid w:val="0DD17656"/>
    <w:rsid w:val="0E576B35"/>
    <w:rsid w:val="0E7134B6"/>
    <w:rsid w:val="0E8A2ED7"/>
    <w:rsid w:val="0EB652E9"/>
    <w:rsid w:val="0ED76ECF"/>
    <w:rsid w:val="0F2A2DC5"/>
    <w:rsid w:val="0F58030C"/>
    <w:rsid w:val="0F884D12"/>
    <w:rsid w:val="0FA7267C"/>
    <w:rsid w:val="10056609"/>
    <w:rsid w:val="102D3FF1"/>
    <w:rsid w:val="108F1ABB"/>
    <w:rsid w:val="10D44D47"/>
    <w:rsid w:val="10FA592E"/>
    <w:rsid w:val="115314C0"/>
    <w:rsid w:val="11785F8B"/>
    <w:rsid w:val="117C5B13"/>
    <w:rsid w:val="11852469"/>
    <w:rsid w:val="11C12C43"/>
    <w:rsid w:val="12B07E32"/>
    <w:rsid w:val="13143C4F"/>
    <w:rsid w:val="13250FB0"/>
    <w:rsid w:val="133665D9"/>
    <w:rsid w:val="13426006"/>
    <w:rsid w:val="137D5290"/>
    <w:rsid w:val="13D03611"/>
    <w:rsid w:val="1424395D"/>
    <w:rsid w:val="14594666"/>
    <w:rsid w:val="15287943"/>
    <w:rsid w:val="1538749C"/>
    <w:rsid w:val="15464809"/>
    <w:rsid w:val="155669EC"/>
    <w:rsid w:val="15584F70"/>
    <w:rsid w:val="15A35944"/>
    <w:rsid w:val="15CE1DD3"/>
    <w:rsid w:val="15DA2833"/>
    <w:rsid w:val="15DB0A63"/>
    <w:rsid w:val="1637606D"/>
    <w:rsid w:val="163A6938"/>
    <w:rsid w:val="16491EEA"/>
    <w:rsid w:val="169B0554"/>
    <w:rsid w:val="175979F0"/>
    <w:rsid w:val="17D35D21"/>
    <w:rsid w:val="18372678"/>
    <w:rsid w:val="183C16C8"/>
    <w:rsid w:val="18A85016"/>
    <w:rsid w:val="18AD10E5"/>
    <w:rsid w:val="194A6D83"/>
    <w:rsid w:val="194F78B9"/>
    <w:rsid w:val="1996237E"/>
    <w:rsid w:val="19DB4ABE"/>
    <w:rsid w:val="19E72059"/>
    <w:rsid w:val="1A717BD4"/>
    <w:rsid w:val="1A7E2B15"/>
    <w:rsid w:val="1A954ECE"/>
    <w:rsid w:val="1B48750D"/>
    <w:rsid w:val="1B7E0DBC"/>
    <w:rsid w:val="1B8A62D5"/>
    <w:rsid w:val="1B9E0192"/>
    <w:rsid w:val="1BA92FE3"/>
    <w:rsid w:val="1BB838E6"/>
    <w:rsid w:val="1C0E2269"/>
    <w:rsid w:val="1C2E550C"/>
    <w:rsid w:val="1C493CE1"/>
    <w:rsid w:val="1CCB6E26"/>
    <w:rsid w:val="1CFE1B57"/>
    <w:rsid w:val="1D270A2C"/>
    <w:rsid w:val="1D9409BC"/>
    <w:rsid w:val="1DAA2EFB"/>
    <w:rsid w:val="1DAE0F94"/>
    <w:rsid w:val="1DAF59D9"/>
    <w:rsid w:val="1DB26E61"/>
    <w:rsid w:val="1E423F1D"/>
    <w:rsid w:val="1E4737D4"/>
    <w:rsid w:val="1E481C5F"/>
    <w:rsid w:val="1E6935FB"/>
    <w:rsid w:val="1E7410D8"/>
    <w:rsid w:val="1E976E10"/>
    <w:rsid w:val="1EC73863"/>
    <w:rsid w:val="1EFB31FF"/>
    <w:rsid w:val="1F126007"/>
    <w:rsid w:val="1F2F398C"/>
    <w:rsid w:val="1F3E08D9"/>
    <w:rsid w:val="1FA96EE8"/>
    <w:rsid w:val="1FC826D4"/>
    <w:rsid w:val="1FE43C10"/>
    <w:rsid w:val="20085831"/>
    <w:rsid w:val="20454830"/>
    <w:rsid w:val="204617B2"/>
    <w:rsid w:val="207258E4"/>
    <w:rsid w:val="208C3627"/>
    <w:rsid w:val="20970180"/>
    <w:rsid w:val="20F95342"/>
    <w:rsid w:val="21384E1D"/>
    <w:rsid w:val="214221A0"/>
    <w:rsid w:val="21580061"/>
    <w:rsid w:val="21831372"/>
    <w:rsid w:val="218D548A"/>
    <w:rsid w:val="21B05C47"/>
    <w:rsid w:val="22585D92"/>
    <w:rsid w:val="225D3BF3"/>
    <w:rsid w:val="226809CE"/>
    <w:rsid w:val="22745AB0"/>
    <w:rsid w:val="22833F45"/>
    <w:rsid w:val="22F06E95"/>
    <w:rsid w:val="233B63E4"/>
    <w:rsid w:val="23690EFA"/>
    <w:rsid w:val="237C10C0"/>
    <w:rsid w:val="23D163DE"/>
    <w:rsid w:val="23D50208"/>
    <w:rsid w:val="249C6AA1"/>
    <w:rsid w:val="24C30629"/>
    <w:rsid w:val="24E46337"/>
    <w:rsid w:val="25162E4E"/>
    <w:rsid w:val="251F61A7"/>
    <w:rsid w:val="2536630A"/>
    <w:rsid w:val="254A6E02"/>
    <w:rsid w:val="2557083A"/>
    <w:rsid w:val="25840839"/>
    <w:rsid w:val="258E75EF"/>
    <w:rsid w:val="25C302F7"/>
    <w:rsid w:val="25F30CBD"/>
    <w:rsid w:val="26025181"/>
    <w:rsid w:val="26412A64"/>
    <w:rsid w:val="26824C7A"/>
    <w:rsid w:val="26853745"/>
    <w:rsid w:val="26E55BCF"/>
    <w:rsid w:val="2726292C"/>
    <w:rsid w:val="27AB3411"/>
    <w:rsid w:val="27BA6BDA"/>
    <w:rsid w:val="27BF7F28"/>
    <w:rsid w:val="281844C7"/>
    <w:rsid w:val="2835234F"/>
    <w:rsid w:val="284C6509"/>
    <w:rsid w:val="288353AD"/>
    <w:rsid w:val="28DA3C87"/>
    <w:rsid w:val="29333523"/>
    <w:rsid w:val="294E49AE"/>
    <w:rsid w:val="29D945FA"/>
    <w:rsid w:val="29D953B7"/>
    <w:rsid w:val="29ED5B0B"/>
    <w:rsid w:val="2A223F7D"/>
    <w:rsid w:val="2A554419"/>
    <w:rsid w:val="2A7168CE"/>
    <w:rsid w:val="2A737539"/>
    <w:rsid w:val="2AB71773"/>
    <w:rsid w:val="2AF47FC3"/>
    <w:rsid w:val="2B593A95"/>
    <w:rsid w:val="2B873B84"/>
    <w:rsid w:val="2B895AF7"/>
    <w:rsid w:val="2B9810D6"/>
    <w:rsid w:val="2BFE65F4"/>
    <w:rsid w:val="2C7B08E4"/>
    <w:rsid w:val="2CF772CF"/>
    <w:rsid w:val="2D133D7F"/>
    <w:rsid w:val="2D19172E"/>
    <w:rsid w:val="2D297862"/>
    <w:rsid w:val="2D512810"/>
    <w:rsid w:val="2D6852D9"/>
    <w:rsid w:val="2DDC10C5"/>
    <w:rsid w:val="2F096E91"/>
    <w:rsid w:val="2F6C1E88"/>
    <w:rsid w:val="2FB40A42"/>
    <w:rsid w:val="2FC73280"/>
    <w:rsid w:val="2FCF522B"/>
    <w:rsid w:val="30185CCC"/>
    <w:rsid w:val="301B6385"/>
    <w:rsid w:val="30311084"/>
    <w:rsid w:val="30F2476F"/>
    <w:rsid w:val="30FE2EAC"/>
    <w:rsid w:val="312B2CC1"/>
    <w:rsid w:val="314B0324"/>
    <w:rsid w:val="315439A2"/>
    <w:rsid w:val="315C1424"/>
    <w:rsid w:val="31607015"/>
    <w:rsid w:val="32195370"/>
    <w:rsid w:val="32263868"/>
    <w:rsid w:val="3257640C"/>
    <w:rsid w:val="329A267C"/>
    <w:rsid w:val="32DD07DC"/>
    <w:rsid w:val="3304377F"/>
    <w:rsid w:val="33386686"/>
    <w:rsid w:val="33533981"/>
    <w:rsid w:val="33F173AF"/>
    <w:rsid w:val="34283B7B"/>
    <w:rsid w:val="34323F9A"/>
    <w:rsid w:val="348B4C3D"/>
    <w:rsid w:val="34B23C40"/>
    <w:rsid w:val="35123632"/>
    <w:rsid w:val="3538471B"/>
    <w:rsid w:val="35F40F8A"/>
    <w:rsid w:val="36054F45"/>
    <w:rsid w:val="362E4652"/>
    <w:rsid w:val="365544BB"/>
    <w:rsid w:val="367C4B66"/>
    <w:rsid w:val="36B233B3"/>
    <w:rsid w:val="36B60D3C"/>
    <w:rsid w:val="3729246B"/>
    <w:rsid w:val="3767221E"/>
    <w:rsid w:val="376F0C8B"/>
    <w:rsid w:val="38444A32"/>
    <w:rsid w:val="38517C12"/>
    <w:rsid w:val="38520166"/>
    <w:rsid w:val="389918B8"/>
    <w:rsid w:val="38CB59A6"/>
    <w:rsid w:val="38D13246"/>
    <w:rsid w:val="38DD5D05"/>
    <w:rsid w:val="38E64544"/>
    <w:rsid w:val="392E5A3C"/>
    <w:rsid w:val="393671C3"/>
    <w:rsid w:val="395E69D4"/>
    <w:rsid w:val="396C16B7"/>
    <w:rsid w:val="399E71E0"/>
    <w:rsid w:val="39BC3B6C"/>
    <w:rsid w:val="39C74A82"/>
    <w:rsid w:val="3A7D6C2A"/>
    <w:rsid w:val="3A89480A"/>
    <w:rsid w:val="3AA77902"/>
    <w:rsid w:val="3AB36D44"/>
    <w:rsid w:val="3AB818D1"/>
    <w:rsid w:val="3ABB0191"/>
    <w:rsid w:val="3AC87A86"/>
    <w:rsid w:val="3AD33476"/>
    <w:rsid w:val="3B4C1E76"/>
    <w:rsid w:val="3B783AC3"/>
    <w:rsid w:val="3BD916CB"/>
    <w:rsid w:val="3BF75330"/>
    <w:rsid w:val="3C6A0477"/>
    <w:rsid w:val="3C9865EC"/>
    <w:rsid w:val="3D272932"/>
    <w:rsid w:val="3D3664DD"/>
    <w:rsid w:val="3D3812E9"/>
    <w:rsid w:val="3DA00EAE"/>
    <w:rsid w:val="3DAC7926"/>
    <w:rsid w:val="3DD34016"/>
    <w:rsid w:val="3DFA7484"/>
    <w:rsid w:val="3E215A7B"/>
    <w:rsid w:val="3E49179F"/>
    <w:rsid w:val="3E7B5E43"/>
    <w:rsid w:val="3F55678C"/>
    <w:rsid w:val="3F6D5DD8"/>
    <w:rsid w:val="3FD36098"/>
    <w:rsid w:val="3FD6525C"/>
    <w:rsid w:val="3FE50536"/>
    <w:rsid w:val="40291FEB"/>
    <w:rsid w:val="404D769D"/>
    <w:rsid w:val="40786313"/>
    <w:rsid w:val="40B44DD5"/>
    <w:rsid w:val="40C67CA9"/>
    <w:rsid w:val="413F4150"/>
    <w:rsid w:val="41B31F77"/>
    <w:rsid w:val="41BB6175"/>
    <w:rsid w:val="41D207F7"/>
    <w:rsid w:val="41F54E7E"/>
    <w:rsid w:val="42196050"/>
    <w:rsid w:val="421D37F9"/>
    <w:rsid w:val="42972733"/>
    <w:rsid w:val="42C51E7E"/>
    <w:rsid w:val="430420E0"/>
    <w:rsid w:val="43046BE3"/>
    <w:rsid w:val="43F1416C"/>
    <w:rsid w:val="43F93057"/>
    <w:rsid w:val="43FA76C0"/>
    <w:rsid w:val="4419566F"/>
    <w:rsid w:val="443F63D9"/>
    <w:rsid w:val="45476BA1"/>
    <w:rsid w:val="45505AB1"/>
    <w:rsid w:val="4581787C"/>
    <w:rsid w:val="458539AC"/>
    <w:rsid w:val="45A21B82"/>
    <w:rsid w:val="45D062E4"/>
    <w:rsid w:val="45F2762F"/>
    <w:rsid w:val="46080C83"/>
    <w:rsid w:val="46884AC8"/>
    <w:rsid w:val="46DA1AD6"/>
    <w:rsid w:val="470067F3"/>
    <w:rsid w:val="470C5E2C"/>
    <w:rsid w:val="47347547"/>
    <w:rsid w:val="473A4C06"/>
    <w:rsid w:val="475F2682"/>
    <w:rsid w:val="47EF3A41"/>
    <w:rsid w:val="484A2C8B"/>
    <w:rsid w:val="486637E6"/>
    <w:rsid w:val="48DD0799"/>
    <w:rsid w:val="48FF4E01"/>
    <w:rsid w:val="49262DB0"/>
    <w:rsid w:val="49353AF4"/>
    <w:rsid w:val="49594145"/>
    <w:rsid w:val="4998569A"/>
    <w:rsid w:val="49990ADD"/>
    <w:rsid w:val="4A194400"/>
    <w:rsid w:val="4A4D25BF"/>
    <w:rsid w:val="4A5251D9"/>
    <w:rsid w:val="4AC7092A"/>
    <w:rsid w:val="4B0A7CB9"/>
    <w:rsid w:val="4B505A86"/>
    <w:rsid w:val="4B582341"/>
    <w:rsid w:val="4BF519DD"/>
    <w:rsid w:val="4C070A98"/>
    <w:rsid w:val="4C59131E"/>
    <w:rsid w:val="4C702411"/>
    <w:rsid w:val="4C863FF4"/>
    <w:rsid w:val="4CA66B82"/>
    <w:rsid w:val="4CC22802"/>
    <w:rsid w:val="4CE335BA"/>
    <w:rsid w:val="4D385B19"/>
    <w:rsid w:val="4D5D7DD5"/>
    <w:rsid w:val="4DEB2C5E"/>
    <w:rsid w:val="4E3A346E"/>
    <w:rsid w:val="4E434405"/>
    <w:rsid w:val="4EDC6E53"/>
    <w:rsid w:val="4F680150"/>
    <w:rsid w:val="50B500CA"/>
    <w:rsid w:val="50D61560"/>
    <w:rsid w:val="513E0EB3"/>
    <w:rsid w:val="5265763C"/>
    <w:rsid w:val="52674CEC"/>
    <w:rsid w:val="52A450E3"/>
    <w:rsid w:val="52A64F62"/>
    <w:rsid w:val="52AD50FC"/>
    <w:rsid w:val="52CC46D6"/>
    <w:rsid w:val="53371B9F"/>
    <w:rsid w:val="53400F13"/>
    <w:rsid w:val="53837613"/>
    <w:rsid w:val="53CF2D03"/>
    <w:rsid w:val="5408144B"/>
    <w:rsid w:val="544E2479"/>
    <w:rsid w:val="554750CA"/>
    <w:rsid w:val="558E5019"/>
    <w:rsid w:val="55942E6E"/>
    <w:rsid w:val="55ED1470"/>
    <w:rsid w:val="55F37482"/>
    <w:rsid w:val="560B7B26"/>
    <w:rsid w:val="56222B52"/>
    <w:rsid w:val="564936B4"/>
    <w:rsid w:val="57301521"/>
    <w:rsid w:val="573718FE"/>
    <w:rsid w:val="574B681C"/>
    <w:rsid w:val="577F30F6"/>
    <w:rsid w:val="5853604F"/>
    <w:rsid w:val="585B7E33"/>
    <w:rsid w:val="58D5034F"/>
    <w:rsid w:val="59515728"/>
    <w:rsid w:val="59744013"/>
    <w:rsid w:val="59B81BCF"/>
    <w:rsid w:val="59CF5DD5"/>
    <w:rsid w:val="5A376592"/>
    <w:rsid w:val="5A47527D"/>
    <w:rsid w:val="5B505CE1"/>
    <w:rsid w:val="5B751021"/>
    <w:rsid w:val="5BED4129"/>
    <w:rsid w:val="5C4946BC"/>
    <w:rsid w:val="5CE83845"/>
    <w:rsid w:val="5D3B1CEA"/>
    <w:rsid w:val="5D6965E7"/>
    <w:rsid w:val="5D721F9A"/>
    <w:rsid w:val="5DA422EC"/>
    <w:rsid w:val="5E344E82"/>
    <w:rsid w:val="5E6E4E69"/>
    <w:rsid w:val="5E802B0B"/>
    <w:rsid w:val="5E9A289E"/>
    <w:rsid w:val="5F291E6A"/>
    <w:rsid w:val="5FB2252C"/>
    <w:rsid w:val="5FDA0B97"/>
    <w:rsid w:val="601A0A51"/>
    <w:rsid w:val="60206354"/>
    <w:rsid w:val="607B6FD9"/>
    <w:rsid w:val="608672F7"/>
    <w:rsid w:val="60B1732A"/>
    <w:rsid w:val="60B926A8"/>
    <w:rsid w:val="60FD4FB0"/>
    <w:rsid w:val="611759BC"/>
    <w:rsid w:val="61455626"/>
    <w:rsid w:val="61523CA7"/>
    <w:rsid w:val="622A675E"/>
    <w:rsid w:val="6235708F"/>
    <w:rsid w:val="62770C9F"/>
    <w:rsid w:val="629F0EE6"/>
    <w:rsid w:val="63620F5A"/>
    <w:rsid w:val="63FA776A"/>
    <w:rsid w:val="64290F2C"/>
    <w:rsid w:val="64433C05"/>
    <w:rsid w:val="650B61B6"/>
    <w:rsid w:val="65110961"/>
    <w:rsid w:val="65206DF6"/>
    <w:rsid w:val="652167FA"/>
    <w:rsid w:val="654A03EF"/>
    <w:rsid w:val="65642D7E"/>
    <w:rsid w:val="657045EE"/>
    <w:rsid w:val="658F4122"/>
    <w:rsid w:val="65B75B1D"/>
    <w:rsid w:val="65BF778A"/>
    <w:rsid w:val="65F14168"/>
    <w:rsid w:val="6631751B"/>
    <w:rsid w:val="66393280"/>
    <w:rsid w:val="664F7894"/>
    <w:rsid w:val="6674153C"/>
    <w:rsid w:val="667B6DE0"/>
    <w:rsid w:val="66B5181B"/>
    <w:rsid w:val="66B90807"/>
    <w:rsid w:val="66E71307"/>
    <w:rsid w:val="66E87AB8"/>
    <w:rsid w:val="676002E5"/>
    <w:rsid w:val="67A07535"/>
    <w:rsid w:val="67B820EB"/>
    <w:rsid w:val="68006BB1"/>
    <w:rsid w:val="68246BFD"/>
    <w:rsid w:val="683629F3"/>
    <w:rsid w:val="686806A5"/>
    <w:rsid w:val="6899745D"/>
    <w:rsid w:val="689C0E18"/>
    <w:rsid w:val="69210726"/>
    <w:rsid w:val="69410F5B"/>
    <w:rsid w:val="69750D65"/>
    <w:rsid w:val="69B760D8"/>
    <w:rsid w:val="69CD4C83"/>
    <w:rsid w:val="69D97BBF"/>
    <w:rsid w:val="69E4216D"/>
    <w:rsid w:val="6A3B3158"/>
    <w:rsid w:val="6A5169D6"/>
    <w:rsid w:val="6A704449"/>
    <w:rsid w:val="6A894859"/>
    <w:rsid w:val="6A9A4F55"/>
    <w:rsid w:val="6B3453A9"/>
    <w:rsid w:val="6B785EAD"/>
    <w:rsid w:val="6B82544F"/>
    <w:rsid w:val="6B9936F4"/>
    <w:rsid w:val="6B9E312D"/>
    <w:rsid w:val="6BBF2CB3"/>
    <w:rsid w:val="6C2440E9"/>
    <w:rsid w:val="6C5268E5"/>
    <w:rsid w:val="6C8E0AE9"/>
    <w:rsid w:val="6CA67E59"/>
    <w:rsid w:val="6CBD6780"/>
    <w:rsid w:val="6D045F6E"/>
    <w:rsid w:val="6D891FA5"/>
    <w:rsid w:val="6DA3777B"/>
    <w:rsid w:val="6DE1645F"/>
    <w:rsid w:val="6E005A16"/>
    <w:rsid w:val="6E2A7F73"/>
    <w:rsid w:val="6E331A32"/>
    <w:rsid w:val="6E881C94"/>
    <w:rsid w:val="6EA42775"/>
    <w:rsid w:val="6EC82EAB"/>
    <w:rsid w:val="6EDD49A4"/>
    <w:rsid w:val="6EE14F30"/>
    <w:rsid w:val="6F5F27C4"/>
    <w:rsid w:val="6F6237CB"/>
    <w:rsid w:val="6FC4454B"/>
    <w:rsid w:val="6FD67341"/>
    <w:rsid w:val="6FF32445"/>
    <w:rsid w:val="70601E5F"/>
    <w:rsid w:val="70A7640E"/>
    <w:rsid w:val="70D57200"/>
    <w:rsid w:val="70E26D95"/>
    <w:rsid w:val="70EF0F9D"/>
    <w:rsid w:val="7137174F"/>
    <w:rsid w:val="715F21AA"/>
    <w:rsid w:val="716E449A"/>
    <w:rsid w:val="71CD298B"/>
    <w:rsid w:val="727535CD"/>
    <w:rsid w:val="72780E8D"/>
    <w:rsid w:val="729442CE"/>
    <w:rsid w:val="72CC754C"/>
    <w:rsid w:val="72EE6522"/>
    <w:rsid w:val="73015CC9"/>
    <w:rsid w:val="731E2BC7"/>
    <w:rsid w:val="73397AFA"/>
    <w:rsid w:val="733D6697"/>
    <w:rsid w:val="735E1215"/>
    <w:rsid w:val="74324450"/>
    <w:rsid w:val="748D2B05"/>
    <w:rsid w:val="74A215D5"/>
    <w:rsid w:val="75015B7F"/>
    <w:rsid w:val="751C6422"/>
    <w:rsid w:val="75303AAA"/>
    <w:rsid w:val="75373573"/>
    <w:rsid w:val="753D428C"/>
    <w:rsid w:val="75664820"/>
    <w:rsid w:val="758846D4"/>
    <w:rsid w:val="758F4416"/>
    <w:rsid w:val="75A04A75"/>
    <w:rsid w:val="76032820"/>
    <w:rsid w:val="76464DAE"/>
    <w:rsid w:val="764C7A4B"/>
    <w:rsid w:val="7662101C"/>
    <w:rsid w:val="76684B49"/>
    <w:rsid w:val="769076F2"/>
    <w:rsid w:val="76EB7F54"/>
    <w:rsid w:val="771A29C0"/>
    <w:rsid w:val="777C4360"/>
    <w:rsid w:val="77957490"/>
    <w:rsid w:val="77BB3E94"/>
    <w:rsid w:val="7858261A"/>
    <w:rsid w:val="786F5D7A"/>
    <w:rsid w:val="78A70F68"/>
    <w:rsid w:val="78BB2C66"/>
    <w:rsid w:val="78BB602D"/>
    <w:rsid w:val="79390690"/>
    <w:rsid w:val="798D0B47"/>
    <w:rsid w:val="798D106E"/>
    <w:rsid w:val="79E60647"/>
    <w:rsid w:val="7A3A6920"/>
    <w:rsid w:val="7A7F0F08"/>
    <w:rsid w:val="7AA30A4D"/>
    <w:rsid w:val="7AD1548B"/>
    <w:rsid w:val="7AD65B35"/>
    <w:rsid w:val="7AE33DC7"/>
    <w:rsid w:val="7AF61C21"/>
    <w:rsid w:val="7B452CBB"/>
    <w:rsid w:val="7BDF310F"/>
    <w:rsid w:val="7BE44D35"/>
    <w:rsid w:val="7C256CF4"/>
    <w:rsid w:val="7C332982"/>
    <w:rsid w:val="7C7729DA"/>
    <w:rsid w:val="7C922C5C"/>
    <w:rsid w:val="7CC869E7"/>
    <w:rsid w:val="7D357821"/>
    <w:rsid w:val="7D3A315F"/>
    <w:rsid w:val="7D3E79C1"/>
    <w:rsid w:val="7D6B1540"/>
    <w:rsid w:val="7D7825F0"/>
    <w:rsid w:val="7D92707F"/>
    <w:rsid w:val="7DF53624"/>
    <w:rsid w:val="7DF82266"/>
    <w:rsid w:val="7E1F3C97"/>
    <w:rsid w:val="7E884F5A"/>
    <w:rsid w:val="7EB40DB1"/>
    <w:rsid w:val="7ECF4E82"/>
    <w:rsid w:val="7F621CA1"/>
    <w:rsid w:val="7F627EAB"/>
    <w:rsid w:val="7F8B7AF3"/>
    <w:rsid w:val="7F8D2EF9"/>
    <w:rsid w:val="7F8D608D"/>
    <w:rsid w:val="7FEEDB09"/>
    <w:rsid w:val="7FF21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32"/>
      <w:szCs w:val="20"/>
    </w:rPr>
  </w:style>
  <w:style w:type="paragraph" w:styleId="4">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paragraph" w:styleId="5">
    <w:name w:val="heading 3"/>
    <w:basedOn w:val="1"/>
    <w:next w:val="1"/>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8"/>
    <w:qFormat/>
    <w:uiPriority w:val="0"/>
    <w:pPr>
      <w:keepNext/>
      <w:keepLines/>
      <w:spacing w:before="240" w:after="64" w:line="316" w:lineRule="auto"/>
      <w:outlineLvl w:val="5"/>
    </w:pPr>
    <w:rPr>
      <w:rFonts w:ascii="Arial" w:hAnsi="Arial" w:eastAsia="黑体"/>
      <w:b/>
      <w:sz w:val="24"/>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8">
    <w:name w:val="Normal Indent"/>
    <w:basedOn w:val="1"/>
    <w:qFormat/>
    <w:uiPriority w:val="0"/>
    <w:pPr>
      <w:ind w:firstLine="420"/>
    </w:pPr>
    <w:rPr>
      <w:szCs w:val="20"/>
    </w:rPr>
  </w:style>
  <w:style w:type="paragraph" w:styleId="9">
    <w:name w:val="annotation text"/>
    <w:basedOn w:val="1"/>
    <w:qFormat/>
    <w:uiPriority w:val="0"/>
    <w:pPr>
      <w:jc w:val="left"/>
    </w:pPr>
  </w:style>
  <w:style w:type="paragraph" w:styleId="10">
    <w:name w:val="Body Text 3"/>
    <w:basedOn w:val="1"/>
    <w:unhideWhenUsed/>
    <w:qFormat/>
    <w:uiPriority w:val="99"/>
    <w:pPr>
      <w:spacing w:after="120"/>
    </w:pPr>
    <w:rPr>
      <w:rFonts w:ascii="Cambria" w:hAnsi="Cambria" w:eastAsia="宋体"/>
      <w:sz w:val="16"/>
      <w:szCs w:val="16"/>
    </w:rPr>
  </w:style>
  <w:style w:type="paragraph" w:styleId="11">
    <w:name w:val="Body Text Indent"/>
    <w:basedOn w:val="1"/>
    <w:qFormat/>
    <w:uiPriority w:val="0"/>
    <w:pPr>
      <w:ind w:firstLine="630"/>
    </w:pPr>
    <w:rPr>
      <w:sz w:val="32"/>
      <w:szCs w:val="20"/>
    </w:rPr>
  </w:style>
  <w:style w:type="paragraph" w:styleId="12">
    <w:name w:val="Plain Text"/>
    <w:basedOn w:val="1"/>
    <w:qFormat/>
    <w:uiPriority w:val="0"/>
    <w:rPr>
      <w:rFonts w:ascii="宋体" w:hAnsi="Courier New" w:cs="Courier New"/>
      <w:szCs w:val="21"/>
    </w:rPr>
  </w:style>
  <w:style w:type="paragraph" w:styleId="13">
    <w:name w:val="Body Text Indent 2"/>
    <w:basedOn w:val="1"/>
    <w:qFormat/>
    <w:uiPriority w:val="0"/>
    <w:pPr>
      <w:ind w:firstLine="630"/>
    </w:pPr>
    <w:rPr>
      <w:sz w:val="32"/>
      <w:szCs w:val="20"/>
    </w:rPr>
  </w:style>
  <w:style w:type="paragraph" w:styleId="14">
    <w:name w:val="footer"/>
    <w:basedOn w:val="1"/>
    <w:qFormat/>
    <w:uiPriority w:val="0"/>
    <w:pPr>
      <w:tabs>
        <w:tab w:val="center" w:pos="4153"/>
        <w:tab w:val="right" w:pos="8306"/>
      </w:tabs>
      <w:snapToGrid w:val="0"/>
      <w:jc w:val="left"/>
    </w:pPr>
    <w:rPr>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6">
    <w:name w:val="toc 1"/>
    <w:basedOn w:val="1"/>
    <w:next w:val="1"/>
    <w:qFormat/>
    <w:uiPriority w:val="39"/>
  </w:style>
  <w:style w:type="paragraph" w:styleId="17">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8">
    <w:name w:val="toc 2"/>
    <w:basedOn w:val="1"/>
    <w:next w:val="1"/>
    <w:qFormat/>
    <w:uiPriority w:val="39"/>
    <w:pPr>
      <w:ind w:left="420" w:leftChars="200"/>
    </w:pPr>
  </w:style>
  <w:style w:type="paragraph" w:styleId="19">
    <w:name w:val="Body Text 2"/>
    <w:basedOn w:val="1"/>
    <w:qFormat/>
    <w:uiPriority w:val="0"/>
    <w:pPr>
      <w:spacing w:after="120" w:line="480" w:lineRule="auto"/>
    </w:pPr>
    <w:rPr>
      <w:sz w:val="21"/>
    </w:rPr>
  </w:style>
  <w:style w:type="paragraph" w:styleId="20">
    <w:name w:val="Normal (Web)"/>
    <w:basedOn w:val="1"/>
    <w:qFormat/>
    <w:uiPriority w:val="99"/>
    <w:pPr>
      <w:widowControl/>
      <w:spacing w:before="100" w:beforeAutospacing="1" w:after="100" w:afterAutospacing="1"/>
      <w:jc w:val="left"/>
    </w:pPr>
    <w:rPr>
      <w:rFonts w:ascii="宋体" w:hAnsi="宋体"/>
      <w:kern w:val="0"/>
      <w:sz w:val="18"/>
      <w:szCs w:val="18"/>
    </w:rPr>
  </w:style>
  <w:style w:type="paragraph" w:styleId="21">
    <w:name w:val="Body Text First Indent"/>
    <w:basedOn w:val="2"/>
    <w:qFormat/>
    <w:uiPriority w:val="0"/>
    <w:pPr>
      <w:spacing w:after="120"/>
      <w:ind w:right="0" w:rightChars="0" w:firstLine="420" w:firstLineChars="100"/>
      <w:jc w:val="both"/>
    </w:pPr>
    <w:rPr>
      <w:szCs w:val="20"/>
    </w:rPr>
  </w:style>
  <w:style w:type="paragraph" w:styleId="22">
    <w:name w:val="Body Text First Indent 2"/>
    <w:basedOn w:val="11"/>
    <w:next w:val="2"/>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annotation reference"/>
    <w:basedOn w:val="25"/>
    <w:qFormat/>
    <w:uiPriority w:val="0"/>
    <w:rPr>
      <w:sz w:val="21"/>
      <w:szCs w:val="21"/>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p0"/>
    <w:basedOn w:val="1"/>
    <w:qFormat/>
    <w:uiPriority w:val="0"/>
    <w:pPr>
      <w:widowControl/>
    </w:pPr>
    <w:rPr>
      <w:kern w:val="0"/>
      <w:szCs w:val="21"/>
    </w:rPr>
  </w:style>
  <w:style w:type="paragraph" w:customStyle="1" w:styleId="30">
    <w:name w:val="列出段落1"/>
    <w:basedOn w:val="1"/>
    <w:qFormat/>
    <w:uiPriority w:val="0"/>
    <w:pPr>
      <w:spacing w:line="324" w:lineRule="auto"/>
      <w:ind w:firstLine="420" w:firstLineChars="200"/>
    </w:pPr>
    <w:rPr>
      <w:szCs w:val="20"/>
    </w:rPr>
  </w:style>
  <w:style w:type="paragraph" w:customStyle="1" w:styleId="31">
    <w:name w:val="Char1"/>
    <w:basedOn w:val="1"/>
    <w:qFormat/>
    <w:uiPriority w:val="0"/>
    <w:rPr>
      <w:szCs w:val="21"/>
    </w:rPr>
  </w:style>
  <w:style w:type="paragraph" w:customStyle="1" w:styleId="3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3">
    <w:name w:val="msonospacing"/>
    <w:basedOn w:val="1"/>
    <w:qFormat/>
    <w:uiPriority w:val="0"/>
    <w:rPr>
      <w:sz w:val="24"/>
    </w:rPr>
  </w:style>
  <w:style w:type="paragraph" w:customStyle="1" w:styleId="34">
    <w:name w:val="列出段落3"/>
    <w:basedOn w:val="1"/>
    <w:qFormat/>
    <w:uiPriority w:val="0"/>
    <w:pPr>
      <w:ind w:firstLine="420" w:firstLineChars="200"/>
    </w:pPr>
    <w:rPr>
      <w:szCs w:val="21"/>
    </w:rPr>
  </w:style>
  <w:style w:type="paragraph" w:customStyle="1" w:styleId="35">
    <w:name w:val="样式 首行缩进:  2 字符"/>
    <w:basedOn w:val="1"/>
    <w:qFormat/>
    <w:uiPriority w:val="0"/>
    <w:pPr>
      <w:spacing w:line="400" w:lineRule="exact"/>
      <w:ind w:firstLine="200" w:firstLineChars="200"/>
    </w:pPr>
    <w:rPr>
      <w:rFonts w:cs="宋体"/>
    </w:rPr>
  </w:style>
  <w:style w:type="paragraph" w:customStyle="1" w:styleId="36">
    <w:name w:val="目录"/>
    <w:basedOn w:val="1"/>
    <w:qFormat/>
    <w:uiPriority w:val="0"/>
    <w:pPr>
      <w:widowControl/>
      <w:jc w:val="center"/>
    </w:pPr>
    <w:rPr>
      <w:b/>
      <w:sz w:val="36"/>
    </w:rPr>
  </w:style>
  <w:style w:type="paragraph" w:customStyle="1" w:styleId="37">
    <w:name w:val="hik-标题3"/>
    <w:next w:val="38"/>
    <w:qFormat/>
    <w:uiPriority w:val="0"/>
    <w:pPr>
      <w:numPr>
        <w:ilvl w:val="2"/>
        <w:numId w:val="1"/>
      </w:numPr>
      <w:spacing w:line="360" w:lineRule="auto"/>
      <w:outlineLvl w:val="2"/>
    </w:pPr>
    <w:rPr>
      <w:rFonts w:ascii="Times New Roman" w:hAnsi="Times New Roman" w:eastAsia="黑体" w:cs="Times New Roman"/>
      <w:kern w:val="2"/>
      <w:sz w:val="28"/>
      <w:szCs w:val="28"/>
      <w:lang w:val="en-US" w:eastAsia="zh-CN" w:bidi="ar-SA"/>
    </w:rPr>
  </w:style>
  <w:style w:type="paragraph" w:customStyle="1" w:styleId="38">
    <w:name w:val="hik-正文"/>
    <w:basedOn w:val="1"/>
    <w:qFormat/>
    <w:uiPriority w:val="0"/>
    <w:pPr>
      <w:spacing w:line="360" w:lineRule="auto"/>
      <w:ind w:right="210" w:firstLine="425"/>
      <w:jc w:val="left"/>
    </w:pPr>
    <w:rPr>
      <w:rFonts w:ascii="仿宋_GB2312" w:hAnsi="仿宋" w:eastAsia="仿宋_GB2312"/>
      <w:snapToGrid w:val="0"/>
      <w:kern w:val="24"/>
      <w:sz w:val="24"/>
      <w:lang w:val="zh-CN" w:eastAsia="zh-CN"/>
    </w:rPr>
  </w:style>
  <w:style w:type="paragraph" w:styleId="39">
    <w:name w:val="List Paragraph"/>
    <w:basedOn w:val="1"/>
    <w:qFormat/>
    <w:uiPriority w:val="34"/>
    <w:pPr>
      <w:ind w:firstLine="420" w:firstLineChars="200"/>
    </w:pPr>
  </w:style>
  <w:style w:type="paragraph" w:customStyle="1" w:styleId="40">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41">
    <w:name w:val="Table Text"/>
    <w:basedOn w:val="1"/>
    <w:semiHidden/>
    <w:qFormat/>
    <w:uiPriority w:val="0"/>
    <w:rPr>
      <w:rFonts w:ascii="微软雅黑" w:hAnsi="微软雅黑" w:eastAsia="微软雅黑" w:cs="微软雅黑"/>
      <w:sz w:val="16"/>
      <w:szCs w:val="16"/>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138</Pages>
  <Words>10041</Words>
  <Characters>11177</Characters>
  <Lines>0</Lines>
  <Paragraphs>0</Paragraphs>
  <TotalTime>0</TotalTime>
  <ScaleCrop>false</ScaleCrop>
  <LinksUpToDate>false</LinksUpToDate>
  <CharactersWithSpaces>11380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2022-10-27T11:47:00Z</dcterms:created>
  <dc:creator>Adminstor</dc:creator>
  <cp:lastModifiedBy>依文</cp:lastModifiedBy>
  <dcterms:modified xsi:type="dcterms:W3CDTF">2026-09-16T03:30:36Z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317ED7E803284355948A80A2B6F5607C</vt:lpwstr>
  </property>
  <property fmtid="{D5CDD505-2E9C-101B-9397-08002B2CF9AE}" pid="4" name="KSOTemplateDocerSaveRecord">
    <vt:lpwstr>eyJoZGlkIjoiYTU3MjJhZjEyZWViNTljYzNlNzAxMjBmN2U2NThhMGIiLCJ1c2VySWQiOiIyNjEwMDc2MjIifQ==</vt:lpwstr>
  </property>
</Properties>
</file>