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版本号：ZD1326-001／ⅠZSA20260511002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普通国省干线公路工程平安工地建设技术服务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ZD1326-001／ⅠZSA</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普通国省干线公路工程平安工地建设技术服务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ZD1326-001／ⅠZSA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普通国省干线公路工程平安工地建设技术服务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交通运输部及省厅相关文件精神，为解决我省普通国省干线公路建设质量下滑、安全问题突出问题，我局拟在普通国省干线公路建设领域开展平安工地建设技术指导、在建项目安全检查及平安百年品质工程攻关行动，旨在坚持问题和目标导向，开展安全检查及施工技术攻关，提炼推广先进工程安全、技术管理经验及优秀工法，进一步完善有关工程质量安全技术标准，提升我省公路工程质量安全管理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1、企业资质：具备有效的公路工程监理甲级资质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18066587290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采购包1：1,398,400.00元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说明：1.供应商在签订本合同之前，向采购人提交履约保证金人民币为成交价的5%。 2.履约保证金的有效期为供应商承诺的服务期限。 3.履约保证金作为违约金的一部分及用于补偿采购人因供应商不能履行合同义务而蒙受的损失。 4.服务期限结束后，供应商出具项目履约情况报告，采购人通过履约验收合格且无任何争议后，向供应商退还履约保证金（无息）。 5.供应商可以履约担保函的形式交纳履约保证金。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代理机构在参加采购人代理机构遴选中的报价系数确定，为0.75。（最终代理服务费=参照《招标代理服务收费管理暂行办法》（计价格〔2002〕1980）计算后金额*报价系数），由中标单位领取中标通知书前一次付清代理服务费。 开户名称：正大方略工程咨询有限公司 开户银行：西安银行东二环南段支行 账 号：209011580000076430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联系人：杨东华</w:t>
      </w:r>
    </w:p>
    <w:p>
      <w:pPr>
        <w:pStyle w:val="null3"/>
      </w:pPr>
      <w:r>
        <w:rPr>
          <w:rFonts w:ascii="仿宋_GB2312" w:hAnsi="仿宋_GB2312" w:cs="仿宋_GB2312" w:eastAsia="仿宋_GB2312"/>
        </w:rPr>
        <w:t>联系电话：18066587290</w:t>
      </w:r>
    </w:p>
    <w:p>
      <w:pPr>
        <w:pStyle w:val="null3"/>
      </w:pPr>
      <w:r>
        <w:rPr>
          <w:rFonts w:ascii="仿宋_GB2312" w:hAnsi="仿宋_GB2312" w:cs="仿宋_GB2312" w:eastAsia="仿宋_GB2312"/>
        </w:rPr>
        <w:t>地址：西安市雁塔区南二环东段22号（凯森盛世1号）A座27楼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交通运输部及省厅相关文件精神，为解决我省普通国省干线公路建设质量下滑、安全问题突出问题，我局拟在普通国省干线公路建设领域开展平安工地建设技术指导、在建项目安全检查及平安百年品质工程攻关行动，旨在坚持问题和目标导向，开展安全检查及施工技术攻关，提炼推广先进工程安全、技术管理经验及优秀工法，进一步完善有关工程质量安全技术标准，提升我省公路工程质量安全管理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1,398,400.00</w:t>
      </w:r>
    </w:p>
    <w:p>
      <w:pPr>
        <w:pStyle w:val="null3"/>
      </w:pPr>
      <w:r>
        <w:rPr>
          <w:rFonts w:ascii="仿宋_GB2312" w:hAnsi="仿宋_GB2312" w:cs="仿宋_GB2312" w:eastAsia="仿宋_GB2312"/>
        </w:rPr>
        <w:t>采购包最高限价（元）: 1,398,400.00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普通国省干线公路工程平安工地建设技术服务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1,398,400.00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标的名称：普通国省干线公路工程平安工地建设技术服务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w:t>
            </w:r>
            <w:r>
              <w:rPr>
                <w:rFonts w:ascii="仿宋_GB2312" w:hAnsi="仿宋_GB2312" w:cs="仿宋_GB2312" w:eastAsia="仿宋_GB2312"/>
                <w:sz w:val="20"/>
                <w:b/>
              </w:rPr>
              <w:t>服务要求</w:t>
            </w:r>
          </w:p>
          <w:p>
            <w:pPr>
              <w:pStyle w:val="null3"/>
              <w:ind w:firstLine="400"/>
              <w:jc w:val="both"/>
            </w:pPr>
            <w:r>
              <w:rPr>
                <w:rFonts w:ascii="仿宋_GB2312" w:hAnsi="仿宋_GB2312" w:cs="仿宋_GB2312" w:eastAsia="仿宋_GB2312"/>
                <w:sz w:val="20"/>
              </w:rPr>
              <w:t>在普通国省干线公路建设领域开展平安工地建设技术指导</w:t>
            </w:r>
            <w:r>
              <w:rPr>
                <w:rFonts w:ascii="仿宋_GB2312" w:hAnsi="仿宋_GB2312" w:cs="仿宋_GB2312" w:eastAsia="仿宋_GB2312"/>
                <w:sz w:val="20"/>
              </w:rPr>
              <w:t>、</w:t>
            </w:r>
            <w:r>
              <w:rPr>
                <w:rFonts w:ascii="仿宋_GB2312" w:hAnsi="仿宋_GB2312" w:cs="仿宋_GB2312" w:eastAsia="仿宋_GB2312"/>
                <w:sz w:val="20"/>
              </w:rPr>
              <w:t>在建项目安全检查</w:t>
            </w:r>
            <w:r>
              <w:rPr>
                <w:rFonts w:ascii="仿宋_GB2312" w:hAnsi="仿宋_GB2312" w:cs="仿宋_GB2312" w:eastAsia="仿宋_GB2312"/>
                <w:sz w:val="20"/>
              </w:rPr>
              <w:t>及</w:t>
            </w:r>
            <w:r>
              <w:rPr>
                <w:rFonts w:ascii="仿宋_GB2312" w:hAnsi="仿宋_GB2312" w:cs="仿宋_GB2312" w:eastAsia="仿宋_GB2312"/>
                <w:sz w:val="20"/>
              </w:rPr>
              <w:t>平安百年品质工程攻关行动</w:t>
            </w:r>
            <w:r>
              <w:rPr>
                <w:rFonts w:ascii="仿宋_GB2312" w:hAnsi="仿宋_GB2312" w:cs="仿宋_GB2312" w:eastAsia="仿宋_GB2312"/>
                <w:sz w:val="20"/>
              </w:rPr>
              <w:t>,</w:t>
            </w:r>
            <w:r>
              <w:rPr>
                <w:rFonts w:ascii="仿宋_GB2312" w:hAnsi="仿宋_GB2312" w:cs="仿宋_GB2312" w:eastAsia="仿宋_GB2312"/>
                <w:sz w:val="20"/>
              </w:rPr>
              <w:t>编制施工技术指南</w:t>
            </w:r>
            <w:r>
              <w:rPr>
                <w:rFonts w:ascii="仿宋_GB2312" w:hAnsi="仿宋_GB2312" w:cs="仿宋_GB2312" w:eastAsia="仿宋_GB2312"/>
                <w:sz w:val="20"/>
              </w:rPr>
              <w:t>及技术成果总结</w:t>
            </w:r>
            <w:r>
              <w:rPr>
                <w:rFonts w:ascii="仿宋_GB2312" w:hAnsi="仿宋_GB2312" w:cs="仿宋_GB2312" w:eastAsia="仿宋_GB2312"/>
                <w:sz w:val="20"/>
              </w:rPr>
              <w:t>，推广应用先进管理经验、优秀工法，指导在建项目。</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b/>
              </w:rPr>
              <w:t>采购内容</w:t>
            </w:r>
          </w:p>
          <w:p>
            <w:pPr>
              <w:pStyle w:val="null3"/>
              <w:ind w:firstLine="402"/>
              <w:jc w:val="both"/>
            </w:pPr>
            <w:r>
              <w:rPr>
                <w:rFonts w:ascii="仿宋_GB2312" w:hAnsi="仿宋_GB2312" w:cs="仿宋_GB2312" w:eastAsia="仿宋_GB2312"/>
                <w:sz w:val="20"/>
                <w:b/>
              </w:rPr>
              <w:t>（一）总述</w:t>
            </w:r>
          </w:p>
          <w:p>
            <w:pPr>
              <w:pStyle w:val="null3"/>
              <w:ind w:firstLine="400"/>
              <w:jc w:val="both"/>
            </w:pPr>
            <w:r>
              <w:rPr>
                <w:rFonts w:ascii="仿宋_GB2312" w:hAnsi="仿宋_GB2312" w:cs="仿宋_GB2312" w:eastAsia="仿宋_GB2312"/>
                <w:sz w:val="20"/>
              </w:rPr>
              <w:t>按照平安工地建设要求，对在建的</w:t>
            </w:r>
            <w:r>
              <w:rPr>
                <w:rFonts w:ascii="仿宋_GB2312" w:hAnsi="仿宋_GB2312" w:cs="仿宋_GB2312" w:eastAsia="仿宋_GB2312"/>
                <w:sz w:val="20"/>
              </w:rPr>
              <w:t>24</w:t>
            </w:r>
            <w:r>
              <w:rPr>
                <w:rFonts w:ascii="仿宋_GB2312" w:hAnsi="仿宋_GB2312" w:cs="仿宋_GB2312" w:eastAsia="仿宋_GB2312"/>
                <w:sz w:val="20"/>
              </w:rPr>
              <w:t>个项目进行技术指导和安全检查</w:t>
            </w:r>
            <w:r>
              <w:rPr>
                <w:rFonts w:ascii="仿宋_GB2312" w:hAnsi="仿宋_GB2312" w:cs="仿宋_GB2312" w:eastAsia="仿宋_GB2312"/>
                <w:sz w:val="20"/>
              </w:rPr>
              <w:t>，</w:t>
            </w:r>
            <w:r>
              <w:rPr>
                <w:rFonts w:ascii="仿宋_GB2312" w:hAnsi="仿宋_GB2312" w:cs="仿宋_GB2312" w:eastAsia="仿宋_GB2312"/>
                <w:sz w:val="20"/>
              </w:rPr>
              <w:t>并形成检查报告；</w:t>
            </w:r>
            <w:r>
              <w:rPr>
                <w:rFonts w:ascii="仿宋_GB2312" w:hAnsi="仿宋_GB2312" w:cs="仿宋_GB2312" w:eastAsia="仿宋_GB2312"/>
                <w:sz w:val="20"/>
              </w:rPr>
              <w:t>依托具有代表性的</w:t>
            </w:r>
            <w:r>
              <w:rPr>
                <w:rFonts w:ascii="仿宋_GB2312" w:hAnsi="仿宋_GB2312" w:cs="仿宋_GB2312" w:eastAsia="仿宋_GB2312"/>
                <w:sz w:val="20"/>
              </w:rPr>
              <w:t>310</w:t>
            </w:r>
            <w:r>
              <w:rPr>
                <w:rFonts w:ascii="仿宋_GB2312" w:hAnsi="仿宋_GB2312" w:cs="仿宋_GB2312" w:eastAsia="仿宋_GB2312"/>
                <w:sz w:val="20"/>
              </w:rPr>
              <w:t>国道</w:t>
            </w:r>
            <w:r>
              <w:rPr>
                <w:rFonts w:ascii="仿宋_GB2312" w:hAnsi="仿宋_GB2312" w:cs="仿宋_GB2312" w:eastAsia="仿宋_GB2312"/>
                <w:sz w:val="20"/>
              </w:rPr>
              <w:t>眉县青化至渭滨高家镇公路等</w:t>
            </w:r>
            <w:r>
              <w:rPr>
                <w:rFonts w:ascii="仿宋_GB2312" w:hAnsi="仿宋_GB2312" w:cs="仿宋_GB2312" w:eastAsia="仿宋_GB2312"/>
                <w:sz w:val="20"/>
              </w:rPr>
              <w:t>4</w:t>
            </w:r>
            <w:r>
              <w:rPr>
                <w:rFonts w:ascii="仿宋_GB2312" w:hAnsi="仿宋_GB2312" w:cs="仿宋_GB2312" w:eastAsia="仿宋_GB2312"/>
                <w:sz w:val="20"/>
              </w:rPr>
              <w:t>个平安百年品质工程创建示范项目开展技术咨询</w:t>
            </w:r>
            <w:r>
              <w:rPr>
                <w:rFonts w:ascii="仿宋_GB2312" w:hAnsi="仿宋_GB2312" w:cs="仿宋_GB2312" w:eastAsia="仿宋_GB2312"/>
                <w:sz w:val="20"/>
              </w:rPr>
              <w:t>、</w:t>
            </w:r>
            <w:r>
              <w:rPr>
                <w:rFonts w:ascii="仿宋_GB2312" w:hAnsi="仿宋_GB2312" w:cs="仿宋_GB2312" w:eastAsia="仿宋_GB2312"/>
                <w:sz w:val="20"/>
              </w:rPr>
              <w:t>提供项目技术攻关建议书</w:t>
            </w:r>
            <w:r>
              <w:rPr>
                <w:rFonts w:ascii="仿宋_GB2312" w:hAnsi="仿宋_GB2312" w:cs="仿宋_GB2312" w:eastAsia="仿宋_GB2312"/>
                <w:sz w:val="20"/>
              </w:rPr>
              <w:t>、</w:t>
            </w:r>
            <w:r>
              <w:rPr>
                <w:rFonts w:ascii="仿宋_GB2312" w:hAnsi="仿宋_GB2312" w:cs="仿宋_GB2312" w:eastAsia="仿宋_GB2312"/>
                <w:sz w:val="20"/>
              </w:rPr>
              <w:t>撰写技术成果总结报告</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（二）主要工作内容</w:t>
            </w:r>
          </w:p>
          <w:p>
            <w:pPr>
              <w:pStyle w:val="null3"/>
              <w:ind w:firstLine="400"/>
              <w:jc w:val="both"/>
            </w:pPr>
            <w:r>
              <w:rPr>
                <w:rFonts w:ascii="仿宋_GB2312" w:hAnsi="仿宋_GB2312" w:cs="仿宋_GB2312" w:eastAsia="仿宋_GB2312"/>
                <w:sz w:val="20"/>
              </w:rPr>
              <w:t>1.按照平安工地建设要求，对在建的</w:t>
            </w:r>
            <w:r>
              <w:rPr>
                <w:rFonts w:ascii="仿宋_GB2312" w:hAnsi="仿宋_GB2312" w:cs="仿宋_GB2312" w:eastAsia="仿宋_GB2312"/>
                <w:sz w:val="20"/>
              </w:rPr>
              <w:t>24</w:t>
            </w:r>
            <w:r>
              <w:rPr>
                <w:rFonts w:ascii="仿宋_GB2312" w:hAnsi="仿宋_GB2312" w:cs="仿宋_GB2312" w:eastAsia="仿宋_GB2312"/>
                <w:sz w:val="20"/>
              </w:rPr>
              <w:t>个项目进行技术指导和安全检查</w:t>
            </w:r>
            <w:r>
              <w:rPr>
                <w:rFonts w:ascii="仿宋_GB2312" w:hAnsi="仿宋_GB2312" w:cs="仿宋_GB2312" w:eastAsia="仿宋_GB2312"/>
                <w:sz w:val="20"/>
              </w:rPr>
              <w:t>，</w:t>
            </w:r>
            <w:r>
              <w:rPr>
                <w:rFonts w:ascii="仿宋_GB2312" w:hAnsi="仿宋_GB2312" w:cs="仿宋_GB2312" w:eastAsia="仿宋_GB2312"/>
                <w:sz w:val="20"/>
              </w:rPr>
              <w:t>主要内容包括是否按照相关要求落实平安工地建设及在建桥梁质量安全专项行动，发现施工现场存在的安全问题并提出解决办法，对涉及安全的重要施工内容进行技术指导</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依托具有代表性的</w:t>
            </w:r>
            <w:r>
              <w:rPr>
                <w:rFonts w:ascii="仿宋_GB2312" w:hAnsi="仿宋_GB2312" w:cs="仿宋_GB2312" w:eastAsia="仿宋_GB2312"/>
                <w:sz w:val="20"/>
              </w:rPr>
              <w:t>310</w:t>
            </w:r>
            <w:r>
              <w:rPr>
                <w:rFonts w:ascii="仿宋_GB2312" w:hAnsi="仿宋_GB2312" w:cs="仿宋_GB2312" w:eastAsia="仿宋_GB2312"/>
                <w:sz w:val="20"/>
              </w:rPr>
              <w:t>国道</w:t>
            </w:r>
            <w:r>
              <w:rPr>
                <w:rFonts w:ascii="仿宋_GB2312" w:hAnsi="仿宋_GB2312" w:cs="仿宋_GB2312" w:eastAsia="仿宋_GB2312"/>
                <w:sz w:val="20"/>
              </w:rPr>
              <w:t>眉县青化至渭滨高家镇公路</w:t>
            </w:r>
            <w:r>
              <w:rPr>
                <w:rFonts w:ascii="仿宋_GB2312" w:hAnsi="仿宋_GB2312" w:cs="仿宋_GB2312" w:eastAsia="仿宋_GB2312"/>
                <w:sz w:val="20"/>
              </w:rPr>
              <w:t>等</w:t>
            </w:r>
            <w:r>
              <w:rPr>
                <w:rFonts w:ascii="仿宋_GB2312" w:hAnsi="仿宋_GB2312" w:cs="仿宋_GB2312" w:eastAsia="仿宋_GB2312"/>
                <w:sz w:val="20"/>
              </w:rPr>
              <w:t>4个</w:t>
            </w:r>
            <w:r>
              <w:rPr>
                <w:rFonts w:ascii="仿宋_GB2312" w:hAnsi="仿宋_GB2312" w:cs="仿宋_GB2312" w:eastAsia="仿宋_GB2312"/>
                <w:sz w:val="20"/>
              </w:rPr>
              <w:t>项目进行质量安全工艺研究，开展桥梁预制梁、隧道施工质量安全管控能力和路基路面工程施工技术攻关行动。</w:t>
            </w:r>
            <w:r>
              <w:rPr>
                <w:rFonts w:ascii="仿宋_GB2312" w:hAnsi="仿宋_GB2312" w:cs="仿宋_GB2312" w:eastAsia="仿宋_GB2312"/>
                <w:sz w:val="20"/>
              </w:rPr>
              <w:t>①桥梁工程重点解决预制场布设不合理、预制梁钢筋加工、钢筋骨架制作、混凝土浇筑与养生、智能张拉和压浆等关键工序质量控制不严等质量通病问题，提高桥梁工程耐久性。②隧道工程重点解决隧道开挖、初期支护、二衬浇筑、超前地质预报、监控量测、隐蔽工程检测等施工环节存在的突出问题。③路基路面工程重点解决大填大挖破坏生态环境、水文地质勘探深度不够引起滑坡、高边坡主动防措施不足或方案不稳妥造成滑塌、排水设施不完善及路面病害等问题。</w:t>
            </w:r>
          </w:p>
          <w:p>
            <w:pPr>
              <w:pStyle w:val="null3"/>
              <w:ind w:firstLine="400"/>
              <w:jc w:val="both"/>
            </w:pPr>
            <w:r>
              <w:rPr>
                <w:rFonts w:ascii="仿宋_GB2312" w:hAnsi="仿宋_GB2312" w:cs="仿宋_GB2312" w:eastAsia="仿宋_GB2312"/>
                <w:sz w:val="20"/>
              </w:rPr>
              <w:t>2.编制</w:t>
            </w:r>
            <w:r>
              <w:rPr>
                <w:rFonts w:ascii="仿宋_GB2312" w:hAnsi="仿宋_GB2312" w:cs="仿宋_GB2312" w:eastAsia="仿宋_GB2312"/>
                <w:sz w:val="20"/>
              </w:rPr>
              <w:t>技术指导报告</w:t>
            </w:r>
          </w:p>
          <w:p>
            <w:pPr>
              <w:pStyle w:val="null3"/>
              <w:ind w:firstLine="400"/>
              <w:jc w:val="both"/>
            </w:pPr>
            <w:r>
              <w:rPr>
                <w:rFonts w:ascii="仿宋_GB2312" w:hAnsi="仿宋_GB2312" w:cs="仿宋_GB2312" w:eastAsia="仿宋_GB2312"/>
                <w:sz w:val="20"/>
              </w:rPr>
              <w:t>结合咨询服务项目特点，指导项目开展</w:t>
            </w:r>
            <w:r>
              <w:rPr>
                <w:rFonts w:ascii="仿宋_GB2312" w:hAnsi="仿宋_GB2312" w:cs="仿宋_GB2312" w:eastAsia="仿宋_GB2312"/>
                <w:sz w:val="20"/>
              </w:rPr>
              <w:t>平安工地建设及</w:t>
            </w:r>
            <w:r>
              <w:rPr>
                <w:rFonts w:ascii="仿宋_GB2312" w:hAnsi="仿宋_GB2312" w:cs="仿宋_GB2312" w:eastAsia="仿宋_GB2312"/>
                <w:sz w:val="20"/>
              </w:rPr>
              <w:t>平安百年品质工程技术攻关，编制</w:t>
            </w:r>
            <w:r>
              <w:rPr>
                <w:rFonts w:ascii="仿宋_GB2312" w:hAnsi="仿宋_GB2312" w:cs="仿宋_GB2312" w:eastAsia="仿宋_GB2312"/>
                <w:sz w:val="20"/>
              </w:rPr>
              <w:t>平安工地检查报告、品质工程</w:t>
            </w:r>
            <w:r>
              <w:rPr>
                <w:rFonts w:ascii="仿宋_GB2312" w:hAnsi="仿宋_GB2312" w:cs="仿宋_GB2312" w:eastAsia="仿宋_GB2312"/>
                <w:sz w:val="20"/>
              </w:rPr>
              <w:t>技术指导建议书</w:t>
            </w:r>
            <w:r>
              <w:rPr>
                <w:rFonts w:ascii="仿宋_GB2312" w:hAnsi="仿宋_GB2312" w:cs="仿宋_GB2312" w:eastAsia="仿宋_GB2312"/>
                <w:sz w:val="20"/>
              </w:rPr>
              <w:t>、</w:t>
            </w:r>
            <w:r>
              <w:rPr>
                <w:rFonts w:ascii="仿宋_GB2312" w:hAnsi="仿宋_GB2312" w:cs="仿宋_GB2312" w:eastAsia="仿宋_GB2312"/>
                <w:sz w:val="20"/>
              </w:rPr>
              <w:t>撰写技术成果总结报告。</w:t>
            </w:r>
          </w:p>
          <w:p>
            <w:pPr>
              <w:pStyle w:val="null3"/>
              <w:ind w:firstLine="400"/>
              <w:jc w:val="both"/>
            </w:pPr>
            <w:r>
              <w:rPr>
                <w:rFonts w:ascii="仿宋_GB2312" w:hAnsi="仿宋_GB2312" w:cs="仿宋_GB2312" w:eastAsia="仿宋_GB2312"/>
                <w:sz w:val="20"/>
              </w:rPr>
              <w:t>提交成果的方式、份数：电子版一份，纸质版</w:t>
            </w:r>
            <w:r>
              <w:rPr>
                <w:rFonts w:ascii="仿宋_GB2312" w:hAnsi="仿宋_GB2312" w:cs="仿宋_GB2312" w:eastAsia="仿宋_GB2312"/>
                <w:sz w:val="20"/>
              </w:rPr>
              <w:t>2份</w:t>
            </w:r>
          </w:p>
          <w:p>
            <w:pPr>
              <w:pStyle w:val="null3"/>
              <w:ind w:firstLine="400"/>
              <w:jc w:val="both"/>
            </w:pPr>
            <w:r>
              <w:rPr>
                <w:rFonts w:ascii="仿宋_GB2312" w:hAnsi="仿宋_GB2312" w:cs="仿宋_GB2312" w:eastAsia="仿宋_GB2312"/>
                <w:sz w:val="21"/>
                <w:b/>
              </w:rPr>
              <w:t>（三）</w:t>
            </w:r>
            <w:r>
              <w:rPr>
                <w:rFonts w:ascii="仿宋_GB2312" w:hAnsi="仿宋_GB2312" w:cs="仿宋_GB2312" w:eastAsia="仿宋_GB2312"/>
                <w:sz w:val="20"/>
                <w:b/>
              </w:rPr>
              <w:t>技术服务工作内容</w:t>
            </w:r>
          </w:p>
          <w:p>
            <w:pPr>
              <w:pStyle w:val="null3"/>
              <w:ind w:firstLine="402"/>
              <w:jc w:val="both"/>
            </w:pPr>
            <w:r>
              <w:rPr>
                <w:rFonts w:ascii="仿宋_GB2312" w:hAnsi="仿宋_GB2312" w:cs="仿宋_GB2312" w:eastAsia="仿宋_GB2312"/>
                <w:sz w:val="20"/>
              </w:rPr>
              <w:t>平安工地建设指导及</w:t>
            </w:r>
            <w:r>
              <w:rPr>
                <w:rFonts w:ascii="仿宋_GB2312" w:hAnsi="仿宋_GB2312" w:cs="仿宋_GB2312" w:eastAsia="仿宋_GB2312"/>
                <w:sz w:val="20"/>
              </w:rPr>
              <w:t>平安百年品质工程技术攻关指导</w:t>
            </w:r>
            <w:r>
              <w:rPr>
                <w:rFonts w:ascii="仿宋_GB2312" w:hAnsi="仿宋_GB2312" w:cs="仿宋_GB2312" w:eastAsia="仿宋_GB2312"/>
                <w:sz w:val="20"/>
              </w:rPr>
              <w:t>、</w:t>
            </w:r>
            <w:r>
              <w:rPr>
                <w:rFonts w:ascii="仿宋_GB2312" w:hAnsi="仿宋_GB2312" w:cs="仿宋_GB2312" w:eastAsia="仿宋_GB2312"/>
                <w:sz w:val="20"/>
              </w:rPr>
              <w:t>编制</w:t>
            </w:r>
            <w:r>
              <w:rPr>
                <w:rFonts w:ascii="仿宋_GB2312" w:hAnsi="仿宋_GB2312" w:cs="仿宋_GB2312" w:eastAsia="仿宋_GB2312"/>
                <w:sz w:val="20"/>
              </w:rPr>
              <w:t>平安工地检查报告、及品质工程</w:t>
            </w:r>
            <w:r>
              <w:rPr>
                <w:rFonts w:ascii="仿宋_GB2312" w:hAnsi="仿宋_GB2312" w:cs="仿宋_GB2312" w:eastAsia="仿宋_GB2312"/>
                <w:sz w:val="20"/>
              </w:rPr>
              <w:t>技术指导建议书</w:t>
            </w:r>
            <w:r>
              <w:rPr>
                <w:rFonts w:ascii="仿宋_GB2312" w:hAnsi="仿宋_GB2312" w:cs="仿宋_GB2312" w:eastAsia="仿宋_GB2312"/>
                <w:sz w:val="20"/>
              </w:rPr>
              <w:t>、</w:t>
            </w:r>
            <w:r>
              <w:rPr>
                <w:rFonts w:ascii="仿宋_GB2312" w:hAnsi="仿宋_GB2312" w:cs="仿宋_GB2312" w:eastAsia="仿宋_GB2312"/>
                <w:sz w:val="20"/>
              </w:rPr>
              <w:t>撰写技术成果总结报告</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（一）人员配备要求：技术咨询单位应组建专家组，专家人数应不少于8人，且专业应覆盖公路建设管理各方面。 （二）主要人员资格要求： 1.组长：具有公路专业高级工程师及以上技术职称，10年及以上公路建设管理经历，担任过1个普通国省干线或高速公路项目负责人或总监。 2.路基、路面、桥梁、隧道、交通工程专家：具有公路专业高级工程师及以上技术职称，8年及以上公路建设管理经历，在2个普通国省干线或高速公路项目相应专业主要技术管理岗位从业。 3.安全专家（2人）：具有公路专业高级工程师及以上技术职称，持有交通建设工程安全监理培训证书，8年及以上公路建设管理经历，在2个普通国省干线或高速公路项目相应专业主要技术管理岗位从业。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项目依据 1.交通运输部办公厅、应急管理部办公厅、中华全国总工会办公厅《关于组织公路水运建设项目平安工程冠名工作的通知》； 2.交通运输部《关于印发公路水运工程平安工地建设管理办法的通知》； 3.《交通运输部办公厅关于加强公路水运工程平安工地建设的指导意见》； 4.《交通运输部关于加强公路水运工程建设质量安全监督管理的意见》； 5.交通运输部《关于打造公路水运品质工程的指导意见》； 6.《陕西省交通运输厅关于推进“十四五”普通国省干线公路品质工程建设的意见》； 7.《陕西省交通运输厅关于印发〈陕西省2026年公路桥梁建设工程质量安全专项整治行动方案〉的通知》。</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 2026 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跟踪、督导、检查所检测项目。乙方应根据国家现行的相关技术标准、规范、规程（见第六条其他要求）等以及我省公路管理相关规定实施检测，据实提交各项检测成果资料。 （二）甲方收到乙方的验收申请后，组织乙方（必要时请有关专家）进行项目验收。乙方提交合同履约情况总结报告，并经甲方确认。验收合格后，填写项目验收单作为对项目的最终认可。 （三）验收依据：①本合同及附件文本；②竞争性磋商文件、响应文件、澄清表（函）；③国家相应的标准、规范。 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双方签署合同后甲方收到乙方履约保证金（或保函）及等额有效发票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乙方按期完成合同约定内容，提交甲方认可的项目全部成果及等额有效发票后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违约责任：（一）甲乙双方必须遵守本合同并执行合同中的各项规定，保证本合同的正常履行。 （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（四）乙方逾期完成服务的，每逾期一日，向甲方承担合同总金额0.5%的违约金，逾期 20日的，甲方有权单方解除本合同且保留追究乙方违约责任的权利，给甲方造成损失的，乙方还应予以赔偿。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（五）乙方应保证其提交的服务成果不存在侵犯他人权益的情形，否则，因此引发的责任及纠纷由乙方承担，对甲方造成损失的，乙方应予以赔偿，此外，乙方还应向甲方承担合同总金额5%的违约金。 （六）乙方应对其服务及服务成果的合法性、科学性、有效性、客观性、真实性负责，否则，相关责任及纠纷由乙方承担，对甲方造成损失的，乙方应予赔偿，此外，乙方还应向甲方承担合同总金额5%的违约金。 （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（八）乙方未按合同约定或甲方要求提供服务的，每出现一次应承担合同总价款5%的违约金，出现3次的，甲方有权单方解除本合同，给甲方造成损失的，乙方还应予以赔偿。 （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合同争议的解决：在执行本合同中发生的或与本合同有关的争端，双方应通过友好协商解决，经协商无法解决的，应向甲方所在地有管辖权的人民法院提请诉讼。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1.磋商文件中所属行业为其他未列明行业。从业人员300人以下的为中小微型企业。其中，从业人员100人及以上的为中型企业；从业人员10人及以上的为小型企业；从业人员10人以下的为微型企业。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供应商参加本次采购活动3年内，在经营活动中没有重大违法记录以及未被列入失信被执行人、重大税收违法案件当事人名单、政府采购严重违法失信行为记录名单的书面声明；（6）法定代表人（单位负责人）参加投标的，提供本人身份证；法定代表人（单位负责人）授权他人参加投标的，提供法定代表人委托授权书并出示被授权代表的身份证。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供应商提供2024年或2025年度经审计的财务会计报告，包括 “四表一注” 或者提供响应文件截止时间前3个月内其基本账户开户银行出具的资信证明；供应商成立不到1年的，可提供企业任意时段财务报表；供应商为公益类事业单位或者自然人的无需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具备有效的公路工程监理甲级资质</w:t>
            </w:r>
          </w:p>
        </w:tc>
        <w:tc>
          <w:tcPr>
            <w:tcW w:type="dxa" w:w="1661"/>
          </w:tcPr>
          <w:p>
            <w:pPr>
              <w:pStyle w:val="null3"/>
            </w:pPr>
            <w:r>
              <w:rPr>
                <w:rFonts w:ascii="仿宋_GB2312" w:hAnsi="仿宋_GB2312" w:cs="仿宋_GB2312" w:eastAsia="仿宋_GB2312"/>
              </w:rPr>
              <w:t>响应文件封面 供应商应提交的资格证明材料.docx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3.异常低价响应审查程序 在评审中出现下列情形之一的，磋商小组应当启动异常低价响应审查程序： （1）响应报价低于全部通过符合性审查供应商响应报价平均值50%（最高不得超过65%）的，即响应报价&lt;全部通过符合性审查供应商响应报价平均值×50%； （2）响应报价低于通过符合性审查的次低报价供应商响应报价50%（最高不得超过65%）的，即响应报价&lt;通过符合性审查的次低报价供应商响应报价×50%； （3）响应报价低于采购项目最高限价45%（最高不得超过65%）的，即响应报价&lt;采购项目最高限价×45%； （4）磋商小组基于专业判断，认为供应商报价过低，有可能影响产品质量或者不能诚信履约的其他情形。 相关法律法规对供应商报价有规定的，从其规定。 4.磋商小组启动异常低价响应审查后，属于前述异常低价响应审查程序的启动第1项至第4项情形的，应当要求相关供应商在评审现场对响应价格作出解释，提供项目具体成本测算等与报价合理性相关的书面说明及必要的证明材料，包括但不限于原材料成本、人工成本、制造费用等，磋商小组应当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 5.异常低价响应审查的启动原因、审查意见和审查结果应当在评审报告中记录，并随供应商提供的相关书面说明及证明材料，以及磋商小组有关互联网浏览、查询历史一并归档。 6.在评审过程中，发现磋商小组未按规定对异常低价开展审查的，采购人、采购代理机构应当予以纠正，拒不改正的，应当及时报告同级财政部门。 7.磋商小组未按规定对异常低价开展审查的，财政部门依法予以纠正并追究评审专家的法律责任。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响应文件封面 服务内容及服务邀请应答表 供应商应提交的资格证明材料.docx 中小企业声明函 残疾人福利性单位声明函 商务应答表 商务技术资料.docx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按磋商文件要求签署、盖章</w:t>
            </w:r>
          </w:p>
        </w:tc>
        <w:tc>
          <w:tcPr>
            <w:tcW w:type="dxa" w:w="1661"/>
          </w:tcPr>
          <w:p>
            <w:pPr>
              <w:pStyle w:val="null3"/>
            </w:pPr>
            <w:r>
              <w:rPr>
                <w:rFonts w:ascii="仿宋_GB2312" w:hAnsi="仿宋_GB2312" w:cs="仿宋_GB2312" w:eastAsia="仿宋_GB2312"/>
              </w:rPr>
              <w:t>响应文件封面 服务内容及服务邀请应答表 供应商应提交的资格证明材料.docx 中小企业声明函 残疾人福利性单位声明函 商务应答表 商务技术资料.docx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响应文件封面 服务内容及服务邀请应答表 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 2026 年 11 月 30 日。</w:t>
            </w:r>
          </w:p>
        </w:tc>
        <w:tc>
          <w:tcPr>
            <w:tcW w:type="dxa" w:w="1661"/>
          </w:tcPr>
          <w:p>
            <w:pPr>
              <w:pStyle w:val="null3"/>
            </w:pPr>
            <w:r>
              <w:rPr>
                <w:rFonts w:ascii="仿宋_GB2312" w:hAnsi="仿宋_GB2312" w:cs="仿宋_GB2312" w:eastAsia="仿宋_GB2312"/>
              </w:rPr>
              <w:t>响应文件封面 服务内容及服务邀请应答表 供应商应提交的资格证明材料.docx 商务应答表 商务技术资料.docx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出具技术建议报告，总结优秀工艺工法，通过采购人审查和验收</w:t>
            </w:r>
          </w:p>
        </w:tc>
        <w:tc>
          <w:tcPr>
            <w:tcW w:type="dxa" w:w="1661"/>
          </w:tcPr>
          <w:p>
            <w:pPr>
              <w:pStyle w:val="null3"/>
            </w:pPr>
            <w:r>
              <w:rPr>
                <w:rFonts w:ascii="仿宋_GB2312" w:hAnsi="仿宋_GB2312" w:cs="仿宋_GB2312" w:eastAsia="仿宋_GB2312"/>
              </w:rPr>
              <w:t>响应文件封面 服务内容及服务邀请应答表 供应商应提交的资格证明材料.docx 商务应答表 商务技术资料.docx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响应文件封面 服务内容及服务邀请应答表 供应商应提交的资格证明材料.docx 商务应答表 商务技术资料.docx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响应文件封面 服务内容及服务邀请应答表 供应商应提交的资格证明材料.docx 商务应答表 商务技术资料.docx 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供应商应提交的资格证明材料.docx 商务应答表 商务技术资料.docx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对本项目服务内容及要求的理解</w:t>
            </w:r>
          </w:p>
        </w:tc>
        <w:tc>
          <w:tcPr>
            <w:tcW w:type="dxa" w:w="2492"/>
          </w:tcPr>
          <w:p>
            <w:pPr>
              <w:pStyle w:val="null3"/>
            </w:pPr>
            <w:r>
              <w:rPr>
                <w:rFonts w:ascii="仿宋_GB2312" w:hAnsi="仿宋_GB2312" w:cs="仿宋_GB2312" w:eastAsia="仿宋_GB2312"/>
              </w:rPr>
              <w:t>一、评审内容： 根据供应商响应文件中的对本项目服务内容及要求的理解进行综合评价，包含但不限于 ①服务内容的理解； ②服务要求的理解。 二、评审标准： （1）完整性：内容全面详尽，对各方面有详细的描述和说明。 （2）合理性：项目切合实际，进度控制合理、思路清晰，科学合理。 （3）针对性：方案编制紧扣项目特点和采购需求，针对性强，整体性高。 三、赋分标准（满分6分） （1）服务内容的理解，此评审满分3分，每完全满足一项评审标准得1分，针对每条评审标准，如存在不合理的方面扣0.3分，针对每条评审标准，内容与本项目无关或未提供得0分； （2）服务要求的理解，此评审满分3分，每完全满足一项评审标准得1分，针对每条评审标准，如存在不合理的方面扣0.3分，针对每条评审标准，内容与本项目无关或未提供得0分。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一、评审内容：根据供应商响应文件中的项目实施方案进行综合评价，包含但不限于 ①桥梁工程技术攻关实施方案； ②隧道工程技术攻关实施方案； ③路基路面工程技术攻关实施方案； ④施工技术建议书实施方案。 二、评审标准： （1）完整性：内容全面详尽，对各方面有详细的描述和说明。 （2）合理性：项目切合实际，进度控制合理、思路清晰，科学合理。 （3）针对性：方案编制紧扣项目特点和采购需求，针对性强，整体性高。 三、赋分标准（满分12分） （1）桥梁工程技术攻关实施方案，此评审满分3分，每完全满足一项评审标准得1分，针对每条评审标准，如存在不合理的方面扣0.3分，针对每条评审标准，内容与本项目无关或未提供得0分； （2）隧道工程技术攻关实施方案，此评审满分3分，每完全满足一项评审标准得1分，针对每条评审标准，如存在不合理的方面扣0.3分，针对每条评审标准，内容与本项目无关或未提供得0分； （3）路基路面工程技术攻关实施方案，此评审满分3分，每完全满足一项评审标准得1分，针对每条评审标准，如存在不合理的方面扣0.3分，针对每条评审标准，内容与本项目无关或未提供得0分； （4）施工技术建议书实施方案，此评审满分3分，每完全满足一项评审标准得1分，针对每条评审标准，如存在不合理的方面扣0.3分，针对每条评审标准，内容与本项目无关或未提供得0分。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项目重点及难点分析</w:t>
            </w:r>
          </w:p>
        </w:tc>
        <w:tc>
          <w:tcPr>
            <w:tcW w:type="dxa" w:w="2492"/>
          </w:tcPr>
          <w:p>
            <w:pPr>
              <w:pStyle w:val="null3"/>
            </w:pPr>
            <w:r>
              <w:rPr>
                <w:rFonts w:ascii="仿宋_GB2312" w:hAnsi="仿宋_GB2312" w:cs="仿宋_GB2312" w:eastAsia="仿宋_GB2312"/>
              </w:rPr>
              <w:t>一、评审内容：供应商应充分结合项目特点对本项目的重点、难点进行分析，并且能够提出解决对策。包含但不限于 ①桥梁工程重难点分析； ②隧道工程重难点分析； ③路基路面工程重难点分析。 二、评审标准： （1）合理性：分析内容全面合理，对各方面有详细的描述和说明。 （2）可实施性：切合本项目实际情况，分析清晰、可实施； （3）针对性：分析紧扣项目特点和采购需求，针对性强，整体性高。 三、赋分标准（满分9分） （1）桥梁工程重难点分析，此评审满分3分，每完全满足一项评审标准得1分，针对每条评审标准，如存在不合理的方面扣0.3分，针对每条评审标准，内容与本项目无关或未提供得0分； （2）隧道工程重难点分析，此评审满分3分，每完全满足一项评审标准得1分，针对每条评审标准，如存在不合理的方面扣0.3分，针对每条评审标准，内容与本项目无关或未提供得0分； （3）路基路面工程重难点分析，此评审满分3分，每完全满足一项评审标准得1分，针对每条评审标准，如存在不合理的方面扣0.3分，针对每条评审标准，内容与本项目无关或未提供得0分。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工作进度计划及进度保证措施</w:t>
            </w:r>
          </w:p>
        </w:tc>
        <w:tc>
          <w:tcPr>
            <w:tcW w:type="dxa" w:w="2492"/>
          </w:tcPr>
          <w:p>
            <w:pPr>
              <w:pStyle w:val="null3"/>
            </w:pPr>
            <w:r>
              <w:rPr>
                <w:rFonts w:ascii="仿宋_GB2312" w:hAnsi="仿宋_GB2312" w:cs="仿宋_GB2312" w:eastAsia="仿宋_GB2312"/>
              </w:rPr>
              <w:t>一、评审内容：根据供应商响应标文件中的针对本项目工作任务划分及时间把控，进度计划及进度保证措施进行综合评价，包含但不限于 ①工作进度计划； ②进度保证措施。 二、评审标准： （1）合理性：项目切合实际，进度控制合理、思路清晰，科学合理； （2）可实施性：切合本项目实际情况，计划及措施清晰、可实施； （3）针对性：进度计划紧扣项目特点和采购需求，针对性强，整体性高。 三、赋分标准（满分9分） （1）工作进度计划及关键节点时间把控，此评审满分4.5分，每完全满足一项评审标准得1.5分，针对每条评审标准，如存在不合理的方面扣0.4分，针对每条评审标准，内容与本项目无关或未提供得0分； （2）进度保证措施，此评审满分4.5分，每完全满足一项评审标准得1.5分，针对每条评审标准，如存在不合理的方面扣0.4分，针对每条评审标准，内容与本项目无关或未提供得0分。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质量及安全保证措施</w:t>
            </w:r>
          </w:p>
        </w:tc>
        <w:tc>
          <w:tcPr>
            <w:tcW w:type="dxa" w:w="2492"/>
          </w:tcPr>
          <w:p>
            <w:pPr>
              <w:pStyle w:val="null3"/>
            </w:pPr>
            <w:r>
              <w:rPr>
                <w:rFonts w:ascii="仿宋_GB2312" w:hAnsi="仿宋_GB2312" w:cs="仿宋_GB2312" w:eastAsia="仿宋_GB2312"/>
              </w:rPr>
              <w:t>一、评审内容：供应商根据本项目服务内容及要求编制质量及安全保障措施：有规范的、合理的服务流程及安全管理制度，每个流程环节有质量控制办法，对项目执行过程中的服务质量、技术保证、安全保证、沟通途径有明确说明。供应商切合实际，能充分利用自身资源及相关技术手段保证成果质量及安全，包含但不限于 ①质量保证措施； ②安全保证措施。 二、评审标准： （1）完整性：内容全面，对评审内容中的各项要求有详细描述； （2）可实施性：切合本项目实际情况，实施步骤清晰、合理，可实施； （3）针对性：措施能够紧扣项目实际情况，内容科学合理。 三、赋分标准：（满分9分） （1）质量保证措施，此评审项满分4.5分，每完全满足一条评审标准得1.5分；针对每条评审标准，如存在不合理的方面，扣1分；针对每条评审标准，内容与本项目无关或未提供的，得0分。 （2）安全保证措施，此评审项满分4.5分，每完全满足一条评审标准得1.5分；针对每条评审标准，如存在不合理的方面，扣1分；针对每条评审标准，内容与本项目无关或未提供的，得0分。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服务保障体系</w:t>
            </w:r>
          </w:p>
        </w:tc>
        <w:tc>
          <w:tcPr>
            <w:tcW w:type="dxa" w:w="2492"/>
          </w:tcPr>
          <w:p>
            <w:pPr>
              <w:pStyle w:val="null3"/>
            </w:pPr>
            <w:r>
              <w:rPr>
                <w:rFonts w:ascii="仿宋_GB2312" w:hAnsi="仿宋_GB2312" w:cs="仿宋_GB2312" w:eastAsia="仿宋_GB2312"/>
              </w:rPr>
              <w:t>一、评审内容：根据供应商提供的针对本项目的服务保障体系进行评价。 二、评审标准： （1）完整性：内容全面，与采购人配合度高，对评审内容中的各项要求有详细描述； （2）可实施性：切合本项目实际情况，实施步骤清晰、合理； （3）针对性：方案能够紧扣项目实际情况，内容科学合理。 三、赋分标准：（满分3分） 此评审项满分3分，每完全满足一条评审标准得1分；针对每条评审标准，如存在不合理的方面，扣0.3分；针对每条评审标准，内容与本项目无关或未提供的，得0分。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拟派本项目团队（项目负责人）</w:t>
            </w:r>
          </w:p>
        </w:tc>
        <w:tc>
          <w:tcPr>
            <w:tcW w:type="dxa" w:w="2492"/>
          </w:tcPr>
          <w:p>
            <w:pPr>
              <w:pStyle w:val="null3"/>
            </w:pPr>
            <w:r>
              <w:rPr>
                <w:rFonts w:ascii="仿宋_GB2312" w:hAnsi="仿宋_GB2312" w:cs="仿宋_GB2312" w:eastAsia="仿宋_GB2312"/>
              </w:rPr>
              <w:t>项目负责人（组长1人）：具备①公路专业高级工程师及以上技术职称；②10年及以上公路建设管理经历；③担任过1个普通国省干线或高速公路项目负责人或总监，满足以上要求得6分，不满足不得分。在此基础上每增加1个业绩得1分，最多加4分，本评审项最高得10分。 注：提供①人员证书复印件或扫描件②工作经历证明资料③岗位证明资料（以任命书或合同或其他证明材料为准，内容应体现人员名字及岗位）并加盖公章。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拟派本项目团队（除组长外其他各专业人员）</w:t>
            </w:r>
          </w:p>
        </w:tc>
        <w:tc>
          <w:tcPr>
            <w:tcW w:type="dxa" w:w="2492"/>
          </w:tcPr>
          <w:p>
            <w:pPr>
              <w:pStyle w:val="null3"/>
            </w:pPr>
            <w:r>
              <w:rPr>
                <w:rFonts w:ascii="仿宋_GB2312" w:hAnsi="仿宋_GB2312" w:cs="仿宋_GB2312" w:eastAsia="仿宋_GB2312"/>
              </w:rPr>
              <w:t>项目组成员（除组长外其他各专业人员） 一、路基、路面、桥梁、隧道、交通工程专家（各1人）：具备①公路专业高级工程师及以上技术职称；②8年及以上公路建设管理经历；③在2个普通国省干线或高速公路项目相应专业主要技术管理岗位从业经历。 同时满足以上要求得8分，不满足不得分。 二、安全专家（2人）具备：①公路专业高级工程师及以上技术职称；②持有交通建设工程安全监理培训证书；③8年及以上公路建设管理经历；④在2个普通国省干线或高速公路项目相应专业主要技术管理岗位从业经历。 同时满足以上要求得4分， 不满足不得分。 每增加1个专业成员且同时具备以上条件的得1分，最多加3分。 注：提供①人员证书复印件或扫描件②工作经历证明资料③岗位证明资料（以任命书或合同或其他证明材料为准，内容应体现人员名字及岗位）并加盖公章。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根据供应商针对本项目提出的合理化建议进行评价。 相关建议全面、科学合理、切实可行得2分； 相关建议一般得1分，未提供不得分。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供应商每提供一个2023年1月1日至今（以合同或创建方案或业主证明及相关资料为准）承担过的品质工程创建的普通国省干线或高速公路项目监理技术咨询的得6分，在此基础上，每增加一份业绩得2分，最高加4分。 注：提供以合同或创建方案或业主证明及相关资料为准复印件并加盖公章。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满足磋商文件要求且磋商价格最低的磋商报价为评标基准价，其价格分为满分。最低磋商报价不是中标的唯一依据。因落实政府采购政策进行价格调整的，以调整后的价格计算评标基准价和磋商报价，价格分按照下列公式计算。 磋商报价得分=（评标基准价／最后磋商报价）×100×15%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详见附件：供应商应提交的资格证明材料.docx</w:t>
      </w:r>
    </w:p>
    <w:p>
      <w:pPr>
        <w:pStyle w:val="null3"/>
        <w:ind w:firstLine="960"/>
      </w:pPr>
      <w:r>
        <w:rPr>
          <w:rFonts w:ascii="仿宋_GB2312" w:hAnsi="仿宋_GB2312" w:cs="仿宋_GB2312" w:eastAsia="仿宋_GB2312"/>
        </w:rPr>
        <w:t>详见附件：商务技术资料.docx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详见附件：普通国省干线公路工程平安工地建设技术服务服务合同.docx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