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版本号：KY2026-3-17620260707001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2026年中国教育和科研计算机网带宽租用服务项目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KY2026-3-176</w:t>
      </w:r>
      <w:r>
        <w:br/>
      </w:r>
      <w:r>
        <w:br/>
      </w:r>
      <w:r>
        <w:br/>
      </w:r>
    </w:p>
    <w:p>
      <w:pPr>
        <w:pStyle w:val="null3"/>
        <w:jc w:val="center"/>
        <w:outlineLvl w:val="5"/>
      </w:pPr>
      <w:r>
        <w:rPr>
          <w:rFonts w:ascii="仿宋_GB2312" w:hAnsi="仿宋_GB2312" w:cs="仿宋_GB2312" w:eastAsia="仿宋_GB2312"/>
          <w:sz w:val="15"/>
          <w:b/>
        </w:rPr>
        <w:t>西安体育学院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西安体育学院</w:t>
      </w:r>
      <w:r>
        <w:rPr>
          <w:rFonts w:ascii="仿宋_GB2312" w:hAnsi="仿宋_GB2312" w:cs="仿宋_GB2312" w:eastAsia="仿宋_GB2312"/>
        </w:rPr>
        <w:t>委托，拟对</w:t>
      </w:r>
      <w:r>
        <w:rPr>
          <w:rFonts w:ascii="仿宋_GB2312" w:hAnsi="仿宋_GB2312" w:cs="仿宋_GB2312" w:eastAsia="仿宋_GB2312"/>
        </w:rPr>
        <w:t>2026年中国教育和科研计算机网带宽租用服务项目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KY2026-3-176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2026年中国教育和科研计算机网带宽租用服务项目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西安体育学院2026年中国教育和科研计算机网带宽租用服务项目，1项，具体内容详见单一来源采购文件第三部分。</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1、承诺函：提供供应商满足《中华人民共和国政府采购法》第二十二条规定的条件的承诺</w:t>
      </w:r>
    </w:p>
    <w:p>
      <w:pPr>
        <w:pStyle w:val="null3"/>
      </w:pPr>
      <w:r>
        <w:rPr>
          <w:rFonts w:ascii="仿宋_GB2312" w:hAnsi="仿宋_GB2312" w:cs="仿宋_GB2312" w:eastAsia="仿宋_GB2312"/>
        </w:rPr>
        <w:t>2、法定代表人授权书：法定代表人授权书及被授权人身份证明。（法定代表人直接谈判只须提交其身份证明书）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西安体育学院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陕西省西安市碑林区含光北路65号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029-88409463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开户银行：交通银⾏西安甜⽔井街⽀⾏</w:t>
            </w:r>
          </w:p>
          <w:p>
            <w:pPr>
              <w:pStyle w:val="null3"/>
            </w:pPr>
            <w:r>
              <w:rPr>
                <w:rFonts w:ascii="仿宋_GB2312" w:hAnsi="仿宋_GB2312" w:cs="仿宋_GB2312" w:eastAsia="仿宋_GB2312"/>
              </w:rPr>
              <w:t>银行账号：86113010750181502001409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额向采购代理机构交纳成交服务费，交费⾦额参照国家计委颁布的《招标代理服务收费管理暂⾏办法》（计价格[2002]1980号）及发改办价格[2003]857号⽂件的规定标准收取。2、本项⽬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西安体育学院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西安体育学院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根据采购文件、响应文件及合同约定执行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联系人：张娜、王琦、戈迪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西安体育学院2026年中国教育和科研计算机带宽租赁服务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西安体育学院中国教育和科研计算机信息服务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标的名称：西安体育学院中国教育和科研计算机信息服务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一、服务名称：中国教育和科研计算机网接入服务；规格型号：</w:t>
            </w:r>
            <w:r>
              <w:rPr>
                <w:rFonts w:ascii="仿宋_GB2312" w:hAnsi="仿宋_GB2312" w:cs="仿宋_GB2312" w:eastAsia="仿宋_GB2312"/>
                <w:sz w:val="24"/>
              </w:rPr>
              <w:t>IPv4≥430M IPv6≥430M</w:t>
            </w:r>
          </w:p>
          <w:p>
            <w:pPr>
              <w:pStyle w:val="null3"/>
              <w:jc w:val="both"/>
            </w:pPr>
            <w:r>
              <w:rPr>
                <w:rFonts w:ascii="仿宋_GB2312" w:hAnsi="仿宋_GB2312" w:cs="仿宋_GB2312" w:eastAsia="仿宋_GB2312"/>
                <w:sz w:val="24"/>
                <w:b/>
              </w:rPr>
              <w:t>二、采购内容及要求</w:t>
            </w:r>
          </w:p>
          <w:p>
            <w:pPr>
              <w:pStyle w:val="null3"/>
            </w:pPr>
            <w:r>
              <w:rPr>
                <w:rFonts w:ascii="仿宋_GB2312" w:hAnsi="仿宋_GB2312" w:cs="仿宋_GB2312" w:eastAsia="仿宋_GB2312"/>
                <w:sz w:val="24"/>
              </w:rPr>
              <w:t>1、开通教育网独享带宽：IPv4≥</w:t>
            </w:r>
            <w:r>
              <w:rPr>
                <w:rFonts w:ascii="仿宋_GB2312" w:hAnsi="仿宋_GB2312" w:cs="仿宋_GB2312" w:eastAsia="仿宋_GB2312"/>
                <w:sz w:val="24"/>
              </w:rPr>
              <w:t>43</w:t>
            </w:r>
            <w:r>
              <w:rPr>
                <w:rFonts w:ascii="仿宋_GB2312" w:hAnsi="仿宋_GB2312" w:cs="仿宋_GB2312" w:eastAsia="仿宋_GB2312"/>
                <w:sz w:val="24"/>
              </w:rPr>
              <w:t>0Mbps，IPv6≥</w:t>
            </w:r>
            <w:r>
              <w:rPr>
                <w:rFonts w:ascii="仿宋_GB2312" w:hAnsi="仿宋_GB2312" w:cs="仿宋_GB2312" w:eastAsia="仿宋_GB2312"/>
                <w:sz w:val="24"/>
              </w:rPr>
              <w:t>43</w:t>
            </w:r>
            <w:r>
              <w:rPr>
                <w:rFonts w:ascii="仿宋_GB2312" w:hAnsi="仿宋_GB2312" w:cs="仿宋_GB2312" w:eastAsia="仿宋_GB2312"/>
                <w:sz w:val="24"/>
              </w:rPr>
              <w:t>0Mbps采用万兆端口接入, 国际带宽配额≥25Mbps；</w:t>
            </w:r>
          </w:p>
          <w:p>
            <w:pPr>
              <w:pStyle w:val="null3"/>
            </w:pPr>
            <w:r>
              <w:rPr>
                <w:rFonts w:ascii="仿宋_GB2312" w:hAnsi="仿宋_GB2312" w:cs="仿宋_GB2312" w:eastAsia="仿宋_GB2312"/>
                <w:sz w:val="24"/>
              </w:rPr>
              <w:t>2、提供xaipe.edu.cn域名,并帮助采购人完成相关的网络注册及网站注册等系列服务，能为教学共享、科研协作、招生录取和毕业分配等各类教育信息化应用提供网络保障；</w:t>
            </w:r>
          </w:p>
          <w:p>
            <w:pPr>
              <w:pStyle w:val="null3"/>
            </w:pPr>
            <w:r>
              <w:rPr>
                <w:rFonts w:ascii="仿宋_GB2312" w:hAnsi="仿宋_GB2312" w:cs="仿宋_GB2312" w:eastAsia="仿宋_GB2312"/>
                <w:sz w:val="24"/>
              </w:rPr>
              <w:t>3、提供教育网IPv4地址不少于32个C类地址(8192个)；</w:t>
            </w:r>
          </w:p>
          <w:p>
            <w:pPr>
              <w:pStyle w:val="null3"/>
            </w:pPr>
            <w:r>
              <w:rPr>
                <w:rFonts w:ascii="仿宋_GB2312" w:hAnsi="仿宋_GB2312" w:cs="仿宋_GB2312" w:eastAsia="仿宋_GB2312"/>
                <w:sz w:val="24"/>
              </w:rPr>
              <w:t>4、教育网向采购人提供IPv6接入，并提供两段/48的IPv6地址，全球网络可达，端口全开放。</w:t>
            </w:r>
          </w:p>
          <w:p>
            <w:pPr>
              <w:pStyle w:val="null3"/>
            </w:pPr>
            <w:r>
              <w:rPr>
                <w:rFonts w:ascii="仿宋_GB2312" w:hAnsi="仿宋_GB2312" w:cs="仿宋_GB2312" w:eastAsia="仿宋_GB2312"/>
                <w:sz w:val="24"/>
              </w:rPr>
              <w:t>5、提供学校含光校区至CERNET西北节点西安交通大学网络中心专用线路，最大限度保证链路的稳定性及独享带宽。</w:t>
            </w:r>
          </w:p>
          <w:p>
            <w:pPr>
              <w:pStyle w:val="null3"/>
            </w:pPr>
            <w:r>
              <w:rPr>
                <w:rFonts w:ascii="仿宋_GB2312" w:hAnsi="仿宋_GB2312" w:cs="仿宋_GB2312" w:eastAsia="仿宋_GB2312"/>
                <w:sz w:val="24"/>
              </w:rPr>
              <w:t>6、国际出口访问要求主流国际期刊文献网站访问延迟低于255ms,丢包率低于3%；主流国际文献期刊包括如：www.sciencedirect.com、IEEE:www.ieee.orgelsevier等，提供测试数据截图；</w:t>
            </w:r>
          </w:p>
          <w:p>
            <w:pPr>
              <w:pStyle w:val="null3"/>
            </w:pPr>
            <w:r>
              <w:rPr>
                <w:rFonts w:ascii="仿宋_GB2312" w:hAnsi="仿宋_GB2312" w:cs="仿宋_GB2312" w:eastAsia="仿宋_GB2312"/>
                <w:sz w:val="24"/>
              </w:rPr>
              <w:t>7、提供1年免费质保服务。售后响应时间不超过2个小时，故障申报后2小时到达现场，4小时解决故障（不可抗力除外）。</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验收条件</w:t>
            </w:r>
          </w:p>
          <w:p>
            <w:pPr>
              <w:pStyle w:val="null3"/>
              <w:ind w:firstLine="480"/>
            </w:pPr>
            <w:r>
              <w:rPr>
                <w:rFonts w:ascii="仿宋_GB2312" w:hAnsi="仿宋_GB2312" w:cs="仿宋_GB2312" w:eastAsia="仿宋_GB2312"/>
                <w:sz w:val="24"/>
              </w:rPr>
              <w:t>甲方对验收申请、相关资料进行审核，对照招标文件、技术指标等要求进行核对和确认，无异议后出具验收报告。</w:t>
            </w:r>
          </w:p>
          <w:p>
            <w:pPr>
              <w:pStyle w:val="null3"/>
              <w:jc w:val="both"/>
            </w:pPr>
            <w:r>
              <w:rPr>
                <w:rFonts w:ascii="仿宋_GB2312" w:hAnsi="仿宋_GB2312" w:cs="仿宋_GB2312" w:eastAsia="仿宋_GB2312"/>
                <w:sz w:val="24"/>
                <w:b/>
              </w:rPr>
              <w:t>四、售后服务</w:t>
            </w:r>
          </w:p>
          <w:p>
            <w:pPr>
              <w:pStyle w:val="null3"/>
              <w:ind w:firstLine="480"/>
              <w:jc w:val="both"/>
            </w:pPr>
            <w:r>
              <w:rPr>
                <w:rFonts w:ascii="仿宋_GB2312" w:hAnsi="仿宋_GB2312" w:cs="仿宋_GB2312" w:eastAsia="仿宋_GB2312"/>
                <w:sz w:val="24"/>
              </w:rPr>
              <w:t>服务商应针对本项目制定详细的《售后服务方案》，明确售后服务的内容、方法、响应时间、服务支持的手段、售后服务机构人员配置及详细的售后服务方案。包括但不限于：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1）负责提供通信网络以及相应的网络接口和通信技术支持，确保通信传输的通畅，确保传输数据的准确性。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2）在采购人以后的网络扩容及网络升级中继续提供业务和技术支持。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3）对其设备进行维护时，如需中断通信，服务商必须提前48小时通知采购人，并征得采购人同意。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4）按照国家规定的通信服务质量标准为采购人提供各类通信业务咨询、查询、组网建议和障碍申告等服务，同时接受采购人服务质量监督。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5）为改善通信质量，对网络进行扩容、调整、软件版本升级、割接等措施,教育科研网有义务提前通知。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6）技术支持方式：现场支持、电话、远程等多种方式。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7）支持时间：7x24小时。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8）响应时间：接到故障电话后，立即响应，半小时内给出支持方式，如需上门服务，需要在2小时内到达现场，4小时内解决问题。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9）巡检服务：提供定期巡检服务，巡检周期为3个月（</w:t>
            </w:r>
            <w:r>
              <w:rPr>
                <w:rFonts w:ascii="仿宋_GB2312" w:hAnsi="仿宋_GB2312" w:cs="仿宋_GB2312" w:eastAsia="仿宋_GB2312"/>
                <w:sz w:val="24"/>
              </w:rPr>
              <w:t>4次/年</w:t>
            </w:r>
            <w:r>
              <w:rPr>
                <w:rFonts w:ascii="仿宋_GB2312" w:hAnsi="仿宋_GB2312" w:cs="仿宋_GB2312" w:eastAsia="仿宋_GB2312"/>
                <w:sz w:val="24"/>
              </w:rPr>
              <w:t>），每次巡检出具详细的巡检报告。</w:t>
            </w:r>
          </w:p>
          <w:p>
            <w:pPr>
              <w:pStyle w:val="null3"/>
              <w:jc w:val="both"/>
            </w:pPr>
            <w:r>
              <w:rPr>
                <w:rFonts w:ascii="仿宋_GB2312" w:hAnsi="仿宋_GB2312" w:cs="仿宋_GB2312" w:eastAsia="仿宋_GB2312"/>
                <w:sz w:val="24"/>
                <w:b/>
              </w:rPr>
              <w:t>五、专利权和保密要求</w:t>
            </w:r>
          </w:p>
          <w:p>
            <w:pPr>
              <w:pStyle w:val="null3"/>
            </w:pPr>
            <w:r>
              <w:rPr>
                <w:rFonts w:ascii="仿宋_GB2312" w:hAnsi="仿宋_GB2312" w:cs="仿宋_GB2312" w:eastAsia="仿宋_GB2312"/>
                <w:sz w:val="24"/>
              </w:rPr>
              <w:t>报价方应保证使用方在使用该货物或其任何一部分时，不受第三方侵权指控。同时，报价方保证不向第三方泄露采购机构提供的技术文件等资料。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服务期:1年；交付期:合同签订当日交付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西安体育学院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其他，服务期满且经采购人验收合格后，供应商向采购人开具等额发票，达到付款条件起20个工作日内，支付合同总金额的80.0%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根据采购文件、响应文件及合同规定执行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1、本项⽬落实的政府采购政策： ①《政府采购促进中⼩企业发展管理办法》的通知--财库〔2020〕46号；②《财政部司法部关于政府采购⽀持监狱企业发展有关问题的通知》（财库〔2014〕68号）；③《三部⻔联合发布关于促进残疾⼈就业政府采购政策的通知》（财库〔2017〕141号）； ④《财政部 发展改⾰委 ⽣态环境部 市场监管总局关于调整优化节能产品、环境标志产品政府采购执⾏机制的通知》（财库〔2019〕9号）；⑤《关于运⽤政府采购政策⽀持乡村产业振兴的通知》（财库〔2021〕19号）；⑥陕西省财政厅关于印发《陕西省中⼩企业政府采购信⽤融资办法》（陕财办采〔2018〕23号）；⑦《关于进⼀步加⼤政府采购⽀持中⼩企业⼒度的通知》（财库〔2022〕19号）；⑧《关于扩⼤政府采购⽀持绿⾊建材促进建筑品质提升政策实施范围的通知》（财库〔2022〕35号）；⑨《关于推动解决政府采购异常低价问题的通知》财库〔2026〕2号；⑩《国务院办公厅关于在政府采购中实施本国产品标准及相关政策的通知》国办发〔2025〕34号；⑪若享受以上政策优惠的企业，提供相应声明函或品⽬范围内产品有效认证证书。如有最新颁布的政府采购政策，按最新的⽂件执⾏。 2、保证⾦的退还：⾃采购合同签订之⽇起5个⼯作⽇内退还成交供应商的协商保证⾦。合同签订后，成交供应商需将合同扫描件发送⾄指定联系⼈邮箱，邮箱地址为119613601@qq.com，并以邮件接收时间为退付的基准时间。 3、为顺利推进政府采购电⼦化交易平台应⽤⼯作，供应商需要在线提交所有通过电⼦化交易平台实施的政府采购项⽬的响应⽂件，同时，线下提交纸质响应⽂件正本壹套。纸质响应⽂件标明供应商名称密封递交，递交截⽌时间同在线递交响应电⼦⽂件截⽌时间⼀致，递交地址：西安市雁展路1111号莱安中⼼T6-15层。（纸质响应⽂件可邮寄，仅接受顺丰速运，邮件签收时间应在递交电⼦响应⽂件截⽌时间之前，邮寄地址：西安市雁展路1111号莱安中⼼T6-15层，联系⼈：张娜，联系电话：029-81206622/81206633-835）。若电⼦响应⽂件与纸质响应⽂件不⼀致的，以电⼦响应⽂件为准；4单⼀来源采购⽂件中所有的商务要求均为实质性要求，供应商必须响应并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提供供应商满足《中华人民共和国政府采购法》第二十二条规定的条件的承诺</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分项报价表.docx 商务应答表 服务方案 服务内容及服务要求应答表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分项报价表.docx 商务应答表 标的清单 服务内容及服务要求应答表 报价表 响应函 其他说明.docx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响应文件封面 分项报价表.docx 标的清单 报价表 响应函 其他说明.docx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