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B08D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sz w:val="21"/>
        </w:rPr>
      </w:pPr>
      <w:bookmarkStart w:id="39" w:name="_GoBack"/>
      <w:bookmarkEnd w:id="39"/>
    </w:p>
    <w:p w14:paraId="622884D0">
      <w:pPr>
        <w:pStyle w:val="5"/>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rFonts w:hint="eastAsia" w:ascii="仿宋" w:hAnsi="仿宋" w:eastAsia="仿宋" w:cs="仿宋"/>
          <w:color w:val="auto"/>
          <w:sz w:val="32"/>
          <w:szCs w:val="32"/>
          <w:shd w:val="clear" w:color="auto" w:fill="auto"/>
          <w:lang w:eastAsia="zh-CN"/>
        </w:rPr>
      </w:pPr>
      <w:r>
        <w:rPr>
          <w:rFonts w:hint="eastAsia" w:ascii="仿宋" w:hAnsi="仿宋" w:eastAsia="仿宋" w:cs="仿宋"/>
          <w:bCs w:val="0"/>
          <w:color w:val="auto"/>
          <w:shd w:val="clear" w:color="auto" w:fill="auto"/>
        </w:rPr>
        <w:t>项目编号：</w:t>
      </w:r>
      <w:r>
        <w:rPr>
          <w:rFonts w:hint="eastAsia" w:ascii="仿宋" w:hAnsi="仿宋" w:eastAsia="仿宋" w:cs="仿宋"/>
          <w:bCs w:val="0"/>
          <w:color w:val="auto"/>
          <w:shd w:val="clear" w:color="auto" w:fill="auto"/>
          <w:lang w:eastAsia="zh-CN"/>
        </w:rPr>
        <w:t>SXZY-AK2026025</w:t>
      </w:r>
    </w:p>
    <w:p w14:paraId="3514A75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rFonts w:hint="eastAsia" w:ascii="仿宋" w:hAnsi="仿宋" w:eastAsia="仿宋" w:cs="仿宋"/>
          <w:b/>
          <w:color w:val="auto"/>
          <w:sz w:val="28"/>
          <w:shd w:val="clear" w:color="auto" w:fill="auto"/>
        </w:rPr>
      </w:pPr>
    </w:p>
    <w:p w14:paraId="4310ED8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shd w:val="clear" w:color="auto" w:fill="auto"/>
        </w:rPr>
      </w:pPr>
    </w:p>
    <w:p w14:paraId="460EF93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602" w:firstLineChars="200"/>
        <w:rPr>
          <w:rFonts w:hint="eastAsia" w:ascii="仿宋" w:hAnsi="仿宋" w:eastAsia="仿宋" w:cs="仿宋"/>
          <w:b/>
          <w:color w:val="auto"/>
          <w:sz w:val="30"/>
          <w:shd w:val="clear" w:color="auto" w:fill="auto"/>
        </w:rPr>
      </w:pPr>
    </w:p>
    <w:p w14:paraId="45597B93">
      <w:pPr>
        <w:keepNext w:val="0"/>
        <w:keepLines w:val="0"/>
        <w:pageBreakBefore w:val="0"/>
        <w:widowControl/>
        <w:kinsoku/>
        <w:wordWrap/>
        <w:overflowPunct/>
        <w:topLinePunct w:val="0"/>
        <w:autoSpaceDE/>
        <w:autoSpaceDN/>
        <w:bidi w:val="0"/>
        <w:adjustRightInd w:val="0"/>
        <w:snapToGrid w:val="0"/>
        <w:spacing w:line="324" w:lineRule="auto"/>
        <w:ind w:right="0" w:firstLine="1000" w:firstLineChars="200"/>
        <w:jc w:val="both"/>
        <w:rPr>
          <w:rFonts w:hint="eastAsia" w:ascii="仿宋" w:hAnsi="仿宋" w:eastAsia="仿宋" w:cs="仿宋"/>
          <w:b/>
          <w:color w:val="auto"/>
          <w:spacing w:val="-11"/>
          <w:sz w:val="52"/>
          <w:szCs w:val="24"/>
          <w:shd w:val="clear" w:color="auto" w:fill="auto"/>
          <w:lang w:eastAsia="zh-CN"/>
        </w:rPr>
      </w:pPr>
      <w:r>
        <w:rPr>
          <w:rFonts w:hint="eastAsia" w:ascii="仿宋" w:hAnsi="仿宋" w:eastAsia="仿宋" w:cs="仿宋"/>
          <w:b/>
          <w:color w:val="auto"/>
          <w:spacing w:val="-11"/>
          <w:sz w:val="52"/>
          <w:szCs w:val="24"/>
          <w:shd w:val="clear" w:color="auto" w:fill="auto"/>
          <w:lang w:eastAsia="zh-CN"/>
        </w:rPr>
        <w:t>安康市第二小学智慧校园建设项目</w:t>
      </w:r>
    </w:p>
    <w:p w14:paraId="1A87E68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1446" w:firstLineChars="200"/>
        <w:jc w:val="both"/>
        <w:rPr>
          <w:rFonts w:hint="eastAsia" w:ascii="仿宋" w:hAnsi="仿宋" w:eastAsia="仿宋" w:cs="仿宋"/>
          <w:b/>
          <w:color w:val="auto"/>
          <w:sz w:val="72"/>
          <w:szCs w:val="72"/>
          <w:shd w:val="clear" w:color="auto" w:fill="auto"/>
        </w:rPr>
      </w:pPr>
    </w:p>
    <w:p w14:paraId="7617E50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2891" w:firstLineChars="600"/>
        <w:jc w:val="both"/>
        <w:rPr>
          <w:rFonts w:hint="eastAsia" w:ascii="仿宋" w:hAnsi="仿宋" w:eastAsia="仿宋" w:cs="仿宋"/>
          <w:b/>
          <w:color w:val="auto"/>
          <w:sz w:val="48"/>
          <w:shd w:val="clear" w:color="auto" w:fill="auto"/>
        </w:rPr>
      </w:pPr>
      <w:r>
        <w:rPr>
          <w:rFonts w:hint="eastAsia" w:ascii="仿宋" w:hAnsi="仿宋" w:eastAsia="仿宋" w:cs="仿宋"/>
          <w:b/>
          <w:color w:val="auto"/>
          <w:sz w:val="48"/>
          <w:shd w:val="clear" w:color="auto" w:fill="auto"/>
        </w:rPr>
        <w:t>竞争性磋商文件</w:t>
      </w:r>
    </w:p>
    <w:p w14:paraId="6B4DF26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964" w:firstLineChars="200"/>
        <w:jc w:val="center"/>
        <w:rPr>
          <w:rFonts w:hint="eastAsia" w:ascii="仿宋" w:hAnsi="仿宋" w:eastAsia="仿宋" w:cs="仿宋"/>
          <w:b/>
          <w:color w:val="auto"/>
          <w:sz w:val="48"/>
          <w:shd w:val="clear" w:color="auto" w:fill="auto"/>
        </w:rPr>
      </w:pPr>
    </w:p>
    <w:p w14:paraId="50E04638">
      <w:pPr>
        <w:pStyle w:val="8"/>
        <w:keepNext w:val="0"/>
        <w:keepLines w:val="0"/>
        <w:pageBreakBefore w:val="0"/>
        <w:widowControl/>
        <w:kinsoku/>
        <w:wordWrap/>
        <w:overflowPunct/>
        <w:topLinePunct w:val="0"/>
        <w:autoSpaceDE/>
        <w:autoSpaceDN/>
        <w:bidi w:val="0"/>
        <w:adjustRightInd w:val="0"/>
        <w:snapToGrid w:val="0"/>
        <w:spacing w:line="324" w:lineRule="auto"/>
        <w:ind w:left="0" w:leftChars="0" w:right="0" w:firstLine="1446" w:firstLineChars="200"/>
        <w:rPr>
          <w:rFonts w:hint="eastAsia" w:ascii="仿宋" w:hAnsi="仿宋" w:eastAsia="仿宋" w:cs="仿宋"/>
          <w:b/>
          <w:color w:val="auto"/>
          <w:sz w:val="48"/>
          <w:shd w:val="clear" w:color="auto" w:fill="auto"/>
        </w:rPr>
      </w:pPr>
      <w:r>
        <w:rPr>
          <w:rFonts w:hint="eastAsia" w:ascii="仿宋" w:hAnsi="仿宋" w:eastAsia="仿宋" w:cs="仿宋"/>
          <w:b/>
          <w:color w:val="auto"/>
          <w:sz w:val="72"/>
          <w:szCs w:val="72"/>
          <w:lang w:eastAsia="zh-CN"/>
        </w:rPr>
        <w:drawing>
          <wp:anchor distT="0" distB="0" distL="114300" distR="114300" simplePos="0" relativeHeight="251659264" behindDoc="1" locked="0" layoutInCell="1" allowOverlap="1">
            <wp:simplePos x="0" y="0"/>
            <wp:positionH relativeFrom="column">
              <wp:posOffset>1830070</wp:posOffset>
            </wp:positionH>
            <wp:positionV relativeFrom="paragraph">
              <wp:posOffset>305435</wp:posOffset>
            </wp:positionV>
            <wp:extent cx="2295525" cy="2295525"/>
            <wp:effectExtent l="0" t="0" r="9525" b="9525"/>
            <wp:wrapNone/>
            <wp:docPr id="4" name="图片 2" descr="中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中源LOGO"/>
                    <pic:cNvPicPr>
                      <a:picLocks noChangeAspect="1"/>
                    </pic:cNvPicPr>
                  </pic:nvPicPr>
                  <pic:blipFill>
                    <a:blip r:embed="rId44"/>
                    <a:stretch>
                      <a:fillRect/>
                    </a:stretch>
                  </pic:blipFill>
                  <pic:spPr>
                    <a:xfrm>
                      <a:off x="0" y="0"/>
                      <a:ext cx="2295525" cy="2295525"/>
                    </a:xfrm>
                    <a:prstGeom prst="rect">
                      <a:avLst/>
                    </a:prstGeom>
                    <a:noFill/>
                    <a:ln>
                      <a:noFill/>
                    </a:ln>
                  </pic:spPr>
                </pic:pic>
              </a:graphicData>
            </a:graphic>
          </wp:anchor>
        </w:drawing>
      </w:r>
    </w:p>
    <w:p w14:paraId="79DBBDF2">
      <w:pPr>
        <w:pStyle w:val="4"/>
        <w:keepNext w:val="0"/>
        <w:keepLines w:val="0"/>
        <w:pageBreakBefore w:val="0"/>
        <w:widowControl/>
        <w:kinsoku/>
        <w:wordWrap/>
        <w:overflowPunct/>
        <w:topLinePunct w:val="0"/>
        <w:autoSpaceDE/>
        <w:autoSpaceDN/>
        <w:bidi w:val="0"/>
        <w:adjustRightInd w:val="0"/>
        <w:snapToGrid w:val="0"/>
        <w:spacing w:line="324" w:lineRule="auto"/>
        <w:ind w:left="0" w:leftChars="0" w:right="0" w:firstLine="627" w:firstLineChars="200"/>
        <w:jc w:val="left"/>
        <w:rPr>
          <w:rFonts w:hint="eastAsia" w:ascii="仿宋" w:hAnsi="仿宋" w:eastAsia="仿宋" w:cs="仿宋"/>
          <w:color w:val="auto"/>
          <w:spacing w:val="-4"/>
          <w:shd w:val="clear" w:color="auto" w:fill="auto"/>
        </w:rPr>
      </w:pPr>
    </w:p>
    <w:p w14:paraId="01002FBD">
      <w:pPr>
        <w:pStyle w:val="4"/>
        <w:keepNext w:val="0"/>
        <w:keepLines w:val="0"/>
        <w:pageBreakBefore w:val="0"/>
        <w:widowControl/>
        <w:kinsoku/>
        <w:wordWrap/>
        <w:overflowPunct/>
        <w:topLinePunct w:val="0"/>
        <w:autoSpaceDE/>
        <w:autoSpaceDN/>
        <w:bidi w:val="0"/>
        <w:adjustRightInd w:val="0"/>
        <w:snapToGrid w:val="0"/>
        <w:spacing w:line="324" w:lineRule="auto"/>
        <w:ind w:left="0" w:leftChars="0" w:right="0" w:firstLine="627" w:firstLineChars="200"/>
        <w:jc w:val="left"/>
        <w:rPr>
          <w:rFonts w:hint="eastAsia" w:ascii="仿宋" w:hAnsi="仿宋" w:eastAsia="仿宋" w:cs="仿宋"/>
          <w:color w:val="auto"/>
          <w:spacing w:val="-4"/>
          <w:shd w:val="clear" w:color="auto" w:fill="auto"/>
        </w:rPr>
      </w:pPr>
    </w:p>
    <w:p w14:paraId="678F0A22">
      <w:pPr>
        <w:pStyle w:val="4"/>
        <w:keepNext w:val="0"/>
        <w:keepLines w:val="0"/>
        <w:pageBreakBefore w:val="0"/>
        <w:widowControl/>
        <w:kinsoku/>
        <w:wordWrap/>
        <w:overflowPunct/>
        <w:topLinePunct w:val="0"/>
        <w:autoSpaceDE/>
        <w:autoSpaceDN/>
        <w:bidi w:val="0"/>
        <w:adjustRightInd w:val="0"/>
        <w:snapToGrid w:val="0"/>
        <w:spacing w:line="324" w:lineRule="auto"/>
        <w:ind w:left="0" w:leftChars="0" w:right="0" w:firstLine="627" w:firstLineChars="200"/>
        <w:jc w:val="left"/>
        <w:rPr>
          <w:rFonts w:hint="eastAsia" w:ascii="仿宋" w:hAnsi="仿宋" w:eastAsia="仿宋" w:cs="仿宋"/>
          <w:color w:val="auto"/>
          <w:spacing w:val="-4"/>
          <w:shd w:val="clear" w:color="auto" w:fill="auto"/>
        </w:rPr>
      </w:pPr>
    </w:p>
    <w:p w14:paraId="57FB0B6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rPr>
      </w:pPr>
    </w:p>
    <w:p w14:paraId="2FDC588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rPr>
      </w:pPr>
    </w:p>
    <w:p w14:paraId="5F8BC31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rPr>
      </w:pPr>
    </w:p>
    <w:p w14:paraId="2F4A277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rPr>
      </w:pPr>
    </w:p>
    <w:p w14:paraId="1F4C444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rPr>
      </w:pPr>
    </w:p>
    <w:p w14:paraId="127F5F5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rPr>
      </w:pPr>
    </w:p>
    <w:p w14:paraId="1F33BB4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仿宋" w:hAnsi="仿宋" w:eastAsia="仿宋" w:cs="仿宋"/>
          <w:color w:val="auto"/>
        </w:rPr>
      </w:pPr>
    </w:p>
    <w:p w14:paraId="62942524">
      <w:pPr>
        <w:pStyle w:val="4"/>
        <w:keepNext w:val="0"/>
        <w:keepLines w:val="0"/>
        <w:pageBreakBefore w:val="0"/>
        <w:widowControl/>
        <w:kinsoku/>
        <w:wordWrap/>
        <w:overflowPunct/>
        <w:topLinePunct w:val="0"/>
        <w:autoSpaceDE/>
        <w:autoSpaceDN/>
        <w:bidi w:val="0"/>
        <w:adjustRightInd w:val="0"/>
        <w:snapToGrid w:val="0"/>
        <w:spacing w:line="480" w:lineRule="auto"/>
        <w:ind w:left="0" w:leftChars="0" w:right="0" w:firstLine="627" w:firstLineChars="200"/>
        <w:jc w:val="left"/>
        <w:textAlignment w:val="baseline"/>
        <w:rPr>
          <w:rFonts w:hint="eastAsia" w:ascii="仿宋" w:hAnsi="仿宋" w:eastAsia="仿宋" w:cs="仿宋"/>
          <w:color w:val="auto"/>
          <w:shd w:val="clear" w:color="auto" w:fill="auto"/>
          <w:lang w:eastAsia="zh-CN"/>
        </w:rPr>
      </w:pPr>
      <w:r>
        <w:rPr>
          <w:rFonts w:hint="eastAsia" w:ascii="仿宋" w:hAnsi="仿宋" w:eastAsia="仿宋" w:cs="仿宋"/>
          <w:color w:val="auto"/>
          <w:spacing w:val="-4"/>
          <w:shd w:val="clear" w:color="auto" w:fill="auto"/>
        </w:rPr>
        <w:t>采 购 人：</w:t>
      </w:r>
      <w:r>
        <w:rPr>
          <w:rFonts w:hint="eastAsia" w:ascii="仿宋" w:hAnsi="仿宋" w:eastAsia="仿宋" w:cs="仿宋"/>
          <w:color w:val="auto"/>
          <w:spacing w:val="-4"/>
          <w:shd w:val="clear" w:color="auto" w:fill="auto"/>
          <w:lang w:eastAsia="zh-CN"/>
        </w:rPr>
        <w:t>安康市第二小学</w:t>
      </w:r>
    </w:p>
    <w:p w14:paraId="381E52DF">
      <w:pPr>
        <w:pStyle w:val="4"/>
        <w:keepNext w:val="0"/>
        <w:keepLines w:val="0"/>
        <w:pageBreakBefore w:val="0"/>
        <w:widowControl/>
        <w:kinsoku/>
        <w:wordWrap/>
        <w:overflowPunct/>
        <w:topLinePunct w:val="0"/>
        <w:autoSpaceDE/>
        <w:autoSpaceDN/>
        <w:bidi w:val="0"/>
        <w:adjustRightInd w:val="0"/>
        <w:snapToGrid w:val="0"/>
        <w:spacing w:line="480" w:lineRule="auto"/>
        <w:ind w:left="0" w:leftChars="0" w:right="0" w:firstLine="643" w:firstLineChars="200"/>
        <w:jc w:val="left"/>
        <w:textAlignment w:val="baseline"/>
        <w:rPr>
          <w:rFonts w:hint="eastAsia" w:ascii="仿宋" w:hAnsi="仿宋" w:eastAsia="仿宋" w:cs="仿宋"/>
          <w:color w:val="auto"/>
          <w:shd w:val="clear" w:color="auto" w:fill="auto"/>
          <w:lang w:eastAsia="zh-CN"/>
        </w:rPr>
      </w:pPr>
      <w:r>
        <w:rPr>
          <w:rFonts w:hint="eastAsia" w:ascii="仿宋" w:hAnsi="仿宋" w:eastAsia="仿宋" w:cs="仿宋"/>
          <w:color w:val="auto"/>
          <w:shd w:val="clear" w:color="auto" w:fill="auto"/>
        </w:rPr>
        <w:t>代理机构：</w:t>
      </w:r>
      <w:r>
        <w:rPr>
          <w:rFonts w:hint="eastAsia" w:ascii="仿宋" w:hAnsi="仿宋" w:eastAsia="仿宋" w:cs="仿宋"/>
          <w:color w:val="auto"/>
          <w:shd w:val="clear" w:color="auto" w:fill="auto"/>
          <w:lang w:eastAsia="zh-CN"/>
        </w:rPr>
        <w:t>陕西中源项目管理有限公司</w:t>
      </w:r>
    </w:p>
    <w:p w14:paraId="5880CA5E">
      <w:pPr>
        <w:pStyle w:val="4"/>
        <w:keepNext w:val="0"/>
        <w:keepLines w:val="0"/>
        <w:pageBreakBefore w:val="0"/>
        <w:widowControl/>
        <w:kinsoku/>
        <w:wordWrap/>
        <w:overflowPunct/>
        <w:topLinePunct w:val="0"/>
        <w:autoSpaceDE/>
        <w:autoSpaceDN/>
        <w:bidi w:val="0"/>
        <w:adjustRightInd w:val="0"/>
        <w:snapToGrid w:val="0"/>
        <w:spacing w:line="480" w:lineRule="auto"/>
        <w:ind w:left="0" w:leftChars="0" w:right="0" w:firstLine="643" w:firstLineChars="200"/>
        <w:jc w:val="left"/>
        <w:textAlignment w:val="baseline"/>
        <w:rPr>
          <w:rFonts w:hint="eastAsia" w:ascii="仿宋" w:hAnsi="仿宋" w:eastAsia="仿宋" w:cs="仿宋"/>
          <w:color w:val="auto"/>
          <w:shd w:val="clear" w:color="auto" w:fill="auto"/>
          <w:lang w:val="en-US" w:eastAsia="zh-CN"/>
        </w:rPr>
        <w:sectPr>
          <w:pgSz w:w="11906" w:h="16839"/>
          <w:pgMar w:top="1431" w:right="1419" w:bottom="0" w:left="1426" w:header="0" w:footer="0" w:gutter="0"/>
          <w:pgBorders>
            <w:top w:val="none" w:sz="0" w:space="0"/>
            <w:left w:val="none" w:sz="0" w:space="0"/>
            <w:bottom w:val="none" w:sz="0" w:space="0"/>
            <w:right w:val="none" w:sz="0" w:space="0"/>
          </w:pgBorders>
          <w:cols w:space="720" w:num="1"/>
        </w:sectPr>
      </w:pPr>
      <w:r>
        <w:rPr>
          <w:rFonts w:hint="eastAsia" w:ascii="仿宋" w:hAnsi="仿宋" w:eastAsia="仿宋" w:cs="仿宋"/>
          <w:color w:val="auto"/>
          <w:shd w:val="clear" w:color="auto" w:fill="auto"/>
        </w:rPr>
        <w:t>日    期：二</w:t>
      </w:r>
      <w:r>
        <w:rPr>
          <w:rFonts w:hint="eastAsia" w:ascii="仿宋" w:hAnsi="仿宋" w:eastAsia="仿宋" w:cs="仿宋"/>
          <w:color w:val="auto"/>
          <w:shd w:val="clear" w:color="auto" w:fill="auto"/>
          <w:lang w:val="en-US" w:eastAsia="zh-CN"/>
        </w:rPr>
        <w:t>〇</w:t>
      </w:r>
      <w:r>
        <w:rPr>
          <w:rFonts w:hint="eastAsia" w:ascii="仿宋" w:hAnsi="仿宋" w:eastAsia="仿宋" w:cs="仿宋"/>
          <w:color w:val="auto"/>
          <w:shd w:val="clear" w:color="auto" w:fill="auto"/>
          <w:lang w:eastAsia="zh-CN"/>
        </w:rPr>
        <w:t>二</w:t>
      </w:r>
      <w:r>
        <w:rPr>
          <w:rFonts w:hint="eastAsia" w:ascii="仿宋" w:hAnsi="仿宋" w:eastAsia="仿宋" w:cs="仿宋"/>
          <w:color w:val="auto"/>
          <w:shd w:val="clear" w:color="auto" w:fill="auto"/>
          <w:lang w:val="en-US" w:eastAsia="zh-CN"/>
        </w:rPr>
        <w:t>六</w:t>
      </w:r>
      <w:r>
        <w:rPr>
          <w:rFonts w:hint="eastAsia" w:ascii="仿宋" w:hAnsi="仿宋" w:eastAsia="仿宋" w:cs="仿宋"/>
          <w:color w:val="auto"/>
          <w:shd w:val="clear" w:color="auto" w:fill="auto"/>
        </w:rPr>
        <w:t>年</w:t>
      </w:r>
      <w:r>
        <w:rPr>
          <w:rFonts w:hint="eastAsia" w:ascii="仿宋" w:hAnsi="仿宋" w:eastAsia="仿宋" w:cs="仿宋"/>
          <w:color w:val="auto"/>
          <w:shd w:val="clear" w:color="auto" w:fill="auto"/>
          <w:lang w:val="en-US" w:eastAsia="zh-CN"/>
        </w:rPr>
        <w:t>四月</w:t>
      </w:r>
    </w:p>
    <w:p w14:paraId="3B043A8A">
      <w:pPr>
        <w:rPr>
          <w:rFonts w:hint="eastAsia"/>
          <w:lang w:val="en-US" w:eastAsia="zh-CN"/>
        </w:rPr>
        <w:sectPr>
          <w:pgSz w:w="11906" w:h="16839"/>
          <w:pgMar w:top="1431" w:right="1419" w:bottom="0" w:left="1426" w:header="0" w:footer="0" w:gutter="0"/>
          <w:pgBorders>
            <w:top w:val="none" w:sz="0" w:space="0"/>
            <w:left w:val="none" w:sz="0" w:space="0"/>
            <w:bottom w:val="none" w:sz="0" w:space="0"/>
            <w:right w:val="none" w:sz="0" w:space="0"/>
          </w:pgBorders>
          <w:cols w:space="720" w:num="1"/>
        </w:sectPr>
      </w:pPr>
    </w:p>
    <w:p w14:paraId="1596EC82">
      <w:pPr>
        <w:rPr>
          <w:rFonts w:hint="eastAsia"/>
          <w:lang w:val="en-US" w:eastAsia="zh-CN"/>
        </w:rPr>
      </w:pPr>
    </w:p>
    <w:p w14:paraId="7852A99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宋体" w:hAnsi="宋体" w:eastAsia="宋体" w:cs="宋体"/>
          <w:color w:val="auto"/>
          <w:shd w:val="clear" w:color="auto" w:fill="auto"/>
          <w:lang w:val="en-US" w:eastAsia="zh-CN"/>
        </w:rPr>
      </w:pPr>
    </w:p>
    <w:p w14:paraId="73E9D79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宋体" w:hAnsi="宋体" w:eastAsia="宋体" w:cs="宋体"/>
          <w:color w:val="auto"/>
          <w:shd w:val="clear" w:color="auto" w:fill="auto"/>
          <w:lang w:val="en-US" w:eastAsia="zh-CN"/>
        </w:rPr>
      </w:pPr>
    </w:p>
    <w:p w14:paraId="30ABC0D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宋体" w:hAnsi="宋体" w:eastAsia="宋体" w:cs="宋体"/>
          <w:color w:val="auto"/>
          <w:shd w:val="clear" w:color="auto" w:fill="auto"/>
          <w:lang w:val="en-US" w:eastAsia="zh-CN"/>
        </w:rPr>
      </w:pPr>
    </w:p>
    <w:p w14:paraId="202A6EF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宋体" w:hAnsi="宋体" w:eastAsia="宋体" w:cs="宋体"/>
          <w:color w:val="auto"/>
          <w:shd w:val="clear" w:color="auto" w:fill="auto"/>
          <w:lang w:val="en-US" w:eastAsia="zh-CN"/>
        </w:rPr>
      </w:pPr>
    </w:p>
    <w:p w14:paraId="36D6354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ascii="宋体" w:hAnsi="宋体" w:eastAsia="宋体" w:cs="宋体"/>
          <w:color w:val="auto"/>
          <w:shd w:val="clear" w:color="auto" w:fill="auto"/>
          <w:lang w:val="en-US" w:eastAsia="zh-CN"/>
        </w:rPr>
      </w:pPr>
    </w:p>
    <w:p w14:paraId="05A98895">
      <w:pPr>
        <w:keepNext w:val="0"/>
        <w:keepLines w:val="0"/>
        <w:pageBreakBefore w:val="0"/>
        <w:widowControl/>
        <w:kinsoku/>
        <w:wordWrap/>
        <w:overflowPunct/>
        <w:topLinePunct w:val="0"/>
        <w:autoSpaceDE/>
        <w:autoSpaceDN/>
        <w:bidi w:val="0"/>
        <w:adjustRightInd w:val="0"/>
        <w:snapToGrid w:val="0"/>
        <w:spacing w:line="324" w:lineRule="auto"/>
        <w:ind w:right="0"/>
        <w:rPr>
          <w:rFonts w:hint="eastAsia" w:ascii="宋体" w:hAnsi="宋体" w:eastAsia="宋体" w:cs="宋体"/>
          <w:color w:val="auto"/>
          <w:shd w:val="clear" w:color="auto" w:fill="auto"/>
          <w:lang w:val="en-US" w:eastAsia="zh-CN"/>
        </w:rPr>
      </w:pPr>
    </w:p>
    <w:sdt>
      <w:sdtPr>
        <w:rPr>
          <w:rFonts w:ascii="Arial" w:hAnsi="Arial" w:eastAsia="Arial" w:cs="Arial"/>
          <w:sz w:val="18"/>
          <w:szCs w:val="18"/>
        </w:rPr>
        <w:id w:val="147457458"/>
        <w:docPartObj>
          <w:docPartGallery w:val="Table of Contents"/>
          <w:docPartUnique/>
        </w:docPartObj>
      </w:sdtPr>
      <w:sdtEndPr>
        <w:rPr>
          <w:rFonts w:ascii="Calibri" w:hAnsi="Calibri" w:eastAsia="Calibri" w:cs="Calibri"/>
          <w:sz w:val="28"/>
          <w:szCs w:val="28"/>
        </w:rPr>
      </w:sdtEndPr>
      <w:sdtContent>
        <w:p w14:paraId="5989A6F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360" w:firstLineChars="200"/>
            <w:jc w:val="center"/>
            <w:rPr>
              <w:rFonts w:hint="eastAsia" w:ascii="仿宋" w:hAnsi="仿宋" w:eastAsia="仿宋" w:cs="仿宋"/>
              <w:sz w:val="36"/>
              <w:szCs w:val="36"/>
            </w:rPr>
          </w:pPr>
          <w:r>
            <w:rPr>
              <w:rFonts w:hint="eastAsia" w:ascii="仿宋" w:hAnsi="仿宋" w:eastAsia="仿宋" w:cs="仿宋"/>
              <w:spacing w:val="-25"/>
              <w:sz w:val="36"/>
              <w:szCs w:val="36"/>
            </w:rPr>
            <w:t>目录</w:t>
          </w:r>
        </w:p>
        <w:p w14:paraId="79FF8A6F">
          <w:pPr>
            <w:keepNext w:val="0"/>
            <w:keepLines w:val="0"/>
            <w:pageBreakBefore w:val="0"/>
            <w:widowControl/>
            <w:tabs>
              <w:tab w:val="right" w:leader="dot" w:pos="9059"/>
            </w:tabs>
            <w:kinsoku/>
            <w:wordWrap/>
            <w:overflowPunct/>
            <w:topLinePunct w:val="0"/>
            <w:autoSpaceDE/>
            <w:autoSpaceDN/>
            <w:bidi w:val="0"/>
            <w:adjustRightInd w:val="0"/>
            <w:snapToGrid w:val="0"/>
            <w:spacing w:line="324" w:lineRule="auto"/>
            <w:ind w:left="0" w:leftChars="0" w:right="0" w:firstLine="564" w:firstLineChars="200"/>
            <w:rPr>
              <w:rFonts w:hint="eastAsia" w:ascii="仿宋" w:hAnsi="仿宋" w:eastAsia="仿宋" w:cs="仿宋"/>
              <w:spacing w:val="1"/>
              <w:position w:val="2"/>
              <w:sz w:val="28"/>
              <w:szCs w:val="28"/>
            </w:rPr>
          </w:pPr>
        </w:p>
        <w:p w14:paraId="1C29F34E">
          <w:pPr>
            <w:keepNext w:val="0"/>
            <w:keepLines w:val="0"/>
            <w:pageBreakBefore w:val="0"/>
            <w:widowControl/>
            <w:tabs>
              <w:tab w:val="right" w:leader="dot" w:pos="9059"/>
            </w:tabs>
            <w:kinsoku/>
            <w:wordWrap/>
            <w:overflowPunct/>
            <w:topLinePunct w:val="0"/>
            <w:autoSpaceDE/>
            <w:autoSpaceDN/>
            <w:bidi w:val="0"/>
            <w:adjustRightInd w:val="0"/>
            <w:snapToGrid w:val="0"/>
            <w:spacing w:line="324" w:lineRule="auto"/>
            <w:ind w:left="0" w:leftChars="0" w:right="0" w:firstLine="564" w:firstLineChars="200"/>
            <w:rPr>
              <w:rFonts w:hint="eastAsia" w:ascii="仿宋" w:hAnsi="仿宋" w:eastAsia="仿宋" w:cs="仿宋"/>
              <w:spacing w:val="1"/>
              <w:position w:val="2"/>
              <w:sz w:val="28"/>
              <w:szCs w:val="28"/>
            </w:rPr>
          </w:pPr>
          <w:r>
            <w:rPr>
              <w:rFonts w:hint="eastAsia" w:ascii="仿宋" w:hAnsi="仿宋" w:eastAsia="仿宋" w:cs="仿宋"/>
              <w:spacing w:val="1"/>
              <w:position w:val="2"/>
              <w:sz w:val="28"/>
              <w:szCs w:val="28"/>
            </w:rPr>
            <w:fldChar w:fldCharType="begin"/>
          </w:r>
          <w:r>
            <w:rPr>
              <w:rFonts w:hint="eastAsia" w:ascii="仿宋" w:hAnsi="仿宋" w:eastAsia="仿宋" w:cs="仿宋"/>
              <w:spacing w:val="1"/>
              <w:position w:val="2"/>
              <w:sz w:val="28"/>
              <w:szCs w:val="28"/>
            </w:rPr>
            <w:instrText xml:space="preserve"> HYPERLINK \l "bookmark1" </w:instrText>
          </w:r>
          <w:r>
            <w:rPr>
              <w:rFonts w:hint="eastAsia" w:ascii="仿宋" w:hAnsi="仿宋" w:eastAsia="仿宋" w:cs="仿宋"/>
              <w:spacing w:val="1"/>
              <w:position w:val="2"/>
              <w:sz w:val="28"/>
              <w:szCs w:val="28"/>
            </w:rPr>
            <w:fldChar w:fldCharType="separate"/>
          </w:r>
          <w:r>
            <w:rPr>
              <w:rFonts w:hint="eastAsia" w:ascii="仿宋" w:hAnsi="仿宋" w:eastAsia="仿宋" w:cs="仿宋"/>
              <w:spacing w:val="1"/>
              <w:position w:val="2"/>
              <w:sz w:val="28"/>
              <w:szCs w:val="28"/>
            </w:rPr>
            <w:t xml:space="preserve">第一章  磋商邀请函 </w:t>
          </w:r>
          <w:r>
            <w:rPr>
              <w:rFonts w:hint="eastAsia" w:ascii="仿宋" w:hAnsi="仿宋" w:eastAsia="仿宋" w:cs="仿宋"/>
              <w:spacing w:val="1"/>
              <w:position w:val="2"/>
              <w:sz w:val="28"/>
              <w:szCs w:val="28"/>
            </w:rPr>
            <w:fldChar w:fldCharType="end"/>
          </w:r>
        </w:p>
        <w:p w14:paraId="30C7A5FF">
          <w:pPr>
            <w:keepNext w:val="0"/>
            <w:keepLines w:val="0"/>
            <w:pageBreakBefore w:val="0"/>
            <w:widowControl/>
            <w:tabs>
              <w:tab w:val="right" w:leader="dot" w:pos="9059"/>
            </w:tabs>
            <w:kinsoku/>
            <w:wordWrap/>
            <w:overflowPunct/>
            <w:topLinePunct w:val="0"/>
            <w:autoSpaceDE/>
            <w:autoSpaceDN/>
            <w:bidi w:val="0"/>
            <w:adjustRightInd w:val="0"/>
            <w:snapToGrid w:val="0"/>
            <w:spacing w:line="324" w:lineRule="auto"/>
            <w:ind w:left="0" w:leftChars="0" w:right="0" w:firstLine="564" w:firstLineChars="200"/>
            <w:rPr>
              <w:rFonts w:hint="eastAsia" w:ascii="仿宋" w:hAnsi="仿宋" w:eastAsia="仿宋" w:cs="仿宋"/>
              <w:spacing w:val="1"/>
              <w:position w:val="2"/>
              <w:sz w:val="28"/>
              <w:szCs w:val="28"/>
            </w:rPr>
          </w:pPr>
          <w:r>
            <w:rPr>
              <w:rFonts w:hint="eastAsia" w:ascii="仿宋" w:hAnsi="仿宋" w:eastAsia="仿宋" w:cs="仿宋"/>
              <w:spacing w:val="1"/>
              <w:position w:val="2"/>
              <w:sz w:val="28"/>
              <w:szCs w:val="28"/>
              <w:lang w:val="en-US" w:eastAsia="zh-CN"/>
            </w:rPr>
            <w:t xml:space="preserve">第二章  </w:t>
          </w:r>
          <w:r>
            <w:rPr>
              <w:rFonts w:hint="eastAsia" w:ascii="仿宋" w:hAnsi="仿宋" w:eastAsia="仿宋" w:cs="仿宋"/>
              <w:spacing w:val="1"/>
              <w:position w:val="2"/>
              <w:sz w:val="28"/>
              <w:szCs w:val="28"/>
            </w:rPr>
            <w:t xml:space="preserve">供应商须知 </w:t>
          </w:r>
        </w:p>
        <w:p w14:paraId="25AF9DA9">
          <w:pPr>
            <w:keepNext w:val="0"/>
            <w:keepLines w:val="0"/>
            <w:pageBreakBefore w:val="0"/>
            <w:widowControl/>
            <w:tabs>
              <w:tab w:val="right" w:leader="dot" w:pos="9059"/>
            </w:tabs>
            <w:kinsoku/>
            <w:wordWrap/>
            <w:overflowPunct/>
            <w:topLinePunct w:val="0"/>
            <w:autoSpaceDE/>
            <w:autoSpaceDN/>
            <w:bidi w:val="0"/>
            <w:adjustRightInd w:val="0"/>
            <w:snapToGrid w:val="0"/>
            <w:spacing w:line="324" w:lineRule="auto"/>
            <w:ind w:left="0" w:leftChars="0" w:right="0" w:firstLine="564" w:firstLineChars="200"/>
            <w:rPr>
              <w:rFonts w:hint="eastAsia" w:ascii="仿宋" w:hAnsi="仿宋" w:eastAsia="仿宋" w:cs="仿宋"/>
              <w:spacing w:val="1"/>
              <w:position w:val="2"/>
              <w:sz w:val="28"/>
              <w:szCs w:val="28"/>
            </w:rPr>
          </w:pPr>
          <w:r>
            <w:rPr>
              <w:rFonts w:hint="eastAsia" w:ascii="仿宋" w:hAnsi="仿宋" w:eastAsia="仿宋" w:cs="仿宋"/>
              <w:spacing w:val="1"/>
              <w:position w:val="2"/>
              <w:sz w:val="28"/>
              <w:szCs w:val="28"/>
            </w:rPr>
            <w:t>第三章  磋商内容及采购要求</w:t>
          </w:r>
        </w:p>
        <w:p w14:paraId="0D9C43CF">
          <w:pPr>
            <w:keepNext w:val="0"/>
            <w:keepLines w:val="0"/>
            <w:pageBreakBefore w:val="0"/>
            <w:widowControl/>
            <w:tabs>
              <w:tab w:val="right" w:leader="dot" w:pos="9059"/>
            </w:tabs>
            <w:kinsoku/>
            <w:wordWrap/>
            <w:overflowPunct/>
            <w:topLinePunct w:val="0"/>
            <w:autoSpaceDE/>
            <w:autoSpaceDN/>
            <w:bidi w:val="0"/>
            <w:adjustRightInd w:val="0"/>
            <w:snapToGrid w:val="0"/>
            <w:spacing w:line="324" w:lineRule="auto"/>
            <w:ind w:left="0" w:leftChars="0" w:right="0" w:firstLine="564" w:firstLineChars="200"/>
            <w:rPr>
              <w:rFonts w:hint="eastAsia" w:ascii="仿宋" w:hAnsi="仿宋" w:eastAsia="仿宋" w:cs="仿宋"/>
              <w:spacing w:val="1"/>
              <w:position w:val="2"/>
              <w:sz w:val="28"/>
              <w:szCs w:val="28"/>
            </w:rPr>
          </w:pPr>
          <w:r>
            <w:rPr>
              <w:rFonts w:hint="eastAsia" w:ascii="仿宋" w:hAnsi="仿宋" w:eastAsia="仿宋" w:cs="仿宋"/>
              <w:spacing w:val="1"/>
              <w:position w:val="2"/>
              <w:sz w:val="28"/>
              <w:szCs w:val="28"/>
            </w:rPr>
            <w:fldChar w:fldCharType="begin"/>
          </w:r>
          <w:r>
            <w:rPr>
              <w:rFonts w:hint="eastAsia" w:ascii="仿宋" w:hAnsi="仿宋" w:eastAsia="仿宋" w:cs="仿宋"/>
              <w:spacing w:val="1"/>
              <w:position w:val="2"/>
              <w:sz w:val="28"/>
              <w:szCs w:val="28"/>
            </w:rPr>
            <w:instrText xml:space="preserve"> HYPERLINK \l "bookmark14" </w:instrText>
          </w:r>
          <w:r>
            <w:rPr>
              <w:rFonts w:hint="eastAsia" w:ascii="仿宋" w:hAnsi="仿宋" w:eastAsia="仿宋" w:cs="仿宋"/>
              <w:spacing w:val="1"/>
              <w:position w:val="2"/>
              <w:sz w:val="28"/>
              <w:szCs w:val="28"/>
            </w:rPr>
            <w:fldChar w:fldCharType="separate"/>
          </w:r>
          <w:r>
            <w:rPr>
              <w:rFonts w:hint="eastAsia" w:ascii="仿宋" w:hAnsi="仿宋" w:eastAsia="仿宋" w:cs="仿宋"/>
              <w:spacing w:val="1"/>
              <w:position w:val="2"/>
              <w:sz w:val="28"/>
              <w:szCs w:val="28"/>
            </w:rPr>
            <w:t>第四章  合同基本条款</w:t>
          </w:r>
          <w:r>
            <w:rPr>
              <w:rFonts w:hint="eastAsia" w:ascii="仿宋" w:hAnsi="仿宋" w:eastAsia="仿宋" w:cs="仿宋"/>
              <w:spacing w:val="1"/>
              <w:position w:val="2"/>
              <w:sz w:val="28"/>
              <w:szCs w:val="28"/>
            </w:rPr>
            <w:fldChar w:fldCharType="end"/>
          </w:r>
        </w:p>
        <w:p w14:paraId="020F2C56">
          <w:pPr>
            <w:keepNext w:val="0"/>
            <w:keepLines w:val="0"/>
            <w:pageBreakBefore w:val="0"/>
            <w:widowControl/>
            <w:tabs>
              <w:tab w:val="right" w:leader="dot" w:pos="9059"/>
            </w:tabs>
            <w:kinsoku/>
            <w:wordWrap/>
            <w:overflowPunct/>
            <w:topLinePunct w:val="0"/>
            <w:autoSpaceDE/>
            <w:autoSpaceDN/>
            <w:bidi w:val="0"/>
            <w:adjustRightInd w:val="0"/>
            <w:snapToGrid w:val="0"/>
            <w:spacing w:line="324" w:lineRule="auto"/>
            <w:ind w:left="0" w:leftChars="0" w:right="0" w:firstLine="564" w:firstLineChars="200"/>
            <w:rPr>
              <w:rFonts w:hint="eastAsia" w:ascii="仿宋" w:hAnsi="仿宋" w:eastAsia="仿宋" w:cs="仿宋"/>
              <w:spacing w:val="1"/>
              <w:position w:val="2"/>
              <w:sz w:val="28"/>
              <w:szCs w:val="28"/>
            </w:rPr>
          </w:pPr>
          <w:r>
            <w:rPr>
              <w:rFonts w:hint="eastAsia" w:ascii="仿宋" w:hAnsi="仿宋" w:eastAsia="仿宋" w:cs="仿宋"/>
              <w:spacing w:val="1"/>
              <w:position w:val="2"/>
              <w:sz w:val="28"/>
              <w:szCs w:val="28"/>
            </w:rPr>
            <w:fldChar w:fldCharType="begin"/>
          </w:r>
          <w:r>
            <w:rPr>
              <w:rFonts w:hint="eastAsia" w:ascii="仿宋" w:hAnsi="仿宋" w:eastAsia="仿宋" w:cs="仿宋"/>
              <w:spacing w:val="1"/>
              <w:position w:val="2"/>
              <w:sz w:val="28"/>
              <w:szCs w:val="28"/>
            </w:rPr>
            <w:instrText xml:space="preserve"> HYPERLINK \l "bookmark15" </w:instrText>
          </w:r>
          <w:r>
            <w:rPr>
              <w:rFonts w:hint="eastAsia" w:ascii="仿宋" w:hAnsi="仿宋" w:eastAsia="仿宋" w:cs="仿宋"/>
              <w:spacing w:val="1"/>
              <w:position w:val="2"/>
              <w:sz w:val="28"/>
              <w:szCs w:val="28"/>
            </w:rPr>
            <w:fldChar w:fldCharType="separate"/>
          </w:r>
          <w:r>
            <w:rPr>
              <w:rFonts w:hint="eastAsia" w:ascii="仿宋" w:hAnsi="仿宋" w:eastAsia="仿宋" w:cs="仿宋"/>
              <w:spacing w:val="1"/>
              <w:position w:val="2"/>
              <w:sz w:val="28"/>
              <w:szCs w:val="28"/>
            </w:rPr>
            <w:t>第五章  响应文件构成及格式</w:t>
          </w:r>
          <w:r>
            <w:rPr>
              <w:rFonts w:hint="eastAsia" w:ascii="仿宋" w:hAnsi="仿宋" w:eastAsia="仿宋" w:cs="仿宋"/>
              <w:spacing w:val="1"/>
              <w:position w:val="2"/>
              <w:sz w:val="28"/>
              <w:szCs w:val="28"/>
            </w:rPr>
            <w:fldChar w:fldCharType="end"/>
          </w:r>
        </w:p>
        <w:p w14:paraId="14BDE59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rFonts w:ascii="Calibri" w:hAnsi="Calibri" w:eastAsia="Calibri" w:cs="Calibri"/>
              <w:sz w:val="28"/>
              <w:szCs w:val="28"/>
            </w:rPr>
            <w:sectPr>
              <w:pgSz w:w="11906" w:h="16839"/>
              <w:pgMar w:top="1431" w:right="1419" w:bottom="0" w:left="1426" w:header="0" w:footer="0" w:gutter="0"/>
              <w:pgBorders>
                <w:top w:val="none" w:sz="0" w:space="0"/>
                <w:left w:val="none" w:sz="0" w:space="0"/>
                <w:bottom w:val="none" w:sz="0" w:space="0"/>
                <w:right w:val="none" w:sz="0" w:space="0"/>
              </w:pgBorders>
              <w:cols w:space="720" w:num="1"/>
            </w:sectPr>
          </w:pPr>
        </w:p>
      </w:sdtContent>
    </w:sdt>
    <w:p w14:paraId="08848D0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E33C93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0" w:firstLineChars="200"/>
        <w:jc w:val="center"/>
        <w:outlineLvl w:val="0"/>
        <w:rPr>
          <w:rFonts w:ascii="黑体" w:hAnsi="黑体" w:eastAsia="黑体" w:cs="黑体"/>
          <w:spacing w:val="10"/>
          <w:sz w:val="31"/>
          <w:szCs w:val="31"/>
        </w:rPr>
      </w:pPr>
      <w:bookmarkStart w:id="0" w:name="bookmark1"/>
      <w:bookmarkEnd w:id="0"/>
      <w:r>
        <w:rPr>
          <w:rFonts w:ascii="黑体" w:hAnsi="黑体" w:eastAsia="黑体" w:cs="黑体"/>
          <w:spacing w:val="10"/>
          <w:sz w:val="31"/>
          <w:szCs w:val="31"/>
        </w:rPr>
        <w:t>第一章  磋商邀请函</w:t>
      </w:r>
    </w:p>
    <w:p w14:paraId="2A9B03E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0" w:firstLineChars="200"/>
        <w:jc w:val="center"/>
        <w:outlineLvl w:val="0"/>
        <w:rPr>
          <w:rFonts w:ascii="黑体" w:hAnsi="黑体" w:eastAsia="黑体" w:cs="黑体"/>
          <w:spacing w:val="10"/>
          <w:sz w:val="31"/>
          <w:szCs w:val="31"/>
        </w:rPr>
      </w:pPr>
    </w:p>
    <w:p w14:paraId="12488A2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0" w:firstLineChars="200"/>
        <w:jc w:val="both"/>
        <w:rPr>
          <w:sz w:val="28"/>
          <w:szCs w:val="28"/>
        </w:rPr>
      </w:pPr>
      <w:r>
        <w:rPr>
          <w:rFonts w:hint="eastAsia"/>
          <w:b/>
          <w:bCs/>
          <w:spacing w:val="2"/>
          <w:sz w:val="28"/>
          <w:szCs w:val="28"/>
          <w:lang w:eastAsia="zh-CN"/>
        </w:rPr>
        <w:t>安康市第二小学智慧校园建设项目</w:t>
      </w:r>
      <w:r>
        <w:rPr>
          <w:spacing w:val="2"/>
          <w:sz w:val="28"/>
          <w:szCs w:val="28"/>
        </w:rPr>
        <w:t>潜在的供应商可在全国公共资源交易平台</w:t>
      </w:r>
      <w:r>
        <w:rPr>
          <w:rFonts w:hint="eastAsia"/>
          <w:spacing w:val="2"/>
          <w:sz w:val="28"/>
          <w:szCs w:val="28"/>
          <w:lang w:eastAsia="zh-CN"/>
        </w:rPr>
        <w:t>（陕西省·安康市）</w:t>
      </w:r>
      <w:r>
        <w:rPr>
          <w:spacing w:val="2"/>
          <w:sz w:val="28"/>
          <w:szCs w:val="28"/>
        </w:rPr>
        <w:t>政府采购交易</w:t>
      </w:r>
      <w:r>
        <w:rPr>
          <w:spacing w:val="1"/>
          <w:sz w:val="28"/>
          <w:szCs w:val="28"/>
        </w:rPr>
        <w:t>系统获取磋商文件，并于</w:t>
      </w:r>
      <w:r>
        <w:rPr>
          <w:spacing w:val="-52"/>
          <w:sz w:val="28"/>
          <w:szCs w:val="28"/>
        </w:rPr>
        <w:t xml:space="preserve"> </w:t>
      </w:r>
      <w:r>
        <w:rPr>
          <w:spacing w:val="1"/>
          <w:sz w:val="28"/>
          <w:szCs w:val="28"/>
        </w:rPr>
        <w:t>2026</w:t>
      </w:r>
      <w:r>
        <w:rPr>
          <w:rFonts w:hint="eastAsia"/>
          <w:spacing w:val="1"/>
          <w:sz w:val="28"/>
          <w:szCs w:val="28"/>
          <w:lang w:val="en-US" w:eastAsia="zh-CN"/>
        </w:rPr>
        <w:t>年5月15日14</w:t>
      </w:r>
      <w:r>
        <w:rPr>
          <w:sz w:val="28"/>
          <w:szCs w:val="28"/>
        </w:rPr>
        <w:t>:</w:t>
      </w:r>
      <w:r>
        <w:rPr>
          <w:rFonts w:hint="eastAsia"/>
          <w:sz w:val="28"/>
          <w:szCs w:val="28"/>
          <w:lang w:val="en-US" w:eastAsia="zh-CN"/>
        </w:rPr>
        <w:t>0</w:t>
      </w:r>
      <w:r>
        <w:rPr>
          <w:sz w:val="28"/>
          <w:szCs w:val="28"/>
        </w:rPr>
        <w:t>0:00</w:t>
      </w:r>
      <w:r>
        <w:rPr>
          <w:spacing w:val="-45"/>
          <w:sz w:val="28"/>
          <w:szCs w:val="28"/>
        </w:rPr>
        <w:t xml:space="preserve"> </w:t>
      </w:r>
      <w:r>
        <w:rPr>
          <w:sz w:val="28"/>
          <w:szCs w:val="28"/>
        </w:rPr>
        <w:t>前递交响应文件。</w:t>
      </w:r>
    </w:p>
    <w:p w14:paraId="371D7BF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rPr>
          <w:rFonts w:hint="eastAsia" w:eastAsia="仿宋"/>
          <w:sz w:val="28"/>
          <w:szCs w:val="28"/>
          <w:lang w:eastAsia="zh-CN"/>
        </w:rPr>
      </w:pPr>
      <w:r>
        <w:rPr>
          <w:b/>
          <w:bCs/>
          <w:spacing w:val="-4"/>
          <w:sz w:val="28"/>
          <w:szCs w:val="28"/>
        </w:rPr>
        <w:t>一、项目名称</w:t>
      </w:r>
      <w:r>
        <w:rPr>
          <w:spacing w:val="-4"/>
          <w:sz w:val="28"/>
          <w:szCs w:val="28"/>
        </w:rPr>
        <w:t>：</w:t>
      </w:r>
      <w:r>
        <w:rPr>
          <w:rFonts w:hint="eastAsia"/>
          <w:spacing w:val="-4"/>
          <w:sz w:val="28"/>
          <w:szCs w:val="28"/>
          <w:lang w:eastAsia="zh-CN"/>
        </w:rPr>
        <w:t>安康市第二小学智慧校园建设项目</w:t>
      </w:r>
    </w:p>
    <w:p w14:paraId="23B7496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rFonts w:hint="eastAsia" w:eastAsia="仿宋"/>
          <w:sz w:val="28"/>
          <w:szCs w:val="28"/>
          <w:lang w:eastAsia="zh-CN"/>
        </w:rPr>
      </w:pPr>
      <w:r>
        <w:rPr>
          <w:b/>
          <w:bCs/>
          <w:sz w:val="28"/>
          <w:szCs w:val="28"/>
        </w:rPr>
        <w:t>二、项目编号</w:t>
      </w:r>
      <w:r>
        <w:rPr>
          <w:sz w:val="28"/>
          <w:szCs w:val="28"/>
        </w:rPr>
        <w:t>：</w:t>
      </w:r>
      <w:r>
        <w:rPr>
          <w:rFonts w:hint="eastAsia"/>
          <w:sz w:val="28"/>
          <w:szCs w:val="28"/>
          <w:lang w:eastAsia="zh-CN"/>
        </w:rPr>
        <w:t>SXZY-AK2026025</w:t>
      </w:r>
    </w:p>
    <w:p w14:paraId="490E8C9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rFonts w:hint="eastAsia" w:eastAsia="仿宋"/>
          <w:sz w:val="28"/>
          <w:szCs w:val="28"/>
          <w:lang w:eastAsia="zh-CN"/>
        </w:rPr>
      </w:pPr>
      <w:r>
        <w:rPr>
          <w:b/>
          <w:bCs/>
          <w:spacing w:val="-1"/>
          <w:sz w:val="28"/>
          <w:szCs w:val="28"/>
        </w:rPr>
        <w:t>三、采购人：</w:t>
      </w:r>
      <w:r>
        <w:rPr>
          <w:rFonts w:hint="eastAsia"/>
          <w:spacing w:val="-1"/>
          <w:sz w:val="28"/>
          <w:szCs w:val="28"/>
          <w:lang w:eastAsia="zh-CN"/>
        </w:rPr>
        <w:t>安康市第二小学</w:t>
      </w:r>
    </w:p>
    <w:p w14:paraId="13BC9A5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rFonts w:hint="eastAsia"/>
          <w:sz w:val="28"/>
          <w:szCs w:val="28"/>
          <w:lang w:eastAsia="zh-CN"/>
        </w:rPr>
      </w:pPr>
      <w:r>
        <w:rPr>
          <w:sz w:val="28"/>
          <w:szCs w:val="28"/>
        </w:rPr>
        <w:t>地址：</w:t>
      </w:r>
      <w:r>
        <w:rPr>
          <w:rFonts w:hint="eastAsia"/>
          <w:sz w:val="28"/>
          <w:szCs w:val="28"/>
          <w:lang w:eastAsia="zh-CN"/>
        </w:rPr>
        <w:t>安康市江北大道铁路静安小区</w:t>
      </w:r>
    </w:p>
    <w:p w14:paraId="542CDAD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rFonts w:hint="eastAsia" w:eastAsia="仿宋"/>
          <w:sz w:val="28"/>
          <w:szCs w:val="28"/>
          <w:lang w:eastAsia="zh-CN"/>
        </w:rPr>
      </w:pPr>
      <w:r>
        <w:rPr>
          <w:sz w:val="28"/>
          <w:szCs w:val="28"/>
        </w:rPr>
        <w:t>联系人：</w:t>
      </w:r>
      <w:r>
        <w:rPr>
          <w:rFonts w:hint="eastAsia"/>
          <w:sz w:val="28"/>
          <w:szCs w:val="28"/>
          <w:lang w:eastAsia="zh-CN"/>
        </w:rPr>
        <w:t>高老师</w:t>
      </w:r>
    </w:p>
    <w:p w14:paraId="579ADC9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rFonts w:hint="eastAsia" w:eastAsia="仿宋"/>
          <w:sz w:val="28"/>
          <w:szCs w:val="28"/>
          <w:lang w:eastAsia="zh-CN"/>
        </w:rPr>
      </w:pPr>
      <w:r>
        <w:rPr>
          <w:spacing w:val="1"/>
          <w:sz w:val="28"/>
          <w:szCs w:val="28"/>
        </w:rPr>
        <w:t>联系方式：</w:t>
      </w:r>
      <w:r>
        <w:rPr>
          <w:rFonts w:hint="eastAsia"/>
          <w:color w:val="auto"/>
          <w:spacing w:val="1"/>
          <w:sz w:val="28"/>
          <w:szCs w:val="28"/>
          <w:lang w:eastAsia="zh-CN"/>
        </w:rPr>
        <w:t>18291501779</w:t>
      </w:r>
    </w:p>
    <w:p w14:paraId="63E7083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rFonts w:hint="eastAsia"/>
          <w:sz w:val="28"/>
          <w:szCs w:val="28"/>
          <w:lang w:eastAsia="zh-CN"/>
        </w:rPr>
      </w:pPr>
      <w:r>
        <w:rPr>
          <w:b/>
          <w:bCs/>
          <w:sz w:val="28"/>
          <w:szCs w:val="28"/>
        </w:rPr>
        <w:t>四、采购代理机构</w:t>
      </w:r>
      <w:r>
        <w:rPr>
          <w:sz w:val="28"/>
          <w:szCs w:val="28"/>
        </w:rPr>
        <w:t>：</w:t>
      </w:r>
      <w:r>
        <w:rPr>
          <w:rFonts w:hint="eastAsia"/>
          <w:sz w:val="28"/>
          <w:szCs w:val="28"/>
          <w:lang w:eastAsia="zh-CN"/>
        </w:rPr>
        <w:t>陕西中源项目管理有限公司</w:t>
      </w:r>
    </w:p>
    <w:p w14:paraId="0994E72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rFonts w:hint="eastAsia" w:eastAsia="仿宋"/>
          <w:sz w:val="28"/>
          <w:szCs w:val="28"/>
          <w:lang w:eastAsia="zh-CN"/>
        </w:rPr>
      </w:pPr>
      <w:r>
        <w:rPr>
          <w:spacing w:val="-1"/>
          <w:sz w:val="28"/>
          <w:szCs w:val="28"/>
        </w:rPr>
        <w:t>地址：</w:t>
      </w:r>
      <w:r>
        <w:rPr>
          <w:rFonts w:hint="eastAsia"/>
          <w:spacing w:val="-1"/>
          <w:sz w:val="28"/>
          <w:szCs w:val="28"/>
          <w:lang w:eastAsia="zh-CN"/>
        </w:rPr>
        <w:t>安康市汉滨区木竹桥安置社区</w:t>
      </w:r>
    </w:p>
    <w:p w14:paraId="26B2C97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rFonts w:hint="eastAsia" w:eastAsia="仿宋"/>
          <w:sz w:val="28"/>
          <w:szCs w:val="28"/>
          <w:lang w:eastAsia="zh-CN"/>
        </w:rPr>
      </w:pPr>
      <w:r>
        <w:rPr>
          <w:sz w:val="28"/>
          <w:szCs w:val="28"/>
        </w:rPr>
        <w:t>联系人：</w:t>
      </w:r>
      <w:r>
        <w:rPr>
          <w:rFonts w:hint="eastAsia"/>
          <w:sz w:val="28"/>
          <w:szCs w:val="28"/>
          <w:lang w:eastAsia="zh-CN"/>
        </w:rPr>
        <w:t>徐金金</w:t>
      </w:r>
    </w:p>
    <w:p w14:paraId="121863B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rFonts w:hint="eastAsia" w:eastAsia="仿宋"/>
          <w:sz w:val="28"/>
          <w:szCs w:val="28"/>
          <w:lang w:eastAsia="zh-CN"/>
        </w:rPr>
      </w:pPr>
      <w:r>
        <w:rPr>
          <w:spacing w:val="1"/>
          <w:sz w:val="28"/>
          <w:szCs w:val="28"/>
        </w:rPr>
        <w:t>联系方式：</w:t>
      </w:r>
      <w:r>
        <w:rPr>
          <w:rFonts w:hint="eastAsia"/>
          <w:spacing w:val="1"/>
          <w:sz w:val="28"/>
          <w:szCs w:val="28"/>
          <w:lang w:eastAsia="zh-CN"/>
        </w:rPr>
        <w:t>16609151911</w:t>
      </w:r>
    </w:p>
    <w:p w14:paraId="39F5E17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五、磋商内容和要求</w:t>
      </w:r>
    </w:p>
    <w:p w14:paraId="3EAD3DF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0" w:firstLineChars="200"/>
        <w:rPr>
          <w:sz w:val="28"/>
          <w:szCs w:val="28"/>
        </w:rPr>
      </w:pPr>
      <w:r>
        <w:rPr>
          <w:spacing w:val="5"/>
          <w:sz w:val="28"/>
          <w:szCs w:val="28"/>
        </w:rPr>
        <w:t>本项目为</w:t>
      </w:r>
      <w:r>
        <w:rPr>
          <w:rFonts w:hint="eastAsia"/>
          <w:spacing w:val="5"/>
          <w:sz w:val="28"/>
          <w:szCs w:val="28"/>
          <w:lang w:eastAsia="zh-CN"/>
        </w:rPr>
        <w:t>安康市第二小学智慧校园建设项目</w:t>
      </w:r>
      <w:r>
        <w:rPr>
          <w:spacing w:val="-6"/>
          <w:sz w:val="28"/>
          <w:szCs w:val="28"/>
        </w:rPr>
        <w:t>。（详见磋商文件第三章磋商内容及采购要求）。</w:t>
      </w:r>
    </w:p>
    <w:p w14:paraId="68A2ABDB">
      <w:pPr>
        <w:pStyle w:val="11"/>
        <w:keepNext w:val="0"/>
        <w:keepLines w:val="0"/>
        <w:pageBreakBefore w:val="0"/>
        <w:widowControl/>
        <w:suppressLineNumbers w:val="0"/>
        <w:kinsoku/>
        <w:wordWrap/>
        <w:overflowPunct/>
        <w:topLinePunct w:val="0"/>
        <w:autoSpaceDE/>
        <w:autoSpaceDN/>
        <w:bidi w:val="0"/>
        <w:adjustRightInd w:val="0"/>
        <w:snapToGrid w:val="0"/>
        <w:spacing w:line="324" w:lineRule="auto"/>
        <w:ind w:left="0" w:leftChars="0" w:right="0" w:firstLine="558" w:firstLineChars="200"/>
        <w:rPr>
          <w:rFonts w:hint="default" w:eastAsia="仿宋"/>
          <w:sz w:val="28"/>
          <w:szCs w:val="28"/>
          <w:lang w:val="en-US" w:eastAsia="zh-CN"/>
        </w:rPr>
      </w:pPr>
      <w:r>
        <w:rPr>
          <w:b/>
          <w:bCs/>
          <w:spacing w:val="-1"/>
          <w:sz w:val="28"/>
          <w:szCs w:val="28"/>
        </w:rPr>
        <w:t>六、资金来源</w:t>
      </w:r>
      <w:r>
        <w:rPr>
          <w:spacing w:val="-1"/>
          <w:sz w:val="28"/>
          <w:szCs w:val="28"/>
        </w:rPr>
        <w:t>：</w:t>
      </w:r>
      <w:r>
        <w:rPr>
          <w:rFonts w:hint="eastAsia" w:ascii="仿宋" w:hAnsi="仿宋" w:eastAsia="仿宋" w:cs="仿宋"/>
          <w:snapToGrid w:val="0"/>
          <w:color w:val="000000"/>
          <w:spacing w:val="5"/>
          <w:kern w:val="0"/>
          <w:sz w:val="28"/>
          <w:szCs w:val="28"/>
          <w:lang w:val="en-US" w:eastAsia="zh-CN" w:bidi="ar-SA"/>
        </w:rPr>
        <w:t>财政专项资金</w:t>
      </w:r>
    </w:p>
    <w:p w14:paraId="1F83E72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七、采购预算：</w:t>
      </w:r>
      <w:r>
        <w:rPr>
          <w:rFonts w:hint="eastAsia"/>
          <w:spacing w:val="-2"/>
          <w:sz w:val="28"/>
          <w:szCs w:val="28"/>
          <w:lang w:val="en-US" w:eastAsia="zh-CN"/>
        </w:rPr>
        <w:t>106</w:t>
      </w:r>
      <w:r>
        <w:rPr>
          <w:spacing w:val="-2"/>
          <w:sz w:val="28"/>
          <w:szCs w:val="28"/>
        </w:rPr>
        <w:t>万元</w:t>
      </w:r>
    </w:p>
    <w:p w14:paraId="5364B45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6" w:firstLineChars="200"/>
        <w:rPr>
          <w:rFonts w:hint="eastAsia" w:eastAsia="仿宋"/>
          <w:sz w:val="28"/>
          <w:szCs w:val="28"/>
          <w:lang w:eastAsia="zh-CN"/>
        </w:rPr>
      </w:pPr>
      <w:r>
        <w:rPr>
          <w:b/>
          <w:bCs/>
          <w:spacing w:val="1"/>
          <w:sz w:val="28"/>
          <w:szCs w:val="28"/>
        </w:rPr>
        <w:t>八、所属行业：</w:t>
      </w:r>
      <w:r>
        <w:rPr>
          <w:rFonts w:hint="eastAsia"/>
          <w:spacing w:val="1"/>
          <w:sz w:val="28"/>
          <w:szCs w:val="28"/>
          <w:lang w:val="en-US" w:eastAsia="zh-CN"/>
        </w:rPr>
        <w:t>信息技术服务</w:t>
      </w:r>
    </w:p>
    <w:p w14:paraId="201582E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九、项目属性：</w:t>
      </w:r>
      <w:r>
        <w:rPr>
          <w:spacing w:val="-1"/>
          <w:sz w:val="28"/>
          <w:szCs w:val="28"/>
        </w:rPr>
        <w:t>服务类</w:t>
      </w:r>
    </w:p>
    <w:p w14:paraId="34AD129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十、供应商资格要求</w:t>
      </w:r>
    </w:p>
    <w:p w14:paraId="11989FE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符合《中华人民共和国政府采购法》第二十二条的规定，并提供下列</w:t>
      </w:r>
      <w:r>
        <w:rPr>
          <w:spacing w:val="-5"/>
          <w:sz w:val="28"/>
          <w:szCs w:val="28"/>
        </w:rPr>
        <w:t>材料：</w:t>
      </w:r>
    </w:p>
    <w:p w14:paraId="140401A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sectPr>
          <w:footerReference r:id="rId5" w:type="default"/>
          <w:pgSz w:w="11906" w:h="16839"/>
          <w:pgMar w:top="1210" w:right="1416" w:bottom="1233" w:left="1417" w:header="828" w:footer="1019" w:gutter="0"/>
          <w:pgBorders>
            <w:top w:val="none" w:sz="0" w:space="0"/>
            <w:left w:val="none" w:sz="0" w:space="0"/>
            <w:bottom w:val="none" w:sz="0" w:space="0"/>
            <w:right w:val="none" w:sz="0" w:space="0"/>
          </w:pgBorders>
          <w:pgNumType w:fmt="decimal" w:start="1"/>
          <w:cols w:space="720" w:num="1"/>
        </w:sectPr>
      </w:pPr>
      <w:r>
        <w:rPr>
          <w:spacing w:val="-2"/>
          <w:sz w:val="28"/>
          <w:szCs w:val="28"/>
        </w:rPr>
        <w:t>1、营业执照等主体资格证明文件：提供有效存续</w:t>
      </w:r>
      <w:r>
        <w:rPr>
          <w:spacing w:val="-3"/>
          <w:sz w:val="28"/>
          <w:szCs w:val="28"/>
        </w:rPr>
        <w:t>的企业营业执照（副</w:t>
      </w:r>
      <w:r>
        <w:rPr>
          <w:spacing w:val="-2"/>
          <w:sz w:val="28"/>
          <w:szCs w:val="28"/>
        </w:rPr>
        <w:t>本）/事业单位法人证书/专业服务机构执业许可证/民办非企业单位登记证</w:t>
      </w:r>
    </w:p>
    <w:p w14:paraId="50510A51">
      <w:pPr>
        <w:pStyle w:val="7"/>
        <w:keepNext w:val="0"/>
        <w:keepLines w:val="0"/>
        <w:pageBreakBefore w:val="0"/>
        <w:widowControl/>
        <w:kinsoku/>
        <w:wordWrap/>
        <w:overflowPunct/>
        <w:topLinePunct w:val="0"/>
        <w:autoSpaceDE/>
        <w:autoSpaceDN/>
        <w:bidi w:val="0"/>
        <w:adjustRightInd w:val="0"/>
        <w:snapToGrid w:val="0"/>
        <w:spacing w:line="324" w:lineRule="auto"/>
        <w:ind w:right="0"/>
        <w:rPr>
          <w:sz w:val="28"/>
          <w:szCs w:val="28"/>
        </w:rPr>
      </w:pPr>
      <w:r>
        <w:rPr>
          <w:spacing w:val="-16"/>
          <w:sz w:val="28"/>
          <w:szCs w:val="28"/>
        </w:rPr>
        <w:t>书。</w:t>
      </w:r>
    </w:p>
    <w:p w14:paraId="13895EE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pacing w:val="-71"/>
          <w:sz w:val="28"/>
          <w:szCs w:val="28"/>
        </w:rPr>
      </w:pPr>
      <w:r>
        <w:rPr>
          <w:spacing w:val="2"/>
          <w:sz w:val="28"/>
          <w:szCs w:val="28"/>
        </w:rPr>
        <w:t>2、财务状况报告（以下两种资料提供任意一种即可</w:t>
      </w:r>
      <w:r>
        <w:rPr>
          <w:spacing w:val="-71"/>
          <w:sz w:val="28"/>
          <w:szCs w:val="28"/>
        </w:rPr>
        <w:t>）：</w:t>
      </w:r>
    </w:p>
    <w:p w14:paraId="2EF5E30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8" w:firstLineChars="200"/>
        <w:rPr>
          <w:sz w:val="28"/>
          <w:szCs w:val="28"/>
        </w:rPr>
      </w:pPr>
      <w:r>
        <w:rPr>
          <w:spacing w:val="7"/>
          <w:sz w:val="28"/>
          <w:szCs w:val="28"/>
        </w:rPr>
        <w:t>（1）提供递交</w:t>
      </w:r>
      <w:r>
        <w:rPr>
          <w:rFonts w:hint="eastAsia"/>
          <w:spacing w:val="7"/>
          <w:sz w:val="28"/>
          <w:szCs w:val="28"/>
          <w:lang w:val="en-US" w:eastAsia="zh-CN"/>
        </w:rPr>
        <w:t>2024年或2025年</w:t>
      </w:r>
      <w:r>
        <w:rPr>
          <w:spacing w:val="7"/>
          <w:sz w:val="28"/>
          <w:szCs w:val="28"/>
        </w:rPr>
        <w:t>任意一个年度经审计的财</w:t>
      </w:r>
      <w:r>
        <w:rPr>
          <w:spacing w:val="-9"/>
          <w:sz w:val="28"/>
          <w:szCs w:val="28"/>
        </w:rPr>
        <w:t>务报告（包括“</w:t>
      </w:r>
      <w:r>
        <w:rPr>
          <w:spacing w:val="-77"/>
          <w:sz w:val="28"/>
          <w:szCs w:val="28"/>
        </w:rPr>
        <w:t xml:space="preserve"> </w:t>
      </w:r>
      <w:r>
        <w:rPr>
          <w:spacing w:val="-9"/>
          <w:sz w:val="28"/>
          <w:szCs w:val="28"/>
        </w:rPr>
        <w:t>四表一注</w:t>
      </w:r>
      <w:r>
        <w:rPr>
          <w:spacing w:val="-98"/>
          <w:sz w:val="28"/>
          <w:szCs w:val="28"/>
        </w:rPr>
        <w:t xml:space="preserve"> </w:t>
      </w:r>
      <w:r>
        <w:rPr>
          <w:spacing w:val="-9"/>
          <w:sz w:val="28"/>
          <w:szCs w:val="28"/>
        </w:rPr>
        <w:t>”，即资产负债表、利润表、现金流量表、所有者</w:t>
      </w:r>
      <w:r>
        <w:rPr>
          <w:spacing w:val="-6"/>
          <w:sz w:val="28"/>
          <w:szCs w:val="28"/>
        </w:rPr>
        <w:t>权益变动表及其附注，符合《中小企业划型标准规定》的小型企业按照《小</w:t>
      </w:r>
      <w:r>
        <w:rPr>
          <w:spacing w:val="3"/>
          <w:sz w:val="28"/>
          <w:szCs w:val="28"/>
        </w:rPr>
        <w:t>企业会计准则》执行。成立时间至提交响应文件截止时</w:t>
      </w:r>
      <w:r>
        <w:rPr>
          <w:spacing w:val="2"/>
          <w:sz w:val="28"/>
          <w:szCs w:val="28"/>
        </w:rPr>
        <w:t>间不足一年的可提</w:t>
      </w:r>
      <w:r>
        <w:rPr>
          <w:spacing w:val="1"/>
          <w:sz w:val="28"/>
          <w:szCs w:val="28"/>
        </w:rPr>
        <w:t>供成立后任意时段的资产负债表</w:t>
      </w:r>
      <w:r>
        <w:rPr>
          <w:spacing w:val="-65"/>
          <w:w w:val="83"/>
          <w:sz w:val="28"/>
          <w:szCs w:val="28"/>
        </w:rPr>
        <w:t>），</w:t>
      </w:r>
      <w:r>
        <w:rPr>
          <w:spacing w:val="1"/>
          <w:sz w:val="28"/>
          <w:szCs w:val="28"/>
        </w:rPr>
        <w:t>审计报告须具有注册会计师行业统一监管平台赋予的验证码；</w:t>
      </w:r>
    </w:p>
    <w:p w14:paraId="0ED65BB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（2）其开标前三个月内基本开户银行出具的资信证明。</w:t>
      </w:r>
    </w:p>
    <w:p w14:paraId="229B3CB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3、社保缴纳证明：提供递交响应文件截止之日前一年内任意一个月的</w:t>
      </w:r>
      <w:r>
        <w:rPr>
          <w:spacing w:val="3"/>
          <w:sz w:val="28"/>
          <w:szCs w:val="28"/>
        </w:rPr>
        <w:t>社会保障资金缴存单据或社保机构开具的社会保险参</w:t>
      </w:r>
      <w:r>
        <w:rPr>
          <w:spacing w:val="2"/>
          <w:sz w:val="28"/>
          <w:szCs w:val="28"/>
        </w:rPr>
        <w:t>保缴费情况证明。依法不需要缴纳社会保障资金的供应商应提供相关文件证明。</w:t>
      </w:r>
    </w:p>
    <w:p w14:paraId="3D795E1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4、税收缴纳证明：提供递交响应文件截止之日前一年内任意一个月的</w:t>
      </w:r>
      <w:r>
        <w:rPr>
          <w:spacing w:val="3"/>
          <w:sz w:val="28"/>
          <w:szCs w:val="28"/>
        </w:rPr>
        <w:t>依法缴纳税收的完税证明，完税证明应有税务机关</w:t>
      </w:r>
      <w:r>
        <w:rPr>
          <w:spacing w:val="2"/>
          <w:sz w:val="28"/>
          <w:szCs w:val="28"/>
        </w:rPr>
        <w:t>或代收机关的公章或业务专用章。依法免税或无须缴纳税收的供应商，应提供相应证明文件。</w:t>
      </w:r>
    </w:p>
    <w:p w14:paraId="099B23E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5、信用记录：提供《供应商信用记录书面声明函》。经查，供应商未</w:t>
      </w:r>
      <w:r>
        <w:rPr>
          <w:sz w:val="28"/>
          <w:szCs w:val="28"/>
        </w:rPr>
        <w:t>被列入“信用中国</w:t>
      </w:r>
      <w:r>
        <w:rPr>
          <w:spacing w:val="-88"/>
          <w:sz w:val="28"/>
          <w:szCs w:val="28"/>
        </w:rPr>
        <w:t xml:space="preserve"> </w:t>
      </w:r>
      <w:r>
        <w:rPr>
          <w:sz w:val="28"/>
          <w:szCs w:val="28"/>
        </w:rPr>
        <w:t>”网站记录的“失信被执行人</w:t>
      </w:r>
      <w:r>
        <w:rPr>
          <w:spacing w:val="-102"/>
          <w:sz w:val="28"/>
          <w:szCs w:val="28"/>
        </w:rPr>
        <w:t xml:space="preserve"> </w:t>
      </w:r>
      <w:r>
        <w:rPr>
          <w:sz w:val="28"/>
          <w:szCs w:val="28"/>
        </w:rPr>
        <w:t>”或“重大税收违法案件</w:t>
      </w:r>
      <w:r>
        <w:rPr>
          <w:spacing w:val="-2"/>
          <w:sz w:val="28"/>
          <w:szCs w:val="28"/>
        </w:rPr>
        <w:t>当事人</w:t>
      </w:r>
      <w:r>
        <w:rPr>
          <w:spacing w:val="-83"/>
          <w:sz w:val="28"/>
          <w:szCs w:val="28"/>
        </w:rPr>
        <w:t xml:space="preserve"> </w:t>
      </w:r>
      <w:r>
        <w:rPr>
          <w:spacing w:val="-2"/>
          <w:sz w:val="28"/>
          <w:szCs w:val="28"/>
        </w:rPr>
        <w:t>”名单；不处于“</w:t>
      </w:r>
      <w:r>
        <w:rPr>
          <w:spacing w:val="-81"/>
          <w:sz w:val="28"/>
          <w:szCs w:val="28"/>
        </w:rPr>
        <w:t xml:space="preserve"> </w:t>
      </w:r>
      <w:r>
        <w:rPr>
          <w:spacing w:val="-2"/>
          <w:sz w:val="28"/>
          <w:szCs w:val="28"/>
        </w:rPr>
        <w:t>中国政府采购网</w:t>
      </w:r>
      <w:r>
        <w:rPr>
          <w:spacing w:val="-102"/>
          <w:sz w:val="28"/>
          <w:szCs w:val="28"/>
        </w:rPr>
        <w:t xml:space="preserve"> </w:t>
      </w:r>
      <w:r>
        <w:rPr>
          <w:spacing w:val="-2"/>
          <w:sz w:val="28"/>
          <w:szCs w:val="28"/>
        </w:rPr>
        <w:t>”记录的“政府采购严重违法失</w:t>
      </w:r>
      <w:r>
        <w:rPr>
          <w:sz w:val="28"/>
          <w:szCs w:val="28"/>
        </w:rPr>
        <w:t>信行为记录名单</w:t>
      </w:r>
      <w:r>
        <w:rPr>
          <w:spacing w:val="-87"/>
          <w:sz w:val="28"/>
          <w:szCs w:val="28"/>
        </w:rPr>
        <w:t xml:space="preserve"> </w:t>
      </w:r>
      <w:r>
        <w:rPr>
          <w:sz w:val="28"/>
          <w:szCs w:val="28"/>
        </w:rPr>
        <w:t>”中的禁止参加政府采购活动期间。</w:t>
      </w:r>
    </w:p>
    <w:p w14:paraId="4E3341F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6、控股管理关系：提供直接控股和管理关系清单。若与其他供应商存</w:t>
      </w:r>
      <w:r>
        <w:rPr>
          <w:spacing w:val="2"/>
          <w:sz w:val="28"/>
          <w:szCs w:val="28"/>
        </w:rPr>
        <w:t>在单位负责人为同一人或者存在直接控股、管理关系的，则磋商无效。</w:t>
      </w:r>
    </w:p>
    <w:p w14:paraId="32720A0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7、书面声明：提供书面声明，包括声明具有履行合同所必需的设备和</w:t>
      </w:r>
      <w:r>
        <w:rPr>
          <w:spacing w:val="-3"/>
          <w:sz w:val="28"/>
          <w:szCs w:val="28"/>
        </w:rPr>
        <w:t>专业技术能力；未为本项目提供整体设计、规范编制或者项目管理、监理、</w:t>
      </w:r>
      <w:r>
        <w:rPr>
          <w:spacing w:val="-2"/>
          <w:sz w:val="28"/>
          <w:szCs w:val="28"/>
        </w:rPr>
        <w:t>检测等服务。</w:t>
      </w:r>
    </w:p>
    <w:p w14:paraId="56FE7E4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8、法定代表人授权委托书：法定代表人参加磋商的，须提供本人身份</w:t>
      </w:r>
      <w:r>
        <w:rPr>
          <w:spacing w:val="-1"/>
          <w:sz w:val="28"/>
          <w:szCs w:val="28"/>
        </w:rPr>
        <w:t>证复印件（附在资格证明文件中</w:t>
      </w:r>
      <w:r>
        <w:rPr>
          <w:spacing w:val="-76"/>
          <w:sz w:val="28"/>
          <w:szCs w:val="28"/>
        </w:rPr>
        <w:t>）；</w:t>
      </w:r>
      <w:r>
        <w:rPr>
          <w:spacing w:val="-1"/>
          <w:sz w:val="28"/>
          <w:szCs w:val="28"/>
        </w:rPr>
        <w:t>法定代表人授权他人参</w:t>
      </w:r>
      <w:r>
        <w:rPr>
          <w:spacing w:val="-2"/>
          <w:sz w:val="28"/>
          <w:szCs w:val="28"/>
        </w:rPr>
        <w:t>加磋商的，须提</w:t>
      </w:r>
      <w:r>
        <w:rPr>
          <w:spacing w:val="3"/>
          <w:sz w:val="28"/>
          <w:szCs w:val="28"/>
        </w:rPr>
        <w:t>供法定代表人授权委托书。磋商文件中凡是需要法定代</w:t>
      </w:r>
      <w:r>
        <w:rPr>
          <w:spacing w:val="2"/>
          <w:sz w:val="28"/>
          <w:szCs w:val="28"/>
        </w:rPr>
        <w:t>表人盖章之处，非</w:t>
      </w:r>
      <w:r>
        <w:rPr>
          <w:spacing w:val="1"/>
          <w:sz w:val="28"/>
          <w:szCs w:val="28"/>
        </w:rPr>
        <w:t>法人单位的负责人均参照执行。</w:t>
      </w:r>
    </w:p>
    <w:p w14:paraId="231F7E0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footerReference r:id="rId6" w:type="default"/>
          <w:pgSz w:w="11906" w:h="16839"/>
          <w:pgMar w:top="1210" w:right="1324" w:bottom="1233" w:left="1417" w:header="828" w:footer="1019" w:gutter="0"/>
          <w:pgBorders>
            <w:top w:val="none" w:sz="0" w:space="0"/>
            <w:left w:val="none" w:sz="0" w:space="0"/>
            <w:bottom w:val="none" w:sz="0" w:space="0"/>
            <w:right w:val="none" w:sz="0" w:space="0"/>
          </w:pgBorders>
          <w:pgNumType w:fmt="decimal"/>
          <w:cols w:space="720" w:num="1"/>
        </w:sectPr>
      </w:pPr>
    </w:p>
    <w:p w14:paraId="7F9AA0E1">
      <w:pPr>
        <w:pStyle w:val="7"/>
        <w:keepNext w:val="0"/>
        <w:keepLines w:val="0"/>
        <w:pageBreakBefore w:val="0"/>
        <w:widowControl/>
        <w:kinsoku/>
        <w:wordWrap/>
        <w:overflowPunct/>
        <w:topLinePunct w:val="0"/>
        <w:autoSpaceDE/>
        <w:autoSpaceDN/>
        <w:bidi w:val="0"/>
        <w:adjustRightInd w:val="0"/>
        <w:snapToGrid w:val="0"/>
        <w:spacing w:line="324" w:lineRule="auto"/>
        <w:ind w:right="0" w:firstLine="560" w:firstLineChars="200"/>
        <w:rPr>
          <w:sz w:val="28"/>
          <w:szCs w:val="28"/>
        </w:rPr>
      </w:pPr>
      <w:r>
        <w:rPr>
          <w:sz w:val="28"/>
          <w:szCs w:val="28"/>
        </w:rPr>
        <w:t>法人的分支机构参与磋商时，除提供《法定代表人授权委托书》外，</w:t>
      </w:r>
      <w:r>
        <w:rPr>
          <w:spacing w:val="2"/>
          <w:sz w:val="28"/>
          <w:szCs w:val="28"/>
        </w:rPr>
        <w:t>还须同时提供法人给分支机构出具的授权书。</w:t>
      </w:r>
    </w:p>
    <w:p w14:paraId="4650CFD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rFonts w:hint="eastAsia"/>
          <w:b/>
          <w:bCs/>
          <w:sz w:val="28"/>
          <w:szCs w:val="28"/>
          <w:lang w:val="en-US" w:eastAsia="zh-CN"/>
        </w:rPr>
        <w:t>9</w:t>
      </w:r>
      <w:r>
        <w:rPr>
          <w:b/>
          <w:bCs/>
          <w:sz w:val="28"/>
          <w:szCs w:val="28"/>
        </w:rPr>
        <w:t>、本项目不接受联合体响应。</w:t>
      </w:r>
      <w:r>
        <w:rPr>
          <w:sz w:val="28"/>
          <w:szCs w:val="28"/>
        </w:rPr>
        <w:t>供应商应提供《非联合</w:t>
      </w:r>
      <w:r>
        <w:rPr>
          <w:spacing w:val="-5"/>
          <w:sz w:val="28"/>
          <w:szCs w:val="28"/>
        </w:rPr>
        <w:t>体投标声明》。</w:t>
      </w:r>
    </w:p>
    <w:p w14:paraId="109E6B5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十一、执行的其他政府采购政策</w:t>
      </w:r>
    </w:p>
    <w:p w14:paraId="2B76834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16" w:firstLineChars="200"/>
        <w:rPr>
          <w:sz w:val="28"/>
          <w:szCs w:val="28"/>
        </w:rPr>
      </w:pPr>
      <w:r>
        <w:rPr>
          <w:spacing w:val="-11"/>
          <w:sz w:val="28"/>
          <w:szCs w:val="28"/>
        </w:rPr>
        <w:t>1、《关于在政府采购活动中查询及使用信用记录有关问题的通知》（财</w:t>
      </w:r>
      <w:r>
        <w:rPr>
          <w:spacing w:val="-10"/>
          <w:sz w:val="28"/>
          <w:szCs w:val="28"/>
        </w:rPr>
        <w:t>库〔2016〕125</w:t>
      </w:r>
      <w:r>
        <w:rPr>
          <w:spacing w:val="-37"/>
          <w:sz w:val="28"/>
          <w:szCs w:val="28"/>
        </w:rPr>
        <w:t xml:space="preserve"> </w:t>
      </w:r>
      <w:r>
        <w:rPr>
          <w:spacing w:val="-10"/>
          <w:sz w:val="28"/>
          <w:szCs w:val="28"/>
        </w:rPr>
        <w:t>号）。</w:t>
      </w:r>
    </w:p>
    <w:p w14:paraId="6D5CB3C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rPr>
          <w:rFonts w:ascii="Arial"/>
          <w:sz w:val="21"/>
        </w:rPr>
      </w:pPr>
      <w:r>
        <w:rPr>
          <w:spacing w:val="-20"/>
          <w:sz w:val="28"/>
          <w:szCs w:val="28"/>
        </w:rPr>
        <w:t>2、《政府采购促进中小企业发展管理办法》（财库〔2020〕46</w:t>
      </w:r>
      <w:r>
        <w:rPr>
          <w:spacing w:val="-34"/>
          <w:sz w:val="28"/>
          <w:szCs w:val="28"/>
        </w:rPr>
        <w:t xml:space="preserve"> </w:t>
      </w:r>
      <w:r>
        <w:rPr>
          <w:spacing w:val="-20"/>
          <w:sz w:val="28"/>
          <w:szCs w:val="28"/>
        </w:rPr>
        <w:t>号）、《关</w:t>
      </w:r>
      <w:r>
        <w:rPr>
          <w:spacing w:val="-2"/>
          <w:sz w:val="28"/>
          <w:szCs w:val="28"/>
        </w:rPr>
        <w:t>于政府采购支持监狱企业发展有关问题的通知》（财库〔2014〕6</w:t>
      </w:r>
      <w:r>
        <w:rPr>
          <w:spacing w:val="-3"/>
          <w:sz w:val="28"/>
          <w:szCs w:val="28"/>
        </w:rPr>
        <w:t>8号）以</w:t>
      </w:r>
    </w:p>
    <w:p w14:paraId="13E71C0B">
      <w:pPr>
        <w:pStyle w:val="7"/>
        <w:keepNext w:val="0"/>
        <w:keepLines w:val="0"/>
        <w:pageBreakBefore w:val="0"/>
        <w:widowControl/>
        <w:kinsoku/>
        <w:wordWrap/>
        <w:overflowPunct/>
        <w:topLinePunct w:val="0"/>
        <w:autoSpaceDE/>
        <w:autoSpaceDN/>
        <w:bidi w:val="0"/>
        <w:adjustRightInd w:val="0"/>
        <w:snapToGrid w:val="0"/>
        <w:spacing w:line="324" w:lineRule="auto"/>
        <w:ind w:right="0"/>
        <w:rPr>
          <w:sz w:val="28"/>
          <w:szCs w:val="28"/>
        </w:rPr>
      </w:pPr>
      <w:r>
        <w:rPr>
          <w:spacing w:val="-5"/>
          <w:sz w:val="28"/>
          <w:szCs w:val="28"/>
        </w:rPr>
        <w:t>及《关于促进残疾人就业政府采购政策的通知》（财库〔2017〕1</w:t>
      </w:r>
      <w:r>
        <w:rPr>
          <w:spacing w:val="-6"/>
          <w:sz w:val="28"/>
          <w:szCs w:val="28"/>
        </w:rPr>
        <w:t>41号）。</w:t>
      </w:r>
    </w:p>
    <w:p w14:paraId="182AF4C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3、国务院办公厅《关于建立政府强制采购节能产品制度的通知》（国</w:t>
      </w:r>
      <w:r>
        <w:rPr>
          <w:sz w:val="28"/>
          <w:szCs w:val="28"/>
        </w:rPr>
        <w:t>办发〔2007〕51号）。财政部、国家发改委、生态环境</w:t>
      </w:r>
      <w:r>
        <w:rPr>
          <w:spacing w:val="-1"/>
          <w:sz w:val="28"/>
          <w:szCs w:val="28"/>
        </w:rPr>
        <w:t>部、市场监管总局</w:t>
      </w:r>
      <w:r>
        <w:rPr>
          <w:spacing w:val="3"/>
          <w:sz w:val="28"/>
          <w:szCs w:val="28"/>
        </w:rPr>
        <w:t>联合印发《关于调整优化节能产品、环境标志产品政府采购</w:t>
      </w:r>
      <w:r>
        <w:rPr>
          <w:spacing w:val="2"/>
          <w:sz w:val="28"/>
          <w:szCs w:val="28"/>
        </w:rPr>
        <w:t>执行机制的通</w:t>
      </w:r>
      <w:r>
        <w:rPr>
          <w:spacing w:val="-17"/>
          <w:sz w:val="28"/>
          <w:szCs w:val="28"/>
        </w:rPr>
        <w:t>知》（财库〔2019〕9</w:t>
      </w:r>
      <w:r>
        <w:rPr>
          <w:spacing w:val="-34"/>
          <w:sz w:val="28"/>
          <w:szCs w:val="28"/>
        </w:rPr>
        <w:t xml:space="preserve"> </w:t>
      </w:r>
      <w:r>
        <w:rPr>
          <w:spacing w:val="-17"/>
          <w:sz w:val="28"/>
          <w:szCs w:val="28"/>
        </w:rPr>
        <w:t>号）。</w:t>
      </w:r>
    </w:p>
    <w:p w14:paraId="1C7B0DB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4、《财政部 农业农村部</w:t>
      </w:r>
      <w:r>
        <w:rPr>
          <w:spacing w:val="75"/>
          <w:sz w:val="28"/>
          <w:szCs w:val="28"/>
        </w:rPr>
        <w:t xml:space="preserve"> </w:t>
      </w:r>
      <w:r>
        <w:rPr>
          <w:spacing w:val="-4"/>
          <w:sz w:val="28"/>
          <w:szCs w:val="28"/>
        </w:rPr>
        <w:t>国家乡村振兴局关于运用政府采购政策支持</w:t>
      </w:r>
      <w:r>
        <w:rPr>
          <w:spacing w:val="-10"/>
          <w:sz w:val="28"/>
          <w:szCs w:val="28"/>
        </w:rPr>
        <w:t>乡村产业振兴的通知》（财库〔2021〕19</w:t>
      </w:r>
      <w:r>
        <w:rPr>
          <w:spacing w:val="-27"/>
          <w:sz w:val="28"/>
          <w:szCs w:val="28"/>
        </w:rPr>
        <w:t xml:space="preserve"> </w:t>
      </w:r>
      <w:r>
        <w:rPr>
          <w:spacing w:val="-10"/>
          <w:sz w:val="28"/>
          <w:szCs w:val="28"/>
        </w:rPr>
        <w:t>号）、《财政部 农业农村部</w:t>
      </w:r>
      <w:r>
        <w:rPr>
          <w:spacing w:val="60"/>
          <w:sz w:val="28"/>
          <w:szCs w:val="28"/>
        </w:rPr>
        <w:t xml:space="preserve"> </w:t>
      </w:r>
      <w:r>
        <w:rPr>
          <w:spacing w:val="-10"/>
          <w:sz w:val="28"/>
          <w:szCs w:val="28"/>
        </w:rPr>
        <w:t>国家</w:t>
      </w:r>
      <w:r>
        <w:rPr>
          <w:spacing w:val="1"/>
          <w:sz w:val="28"/>
          <w:szCs w:val="28"/>
        </w:rPr>
        <w:t>乡村振兴局中华全国供销合作总社关于印发&lt;关于深入开展政府采购脱贫</w:t>
      </w:r>
      <w:r>
        <w:rPr>
          <w:spacing w:val="-1"/>
          <w:sz w:val="28"/>
          <w:szCs w:val="28"/>
        </w:rPr>
        <w:t>地区农副产品工作推进乡村产业振兴的实施意见</w:t>
      </w:r>
      <w:r>
        <w:rPr>
          <w:spacing w:val="-2"/>
          <w:sz w:val="28"/>
          <w:szCs w:val="28"/>
        </w:rPr>
        <w:t>&gt;的通知》（财库〔2021〕</w:t>
      </w:r>
      <w:r>
        <w:rPr>
          <w:spacing w:val="-26"/>
          <w:sz w:val="28"/>
          <w:szCs w:val="28"/>
        </w:rPr>
        <w:t>20号）。</w:t>
      </w:r>
    </w:p>
    <w:p w14:paraId="7E2767B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5、《陕西省财政厅关于加快推进我省中小企业政府采购信用融资工作</w:t>
      </w:r>
      <w:r>
        <w:rPr>
          <w:spacing w:val="-8"/>
          <w:sz w:val="28"/>
          <w:szCs w:val="28"/>
        </w:rPr>
        <w:t>的通知》（陕财办采〔2020〕15号）、陕西省财政厅关于印发《陕</w:t>
      </w:r>
      <w:r>
        <w:rPr>
          <w:spacing w:val="-9"/>
          <w:sz w:val="28"/>
          <w:szCs w:val="28"/>
        </w:rPr>
        <w:t>西省中小</w:t>
      </w:r>
      <w:r>
        <w:rPr>
          <w:spacing w:val="-7"/>
          <w:sz w:val="28"/>
          <w:szCs w:val="28"/>
        </w:rPr>
        <w:t>企业政府采购信用融资办法》（陕财办采〔2018〕23</w:t>
      </w:r>
      <w:r>
        <w:rPr>
          <w:spacing w:val="-8"/>
          <w:sz w:val="28"/>
          <w:szCs w:val="28"/>
        </w:rPr>
        <w:t>号）。</w:t>
      </w:r>
    </w:p>
    <w:p w14:paraId="6BBC897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6、详见《供应商须知》</w:t>
      </w:r>
      <w:r>
        <w:rPr>
          <w:spacing w:val="-80"/>
          <w:sz w:val="28"/>
          <w:szCs w:val="28"/>
        </w:rPr>
        <w:t xml:space="preserve"> </w:t>
      </w:r>
      <w:r>
        <w:rPr>
          <w:spacing w:val="-2"/>
          <w:sz w:val="28"/>
          <w:szCs w:val="28"/>
        </w:rPr>
        <w:t>中“</w:t>
      </w:r>
      <w:r>
        <w:rPr>
          <w:spacing w:val="-106"/>
          <w:sz w:val="28"/>
          <w:szCs w:val="28"/>
        </w:rPr>
        <w:t xml:space="preserve"> </w:t>
      </w:r>
      <w:r>
        <w:rPr>
          <w:spacing w:val="-2"/>
          <w:sz w:val="28"/>
          <w:szCs w:val="28"/>
        </w:rPr>
        <w:t>落实的政府采购政策</w:t>
      </w:r>
      <w:r>
        <w:rPr>
          <w:spacing w:val="-100"/>
          <w:sz w:val="28"/>
          <w:szCs w:val="28"/>
        </w:rPr>
        <w:t xml:space="preserve"> </w:t>
      </w:r>
      <w:r>
        <w:rPr>
          <w:spacing w:val="-2"/>
          <w:sz w:val="28"/>
          <w:szCs w:val="28"/>
        </w:rPr>
        <w:t>”有</w:t>
      </w:r>
      <w:r>
        <w:rPr>
          <w:spacing w:val="-3"/>
          <w:sz w:val="28"/>
          <w:szCs w:val="28"/>
        </w:rPr>
        <w:t>关内容。</w:t>
      </w:r>
    </w:p>
    <w:p w14:paraId="6C945CE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十二、磋商文件获取时间及方式</w:t>
      </w:r>
    </w:p>
    <w:p w14:paraId="0052207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rFonts w:hint="eastAsia" w:eastAsia="仿宋"/>
          <w:spacing w:val="-2"/>
          <w:sz w:val="28"/>
          <w:szCs w:val="28"/>
          <w:lang w:eastAsia="zh-CN"/>
        </w:rPr>
      </w:pPr>
      <w:r>
        <w:rPr>
          <w:spacing w:val="1"/>
          <w:sz w:val="28"/>
          <w:szCs w:val="28"/>
        </w:rPr>
        <w:t>1、获取方式：</w:t>
      </w:r>
      <w:r>
        <w:rPr>
          <w:rFonts w:hint="eastAsia"/>
          <w:spacing w:val="-2"/>
          <w:sz w:val="28"/>
          <w:szCs w:val="28"/>
        </w:rPr>
        <w:t>使用捆绑省交易平台的CA锁登录电子交易平台，通过政府采购系统企业端进入，点击我要投标，完善相关投标信息，下载采购文件</w:t>
      </w:r>
      <w:r>
        <w:rPr>
          <w:rFonts w:hint="eastAsia"/>
          <w:spacing w:val="-2"/>
          <w:sz w:val="28"/>
          <w:szCs w:val="28"/>
          <w:lang w:eastAsia="zh-CN"/>
        </w:rPr>
        <w:t>。</w:t>
      </w:r>
    </w:p>
    <w:p w14:paraId="75568F3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textAlignment w:val="baseline"/>
        <w:rPr>
          <w:spacing w:val="1"/>
          <w:sz w:val="28"/>
          <w:szCs w:val="28"/>
        </w:rPr>
      </w:pPr>
      <w:r>
        <w:rPr>
          <w:rFonts w:hint="eastAsia"/>
          <w:spacing w:val="1"/>
          <w:sz w:val="28"/>
          <w:szCs w:val="28"/>
          <w:lang w:val="en-US" w:eastAsia="zh-CN"/>
        </w:rPr>
        <w:t>2</w:t>
      </w:r>
      <w:r>
        <w:rPr>
          <w:spacing w:val="1"/>
          <w:sz w:val="28"/>
          <w:szCs w:val="28"/>
        </w:rPr>
        <w:t>、获取时间：2026 年</w:t>
      </w:r>
      <w:r>
        <w:rPr>
          <w:rFonts w:hint="eastAsia"/>
          <w:spacing w:val="1"/>
          <w:sz w:val="28"/>
          <w:szCs w:val="28"/>
          <w:lang w:val="en-US" w:eastAsia="zh-CN"/>
        </w:rPr>
        <w:t>4</w:t>
      </w:r>
      <w:r>
        <w:rPr>
          <w:spacing w:val="1"/>
          <w:sz w:val="28"/>
          <w:szCs w:val="28"/>
        </w:rPr>
        <w:t>月</w:t>
      </w:r>
      <w:r>
        <w:rPr>
          <w:rFonts w:hint="eastAsia"/>
          <w:spacing w:val="1"/>
          <w:sz w:val="28"/>
          <w:szCs w:val="28"/>
          <w:lang w:val="en-US" w:eastAsia="zh-CN"/>
        </w:rPr>
        <w:t>30</w:t>
      </w:r>
      <w:r>
        <w:rPr>
          <w:spacing w:val="1"/>
          <w:sz w:val="28"/>
          <w:szCs w:val="28"/>
        </w:rPr>
        <w:t>日至 2026 年</w:t>
      </w:r>
      <w:r>
        <w:rPr>
          <w:rFonts w:hint="eastAsia"/>
          <w:spacing w:val="1"/>
          <w:sz w:val="28"/>
          <w:szCs w:val="28"/>
          <w:lang w:val="en-US" w:eastAsia="zh-CN"/>
        </w:rPr>
        <w:t>5</w:t>
      </w:r>
      <w:r>
        <w:rPr>
          <w:spacing w:val="1"/>
          <w:sz w:val="28"/>
          <w:szCs w:val="28"/>
        </w:rPr>
        <w:t>月</w:t>
      </w:r>
      <w:r>
        <w:rPr>
          <w:rFonts w:hint="eastAsia"/>
          <w:spacing w:val="1"/>
          <w:sz w:val="28"/>
          <w:szCs w:val="28"/>
          <w:lang w:val="en-US" w:eastAsia="zh-CN"/>
        </w:rPr>
        <w:t>9</w:t>
      </w:r>
      <w:r>
        <w:rPr>
          <w:spacing w:val="1"/>
          <w:sz w:val="28"/>
          <w:szCs w:val="28"/>
        </w:rPr>
        <w:t>日，每天上午08:00:00 至 12:00:00，下午 12:00:00 至 18:00:00（北京时间,法定节假日除外）</w:t>
      </w:r>
    </w:p>
    <w:p w14:paraId="5568CD1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textAlignment w:val="baseline"/>
        <w:rPr>
          <w:rFonts w:hint="default"/>
          <w:spacing w:val="1"/>
          <w:sz w:val="28"/>
          <w:szCs w:val="28"/>
          <w:lang w:val="en-US" w:eastAsia="zh-CN"/>
        </w:rPr>
      </w:pPr>
      <w:r>
        <w:rPr>
          <w:rFonts w:hint="eastAsia"/>
          <w:spacing w:val="1"/>
          <w:sz w:val="28"/>
          <w:szCs w:val="28"/>
          <w:lang w:val="en-US" w:eastAsia="zh-CN"/>
        </w:rPr>
        <w:t>3、文件售价：免费获取</w:t>
      </w:r>
    </w:p>
    <w:p w14:paraId="5935A28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0" w:firstLineChars="200"/>
        <w:rPr>
          <w:sz w:val="28"/>
          <w:szCs w:val="28"/>
        </w:rPr>
      </w:pPr>
      <w:r>
        <w:rPr>
          <w:b/>
          <w:bCs/>
          <w:spacing w:val="-3"/>
          <w:sz w:val="28"/>
          <w:szCs w:val="28"/>
        </w:rPr>
        <w:t>十三、磋商保证金</w:t>
      </w:r>
    </w:p>
    <w:p w14:paraId="01037B8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本项目不收取磋商保证金。</w:t>
      </w:r>
    </w:p>
    <w:p w14:paraId="4F55A24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十四、提交响应文件截止时间及开标时间和地点</w:t>
      </w:r>
    </w:p>
    <w:p w14:paraId="6A76FC8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rPr>
          <w:sz w:val="28"/>
          <w:szCs w:val="28"/>
        </w:rPr>
      </w:pPr>
      <w:r>
        <w:rPr>
          <w:b/>
          <w:bCs/>
          <w:spacing w:val="-4"/>
          <w:sz w:val="28"/>
          <w:szCs w:val="28"/>
        </w:rPr>
        <w:t>1、提交响应文件：</w:t>
      </w:r>
      <w:r>
        <w:rPr>
          <w:spacing w:val="-80"/>
          <w:sz w:val="28"/>
          <w:szCs w:val="28"/>
        </w:rPr>
        <w:t xml:space="preserve"> </w:t>
      </w:r>
      <w:r>
        <w:rPr>
          <w:b/>
          <w:bCs/>
          <w:spacing w:val="-4"/>
          <w:sz w:val="28"/>
          <w:szCs w:val="28"/>
        </w:rPr>
        <w:t>电子响应文件一份</w:t>
      </w:r>
      <w:r>
        <w:rPr>
          <w:spacing w:val="-4"/>
          <w:sz w:val="28"/>
          <w:szCs w:val="28"/>
        </w:rPr>
        <w:t>。</w:t>
      </w:r>
    </w:p>
    <w:p w14:paraId="1D446F6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电子响应文件（*.SXSTF）可于提交响应文件截止时间前任意时段登录</w:t>
      </w:r>
      <w:r>
        <w:rPr>
          <w:spacing w:val="2"/>
          <w:sz w:val="28"/>
          <w:szCs w:val="28"/>
        </w:rPr>
        <w:t>全国公共资源交易平台</w:t>
      </w:r>
      <w:r>
        <w:rPr>
          <w:rFonts w:hint="eastAsia"/>
          <w:spacing w:val="2"/>
          <w:sz w:val="28"/>
          <w:szCs w:val="28"/>
          <w:lang w:eastAsia="zh-CN"/>
        </w:rPr>
        <w:t>（陕西省·安康市）</w:t>
      </w:r>
      <w:r>
        <w:rPr>
          <w:spacing w:val="2"/>
          <w:sz w:val="28"/>
          <w:szCs w:val="28"/>
        </w:rPr>
        <w:t>网站进行提交，逾期系统将拒绝接收。</w:t>
      </w:r>
    </w:p>
    <w:p w14:paraId="2524EF6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8" w:firstLineChars="200"/>
        <w:rPr>
          <w:sz w:val="28"/>
          <w:szCs w:val="28"/>
        </w:rPr>
      </w:pPr>
      <w:r>
        <w:rPr>
          <w:b/>
          <w:bCs/>
          <w:spacing w:val="-6"/>
          <w:sz w:val="28"/>
          <w:szCs w:val="28"/>
        </w:rPr>
        <w:t>2、提交响应文件截止时间：2026 年</w:t>
      </w:r>
      <w:r>
        <w:rPr>
          <w:rFonts w:hint="eastAsia"/>
          <w:b/>
          <w:bCs/>
          <w:spacing w:val="-6"/>
          <w:sz w:val="28"/>
          <w:szCs w:val="28"/>
        </w:rPr>
        <w:t>5月15日14</w:t>
      </w:r>
      <w:r>
        <w:rPr>
          <w:b/>
          <w:bCs/>
          <w:spacing w:val="-6"/>
          <w:sz w:val="28"/>
          <w:szCs w:val="28"/>
        </w:rPr>
        <w:t>:</w:t>
      </w:r>
      <w:r>
        <w:rPr>
          <w:rFonts w:hint="eastAsia"/>
          <w:b/>
          <w:bCs/>
          <w:spacing w:val="-6"/>
          <w:sz w:val="28"/>
          <w:szCs w:val="28"/>
          <w:lang w:val="en-US" w:eastAsia="zh-CN"/>
        </w:rPr>
        <w:t>0</w:t>
      </w:r>
      <w:r>
        <w:rPr>
          <w:b/>
          <w:bCs/>
          <w:spacing w:val="-6"/>
          <w:sz w:val="28"/>
          <w:szCs w:val="28"/>
        </w:rPr>
        <w:t>0</w:t>
      </w:r>
    </w:p>
    <w:p w14:paraId="732BB8C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rFonts w:hint="default" w:ascii="仿宋" w:hAnsi="仿宋" w:eastAsia="仿宋" w:cs="仿宋"/>
          <w:snapToGrid w:val="0"/>
          <w:color w:val="000000"/>
          <w:spacing w:val="-3"/>
          <w:kern w:val="0"/>
          <w:sz w:val="28"/>
          <w:szCs w:val="28"/>
          <w:lang w:val="en-US" w:eastAsia="zh-CN" w:bidi="ar-SA"/>
        </w:rPr>
      </w:pPr>
      <w:r>
        <w:rPr>
          <w:b/>
          <w:bCs/>
          <w:spacing w:val="-1"/>
          <w:sz w:val="28"/>
          <w:szCs w:val="28"/>
        </w:rPr>
        <w:t>4、</w:t>
      </w:r>
      <w:r>
        <w:rPr>
          <w:rFonts w:hint="eastAsia"/>
          <w:b/>
          <w:bCs/>
          <w:spacing w:val="-1"/>
          <w:sz w:val="28"/>
          <w:szCs w:val="28"/>
          <w:lang w:val="en-US" w:eastAsia="zh-CN"/>
        </w:rPr>
        <w:t>递交</w:t>
      </w:r>
      <w:r>
        <w:rPr>
          <w:b/>
          <w:bCs/>
          <w:spacing w:val="-1"/>
          <w:sz w:val="28"/>
          <w:szCs w:val="28"/>
        </w:rPr>
        <w:t>地点：</w:t>
      </w:r>
      <w:r>
        <w:rPr>
          <w:rFonts w:hint="eastAsia" w:ascii="仿宋" w:hAnsi="仿宋" w:eastAsia="仿宋" w:cs="仿宋"/>
          <w:snapToGrid w:val="0"/>
          <w:color w:val="000000"/>
          <w:spacing w:val="-3"/>
          <w:kern w:val="0"/>
          <w:sz w:val="28"/>
          <w:szCs w:val="28"/>
          <w:lang w:val="en-US" w:eastAsia="zh-CN" w:bidi="ar-SA"/>
        </w:rPr>
        <w:t>安康市公共资源交易中心（采用电子化投标及远程不见面开标方式）。</w:t>
      </w:r>
    </w:p>
    <w:p w14:paraId="668074A1">
      <w:pPr>
        <w:keepNext w:val="0"/>
        <w:keepLines w:val="0"/>
        <w:pageBreakBefore w:val="0"/>
        <w:widowControl/>
        <w:tabs>
          <w:tab w:val="left" w:pos="1100"/>
        </w:tabs>
        <w:kinsoku/>
        <w:wordWrap/>
        <w:overflowPunct/>
        <w:topLinePunct w:val="0"/>
        <w:autoSpaceDE/>
        <w:autoSpaceDN/>
        <w:bidi w:val="0"/>
        <w:adjustRightInd w:val="0"/>
        <w:snapToGrid w:val="0"/>
        <w:spacing w:line="324" w:lineRule="auto"/>
        <w:ind w:left="0" w:leftChars="0" w:right="0" w:firstLine="580" w:firstLineChars="200"/>
        <w:jc w:val="both"/>
        <w:rPr>
          <w:rFonts w:hint="default" w:ascii="仿宋" w:hAnsi="仿宋" w:eastAsia="仿宋" w:cs="仿宋"/>
          <w:snapToGrid w:val="0"/>
          <w:color w:val="000000"/>
          <w:spacing w:val="-3"/>
          <w:kern w:val="0"/>
          <w:sz w:val="28"/>
          <w:szCs w:val="28"/>
          <w:lang w:val="en-US" w:eastAsia="zh-CN" w:bidi="ar-SA"/>
        </w:rPr>
      </w:pPr>
      <w:r>
        <w:rPr>
          <w:b/>
          <w:bCs/>
          <w:spacing w:val="5"/>
          <w:sz w:val="28"/>
          <w:szCs w:val="28"/>
        </w:rPr>
        <w:t>5、</w:t>
      </w:r>
      <w:r>
        <w:rPr>
          <w:rFonts w:hint="eastAsia" w:eastAsia="宋体"/>
          <w:b/>
          <w:bCs/>
          <w:spacing w:val="5"/>
          <w:sz w:val="28"/>
          <w:szCs w:val="28"/>
          <w:lang w:val="en-US" w:eastAsia="zh-CN"/>
        </w:rPr>
        <w:t>开标</w:t>
      </w:r>
      <w:r>
        <w:rPr>
          <w:b/>
          <w:bCs/>
          <w:spacing w:val="5"/>
          <w:sz w:val="28"/>
          <w:szCs w:val="28"/>
        </w:rPr>
        <w:t>形式：</w:t>
      </w:r>
      <w:r>
        <w:rPr>
          <w:rFonts w:hint="eastAsia" w:ascii="仿宋" w:hAnsi="仿宋" w:eastAsia="仿宋" w:cs="仿宋"/>
          <w:snapToGrid w:val="0"/>
          <w:color w:val="000000"/>
          <w:spacing w:val="-3"/>
          <w:kern w:val="0"/>
          <w:sz w:val="28"/>
          <w:szCs w:val="28"/>
          <w:lang w:val="en-US" w:eastAsia="zh-CN" w:bidi="ar-SA"/>
        </w:rPr>
        <w:t>本次开标采用“不见面开标”方式（本项目为线上不见面开标，请于2026年5月15日14:00:00前进入全国公共资源交易平台（陕西省·安康市）不见面开标大厅进行开标）（http://219.145.206.209/BidOpeningHall/bidopeninghallaction/hall/login）</w:t>
      </w:r>
    </w:p>
    <w:p w14:paraId="4BD6B18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D1CAA7E">
      <w:pPr>
        <w:keepNext w:val="0"/>
        <w:keepLines w:val="0"/>
        <w:pageBreakBefore w:val="0"/>
        <w:widowControl/>
        <w:tabs>
          <w:tab w:val="left" w:pos="1100"/>
        </w:tabs>
        <w:kinsoku/>
        <w:wordWrap/>
        <w:overflowPunct/>
        <w:topLinePunct w:val="0"/>
        <w:autoSpaceDE/>
        <w:autoSpaceDN/>
        <w:bidi w:val="0"/>
        <w:adjustRightInd w:val="0"/>
        <w:snapToGrid w:val="0"/>
        <w:spacing w:line="324" w:lineRule="auto"/>
        <w:ind w:left="0" w:leftChars="0" w:right="0" w:firstLine="480" w:firstLineChars="200"/>
        <w:jc w:val="right"/>
        <w:rPr>
          <w:rFonts w:hint="eastAsia" w:ascii="宋体" w:hAnsi="宋体" w:eastAsia="宋体" w:cs="宋体"/>
          <w:color w:val="auto"/>
          <w:sz w:val="24"/>
          <w:szCs w:val="24"/>
          <w:lang w:val="en-US" w:eastAsia="zh-CN" w:bidi="zh-CN"/>
        </w:rPr>
      </w:pPr>
      <w:r>
        <w:rPr>
          <w:rFonts w:hint="eastAsia" w:ascii="宋体" w:hAnsi="宋体" w:eastAsia="宋体" w:cs="宋体"/>
          <w:color w:val="auto"/>
          <w:sz w:val="24"/>
          <w:szCs w:val="24"/>
          <w:lang w:val="en-US" w:eastAsia="zh-CN" w:bidi="zh-CN"/>
        </w:rPr>
        <w:t xml:space="preserve">                           </w:t>
      </w:r>
    </w:p>
    <w:p w14:paraId="0B2E1371">
      <w:pPr>
        <w:keepNext w:val="0"/>
        <w:keepLines w:val="0"/>
        <w:pageBreakBefore w:val="0"/>
        <w:widowControl/>
        <w:tabs>
          <w:tab w:val="left" w:pos="1100"/>
        </w:tabs>
        <w:kinsoku/>
        <w:wordWrap/>
        <w:overflowPunct/>
        <w:topLinePunct w:val="0"/>
        <w:autoSpaceDE/>
        <w:autoSpaceDN/>
        <w:bidi w:val="0"/>
        <w:adjustRightInd w:val="0"/>
        <w:snapToGrid w:val="0"/>
        <w:spacing w:line="324" w:lineRule="auto"/>
        <w:ind w:left="0" w:leftChars="0" w:right="0" w:firstLine="480" w:firstLineChars="200"/>
        <w:jc w:val="right"/>
        <w:rPr>
          <w:rFonts w:hint="eastAsia" w:ascii="宋体" w:hAnsi="宋体" w:eastAsia="宋体" w:cs="宋体"/>
          <w:color w:val="auto"/>
          <w:sz w:val="24"/>
          <w:szCs w:val="24"/>
          <w:lang w:val="en-US" w:eastAsia="zh-CN" w:bidi="zh-CN"/>
        </w:rPr>
      </w:pPr>
    </w:p>
    <w:p w14:paraId="753BF055">
      <w:pPr>
        <w:keepNext w:val="0"/>
        <w:keepLines w:val="0"/>
        <w:pageBreakBefore w:val="0"/>
        <w:widowControl/>
        <w:tabs>
          <w:tab w:val="left" w:pos="1100"/>
        </w:tabs>
        <w:kinsoku/>
        <w:wordWrap/>
        <w:overflowPunct/>
        <w:topLinePunct w:val="0"/>
        <w:autoSpaceDE/>
        <w:autoSpaceDN/>
        <w:bidi w:val="0"/>
        <w:adjustRightInd w:val="0"/>
        <w:snapToGrid w:val="0"/>
        <w:spacing w:line="324" w:lineRule="auto"/>
        <w:ind w:left="0" w:leftChars="0" w:right="0" w:firstLine="480" w:firstLineChars="200"/>
        <w:jc w:val="right"/>
        <w:rPr>
          <w:rFonts w:hint="eastAsia" w:ascii="宋体" w:hAnsi="宋体" w:eastAsia="宋体" w:cs="宋体"/>
          <w:color w:val="auto"/>
          <w:sz w:val="24"/>
          <w:szCs w:val="24"/>
          <w:lang w:val="en-US" w:eastAsia="zh-CN" w:bidi="zh-CN"/>
        </w:rPr>
      </w:pPr>
    </w:p>
    <w:p w14:paraId="225B463E">
      <w:pPr>
        <w:keepNext w:val="0"/>
        <w:keepLines w:val="0"/>
        <w:pageBreakBefore w:val="0"/>
        <w:widowControl/>
        <w:tabs>
          <w:tab w:val="left" w:pos="1100"/>
        </w:tabs>
        <w:kinsoku/>
        <w:wordWrap/>
        <w:overflowPunct/>
        <w:topLinePunct w:val="0"/>
        <w:autoSpaceDE/>
        <w:autoSpaceDN/>
        <w:bidi w:val="0"/>
        <w:adjustRightInd w:val="0"/>
        <w:snapToGrid w:val="0"/>
        <w:spacing w:line="324" w:lineRule="auto"/>
        <w:ind w:left="0" w:leftChars="0" w:right="0" w:firstLine="560" w:firstLineChars="200"/>
        <w:jc w:val="righ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 陕西中源项目管理有限公司</w:t>
      </w:r>
    </w:p>
    <w:p w14:paraId="3447A029">
      <w:pPr>
        <w:pStyle w:val="17"/>
        <w:keepNext w:val="0"/>
        <w:keepLines w:val="0"/>
        <w:pageBreakBefore w:val="0"/>
        <w:widowControl/>
        <w:kinsoku/>
        <w:wordWrap/>
        <w:overflowPunct/>
        <w:topLinePunct w:val="0"/>
        <w:autoSpaceDE/>
        <w:autoSpaceDN/>
        <w:bidi w:val="0"/>
        <w:adjustRightInd w:val="0"/>
        <w:snapToGrid w:val="0"/>
        <w:spacing w:after="0" w:line="324" w:lineRule="auto"/>
        <w:ind w:left="0" w:leftChars="0" w:right="0" w:firstLine="560" w:firstLineChars="200"/>
        <w:jc w:val="right"/>
        <w:rPr>
          <w:rFonts w:hint="eastAsia" w:ascii="宋体" w:hAnsi="宋体" w:eastAsia="宋体" w:cs="宋体"/>
          <w:color w:val="auto"/>
          <w:sz w:val="24"/>
          <w:szCs w:val="24"/>
          <w:lang w:val="en-US" w:eastAsia="zh-CN" w:bidi="zh-CN"/>
        </w:rPr>
      </w:pPr>
      <w:r>
        <w:rPr>
          <w:rFonts w:hint="eastAsia" w:ascii="仿宋" w:hAnsi="仿宋" w:eastAsia="仿宋" w:cs="仿宋"/>
          <w:color w:val="auto"/>
          <w:sz w:val="28"/>
          <w:szCs w:val="28"/>
          <w:lang w:val="en-US" w:eastAsia="zh-CN" w:bidi="zh-CN"/>
        </w:rPr>
        <w:t xml:space="preserve">        </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bidi="zh-CN"/>
        </w:rPr>
        <w:t xml:space="preserve"> 2026年04月29日</w:t>
      </w:r>
    </w:p>
    <w:p w14:paraId="436CB5E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2EB11F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1750D3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20A8D3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F5354B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ADD3FF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D0E631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DB6B18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A3804B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9CFB34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45722E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E616A9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0" w:firstLineChars="200"/>
        <w:jc w:val="center"/>
        <w:outlineLvl w:val="0"/>
        <w:rPr>
          <w:rFonts w:ascii="黑体" w:hAnsi="黑体" w:eastAsia="黑体" w:cs="黑体"/>
          <w:sz w:val="31"/>
          <w:szCs w:val="31"/>
        </w:rPr>
      </w:pPr>
      <w:bookmarkStart w:id="1" w:name="bookmark19"/>
      <w:bookmarkEnd w:id="1"/>
      <w:r>
        <w:rPr>
          <w:rFonts w:ascii="黑体" w:hAnsi="黑体" w:eastAsia="黑体" w:cs="黑体"/>
          <w:spacing w:val="10"/>
          <w:sz w:val="31"/>
          <w:szCs w:val="31"/>
        </w:rPr>
        <w:t>第二章  供应商须知</w:t>
      </w:r>
    </w:p>
    <w:p w14:paraId="6C305DA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2" w:firstLineChars="200"/>
        <w:textAlignment w:val="baseline"/>
        <w:outlineLvl w:val="1"/>
        <w:rPr>
          <w:sz w:val="28"/>
          <w:szCs w:val="28"/>
        </w:rPr>
      </w:pPr>
      <w:bookmarkStart w:id="2" w:name="bookmark2"/>
      <w:bookmarkEnd w:id="2"/>
      <w:bookmarkStart w:id="3" w:name="bookmark3"/>
      <w:bookmarkEnd w:id="3"/>
      <w:r>
        <w:rPr>
          <w:b/>
          <w:bCs/>
          <w:spacing w:val="-5"/>
          <w:sz w:val="28"/>
          <w:szCs w:val="28"/>
        </w:rPr>
        <w:t>一、定义</w:t>
      </w:r>
    </w:p>
    <w:p w14:paraId="1B85CD2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textAlignment w:val="baseline"/>
        <w:rPr>
          <w:rFonts w:hint="eastAsia"/>
          <w:spacing w:val="3"/>
          <w:sz w:val="28"/>
          <w:szCs w:val="28"/>
          <w:lang w:eastAsia="zh-CN"/>
        </w:rPr>
      </w:pPr>
      <w:r>
        <w:rPr>
          <w:spacing w:val="3"/>
          <w:sz w:val="28"/>
          <w:szCs w:val="28"/>
        </w:rPr>
        <w:t>（一）采 购 人：</w:t>
      </w:r>
      <w:r>
        <w:rPr>
          <w:rFonts w:hint="eastAsia"/>
          <w:spacing w:val="3"/>
          <w:sz w:val="28"/>
          <w:szCs w:val="28"/>
          <w:lang w:eastAsia="zh-CN"/>
        </w:rPr>
        <w:t>安康市第二小学</w:t>
      </w:r>
    </w:p>
    <w:p w14:paraId="0E6A89A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textAlignment w:val="baseline"/>
        <w:rPr>
          <w:rFonts w:hint="eastAsia"/>
          <w:spacing w:val="3"/>
          <w:sz w:val="28"/>
          <w:szCs w:val="28"/>
          <w:lang w:val="en-US" w:eastAsia="zh-CN"/>
        </w:rPr>
      </w:pPr>
      <w:r>
        <w:rPr>
          <w:spacing w:val="3"/>
          <w:sz w:val="28"/>
          <w:szCs w:val="28"/>
        </w:rPr>
        <w:t>（二）监督机构：</w:t>
      </w:r>
      <w:r>
        <w:rPr>
          <w:rFonts w:hint="eastAsia"/>
          <w:spacing w:val="3"/>
          <w:sz w:val="28"/>
          <w:szCs w:val="28"/>
          <w:lang w:val="en-US" w:eastAsia="zh-CN"/>
        </w:rPr>
        <w:t>安康市财政局</w:t>
      </w:r>
    </w:p>
    <w:p w14:paraId="00CE4F4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textAlignment w:val="baseline"/>
        <w:rPr>
          <w:rFonts w:hint="eastAsia"/>
          <w:spacing w:val="3"/>
          <w:sz w:val="28"/>
          <w:szCs w:val="28"/>
          <w:lang w:eastAsia="zh-CN"/>
        </w:rPr>
      </w:pPr>
      <w:r>
        <w:rPr>
          <w:spacing w:val="3"/>
          <w:sz w:val="28"/>
          <w:szCs w:val="28"/>
        </w:rPr>
        <w:t>（三）采购代理机构：</w:t>
      </w:r>
      <w:r>
        <w:rPr>
          <w:rFonts w:hint="eastAsia"/>
          <w:spacing w:val="3"/>
          <w:sz w:val="28"/>
          <w:szCs w:val="28"/>
          <w:lang w:eastAsia="zh-CN"/>
        </w:rPr>
        <w:t>陕西中源项目管理有限公司</w:t>
      </w:r>
    </w:p>
    <w:p w14:paraId="53A8C3A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textAlignment w:val="baseline"/>
        <w:rPr>
          <w:spacing w:val="3"/>
          <w:sz w:val="28"/>
          <w:szCs w:val="28"/>
        </w:rPr>
      </w:pPr>
      <w:r>
        <w:rPr>
          <w:spacing w:val="3"/>
          <w:sz w:val="28"/>
          <w:szCs w:val="28"/>
        </w:rPr>
        <w:t>（四）供应商：拟向采购人提供货物、工程或者服务的法人、其他组织或者自然人</w:t>
      </w:r>
    </w:p>
    <w:p w14:paraId="175AE8C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outlineLvl w:val="1"/>
        <w:rPr>
          <w:sz w:val="28"/>
          <w:szCs w:val="28"/>
        </w:rPr>
      </w:pPr>
      <w:bookmarkStart w:id="4" w:name="bookmark4"/>
      <w:bookmarkEnd w:id="4"/>
      <w:r>
        <w:rPr>
          <w:b/>
          <w:bCs/>
          <w:spacing w:val="-2"/>
          <w:sz w:val="28"/>
          <w:szCs w:val="28"/>
        </w:rPr>
        <w:t>二、供应商注意事项</w:t>
      </w:r>
    </w:p>
    <w:p w14:paraId="3E50DD7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outlineLvl w:val="1"/>
        <w:rPr>
          <w:sz w:val="28"/>
          <w:szCs w:val="28"/>
        </w:rPr>
      </w:pPr>
      <w:r>
        <w:rPr>
          <w:b/>
          <w:bCs/>
          <w:spacing w:val="-4"/>
          <w:sz w:val="28"/>
          <w:szCs w:val="28"/>
        </w:rPr>
        <w:t>（一）询问</w:t>
      </w:r>
    </w:p>
    <w:p w14:paraId="1F7D454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jc w:val="both"/>
        <w:rPr>
          <w:sz w:val="28"/>
          <w:szCs w:val="28"/>
        </w:rPr>
      </w:pPr>
      <w:r>
        <w:rPr>
          <w:spacing w:val="-3"/>
          <w:sz w:val="28"/>
          <w:szCs w:val="28"/>
        </w:rPr>
        <w:t>供应商针对磋商文件（包括采购需求、供应商资格条件、商务条款等）</w:t>
      </w:r>
      <w:r>
        <w:rPr>
          <w:spacing w:val="3"/>
          <w:sz w:val="28"/>
          <w:szCs w:val="28"/>
        </w:rPr>
        <w:t>依法提出书面询问的，采购人应在三个工作日内书面</w:t>
      </w:r>
      <w:r>
        <w:rPr>
          <w:spacing w:val="2"/>
          <w:sz w:val="28"/>
          <w:szCs w:val="28"/>
        </w:rPr>
        <w:t>答复；供应商向</w:t>
      </w:r>
      <w:r>
        <w:rPr>
          <w:rFonts w:hint="eastAsia"/>
          <w:spacing w:val="2"/>
          <w:sz w:val="28"/>
          <w:szCs w:val="28"/>
          <w:lang w:eastAsia="zh-CN"/>
        </w:rPr>
        <w:t>陕西中源项目管理有限公司</w:t>
      </w:r>
      <w:r>
        <w:rPr>
          <w:spacing w:val="3"/>
          <w:sz w:val="28"/>
          <w:szCs w:val="28"/>
        </w:rPr>
        <w:t>提出书面询问的，</w:t>
      </w:r>
      <w:r>
        <w:rPr>
          <w:rFonts w:hint="eastAsia"/>
          <w:spacing w:val="3"/>
          <w:sz w:val="28"/>
          <w:szCs w:val="28"/>
          <w:lang w:eastAsia="zh-CN"/>
        </w:rPr>
        <w:t>陕西中源项目管理有限公司</w:t>
      </w:r>
      <w:r>
        <w:rPr>
          <w:spacing w:val="1"/>
          <w:sz w:val="28"/>
          <w:szCs w:val="28"/>
        </w:rPr>
        <w:t>应告知采购人并协助采购人做出答复。</w:t>
      </w:r>
    </w:p>
    <w:p w14:paraId="01C92CC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jc w:val="both"/>
        <w:rPr>
          <w:sz w:val="28"/>
          <w:szCs w:val="28"/>
        </w:rPr>
      </w:pPr>
      <w:r>
        <w:rPr>
          <w:spacing w:val="1"/>
          <w:sz w:val="28"/>
          <w:szCs w:val="28"/>
        </w:rPr>
        <w:t>供应商对采购过程、</w:t>
      </w:r>
      <w:r>
        <w:rPr>
          <w:spacing w:val="-83"/>
          <w:sz w:val="28"/>
          <w:szCs w:val="28"/>
        </w:rPr>
        <w:t xml:space="preserve"> </w:t>
      </w:r>
      <w:r>
        <w:rPr>
          <w:spacing w:val="1"/>
          <w:sz w:val="28"/>
          <w:szCs w:val="28"/>
        </w:rPr>
        <w:t>中标（成交）结果，向</w:t>
      </w:r>
      <w:r>
        <w:rPr>
          <w:rFonts w:hint="eastAsia"/>
          <w:spacing w:val="1"/>
          <w:sz w:val="28"/>
          <w:szCs w:val="28"/>
          <w:lang w:eastAsia="zh-CN"/>
        </w:rPr>
        <w:t>陕西中源项目管理有限公司</w:t>
      </w:r>
      <w:r>
        <w:rPr>
          <w:spacing w:val="2"/>
          <w:sz w:val="28"/>
          <w:szCs w:val="28"/>
        </w:rPr>
        <w:t>提出书面询问的，</w:t>
      </w:r>
      <w:r>
        <w:rPr>
          <w:rFonts w:hint="eastAsia"/>
          <w:spacing w:val="2"/>
          <w:sz w:val="28"/>
          <w:szCs w:val="28"/>
          <w:lang w:eastAsia="zh-CN"/>
        </w:rPr>
        <w:t>陕西中源项目管理有限公司</w:t>
      </w:r>
      <w:r>
        <w:rPr>
          <w:spacing w:val="2"/>
          <w:sz w:val="28"/>
          <w:szCs w:val="28"/>
        </w:rPr>
        <w:t>应在三个工作日内书</w:t>
      </w:r>
      <w:r>
        <w:rPr>
          <w:spacing w:val="-5"/>
          <w:sz w:val="28"/>
          <w:szCs w:val="28"/>
        </w:rPr>
        <w:t>面答复。</w:t>
      </w:r>
    </w:p>
    <w:p w14:paraId="2402D97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（二）现场踏勘及标前答疑会</w:t>
      </w:r>
    </w:p>
    <w:p w14:paraId="512C2AF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采购项目安排现场考察和标前答疑的，采购</w:t>
      </w:r>
      <w:r>
        <w:rPr>
          <w:spacing w:val="2"/>
          <w:sz w:val="28"/>
          <w:szCs w:val="28"/>
        </w:rPr>
        <w:t>人应尽量在现场予以解答</w:t>
      </w:r>
      <w:r>
        <w:rPr>
          <w:spacing w:val="-3"/>
          <w:sz w:val="28"/>
          <w:szCs w:val="28"/>
        </w:rPr>
        <w:t>（口头提问可口头答复</w:t>
      </w:r>
      <w:r>
        <w:rPr>
          <w:spacing w:val="-75"/>
          <w:w w:val="96"/>
          <w:sz w:val="28"/>
          <w:szCs w:val="28"/>
        </w:rPr>
        <w:t>），</w:t>
      </w:r>
      <w:r>
        <w:rPr>
          <w:spacing w:val="-3"/>
          <w:sz w:val="28"/>
          <w:szCs w:val="28"/>
        </w:rPr>
        <w:t>现场不能做出解答的，应在三个工作日内书面答</w:t>
      </w:r>
      <w:r>
        <w:rPr>
          <w:spacing w:val="3"/>
          <w:sz w:val="28"/>
          <w:szCs w:val="28"/>
        </w:rPr>
        <w:t>复，并交由</w:t>
      </w:r>
      <w:r>
        <w:rPr>
          <w:rFonts w:hint="eastAsia"/>
          <w:spacing w:val="3"/>
          <w:sz w:val="28"/>
          <w:szCs w:val="28"/>
          <w:lang w:eastAsia="zh-CN"/>
        </w:rPr>
        <w:t>陕西中源项目管理有限公司</w:t>
      </w:r>
      <w:r>
        <w:rPr>
          <w:spacing w:val="3"/>
          <w:sz w:val="28"/>
          <w:szCs w:val="28"/>
        </w:rPr>
        <w:t>在</w:t>
      </w:r>
      <w:r>
        <w:rPr>
          <w:spacing w:val="2"/>
          <w:sz w:val="28"/>
          <w:szCs w:val="28"/>
        </w:rPr>
        <w:t>财政部门指定的媒体上发布。</w:t>
      </w:r>
    </w:p>
    <w:p w14:paraId="22E93E1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答复内容可能影响响应文件编制的，应当顺</w:t>
      </w:r>
      <w:r>
        <w:rPr>
          <w:spacing w:val="2"/>
          <w:sz w:val="28"/>
          <w:szCs w:val="28"/>
        </w:rPr>
        <w:t>延开标时间。凡未参加现</w:t>
      </w:r>
      <w:r>
        <w:rPr>
          <w:spacing w:val="1"/>
          <w:sz w:val="28"/>
          <w:szCs w:val="28"/>
        </w:rPr>
        <w:t>场踏勘和标前答疑的供应商，</w:t>
      </w:r>
      <w:r>
        <w:rPr>
          <w:spacing w:val="-83"/>
          <w:sz w:val="28"/>
          <w:szCs w:val="28"/>
        </w:rPr>
        <w:t xml:space="preserve"> </w:t>
      </w:r>
      <w:r>
        <w:rPr>
          <w:spacing w:val="1"/>
          <w:sz w:val="28"/>
          <w:szCs w:val="28"/>
        </w:rPr>
        <w:t>由此造成的偏</w:t>
      </w:r>
      <w:r>
        <w:rPr>
          <w:sz w:val="28"/>
          <w:szCs w:val="28"/>
        </w:rPr>
        <w:t>差由各供应商自行负责。</w:t>
      </w:r>
    </w:p>
    <w:p w14:paraId="30BF46A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本项目不组织集中踏勘和标前答疑。</w:t>
      </w:r>
    </w:p>
    <w:p w14:paraId="7C85F1A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outlineLvl w:val="1"/>
        <w:rPr>
          <w:sz w:val="28"/>
          <w:szCs w:val="28"/>
        </w:rPr>
      </w:pPr>
      <w:r>
        <w:rPr>
          <w:b/>
          <w:bCs/>
          <w:spacing w:val="-2"/>
          <w:sz w:val="28"/>
          <w:szCs w:val="28"/>
        </w:rPr>
        <w:t>（三）质疑和投诉</w:t>
      </w:r>
    </w:p>
    <w:p w14:paraId="5D330CB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both"/>
        <w:rPr>
          <w:sz w:val="28"/>
          <w:szCs w:val="28"/>
        </w:rPr>
      </w:pPr>
      <w:r>
        <w:rPr>
          <w:spacing w:val="2"/>
          <w:sz w:val="28"/>
          <w:szCs w:val="28"/>
        </w:rPr>
        <w:t>供应商如果认为磋商文件（包括采购需求、供应商资格条件、商务条</w:t>
      </w:r>
      <w:r>
        <w:rPr>
          <w:spacing w:val="1"/>
          <w:sz w:val="28"/>
          <w:szCs w:val="28"/>
        </w:rPr>
        <w:t>款等）使自身的合法权益受到损害，可以在获取磋商文件之日起7个工作</w:t>
      </w:r>
      <w:r>
        <w:rPr>
          <w:spacing w:val="3"/>
          <w:sz w:val="28"/>
          <w:szCs w:val="28"/>
        </w:rPr>
        <w:t>日内，以书面形式向采购人提出质疑；供应商如果认为</w:t>
      </w:r>
      <w:r>
        <w:rPr>
          <w:spacing w:val="2"/>
          <w:sz w:val="28"/>
          <w:szCs w:val="28"/>
        </w:rPr>
        <w:t>采购过程或成交结</w:t>
      </w:r>
      <w:r>
        <w:rPr>
          <w:spacing w:val="3"/>
          <w:sz w:val="28"/>
          <w:szCs w:val="28"/>
        </w:rPr>
        <w:t>果使自身的合法权益受到损害，可以在知道或者</w:t>
      </w:r>
      <w:r>
        <w:rPr>
          <w:spacing w:val="2"/>
          <w:sz w:val="28"/>
          <w:szCs w:val="28"/>
        </w:rPr>
        <w:t>应知其权益受到损害之日</w:t>
      </w:r>
      <w:r>
        <w:rPr>
          <w:spacing w:val="5"/>
          <w:sz w:val="28"/>
          <w:szCs w:val="28"/>
        </w:rPr>
        <w:t>起7个工作日内，以书面形式向</w:t>
      </w:r>
      <w:r>
        <w:rPr>
          <w:rFonts w:hint="eastAsia"/>
          <w:spacing w:val="5"/>
          <w:sz w:val="28"/>
          <w:szCs w:val="28"/>
          <w:lang w:eastAsia="zh-CN"/>
        </w:rPr>
        <w:t>陕西中源项目管理有限公司</w:t>
      </w:r>
      <w:r>
        <w:rPr>
          <w:spacing w:val="5"/>
          <w:sz w:val="28"/>
          <w:szCs w:val="28"/>
        </w:rPr>
        <w:t>提出质疑。</w:t>
      </w:r>
    </w:p>
    <w:p w14:paraId="26D9F62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8" w:firstLineChars="200"/>
        <w:jc w:val="both"/>
        <w:rPr>
          <w:sz w:val="28"/>
          <w:szCs w:val="28"/>
        </w:rPr>
      </w:pPr>
      <w:r>
        <w:rPr>
          <w:spacing w:val="7"/>
          <w:sz w:val="28"/>
          <w:szCs w:val="28"/>
        </w:rPr>
        <w:t>1、供应商提出质疑应当提交质疑函和必要的证明材料，并按财政部</w:t>
      </w:r>
      <w:r>
        <w:rPr>
          <w:spacing w:val="16"/>
          <w:sz w:val="28"/>
          <w:szCs w:val="28"/>
        </w:rPr>
        <w:t>《质疑函范本》给定的格式进行填写</w:t>
      </w:r>
      <w:r>
        <w:rPr>
          <w:rFonts w:hint="eastAsia"/>
          <w:spacing w:val="16"/>
          <w:sz w:val="28"/>
          <w:szCs w:val="28"/>
          <w:lang w:eastAsia="zh-CN"/>
        </w:rPr>
        <w:t>，</w:t>
      </w:r>
      <w:r>
        <w:rPr>
          <w:spacing w:val="16"/>
          <w:sz w:val="28"/>
          <w:szCs w:val="28"/>
        </w:rPr>
        <w:t>范本下载详见</w:t>
      </w:r>
      <w:r>
        <w:rPr>
          <w:spacing w:val="15"/>
          <w:sz w:val="28"/>
          <w:szCs w:val="28"/>
        </w:rPr>
        <w:t>【财政部国库司</w:t>
      </w:r>
      <w:r>
        <w:rPr>
          <w:sz w:val="28"/>
          <w:szCs w:val="28"/>
        </w:rPr>
        <w:t>（</w:t>
      </w:r>
      <w:r>
        <w:fldChar w:fldCharType="begin"/>
      </w:r>
      <w:r>
        <w:instrText xml:space="preserve"> HYPERLINK "gks.mof.gov.cn" </w:instrText>
      </w:r>
      <w:r>
        <w:fldChar w:fldCharType="separate"/>
      </w:r>
      <w:r>
        <w:rPr>
          <w:sz w:val="28"/>
          <w:szCs w:val="28"/>
        </w:rPr>
        <w:t>gks.mof.gov.cn</w:t>
      </w:r>
      <w:r>
        <w:rPr>
          <w:sz w:val="28"/>
          <w:szCs w:val="28"/>
        </w:rPr>
        <w:fldChar w:fldCharType="end"/>
      </w:r>
      <w:r>
        <w:rPr>
          <w:sz w:val="28"/>
          <w:szCs w:val="28"/>
        </w:rPr>
        <w:t>）】网站〖首页</w:t>
      </w:r>
      <w:r>
        <w:rPr>
          <w:rFonts w:ascii="Arial" w:hAnsi="Arial" w:eastAsia="Arial" w:cs="Arial"/>
          <w:sz w:val="28"/>
          <w:szCs w:val="28"/>
        </w:rPr>
        <w:t>•</w:t>
      </w:r>
      <w:r>
        <w:rPr>
          <w:sz w:val="28"/>
          <w:szCs w:val="28"/>
        </w:rPr>
        <w:t>〉政府采购管理〗栏目中的《政府</w:t>
      </w:r>
      <w:r>
        <w:rPr>
          <w:spacing w:val="-1"/>
          <w:sz w:val="28"/>
          <w:szCs w:val="28"/>
        </w:rPr>
        <w:t>采购</w:t>
      </w:r>
      <w:r>
        <w:rPr>
          <w:spacing w:val="-9"/>
          <w:sz w:val="28"/>
          <w:szCs w:val="28"/>
        </w:rPr>
        <w:t>供应商质疑函范本》。</w:t>
      </w:r>
    </w:p>
    <w:p w14:paraId="7F7268C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《政府采购供应商质疑函范本》链接地址：</w:t>
      </w:r>
    </w:p>
    <w:p w14:paraId="10C71CA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700" w:firstLineChars="200"/>
        <w:rPr>
          <w:sz w:val="28"/>
          <w:szCs w:val="28"/>
        </w:rPr>
      </w:pPr>
      <w:r>
        <w:fldChar w:fldCharType="begin"/>
      </w:r>
      <w:r>
        <w:instrText xml:space="preserve"> HYPERLINK "http://gks.mof.gov.cn/ztztz/zhengfucaigouguanli/201802/t20180201_2804589.htm" </w:instrText>
      </w:r>
      <w:r>
        <w:fldChar w:fldCharType="separate"/>
      </w:r>
      <w:r>
        <w:rPr>
          <w:sz w:val="28"/>
          <w:szCs w:val="28"/>
        </w:rPr>
        <w:t>http</w:t>
      </w:r>
      <w:r>
        <w:rPr>
          <w:spacing w:val="2"/>
          <w:sz w:val="28"/>
          <w:szCs w:val="28"/>
        </w:rPr>
        <w:t>://</w:t>
      </w:r>
      <w:r>
        <w:rPr>
          <w:sz w:val="28"/>
          <w:szCs w:val="28"/>
        </w:rPr>
        <w:t>gks</w:t>
      </w:r>
      <w:r>
        <w:rPr>
          <w:spacing w:val="2"/>
          <w:sz w:val="28"/>
          <w:szCs w:val="28"/>
        </w:rPr>
        <w:t>.</w:t>
      </w:r>
      <w:r>
        <w:rPr>
          <w:sz w:val="28"/>
          <w:szCs w:val="28"/>
        </w:rPr>
        <w:t>mof</w:t>
      </w:r>
      <w:r>
        <w:rPr>
          <w:spacing w:val="2"/>
          <w:sz w:val="28"/>
          <w:szCs w:val="28"/>
        </w:rPr>
        <w:t>.</w:t>
      </w:r>
      <w:r>
        <w:rPr>
          <w:sz w:val="28"/>
          <w:szCs w:val="28"/>
        </w:rPr>
        <w:t>gov</w:t>
      </w:r>
      <w:r>
        <w:rPr>
          <w:spacing w:val="2"/>
          <w:sz w:val="28"/>
          <w:szCs w:val="28"/>
        </w:rPr>
        <w:t>.</w:t>
      </w:r>
      <w:r>
        <w:rPr>
          <w:sz w:val="28"/>
          <w:szCs w:val="28"/>
        </w:rPr>
        <w:t>cn</w:t>
      </w:r>
      <w:r>
        <w:rPr>
          <w:spacing w:val="2"/>
          <w:sz w:val="28"/>
          <w:szCs w:val="28"/>
        </w:rPr>
        <w:t>/</w:t>
      </w:r>
      <w:r>
        <w:rPr>
          <w:sz w:val="28"/>
          <w:szCs w:val="28"/>
        </w:rPr>
        <w:t>ztztz</w:t>
      </w:r>
      <w:r>
        <w:rPr>
          <w:spacing w:val="2"/>
          <w:sz w:val="28"/>
          <w:szCs w:val="28"/>
        </w:rPr>
        <w:t>/</w:t>
      </w:r>
      <w:r>
        <w:rPr>
          <w:sz w:val="28"/>
          <w:szCs w:val="28"/>
        </w:rPr>
        <w:t>zhengfu</w:t>
      </w:r>
      <w:r>
        <w:rPr>
          <w:spacing w:val="-118"/>
          <w:sz w:val="28"/>
          <w:szCs w:val="28"/>
        </w:rPr>
        <w:t xml:space="preserve"> </w:t>
      </w:r>
      <w:r>
        <w:rPr>
          <w:sz w:val="28"/>
          <w:szCs w:val="28"/>
        </w:rPr>
        <w:t>caigouguan</w:t>
      </w:r>
      <w:r>
        <w:rPr>
          <w:spacing w:val="-112"/>
          <w:sz w:val="28"/>
          <w:szCs w:val="28"/>
        </w:rPr>
        <w:t xml:space="preserve"> </w:t>
      </w:r>
      <w:r>
        <w:rPr>
          <w:sz w:val="28"/>
          <w:szCs w:val="28"/>
        </w:rPr>
        <w:t>li</w:t>
      </w:r>
      <w:r>
        <w:rPr>
          <w:spacing w:val="2"/>
          <w:sz w:val="28"/>
          <w:szCs w:val="28"/>
        </w:rPr>
        <w:t>/201802/t201</w:t>
      </w:r>
      <w:r>
        <w:rPr>
          <w:spacing w:val="2"/>
          <w:sz w:val="28"/>
          <w:szCs w:val="28"/>
        </w:rPr>
        <w:fldChar w:fldCharType="end"/>
      </w:r>
      <w:r>
        <w:rPr>
          <w:sz w:val="28"/>
          <w:szCs w:val="28"/>
        </w:rPr>
        <w:t xml:space="preserve"> </w:t>
      </w:r>
      <w:r>
        <w:fldChar w:fldCharType="begin"/>
      </w:r>
      <w:r>
        <w:instrText xml:space="preserve"> HYPERLINK "http://gks.mof.gov.cn/ztztz/zhengfucaigouguanli/201802/t20180201_2804589.htm" </w:instrText>
      </w:r>
      <w:r>
        <w:fldChar w:fldCharType="separate"/>
      </w:r>
      <w:r>
        <w:rPr>
          <w:spacing w:val="1"/>
          <w:sz w:val="28"/>
          <w:szCs w:val="28"/>
        </w:rPr>
        <w:t>80201_2804589.</w:t>
      </w:r>
      <w:r>
        <w:rPr>
          <w:sz w:val="28"/>
          <w:szCs w:val="28"/>
        </w:rPr>
        <w:t>htm</w:t>
      </w:r>
      <w:r>
        <w:rPr>
          <w:sz w:val="28"/>
          <w:szCs w:val="28"/>
        </w:rPr>
        <w:fldChar w:fldCharType="end"/>
      </w:r>
    </w:p>
    <w:p w14:paraId="32565EE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2、质疑人为自然人的，应当由本人签字；质疑人为法人或者其他组织</w:t>
      </w:r>
      <w:r>
        <w:rPr>
          <w:spacing w:val="3"/>
          <w:sz w:val="28"/>
          <w:szCs w:val="28"/>
        </w:rPr>
        <w:t>的，应当由法定代表人、主要负责人，或者其授权代表</w:t>
      </w:r>
      <w:r>
        <w:rPr>
          <w:spacing w:val="2"/>
          <w:sz w:val="28"/>
          <w:szCs w:val="28"/>
        </w:rPr>
        <w:t>签字或者盖章，并</w:t>
      </w:r>
      <w:r>
        <w:rPr>
          <w:spacing w:val="3"/>
          <w:sz w:val="28"/>
          <w:szCs w:val="28"/>
        </w:rPr>
        <w:t>加盖公章。被授权代表办理质疑事项时，除提交质疑函</w:t>
      </w:r>
      <w:r>
        <w:rPr>
          <w:spacing w:val="2"/>
          <w:sz w:val="28"/>
          <w:szCs w:val="28"/>
        </w:rPr>
        <w:t>外，还应当提交授</w:t>
      </w:r>
      <w:r>
        <w:rPr>
          <w:spacing w:val="3"/>
          <w:sz w:val="28"/>
          <w:szCs w:val="28"/>
        </w:rPr>
        <w:t>权委托书及被授权代表的有效身份证明，授权委托书应</w:t>
      </w:r>
      <w:r>
        <w:rPr>
          <w:spacing w:val="2"/>
          <w:sz w:val="28"/>
          <w:szCs w:val="28"/>
        </w:rPr>
        <w:t>当载明委托代理的</w:t>
      </w:r>
      <w:r>
        <w:rPr>
          <w:sz w:val="28"/>
          <w:szCs w:val="28"/>
        </w:rPr>
        <w:t>具体权限和事项。</w:t>
      </w:r>
    </w:p>
    <w:p w14:paraId="3E51C07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3、在法定质疑期内，针对同一采购程序环节的质疑应当一次性提出。</w:t>
      </w:r>
      <w:r>
        <w:rPr>
          <w:rFonts w:hint="eastAsia"/>
          <w:spacing w:val="1"/>
          <w:sz w:val="28"/>
          <w:szCs w:val="28"/>
          <w:lang w:eastAsia="zh-CN"/>
        </w:rPr>
        <w:t>陕西中源项目管理有限公司</w:t>
      </w:r>
      <w:r>
        <w:rPr>
          <w:spacing w:val="1"/>
          <w:sz w:val="28"/>
          <w:szCs w:val="28"/>
        </w:rPr>
        <w:t>或采购人将在收到书面质疑后</w:t>
      </w:r>
      <w:r>
        <w:rPr>
          <w:spacing w:val="-35"/>
          <w:sz w:val="28"/>
          <w:szCs w:val="28"/>
        </w:rPr>
        <w:t xml:space="preserve"> </w:t>
      </w:r>
      <w:r>
        <w:rPr>
          <w:spacing w:val="1"/>
          <w:sz w:val="28"/>
          <w:szCs w:val="28"/>
        </w:rPr>
        <w:t>7</w:t>
      </w:r>
      <w:r>
        <w:rPr>
          <w:spacing w:val="-50"/>
          <w:sz w:val="28"/>
          <w:szCs w:val="28"/>
        </w:rPr>
        <w:t xml:space="preserve"> </w:t>
      </w:r>
      <w:r>
        <w:rPr>
          <w:spacing w:val="1"/>
          <w:sz w:val="28"/>
          <w:szCs w:val="28"/>
        </w:rPr>
        <w:t>个工作日内</w:t>
      </w:r>
      <w:r>
        <w:rPr>
          <w:spacing w:val="2"/>
          <w:sz w:val="28"/>
          <w:szCs w:val="28"/>
        </w:rPr>
        <w:t>做出答复，并以书面形式通知质疑人和其他有关供应商。</w:t>
      </w:r>
    </w:p>
    <w:p w14:paraId="761C1AE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textAlignment w:val="baseline"/>
        <w:rPr>
          <w:sz w:val="28"/>
          <w:szCs w:val="28"/>
        </w:rPr>
      </w:pPr>
      <w:r>
        <w:rPr>
          <w:spacing w:val="-2"/>
          <w:sz w:val="28"/>
          <w:szCs w:val="28"/>
        </w:rPr>
        <w:t>4、有下列情形之一的，属于无效质疑，</w:t>
      </w:r>
      <w:r>
        <w:rPr>
          <w:rFonts w:hint="eastAsia"/>
          <w:spacing w:val="-2"/>
          <w:sz w:val="28"/>
          <w:szCs w:val="28"/>
          <w:lang w:val="en-US" w:eastAsia="zh-CN"/>
        </w:rPr>
        <w:t>代理机构</w:t>
      </w:r>
      <w:r>
        <w:rPr>
          <w:sz w:val="28"/>
          <w:szCs w:val="28"/>
        </w:rPr>
        <w:t>和采购人不予受理：</w:t>
      </w:r>
    </w:p>
    <w:p w14:paraId="55E20C0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（1）质疑人不是参与本次政府采购项目的供应商或潜在供应商；</w:t>
      </w:r>
    </w:p>
    <w:p w14:paraId="660D488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（2）质疑人与质疑事项不存在利害关系的；</w:t>
      </w:r>
    </w:p>
    <w:p w14:paraId="54F9D4E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（3）未在法定期限内提出质疑的；</w:t>
      </w:r>
    </w:p>
    <w:p w14:paraId="4652637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（4）质疑未以书面形式提出，或质疑函主要内容构成不完整的，或缺</w:t>
      </w:r>
      <w:r>
        <w:rPr>
          <w:spacing w:val="1"/>
          <w:sz w:val="28"/>
          <w:szCs w:val="28"/>
        </w:rPr>
        <w:t>乏必要的证明材料及证明材料不完整的；</w:t>
      </w:r>
    </w:p>
    <w:p w14:paraId="3E4974F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（5）质疑函没有合法有效的签字、盖章或授权的；</w:t>
      </w:r>
    </w:p>
    <w:p w14:paraId="6B74972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（6）以非法手段取得证据、材料的；</w:t>
      </w:r>
    </w:p>
    <w:p w14:paraId="2E227C5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2" w:firstLineChars="200"/>
        <w:jc w:val="both"/>
        <w:textAlignment w:val="baseline"/>
        <w:rPr>
          <w:spacing w:val="-8"/>
          <w:sz w:val="28"/>
          <w:szCs w:val="28"/>
        </w:rPr>
      </w:pPr>
      <w:r>
        <w:rPr>
          <w:spacing w:val="-7"/>
          <w:sz w:val="28"/>
          <w:szCs w:val="28"/>
        </w:rPr>
        <w:t>（7）不符合法律、法规、规章和政府采购监</w:t>
      </w:r>
      <w:r>
        <w:rPr>
          <w:spacing w:val="-8"/>
          <w:sz w:val="28"/>
          <w:szCs w:val="28"/>
        </w:rPr>
        <w:t>管机构规定的其他条件</w:t>
      </w:r>
    </w:p>
    <w:p w14:paraId="2BE56D3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jc w:val="left"/>
        <w:textAlignment w:val="baseline"/>
        <w:rPr>
          <w:spacing w:val="-2"/>
          <w:sz w:val="28"/>
          <w:szCs w:val="28"/>
        </w:rPr>
      </w:pPr>
      <w:r>
        <w:rPr>
          <w:sz w:val="28"/>
          <w:szCs w:val="28"/>
        </w:rPr>
        <w:t>5、质疑人对</w:t>
      </w:r>
      <w:r>
        <w:rPr>
          <w:rFonts w:hint="eastAsia"/>
          <w:sz w:val="28"/>
          <w:szCs w:val="28"/>
          <w:lang w:val="en-US" w:eastAsia="zh-CN"/>
        </w:rPr>
        <w:t>代理机构</w:t>
      </w:r>
      <w:r>
        <w:rPr>
          <w:sz w:val="28"/>
          <w:szCs w:val="28"/>
        </w:rPr>
        <w:t>或采</w:t>
      </w:r>
      <w:r>
        <w:rPr>
          <w:spacing w:val="-1"/>
          <w:sz w:val="28"/>
          <w:szCs w:val="28"/>
        </w:rPr>
        <w:t>购人的答复不满意，</w:t>
      </w:r>
      <w:r>
        <w:rPr>
          <w:spacing w:val="-2"/>
          <w:sz w:val="28"/>
          <w:szCs w:val="28"/>
        </w:rPr>
        <w:t>以及</w:t>
      </w:r>
      <w:r>
        <w:rPr>
          <w:rFonts w:hint="eastAsia"/>
          <w:spacing w:val="-2"/>
          <w:sz w:val="28"/>
          <w:szCs w:val="28"/>
          <w:lang w:eastAsia="zh-CN"/>
        </w:rPr>
        <w:t>陕西中源项目管理有限公司</w:t>
      </w:r>
      <w:r>
        <w:rPr>
          <w:spacing w:val="-2"/>
          <w:sz w:val="28"/>
          <w:szCs w:val="28"/>
        </w:rPr>
        <w:t>或采购人未在规定时间内做出答复的，可以在答复期满后 15 个工作日内向政府采购监管机构提出投诉。</w:t>
      </w:r>
    </w:p>
    <w:p w14:paraId="22D887C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textAlignment w:val="baseline"/>
        <w:rPr>
          <w:sz w:val="28"/>
          <w:szCs w:val="28"/>
        </w:rPr>
      </w:pPr>
      <w:r>
        <w:rPr>
          <w:spacing w:val="2"/>
          <w:sz w:val="28"/>
          <w:szCs w:val="28"/>
        </w:rPr>
        <w:t>6、供应商投诉的事项不得超出已质疑事项的范围。</w:t>
      </w:r>
    </w:p>
    <w:p w14:paraId="557708B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textAlignment w:val="baseline"/>
        <w:rPr>
          <w:sz w:val="28"/>
          <w:szCs w:val="28"/>
        </w:rPr>
      </w:pPr>
      <w:r>
        <w:rPr>
          <w:b/>
          <w:bCs/>
          <w:sz w:val="28"/>
          <w:szCs w:val="28"/>
        </w:rPr>
        <w:t>7、对捏造事实、提供虚假材料进行质疑、</w:t>
      </w:r>
      <w:r>
        <w:rPr>
          <w:b/>
          <w:bCs/>
          <w:spacing w:val="-1"/>
          <w:sz w:val="28"/>
          <w:szCs w:val="28"/>
        </w:rPr>
        <w:t>投诉的行为予以严肃处理：</w:t>
      </w:r>
    </w:p>
    <w:p w14:paraId="0741B42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2" w:firstLineChars="200"/>
        <w:jc w:val="both"/>
        <w:textAlignment w:val="baseline"/>
        <w:rPr>
          <w:sz w:val="28"/>
          <w:szCs w:val="28"/>
        </w:rPr>
      </w:pPr>
      <w:r>
        <w:rPr>
          <w:spacing w:val="-7"/>
          <w:sz w:val="28"/>
          <w:szCs w:val="28"/>
        </w:rPr>
        <w:t>依据《中华人民共和国政府采购法》及其实施条例、《政府采购竞争性</w:t>
      </w:r>
      <w:r>
        <w:rPr>
          <w:spacing w:val="-6"/>
          <w:sz w:val="28"/>
          <w:szCs w:val="28"/>
        </w:rPr>
        <w:t>磋商采购人管理暂行办法》及有关问题的补充通知、《政府采购质疑和投诉</w:t>
      </w:r>
      <w:r>
        <w:rPr>
          <w:spacing w:val="3"/>
          <w:sz w:val="28"/>
          <w:szCs w:val="28"/>
        </w:rPr>
        <w:t>办法》等法律法规文件的规定，供应商质疑、投诉应当</w:t>
      </w:r>
      <w:r>
        <w:rPr>
          <w:spacing w:val="2"/>
          <w:sz w:val="28"/>
          <w:szCs w:val="28"/>
        </w:rPr>
        <w:t>有明确的请求和必</w:t>
      </w:r>
      <w:r>
        <w:rPr>
          <w:spacing w:val="-1"/>
          <w:sz w:val="28"/>
          <w:szCs w:val="28"/>
        </w:rPr>
        <w:t>要的证明材料。</w:t>
      </w:r>
      <w:r>
        <w:rPr>
          <w:b/>
          <w:bCs/>
          <w:spacing w:val="-1"/>
          <w:sz w:val="28"/>
          <w:szCs w:val="28"/>
        </w:rPr>
        <w:t>投诉人在全国范围内十二个月内三次以</w:t>
      </w:r>
      <w:r>
        <w:rPr>
          <w:b/>
          <w:bCs/>
          <w:spacing w:val="-2"/>
          <w:sz w:val="28"/>
          <w:szCs w:val="28"/>
        </w:rPr>
        <w:t>上投诉查无实据的，</w:t>
      </w:r>
      <w:r>
        <w:rPr>
          <w:b/>
          <w:bCs/>
          <w:spacing w:val="1"/>
          <w:sz w:val="28"/>
          <w:szCs w:val="28"/>
        </w:rPr>
        <w:t>由财政部门列入不良行为记录名单</w:t>
      </w:r>
      <w:r>
        <w:rPr>
          <w:spacing w:val="1"/>
          <w:sz w:val="28"/>
          <w:szCs w:val="28"/>
        </w:rPr>
        <w:t>。对于捏造事实、提供虚假材料或者以</w:t>
      </w:r>
      <w:r>
        <w:rPr>
          <w:spacing w:val="3"/>
          <w:sz w:val="28"/>
          <w:szCs w:val="28"/>
        </w:rPr>
        <w:t>非法手段取得证明材料进行投诉的，财政部门应当予以</w:t>
      </w:r>
      <w:r>
        <w:rPr>
          <w:spacing w:val="2"/>
          <w:sz w:val="28"/>
          <w:szCs w:val="28"/>
        </w:rPr>
        <w:t>驳回，并将其列入不良行为记录名单，禁止其一至三年内参加政府采购活动。</w:t>
      </w:r>
    </w:p>
    <w:p w14:paraId="619284C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8、对捏造事实诬告陷害他人、诽谤他人的法律适用：</w:t>
      </w:r>
    </w:p>
    <w:p w14:paraId="26F93A2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jc w:val="both"/>
        <w:rPr>
          <w:sz w:val="28"/>
          <w:szCs w:val="28"/>
        </w:rPr>
      </w:pPr>
      <w:r>
        <w:rPr>
          <w:spacing w:val="1"/>
          <w:sz w:val="28"/>
          <w:szCs w:val="28"/>
        </w:rPr>
        <w:t>《中华人民共和国刑法》第</w:t>
      </w:r>
      <w:r>
        <w:rPr>
          <w:spacing w:val="-39"/>
          <w:sz w:val="28"/>
          <w:szCs w:val="28"/>
        </w:rPr>
        <w:t xml:space="preserve"> </w:t>
      </w:r>
      <w:r>
        <w:rPr>
          <w:spacing w:val="1"/>
          <w:sz w:val="28"/>
          <w:szCs w:val="28"/>
        </w:rPr>
        <w:t>243</w:t>
      </w:r>
      <w:r>
        <w:rPr>
          <w:spacing w:val="-48"/>
          <w:sz w:val="28"/>
          <w:szCs w:val="28"/>
        </w:rPr>
        <w:t xml:space="preserve"> </w:t>
      </w:r>
      <w:r>
        <w:rPr>
          <w:spacing w:val="1"/>
          <w:sz w:val="28"/>
          <w:szCs w:val="28"/>
        </w:rPr>
        <w:t>条【诬告陷害罪】捏造事实诬告陷害</w:t>
      </w:r>
      <w:r>
        <w:rPr>
          <w:spacing w:val="3"/>
          <w:sz w:val="28"/>
          <w:szCs w:val="28"/>
        </w:rPr>
        <w:t>他人，意图使他人受刑事追究，情节严重的，处三</w:t>
      </w:r>
      <w:r>
        <w:rPr>
          <w:spacing w:val="2"/>
          <w:sz w:val="28"/>
          <w:szCs w:val="28"/>
        </w:rPr>
        <w:t>年以下有期徒刑、拘役或者管制；造成严重后果的，处三年以上十年以下有期徒刑。</w:t>
      </w:r>
    </w:p>
    <w:p w14:paraId="4110C5B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jc w:val="both"/>
        <w:rPr>
          <w:sz w:val="28"/>
          <w:szCs w:val="28"/>
        </w:rPr>
      </w:pPr>
      <w:r>
        <w:rPr>
          <w:spacing w:val="1"/>
          <w:sz w:val="28"/>
          <w:szCs w:val="28"/>
        </w:rPr>
        <w:t>《中华人民共和国刑法》第</w:t>
      </w:r>
      <w:r>
        <w:rPr>
          <w:spacing w:val="-39"/>
          <w:sz w:val="28"/>
          <w:szCs w:val="28"/>
        </w:rPr>
        <w:t xml:space="preserve"> </w:t>
      </w:r>
      <w:r>
        <w:rPr>
          <w:spacing w:val="1"/>
          <w:sz w:val="28"/>
          <w:szCs w:val="28"/>
        </w:rPr>
        <w:t>246</w:t>
      </w:r>
      <w:r>
        <w:rPr>
          <w:spacing w:val="-48"/>
          <w:sz w:val="28"/>
          <w:szCs w:val="28"/>
        </w:rPr>
        <w:t xml:space="preserve"> </w:t>
      </w:r>
      <w:r>
        <w:rPr>
          <w:spacing w:val="1"/>
          <w:sz w:val="28"/>
          <w:szCs w:val="28"/>
        </w:rPr>
        <w:t>条【侮辱罪、诽谤罪】以暴力或者其</w:t>
      </w:r>
      <w:r>
        <w:rPr>
          <w:spacing w:val="3"/>
          <w:sz w:val="28"/>
          <w:szCs w:val="28"/>
        </w:rPr>
        <w:t>他方法公然侮辱他人或者捏造事实诽谤他人，情节严</w:t>
      </w:r>
      <w:r>
        <w:rPr>
          <w:spacing w:val="2"/>
          <w:sz w:val="28"/>
          <w:szCs w:val="28"/>
        </w:rPr>
        <w:t>重的，处三年以下有期徒刑、拘役、管制或者剥夺政治权利。</w:t>
      </w:r>
    </w:p>
    <w:p w14:paraId="36A0362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eastAsia="zh-CN"/>
        </w:rPr>
      </w:pPr>
      <w:r>
        <w:rPr>
          <w:spacing w:val="3"/>
          <w:sz w:val="28"/>
          <w:szCs w:val="28"/>
        </w:rPr>
        <w:t>9、质疑函递交地址：</w:t>
      </w:r>
      <w:r>
        <w:rPr>
          <w:rFonts w:hint="eastAsia"/>
          <w:spacing w:val="3"/>
          <w:sz w:val="28"/>
          <w:szCs w:val="28"/>
          <w:lang w:eastAsia="zh-CN"/>
        </w:rPr>
        <w:t>陕西中源项目管理有限公司</w:t>
      </w:r>
    </w:p>
    <w:p w14:paraId="7E515E2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rFonts w:hint="default" w:eastAsia="仿宋"/>
          <w:sz w:val="28"/>
          <w:szCs w:val="28"/>
          <w:lang w:val="en-US" w:eastAsia="zh-CN"/>
        </w:rPr>
      </w:pPr>
      <w:r>
        <w:rPr>
          <w:spacing w:val="1"/>
          <w:sz w:val="28"/>
          <w:szCs w:val="28"/>
        </w:rPr>
        <w:t>联系电话：</w:t>
      </w:r>
      <w:r>
        <w:rPr>
          <w:rFonts w:hint="eastAsia"/>
          <w:spacing w:val="1"/>
          <w:sz w:val="28"/>
          <w:szCs w:val="28"/>
          <w:lang w:val="en-US" w:eastAsia="zh-CN"/>
        </w:rPr>
        <w:t>16609151911</w:t>
      </w:r>
    </w:p>
    <w:p w14:paraId="5576B60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default" w:eastAsia="仿宋"/>
          <w:sz w:val="28"/>
          <w:szCs w:val="28"/>
          <w:lang w:val="en-US" w:eastAsia="zh-CN"/>
        </w:rPr>
      </w:pPr>
      <w:r>
        <w:rPr>
          <w:rFonts w:hint="eastAsia"/>
          <w:spacing w:val="3"/>
          <w:sz w:val="28"/>
          <w:szCs w:val="28"/>
          <w:lang w:val="en-US" w:eastAsia="zh-CN"/>
        </w:rPr>
        <w:t>递交方式</w:t>
      </w:r>
      <w:r>
        <w:rPr>
          <w:spacing w:val="3"/>
          <w:sz w:val="28"/>
          <w:szCs w:val="28"/>
        </w:rPr>
        <w:t>：</w:t>
      </w:r>
      <w:r>
        <w:rPr>
          <w:rFonts w:hint="eastAsia"/>
          <w:spacing w:val="3"/>
          <w:sz w:val="28"/>
          <w:szCs w:val="28"/>
          <w:lang w:val="en-US" w:eastAsia="zh-CN"/>
        </w:rPr>
        <w:t>以书面形式当面递交</w:t>
      </w:r>
    </w:p>
    <w:p w14:paraId="7410F7E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outlineLvl w:val="1"/>
        <w:rPr>
          <w:sz w:val="28"/>
          <w:szCs w:val="28"/>
        </w:rPr>
      </w:pPr>
      <w:r>
        <w:rPr>
          <w:b/>
          <w:bCs/>
          <w:spacing w:val="-4"/>
          <w:sz w:val="28"/>
          <w:szCs w:val="28"/>
        </w:rPr>
        <w:t>（</w:t>
      </w:r>
      <w:r>
        <w:rPr>
          <w:spacing w:val="-80"/>
          <w:sz w:val="28"/>
          <w:szCs w:val="28"/>
        </w:rPr>
        <w:t xml:space="preserve"> </w:t>
      </w:r>
      <w:r>
        <w:rPr>
          <w:b/>
          <w:bCs/>
          <w:spacing w:val="-4"/>
          <w:sz w:val="28"/>
          <w:szCs w:val="28"/>
        </w:rPr>
        <w:t>四）关于信用记录的查询和使用</w:t>
      </w:r>
    </w:p>
    <w:p w14:paraId="384607F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both"/>
        <w:rPr>
          <w:rFonts w:ascii="Arial"/>
          <w:sz w:val="21"/>
        </w:rPr>
      </w:pPr>
      <w:r>
        <w:rPr>
          <w:spacing w:val="2"/>
          <w:sz w:val="28"/>
          <w:szCs w:val="28"/>
        </w:rPr>
        <w:t>1、磋商小组将在资格审查阶段通过【</w:t>
      </w:r>
      <w:r>
        <w:fldChar w:fldCharType="begin"/>
      </w:r>
      <w:r>
        <w:instrText xml:space="preserve"> HYPERLINK "http://www.creditchina.gov.cn/" </w:instrText>
      </w:r>
      <w:r>
        <w:fldChar w:fldCharType="separate"/>
      </w:r>
      <w:r>
        <w:rPr>
          <w:spacing w:val="2"/>
          <w:sz w:val="28"/>
          <w:szCs w:val="28"/>
        </w:rPr>
        <w:t>信用中国</w:t>
      </w:r>
      <w:r>
        <w:rPr>
          <w:spacing w:val="2"/>
          <w:sz w:val="28"/>
          <w:szCs w:val="28"/>
        </w:rPr>
        <w:fldChar w:fldCharType="end"/>
      </w:r>
      <w:r>
        <w:rPr>
          <w:spacing w:val="2"/>
          <w:sz w:val="28"/>
          <w:szCs w:val="28"/>
        </w:rPr>
        <w:t>（</w:t>
      </w:r>
      <w:r>
        <w:fldChar w:fldCharType="begin"/>
      </w:r>
      <w:r>
        <w:instrText xml:space="preserve"> HYPERLINK "https://www.creditchina.g" </w:instrText>
      </w:r>
      <w:r>
        <w:fldChar w:fldCharType="separate"/>
      </w:r>
      <w:r>
        <w:rPr>
          <w:sz w:val="28"/>
          <w:szCs w:val="28"/>
        </w:rPr>
        <w:t>www</w:t>
      </w:r>
      <w:r>
        <w:rPr>
          <w:spacing w:val="2"/>
          <w:sz w:val="28"/>
          <w:szCs w:val="28"/>
        </w:rPr>
        <w:t>.</w:t>
      </w:r>
      <w:r>
        <w:rPr>
          <w:sz w:val="28"/>
          <w:szCs w:val="28"/>
        </w:rPr>
        <w:t>creditchina</w:t>
      </w:r>
      <w:r>
        <w:rPr>
          <w:spacing w:val="2"/>
          <w:sz w:val="28"/>
          <w:szCs w:val="28"/>
        </w:rPr>
        <w:t>.g</w:t>
      </w:r>
      <w:r>
        <w:rPr>
          <w:spacing w:val="2"/>
          <w:sz w:val="28"/>
          <w:szCs w:val="28"/>
        </w:rPr>
        <w:fldChar w:fldCharType="end"/>
      </w:r>
      <w:r>
        <w:fldChar w:fldCharType="begin"/>
      </w:r>
      <w:r>
        <w:instrText xml:space="preserve"> HYPERLINK "ov.cn" </w:instrText>
      </w:r>
      <w:r>
        <w:fldChar w:fldCharType="separate"/>
      </w:r>
      <w:r>
        <w:rPr>
          <w:spacing w:val="-16"/>
          <w:sz w:val="28"/>
          <w:szCs w:val="28"/>
        </w:rPr>
        <w:t>ov.cn</w:t>
      </w:r>
      <w:r>
        <w:rPr>
          <w:spacing w:val="-16"/>
          <w:sz w:val="28"/>
          <w:szCs w:val="28"/>
        </w:rPr>
        <w:fldChar w:fldCharType="end"/>
      </w:r>
      <w:r>
        <w:rPr>
          <w:spacing w:val="-16"/>
          <w:sz w:val="28"/>
          <w:szCs w:val="28"/>
        </w:rPr>
        <w:t>）】、【</w:t>
      </w:r>
      <w:r>
        <w:fldChar w:fldCharType="begin"/>
      </w:r>
      <w:r>
        <w:instrText xml:space="preserve"> HYPERLINK "http://www.ccgp.gov.cn/cr/list" </w:instrText>
      </w:r>
      <w:r>
        <w:fldChar w:fldCharType="separate"/>
      </w:r>
      <w:r>
        <w:rPr>
          <w:spacing w:val="-16"/>
          <w:sz w:val="28"/>
          <w:szCs w:val="28"/>
        </w:rPr>
        <w:t>中国政府采购网</w:t>
      </w:r>
      <w:r>
        <w:rPr>
          <w:spacing w:val="-16"/>
          <w:sz w:val="28"/>
          <w:szCs w:val="28"/>
        </w:rPr>
        <w:fldChar w:fldCharType="end"/>
      </w:r>
      <w:r>
        <w:rPr>
          <w:spacing w:val="-16"/>
          <w:sz w:val="28"/>
          <w:szCs w:val="28"/>
        </w:rPr>
        <w:t>（www.</w:t>
      </w:r>
      <w:r>
        <w:rPr>
          <w:spacing w:val="-17"/>
          <w:sz w:val="28"/>
          <w:szCs w:val="28"/>
        </w:rPr>
        <w:t>ccgp.gov.cn）】网站对响应文件中的《供</w:t>
      </w:r>
      <w:r>
        <w:rPr>
          <w:spacing w:val="3"/>
          <w:sz w:val="28"/>
          <w:szCs w:val="28"/>
        </w:rPr>
        <w:t>应商信用记录书面声明函》的信用情况进行</w:t>
      </w:r>
      <w:r>
        <w:rPr>
          <w:rFonts w:hint="eastAsia"/>
          <w:spacing w:val="3"/>
          <w:sz w:val="28"/>
          <w:szCs w:val="28"/>
          <w:lang w:eastAsia="zh-CN"/>
        </w:rPr>
        <w:t>核验</w:t>
      </w:r>
      <w:r>
        <w:rPr>
          <w:spacing w:val="3"/>
          <w:sz w:val="28"/>
          <w:szCs w:val="28"/>
        </w:rPr>
        <w:t>。对列入失信被执行人、重大税收违法案件当事人名单、政府采购严重违法失信行为记录名</w:t>
      </w:r>
      <w:r>
        <w:rPr>
          <w:spacing w:val="2"/>
          <w:sz w:val="28"/>
          <w:szCs w:val="28"/>
        </w:rPr>
        <w:t>单及其</w:t>
      </w:r>
      <w:r>
        <w:rPr>
          <w:spacing w:val="3"/>
          <w:sz w:val="28"/>
          <w:szCs w:val="28"/>
        </w:rPr>
        <w:t>他不符合《中华人民共和国政府采购法》第二十二条规定条</w:t>
      </w:r>
      <w:r>
        <w:rPr>
          <w:spacing w:val="2"/>
          <w:sz w:val="28"/>
          <w:szCs w:val="28"/>
        </w:rPr>
        <w:t>件的供应商，</w:t>
      </w:r>
    </w:p>
    <w:p w14:paraId="05F28E2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6" w:firstLineChars="200"/>
        <w:rPr>
          <w:sz w:val="28"/>
          <w:szCs w:val="28"/>
        </w:rPr>
      </w:pPr>
      <w:r>
        <w:rPr>
          <w:spacing w:val="-6"/>
          <w:sz w:val="28"/>
          <w:szCs w:val="28"/>
        </w:rPr>
        <w:t>根据《关于在政府采购活动中查询及使用信用记录有关问题的通知》（财库</w:t>
      </w:r>
      <w:r>
        <w:rPr>
          <w:spacing w:val="-2"/>
          <w:sz w:val="28"/>
          <w:szCs w:val="28"/>
        </w:rPr>
        <w:t>〔2016〕125</w:t>
      </w:r>
      <w:r>
        <w:rPr>
          <w:spacing w:val="-39"/>
          <w:sz w:val="28"/>
          <w:szCs w:val="28"/>
        </w:rPr>
        <w:t xml:space="preserve"> </w:t>
      </w:r>
      <w:r>
        <w:rPr>
          <w:spacing w:val="-2"/>
          <w:sz w:val="28"/>
          <w:szCs w:val="28"/>
        </w:rPr>
        <w:t>号）的第二条第（三）款规定，其磋商或成交资格将被取消。</w:t>
      </w:r>
    </w:p>
    <w:p w14:paraId="1C4C4C4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2、供应商在参加政府采购活动前</w:t>
      </w:r>
      <w:r>
        <w:rPr>
          <w:spacing w:val="-50"/>
          <w:sz w:val="28"/>
          <w:szCs w:val="28"/>
        </w:rPr>
        <w:t xml:space="preserve"> </w:t>
      </w:r>
      <w:r>
        <w:rPr>
          <w:spacing w:val="-3"/>
          <w:sz w:val="28"/>
          <w:szCs w:val="28"/>
        </w:rPr>
        <w:t>3</w:t>
      </w:r>
      <w:r>
        <w:rPr>
          <w:spacing w:val="-45"/>
          <w:sz w:val="28"/>
          <w:szCs w:val="28"/>
        </w:rPr>
        <w:t xml:space="preserve"> </w:t>
      </w:r>
      <w:r>
        <w:rPr>
          <w:spacing w:val="-3"/>
          <w:sz w:val="28"/>
          <w:szCs w:val="28"/>
        </w:rPr>
        <w:t>年内因违法经营</w:t>
      </w:r>
      <w:r>
        <w:rPr>
          <w:spacing w:val="-4"/>
          <w:sz w:val="28"/>
          <w:szCs w:val="28"/>
        </w:rPr>
        <w:t>被禁止在一定期限</w:t>
      </w:r>
      <w:r>
        <w:rPr>
          <w:spacing w:val="3"/>
          <w:sz w:val="28"/>
          <w:szCs w:val="28"/>
        </w:rPr>
        <w:t>内参加政府采购活动，期限届满的，可以参加政府采</w:t>
      </w:r>
      <w:r>
        <w:rPr>
          <w:spacing w:val="2"/>
          <w:sz w:val="28"/>
          <w:szCs w:val="28"/>
        </w:rPr>
        <w:t>购活动的，但供应商</w:t>
      </w:r>
      <w:r>
        <w:rPr>
          <w:spacing w:val="1"/>
          <w:sz w:val="28"/>
          <w:szCs w:val="28"/>
        </w:rPr>
        <w:t>应提供相关证明材料。</w:t>
      </w:r>
    </w:p>
    <w:p w14:paraId="38FF200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3、供应商信用记录及供应商基本信息查询的时间段为“磋商公告发布</w:t>
      </w:r>
      <w:r>
        <w:rPr>
          <w:spacing w:val="-8"/>
          <w:sz w:val="28"/>
          <w:szCs w:val="28"/>
        </w:rPr>
        <w:t>之</w:t>
      </w:r>
      <w:r>
        <w:rPr>
          <w:spacing w:val="-59"/>
          <w:sz w:val="28"/>
          <w:szCs w:val="28"/>
        </w:rPr>
        <w:t xml:space="preserve"> </w:t>
      </w:r>
      <w:r>
        <w:rPr>
          <w:spacing w:val="-8"/>
          <w:sz w:val="28"/>
          <w:szCs w:val="28"/>
        </w:rPr>
        <w:t>日（含当日）至提交响应文件截止之日（含当日）”。信用</w:t>
      </w:r>
      <w:r>
        <w:rPr>
          <w:spacing w:val="-9"/>
          <w:sz w:val="28"/>
          <w:szCs w:val="28"/>
        </w:rPr>
        <w:t>记录查询的结</w:t>
      </w:r>
      <w:r>
        <w:rPr>
          <w:spacing w:val="3"/>
          <w:sz w:val="28"/>
          <w:szCs w:val="28"/>
        </w:rPr>
        <w:t>果，可以纸质截图或将截图保存至电子介质的形式留存</w:t>
      </w:r>
      <w:r>
        <w:rPr>
          <w:spacing w:val="2"/>
          <w:sz w:val="28"/>
          <w:szCs w:val="28"/>
        </w:rPr>
        <w:t>。供应商未如实填</w:t>
      </w:r>
      <w:r>
        <w:rPr>
          <w:spacing w:val="3"/>
          <w:sz w:val="28"/>
          <w:szCs w:val="28"/>
        </w:rPr>
        <w:t>报《供应商信用记录书面声明函》的，视为“供应商提</w:t>
      </w:r>
      <w:r>
        <w:rPr>
          <w:spacing w:val="2"/>
          <w:sz w:val="28"/>
          <w:szCs w:val="28"/>
        </w:rPr>
        <w:t>供虚假材料谋取中</w:t>
      </w:r>
      <w:r>
        <w:rPr>
          <w:spacing w:val="-4"/>
          <w:sz w:val="28"/>
          <w:szCs w:val="28"/>
        </w:rPr>
        <w:t>标、成交的</w:t>
      </w:r>
      <w:r>
        <w:rPr>
          <w:spacing w:val="-97"/>
          <w:sz w:val="28"/>
          <w:szCs w:val="28"/>
        </w:rPr>
        <w:t xml:space="preserve"> </w:t>
      </w:r>
      <w:r>
        <w:rPr>
          <w:spacing w:val="-4"/>
          <w:sz w:val="28"/>
          <w:szCs w:val="28"/>
        </w:rPr>
        <w:t>”行为。</w:t>
      </w:r>
    </w:p>
    <w:p w14:paraId="36C7717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4、两个以上的自然人、法人或者其他组织组成一个联合体，以一个供</w:t>
      </w:r>
      <w:r>
        <w:rPr>
          <w:spacing w:val="3"/>
          <w:sz w:val="28"/>
          <w:szCs w:val="28"/>
        </w:rPr>
        <w:t>应商的身份共同参加政府采购活动的，应当对所有联</w:t>
      </w:r>
      <w:r>
        <w:rPr>
          <w:spacing w:val="2"/>
          <w:sz w:val="28"/>
          <w:szCs w:val="28"/>
        </w:rPr>
        <w:t>合体成员进行信用记</w:t>
      </w:r>
      <w:r>
        <w:rPr>
          <w:spacing w:val="-3"/>
          <w:sz w:val="28"/>
          <w:szCs w:val="28"/>
        </w:rPr>
        <w:t>录查询，联合体成员存在不良信用记录的，视同联合体存在不良信用记录。</w:t>
      </w:r>
    </w:p>
    <w:p w14:paraId="1CD8164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（五）落实的政府采购政策</w:t>
      </w:r>
    </w:p>
    <w:p w14:paraId="41D8452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24" w:firstLineChars="200"/>
        <w:jc w:val="both"/>
        <w:rPr>
          <w:sz w:val="28"/>
          <w:szCs w:val="28"/>
        </w:rPr>
      </w:pPr>
      <w:r>
        <w:rPr>
          <w:spacing w:val="-9"/>
          <w:sz w:val="28"/>
          <w:szCs w:val="28"/>
        </w:rPr>
        <w:t>1、根据《政府采购促进中小企业发展管理办法》（财库</w:t>
      </w:r>
      <w:r>
        <w:rPr>
          <w:spacing w:val="-10"/>
          <w:sz w:val="28"/>
          <w:szCs w:val="28"/>
        </w:rPr>
        <w:t>〔2020〕46</w:t>
      </w:r>
      <w:r>
        <w:rPr>
          <w:spacing w:val="-44"/>
          <w:sz w:val="28"/>
          <w:szCs w:val="28"/>
        </w:rPr>
        <w:t xml:space="preserve"> </w:t>
      </w:r>
      <w:r>
        <w:rPr>
          <w:spacing w:val="-10"/>
          <w:sz w:val="28"/>
          <w:szCs w:val="28"/>
        </w:rPr>
        <w:t>号）</w:t>
      </w:r>
      <w:r>
        <w:rPr>
          <w:spacing w:val="3"/>
          <w:sz w:val="28"/>
          <w:szCs w:val="28"/>
        </w:rPr>
        <w:t>的有关规定，在货物采购项目中，货物由中小企业制</w:t>
      </w:r>
      <w:r>
        <w:rPr>
          <w:spacing w:val="2"/>
          <w:sz w:val="28"/>
          <w:szCs w:val="28"/>
        </w:rPr>
        <w:t>造，即货物由中小企</w:t>
      </w:r>
      <w:r>
        <w:rPr>
          <w:spacing w:val="3"/>
          <w:sz w:val="28"/>
          <w:szCs w:val="28"/>
        </w:rPr>
        <w:t>业生产且使用该中小企业商号或者注册商标；在工程</w:t>
      </w:r>
      <w:r>
        <w:rPr>
          <w:spacing w:val="2"/>
          <w:sz w:val="28"/>
          <w:szCs w:val="28"/>
        </w:rPr>
        <w:t>采购项目中，工程由</w:t>
      </w:r>
      <w:r>
        <w:rPr>
          <w:spacing w:val="3"/>
          <w:sz w:val="28"/>
          <w:szCs w:val="28"/>
        </w:rPr>
        <w:t>中小企业承建，即工程施工单位为中小企业；在服务</w:t>
      </w:r>
      <w:r>
        <w:rPr>
          <w:spacing w:val="2"/>
          <w:sz w:val="28"/>
          <w:szCs w:val="28"/>
        </w:rPr>
        <w:t>采购项目中，服务由</w:t>
      </w:r>
      <w:r>
        <w:rPr>
          <w:spacing w:val="3"/>
          <w:sz w:val="28"/>
          <w:szCs w:val="28"/>
        </w:rPr>
        <w:t>中小企业承接，即提供服务的人员为中小企业依照《</w:t>
      </w:r>
      <w:r>
        <w:rPr>
          <w:spacing w:val="2"/>
          <w:sz w:val="28"/>
          <w:szCs w:val="28"/>
        </w:rPr>
        <w:t>中华人民共和国民法</w:t>
      </w:r>
      <w:r>
        <w:rPr>
          <w:spacing w:val="3"/>
          <w:sz w:val="28"/>
          <w:szCs w:val="28"/>
        </w:rPr>
        <w:t>典》订立劳动合同的从业人员，则参与政府采购活动</w:t>
      </w:r>
      <w:r>
        <w:rPr>
          <w:spacing w:val="2"/>
          <w:sz w:val="28"/>
          <w:szCs w:val="28"/>
        </w:rPr>
        <w:t>时，享受中小企业扶</w:t>
      </w:r>
      <w:r>
        <w:rPr>
          <w:spacing w:val="-3"/>
          <w:sz w:val="28"/>
          <w:szCs w:val="28"/>
        </w:rPr>
        <w:t>持政策。</w:t>
      </w:r>
    </w:p>
    <w:p w14:paraId="1F48489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在货物采购项目中，供应商提供的货物既有</w:t>
      </w:r>
      <w:r>
        <w:rPr>
          <w:spacing w:val="2"/>
          <w:sz w:val="28"/>
          <w:szCs w:val="28"/>
        </w:rPr>
        <w:t>中小企业制造货物，也有大型供应商制造货物的，不享受政府采购价格扣除优惠政策。</w:t>
      </w:r>
    </w:p>
    <w:p w14:paraId="6DC6DC6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608" w:firstLineChars="200"/>
        <w:jc w:val="both"/>
        <w:rPr>
          <w:rFonts w:ascii="Arial"/>
          <w:sz w:val="21"/>
        </w:rPr>
      </w:pPr>
      <w:r>
        <w:rPr>
          <w:spacing w:val="12"/>
          <w:sz w:val="28"/>
          <w:szCs w:val="28"/>
        </w:rPr>
        <w:t>接受大中型供应商与中小企业组成联合体或者允许大中型供应商向</w:t>
      </w:r>
      <w:r>
        <w:rPr>
          <w:spacing w:val="3"/>
          <w:sz w:val="28"/>
          <w:szCs w:val="28"/>
        </w:rPr>
        <w:t>一家或者多家中小企业分包的采购项目，对于联</w:t>
      </w:r>
      <w:r>
        <w:rPr>
          <w:spacing w:val="2"/>
          <w:sz w:val="28"/>
          <w:szCs w:val="28"/>
        </w:rPr>
        <w:t>合协议或者分包意向协议</w:t>
      </w:r>
      <w:r>
        <w:rPr>
          <w:spacing w:val="4"/>
          <w:sz w:val="28"/>
          <w:szCs w:val="28"/>
        </w:rPr>
        <w:t>约定中小企业的合同份额占到合同总金额</w:t>
      </w:r>
      <w:r>
        <w:rPr>
          <w:spacing w:val="-45"/>
          <w:sz w:val="28"/>
          <w:szCs w:val="28"/>
        </w:rPr>
        <w:t xml:space="preserve"> </w:t>
      </w:r>
      <w:r>
        <w:rPr>
          <w:spacing w:val="4"/>
          <w:sz w:val="28"/>
          <w:szCs w:val="28"/>
        </w:rPr>
        <w:t>30%以上的，货物和服务项目可</w:t>
      </w:r>
      <w:r>
        <w:rPr>
          <w:spacing w:val="1"/>
          <w:sz w:val="28"/>
          <w:szCs w:val="28"/>
        </w:rPr>
        <w:t>给予联合体或者大中型供应商的报价</w:t>
      </w:r>
      <w:r>
        <w:rPr>
          <w:spacing w:val="-51"/>
          <w:sz w:val="28"/>
          <w:szCs w:val="28"/>
        </w:rPr>
        <w:t xml:space="preserve"> </w:t>
      </w:r>
      <w:r>
        <w:rPr>
          <w:spacing w:val="1"/>
          <w:sz w:val="28"/>
          <w:szCs w:val="28"/>
        </w:rPr>
        <w:t>2%-3%的扣除，工程项目为</w:t>
      </w:r>
      <w:r>
        <w:rPr>
          <w:spacing w:val="-37"/>
          <w:sz w:val="28"/>
          <w:szCs w:val="28"/>
        </w:rPr>
        <w:t xml:space="preserve"> </w:t>
      </w:r>
      <w:r>
        <w:rPr>
          <w:spacing w:val="1"/>
          <w:sz w:val="28"/>
          <w:szCs w:val="28"/>
        </w:rPr>
        <w:t>1%—2%的</w:t>
      </w:r>
      <w:r>
        <w:rPr>
          <w:spacing w:val="-3"/>
          <w:sz w:val="28"/>
          <w:szCs w:val="28"/>
        </w:rPr>
        <w:t>扣除。联合体各方均为小型、微型企业的，联合体视同为小型、微型企业。</w:t>
      </w:r>
    </w:p>
    <w:p w14:paraId="23ADBED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组成联合体或者接受分包的中小企业与联合体内其</w:t>
      </w:r>
      <w:r>
        <w:rPr>
          <w:spacing w:val="2"/>
          <w:sz w:val="28"/>
          <w:szCs w:val="28"/>
        </w:rPr>
        <w:t>他供应商、分包供应商之间存在直接控股、管理关系的，不享受价格扣除优惠政策。</w:t>
      </w:r>
    </w:p>
    <w:p w14:paraId="1167071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608" w:firstLineChars="200"/>
        <w:jc w:val="both"/>
        <w:rPr>
          <w:sz w:val="28"/>
          <w:szCs w:val="28"/>
        </w:rPr>
      </w:pPr>
      <w:r>
        <w:rPr>
          <w:spacing w:val="12"/>
          <w:sz w:val="28"/>
          <w:szCs w:val="28"/>
        </w:rPr>
        <w:t>根据《关于进一步加大政府采购支持中小企业力度的通知》（财库</w:t>
      </w:r>
      <w:r>
        <w:rPr>
          <w:sz w:val="28"/>
          <w:szCs w:val="28"/>
        </w:rPr>
        <w:t>〔2022〕19</w:t>
      </w:r>
      <w:r>
        <w:rPr>
          <w:spacing w:val="-44"/>
          <w:sz w:val="28"/>
          <w:szCs w:val="28"/>
        </w:rPr>
        <w:t xml:space="preserve"> </w:t>
      </w:r>
      <w:r>
        <w:rPr>
          <w:sz w:val="28"/>
          <w:szCs w:val="28"/>
        </w:rPr>
        <w:t>号）的有关规定，货物服务采购项目给予中小企</w:t>
      </w:r>
      <w:r>
        <w:rPr>
          <w:spacing w:val="-1"/>
          <w:sz w:val="28"/>
          <w:szCs w:val="28"/>
        </w:rPr>
        <w:t>业的价格扣除优惠，由财库〔2020〕46</w:t>
      </w:r>
      <w:r>
        <w:rPr>
          <w:spacing w:val="-44"/>
          <w:sz w:val="28"/>
          <w:szCs w:val="28"/>
        </w:rPr>
        <w:t xml:space="preserve"> </w:t>
      </w:r>
      <w:r>
        <w:rPr>
          <w:spacing w:val="-1"/>
          <w:sz w:val="28"/>
          <w:szCs w:val="28"/>
        </w:rPr>
        <w:t>号文件规定的</w:t>
      </w:r>
      <w:r>
        <w:rPr>
          <w:spacing w:val="-54"/>
          <w:sz w:val="28"/>
          <w:szCs w:val="28"/>
        </w:rPr>
        <w:t xml:space="preserve"> </w:t>
      </w:r>
      <w:r>
        <w:rPr>
          <w:spacing w:val="-2"/>
          <w:sz w:val="28"/>
          <w:szCs w:val="28"/>
        </w:rPr>
        <w:t>6%—10%提高至</w:t>
      </w:r>
      <w:r>
        <w:rPr>
          <w:spacing w:val="-35"/>
          <w:sz w:val="28"/>
          <w:szCs w:val="28"/>
        </w:rPr>
        <w:t xml:space="preserve"> </w:t>
      </w:r>
      <w:r>
        <w:rPr>
          <w:spacing w:val="-2"/>
          <w:sz w:val="28"/>
          <w:szCs w:val="28"/>
        </w:rPr>
        <w:t>10%—20%。大中型</w:t>
      </w:r>
      <w:r>
        <w:rPr>
          <w:spacing w:val="3"/>
          <w:sz w:val="28"/>
          <w:szCs w:val="28"/>
        </w:rPr>
        <w:t>供应商与中小企业组成联合体或者大中型供应商向中</w:t>
      </w:r>
      <w:r>
        <w:rPr>
          <w:spacing w:val="2"/>
          <w:sz w:val="28"/>
          <w:szCs w:val="28"/>
        </w:rPr>
        <w:t>小企业分包的，评审</w:t>
      </w:r>
      <w:r>
        <w:rPr>
          <w:spacing w:val="-2"/>
          <w:sz w:val="28"/>
          <w:szCs w:val="28"/>
        </w:rPr>
        <w:t>优惠幅度由</w:t>
      </w:r>
      <w:r>
        <w:rPr>
          <w:spacing w:val="-53"/>
          <w:sz w:val="28"/>
          <w:szCs w:val="28"/>
        </w:rPr>
        <w:t xml:space="preserve"> </w:t>
      </w:r>
      <w:r>
        <w:rPr>
          <w:spacing w:val="-2"/>
          <w:sz w:val="28"/>
          <w:szCs w:val="28"/>
        </w:rPr>
        <w:t>2%—3%提高至</w:t>
      </w:r>
      <w:r>
        <w:rPr>
          <w:spacing w:val="-59"/>
          <w:sz w:val="28"/>
          <w:szCs w:val="28"/>
        </w:rPr>
        <w:t xml:space="preserve"> </w:t>
      </w:r>
      <w:r>
        <w:rPr>
          <w:spacing w:val="-2"/>
          <w:sz w:val="28"/>
          <w:szCs w:val="28"/>
        </w:rPr>
        <w:t>4%—6%。政府采购工程的价格评审</w:t>
      </w:r>
      <w:r>
        <w:rPr>
          <w:spacing w:val="-3"/>
          <w:sz w:val="28"/>
          <w:szCs w:val="28"/>
        </w:rPr>
        <w:t>优惠按照财库</w:t>
      </w:r>
      <w:r>
        <w:rPr>
          <w:spacing w:val="-1"/>
          <w:sz w:val="28"/>
          <w:szCs w:val="28"/>
        </w:rPr>
        <w:t>〔2020〕46</w:t>
      </w:r>
      <w:r>
        <w:rPr>
          <w:spacing w:val="-29"/>
          <w:sz w:val="28"/>
          <w:szCs w:val="28"/>
        </w:rPr>
        <w:t xml:space="preserve"> </w:t>
      </w:r>
      <w:r>
        <w:rPr>
          <w:spacing w:val="-1"/>
          <w:sz w:val="28"/>
          <w:szCs w:val="28"/>
        </w:rPr>
        <w:t>号文件的规定执行。</w:t>
      </w:r>
    </w:p>
    <w:p w14:paraId="4943690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参加政府采购活动的中小企业应提供《中小企业声明函》原件。未提</w:t>
      </w:r>
      <w:r>
        <w:rPr>
          <w:b/>
          <w:bCs/>
          <w:sz w:val="28"/>
          <w:szCs w:val="28"/>
        </w:rPr>
        <w:t>供上述声明函原件的，</w:t>
      </w:r>
      <w:r>
        <w:rPr>
          <w:rFonts w:hint="eastAsia"/>
          <w:b/>
          <w:bCs/>
          <w:sz w:val="28"/>
          <w:szCs w:val="28"/>
          <w:lang w:eastAsia="zh-CN"/>
        </w:rPr>
        <w:t>则无法响应价格折扣。</w:t>
      </w:r>
    </w:p>
    <w:p w14:paraId="34CE894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jc w:val="both"/>
        <w:rPr>
          <w:spacing w:val="-1"/>
          <w:sz w:val="28"/>
          <w:szCs w:val="28"/>
        </w:rPr>
      </w:pPr>
      <w:r>
        <w:rPr>
          <w:spacing w:val="-1"/>
          <w:sz w:val="28"/>
          <w:szCs w:val="28"/>
        </w:rPr>
        <w:t>备注：中小企业划分标准参照《中小企业划型标准规定》（工信部联企业〔2011〕 300 号）执行。</w:t>
      </w:r>
    </w:p>
    <w:p w14:paraId="1285F64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2、监狱企业应符合《财政部司法部关于政府采购支持监狱企业发展</w:t>
      </w:r>
      <w:r>
        <w:rPr>
          <w:sz w:val="28"/>
          <w:szCs w:val="28"/>
        </w:rPr>
        <w:t>有关问题的通知》（财库〔2014〕68</w:t>
      </w:r>
      <w:r>
        <w:rPr>
          <w:spacing w:val="-41"/>
          <w:sz w:val="28"/>
          <w:szCs w:val="28"/>
        </w:rPr>
        <w:t xml:space="preserve"> </w:t>
      </w:r>
      <w:r>
        <w:rPr>
          <w:sz w:val="28"/>
          <w:szCs w:val="28"/>
        </w:rPr>
        <w:t>号）文件规定，并提供</w:t>
      </w:r>
      <w:r>
        <w:rPr>
          <w:spacing w:val="-1"/>
          <w:sz w:val="28"/>
          <w:szCs w:val="28"/>
        </w:rPr>
        <w:t>由省级以上监</w:t>
      </w:r>
      <w:r>
        <w:rPr>
          <w:spacing w:val="2"/>
          <w:sz w:val="28"/>
          <w:szCs w:val="28"/>
        </w:rPr>
        <w:t>狱管理局、戒毒管理局(含新疆生产建设兵团)出具的属于</w:t>
      </w:r>
      <w:r>
        <w:rPr>
          <w:b/>
          <w:bCs/>
          <w:spacing w:val="2"/>
          <w:sz w:val="28"/>
          <w:szCs w:val="28"/>
        </w:rPr>
        <w:t>监狱企业的证明文件</w:t>
      </w:r>
      <w:r>
        <w:rPr>
          <w:spacing w:val="2"/>
          <w:sz w:val="28"/>
          <w:szCs w:val="28"/>
        </w:rPr>
        <w:t>复印件，监狱和戒毒供应商视同小型、微型企业。</w:t>
      </w:r>
    </w:p>
    <w:p w14:paraId="2AEE951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3、根据财政部、民政部、中国残疾人联合会下发的《关于促进残疾人</w:t>
      </w:r>
      <w:r>
        <w:rPr>
          <w:spacing w:val="-4"/>
          <w:sz w:val="28"/>
          <w:szCs w:val="28"/>
        </w:rPr>
        <w:t>就业政府采购政策的通知》（财库〔2017〕141</w:t>
      </w:r>
      <w:r>
        <w:rPr>
          <w:spacing w:val="-42"/>
          <w:sz w:val="28"/>
          <w:szCs w:val="28"/>
        </w:rPr>
        <w:t xml:space="preserve"> </w:t>
      </w:r>
      <w:r>
        <w:rPr>
          <w:spacing w:val="-4"/>
          <w:sz w:val="28"/>
          <w:szCs w:val="28"/>
        </w:rPr>
        <w:t>号）的规定</w:t>
      </w:r>
      <w:r>
        <w:rPr>
          <w:spacing w:val="-5"/>
          <w:sz w:val="28"/>
          <w:szCs w:val="28"/>
        </w:rPr>
        <w:t>，残疾人福利性</w:t>
      </w:r>
      <w:r>
        <w:rPr>
          <w:spacing w:val="-1"/>
          <w:sz w:val="28"/>
          <w:szCs w:val="28"/>
        </w:rPr>
        <w:t>单位提供本单位制造的货物、承担的工程或者服务（以下</w:t>
      </w:r>
      <w:r>
        <w:rPr>
          <w:spacing w:val="-2"/>
          <w:sz w:val="28"/>
          <w:szCs w:val="28"/>
        </w:rPr>
        <w:t>简称产品</w:t>
      </w:r>
      <w:r>
        <w:rPr>
          <w:spacing w:val="-77"/>
          <w:sz w:val="28"/>
          <w:szCs w:val="28"/>
        </w:rPr>
        <w:t>），</w:t>
      </w:r>
      <w:r>
        <w:rPr>
          <w:spacing w:val="-2"/>
          <w:sz w:val="28"/>
          <w:szCs w:val="28"/>
        </w:rPr>
        <w:t>或者</w:t>
      </w:r>
      <w:r>
        <w:rPr>
          <w:spacing w:val="3"/>
          <w:sz w:val="28"/>
          <w:szCs w:val="28"/>
        </w:rPr>
        <w:t>提供其他残疾人福利性单位制造的货物（不包括使用</w:t>
      </w:r>
      <w:r>
        <w:rPr>
          <w:spacing w:val="2"/>
          <w:sz w:val="28"/>
          <w:szCs w:val="28"/>
        </w:rPr>
        <w:t>非残疾人福利性单位</w:t>
      </w:r>
      <w:r>
        <w:rPr>
          <w:spacing w:val="3"/>
          <w:sz w:val="28"/>
          <w:szCs w:val="28"/>
        </w:rPr>
        <w:t>注册商标的货物）参与政府采购活动时，视同小型、</w:t>
      </w:r>
      <w:r>
        <w:rPr>
          <w:spacing w:val="2"/>
          <w:sz w:val="28"/>
          <w:szCs w:val="28"/>
        </w:rPr>
        <w:t>微型企业，享受预留</w:t>
      </w:r>
      <w:r>
        <w:rPr>
          <w:spacing w:val="3"/>
          <w:sz w:val="28"/>
          <w:szCs w:val="28"/>
        </w:rPr>
        <w:t>份额、评审中价格扣除等促进中小企业发展的政府采</w:t>
      </w:r>
      <w:r>
        <w:rPr>
          <w:spacing w:val="2"/>
          <w:sz w:val="28"/>
          <w:szCs w:val="28"/>
        </w:rPr>
        <w:t>购政策。残疾人福利性单位属于小型、微型企业的，不重复享受政策。</w:t>
      </w:r>
    </w:p>
    <w:p w14:paraId="6B781D6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参加政府采购活动的残疾人单位应提供《残疾人福利性单位声明函》原件。未提供上述声明函原件的，</w:t>
      </w:r>
      <w:r>
        <w:rPr>
          <w:rFonts w:hint="eastAsia"/>
          <w:b/>
          <w:bCs/>
          <w:sz w:val="28"/>
          <w:szCs w:val="28"/>
          <w:lang w:eastAsia="zh-CN"/>
        </w:rPr>
        <w:t>则无法响应价格折扣。</w:t>
      </w:r>
    </w:p>
    <w:p w14:paraId="6B91C2A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20" w:firstLineChars="200"/>
        <w:jc w:val="both"/>
        <w:rPr>
          <w:sz w:val="28"/>
          <w:szCs w:val="28"/>
        </w:rPr>
      </w:pPr>
      <w:r>
        <w:rPr>
          <w:spacing w:val="-10"/>
          <w:sz w:val="28"/>
          <w:szCs w:val="28"/>
        </w:rPr>
        <w:t>4、根据财政部、国家发改委、生态环境部、市场监</w:t>
      </w:r>
      <w:r>
        <w:rPr>
          <w:spacing w:val="-11"/>
          <w:sz w:val="28"/>
          <w:szCs w:val="28"/>
        </w:rPr>
        <w:t>管总局联合印发《关</w:t>
      </w:r>
      <w:r>
        <w:rPr>
          <w:spacing w:val="-14"/>
          <w:sz w:val="28"/>
          <w:szCs w:val="28"/>
        </w:rPr>
        <w:t>于调整优化节能产品、环境标志产品政府采购执行机制的通知》（财库〔2019〕</w:t>
      </w:r>
      <w:r>
        <w:rPr>
          <w:spacing w:val="12"/>
          <w:sz w:val="28"/>
          <w:szCs w:val="28"/>
        </w:rPr>
        <w:t xml:space="preserve"> </w:t>
      </w:r>
      <w:r>
        <w:rPr>
          <w:spacing w:val="2"/>
          <w:sz w:val="28"/>
          <w:szCs w:val="28"/>
        </w:rPr>
        <w:t>9</w:t>
      </w:r>
      <w:r>
        <w:rPr>
          <w:spacing w:val="-39"/>
          <w:sz w:val="28"/>
          <w:szCs w:val="28"/>
        </w:rPr>
        <w:t xml:space="preserve"> </w:t>
      </w:r>
      <w:r>
        <w:rPr>
          <w:spacing w:val="2"/>
          <w:sz w:val="28"/>
          <w:szCs w:val="28"/>
        </w:rPr>
        <w:t>号）有关要求，采购人拟采购的产品属于品目清单范围的，采购人及其委托的采购代理机构应当依据国家确定的认证机构出具的、处于有效期之</w:t>
      </w:r>
      <w:r>
        <w:rPr>
          <w:spacing w:val="3"/>
          <w:sz w:val="28"/>
          <w:szCs w:val="28"/>
        </w:rPr>
        <w:t>内的节能产品、环境标志产品认证证书，对获得</w:t>
      </w:r>
      <w:r>
        <w:rPr>
          <w:spacing w:val="2"/>
          <w:sz w:val="28"/>
          <w:szCs w:val="28"/>
        </w:rPr>
        <w:t>证书的产品实施政府优先</w:t>
      </w:r>
      <w:r>
        <w:rPr>
          <w:sz w:val="28"/>
          <w:szCs w:val="28"/>
        </w:rPr>
        <w:t>采购或强制采购。</w:t>
      </w:r>
    </w:p>
    <w:p w14:paraId="454244E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5、根据国务院办公厅《关于建立政府强制采购节能产品制度的通知》</w:t>
      </w:r>
      <w:r>
        <w:rPr>
          <w:spacing w:val="12"/>
          <w:sz w:val="28"/>
          <w:szCs w:val="28"/>
        </w:rPr>
        <w:t xml:space="preserve"> </w:t>
      </w:r>
      <w:r>
        <w:rPr>
          <w:sz w:val="28"/>
          <w:szCs w:val="28"/>
        </w:rPr>
        <w:t>（国办发〔2007〕51</w:t>
      </w:r>
      <w:r>
        <w:rPr>
          <w:spacing w:val="-41"/>
          <w:sz w:val="28"/>
          <w:szCs w:val="28"/>
        </w:rPr>
        <w:t xml:space="preserve"> </w:t>
      </w:r>
      <w:r>
        <w:rPr>
          <w:sz w:val="28"/>
          <w:szCs w:val="28"/>
        </w:rPr>
        <w:t>号）有关要求，在技术、</w:t>
      </w:r>
      <w:r>
        <w:rPr>
          <w:spacing w:val="-1"/>
          <w:sz w:val="28"/>
          <w:szCs w:val="28"/>
        </w:rPr>
        <w:t>服务等指标满足采购需求的</w:t>
      </w:r>
      <w:r>
        <w:rPr>
          <w:spacing w:val="-2"/>
          <w:sz w:val="28"/>
          <w:szCs w:val="28"/>
        </w:rPr>
        <w:t>前提下，要优先采购节能产品，对部分节能效果、性能等达到要求的产品，</w:t>
      </w:r>
      <w:r>
        <w:rPr>
          <w:spacing w:val="-1"/>
          <w:sz w:val="28"/>
          <w:szCs w:val="28"/>
        </w:rPr>
        <w:t>实行强制采购。</w:t>
      </w:r>
    </w:p>
    <w:p w14:paraId="365AA33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6、节能产品政府采购品目清单详见财政部、发展改革委《关于印发节</w:t>
      </w:r>
      <w:r>
        <w:rPr>
          <w:sz w:val="28"/>
          <w:szCs w:val="28"/>
        </w:rPr>
        <w:t>能产品政府采购品目清单的通知》（财库〔2019〕19</w:t>
      </w:r>
      <w:r>
        <w:rPr>
          <w:spacing w:val="-25"/>
          <w:sz w:val="28"/>
          <w:szCs w:val="28"/>
        </w:rPr>
        <w:t xml:space="preserve"> </w:t>
      </w:r>
      <w:r>
        <w:rPr>
          <w:sz w:val="28"/>
          <w:szCs w:val="28"/>
        </w:rPr>
        <w:t>号）。</w:t>
      </w:r>
    </w:p>
    <w:p w14:paraId="500AF67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7、环境标志产品政府采购品目清单详见财政部、生态环境部《关于印</w:t>
      </w:r>
      <w:r>
        <w:rPr>
          <w:spacing w:val="1"/>
          <w:sz w:val="28"/>
          <w:szCs w:val="28"/>
        </w:rPr>
        <w:t>发环境标志产品政府采购品目清单的通知》（财库〔2019〕18</w:t>
      </w:r>
      <w:r>
        <w:rPr>
          <w:spacing w:val="-37"/>
          <w:sz w:val="28"/>
          <w:szCs w:val="28"/>
        </w:rPr>
        <w:t xml:space="preserve"> </w:t>
      </w:r>
      <w:r>
        <w:rPr>
          <w:spacing w:val="1"/>
          <w:sz w:val="28"/>
          <w:szCs w:val="28"/>
        </w:rPr>
        <w:t>号）。</w:t>
      </w:r>
    </w:p>
    <w:p w14:paraId="4AE884E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4" w:firstLineChars="200"/>
        <w:rPr>
          <w:sz w:val="28"/>
          <w:szCs w:val="28"/>
        </w:rPr>
      </w:pPr>
      <w:r>
        <w:rPr>
          <w:spacing w:val="6"/>
          <w:sz w:val="28"/>
          <w:szCs w:val="28"/>
        </w:rPr>
        <w:t>8、</w:t>
      </w:r>
      <w:r>
        <w:rPr>
          <w:spacing w:val="-82"/>
          <w:sz w:val="28"/>
          <w:szCs w:val="28"/>
        </w:rPr>
        <w:t xml:space="preserve"> </w:t>
      </w:r>
      <w:r>
        <w:rPr>
          <w:spacing w:val="6"/>
          <w:sz w:val="28"/>
          <w:szCs w:val="28"/>
        </w:rPr>
        <w:t>国家确定的节能产品、环境标志产品认证</w:t>
      </w:r>
      <w:r>
        <w:rPr>
          <w:spacing w:val="5"/>
          <w:sz w:val="28"/>
          <w:szCs w:val="28"/>
        </w:rPr>
        <w:t>机构详见市场监管总局</w:t>
      </w:r>
      <w:r>
        <w:rPr>
          <w:spacing w:val="3"/>
          <w:sz w:val="28"/>
          <w:szCs w:val="28"/>
        </w:rPr>
        <w:t>《关于发布参与实施政府采购节能产品、环境标志产品认证机构名</w:t>
      </w:r>
      <w:r>
        <w:rPr>
          <w:spacing w:val="2"/>
          <w:sz w:val="28"/>
          <w:szCs w:val="28"/>
        </w:rPr>
        <w:t>录的公</w:t>
      </w:r>
      <w:r>
        <w:rPr>
          <w:spacing w:val="-5"/>
          <w:sz w:val="28"/>
          <w:szCs w:val="28"/>
        </w:rPr>
        <w:t>告》（2019</w:t>
      </w:r>
      <w:r>
        <w:rPr>
          <w:spacing w:val="-45"/>
          <w:sz w:val="28"/>
          <w:szCs w:val="28"/>
        </w:rPr>
        <w:t xml:space="preserve"> </w:t>
      </w:r>
      <w:r>
        <w:rPr>
          <w:spacing w:val="-5"/>
          <w:sz w:val="28"/>
          <w:szCs w:val="28"/>
        </w:rPr>
        <w:t>年第</w:t>
      </w:r>
      <w:r>
        <w:rPr>
          <w:spacing w:val="-35"/>
          <w:sz w:val="28"/>
          <w:szCs w:val="28"/>
        </w:rPr>
        <w:t xml:space="preserve"> </w:t>
      </w:r>
      <w:r>
        <w:rPr>
          <w:spacing w:val="-5"/>
          <w:sz w:val="28"/>
          <w:szCs w:val="28"/>
        </w:rPr>
        <w:t>16</w:t>
      </w:r>
      <w:r>
        <w:rPr>
          <w:spacing w:val="-44"/>
          <w:sz w:val="28"/>
          <w:szCs w:val="28"/>
        </w:rPr>
        <w:t xml:space="preserve"> </w:t>
      </w:r>
      <w:r>
        <w:rPr>
          <w:spacing w:val="-5"/>
          <w:sz w:val="28"/>
          <w:szCs w:val="28"/>
        </w:rPr>
        <w:t>号）。</w:t>
      </w:r>
    </w:p>
    <w:p w14:paraId="45A224C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9、根据《财政部 农业农村部</w:t>
      </w:r>
      <w:r>
        <w:rPr>
          <w:spacing w:val="72"/>
          <w:sz w:val="28"/>
          <w:szCs w:val="28"/>
        </w:rPr>
        <w:t xml:space="preserve"> </w:t>
      </w:r>
      <w:r>
        <w:rPr>
          <w:spacing w:val="-4"/>
          <w:sz w:val="28"/>
          <w:szCs w:val="28"/>
        </w:rPr>
        <w:t>国家乡村振兴局关于运用政府采购政策</w:t>
      </w:r>
      <w:r>
        <w:rPr>
          <w:sz w:val="28"/>
          <w:szCs w:val="28"/>
        </w:rPr>
        <w:t>支持乡村产业振兴的通知》（财库〔2021〕19</w:t>
      </w:r>
      <w:r>
        <w:rPr>
          <w:spacing w:val="-41"/>
          <w:sz w:val="28"/>
          <w:szCs w:val="28"/>
        </w:rPr>
        <w:t xml:space="preserve"> </w:t>
      </w:r>
      <w:r>
        <w:rPr>
          <w:sz w:val="28"/>
          <w:szCs w:val="28"/>
        </w:rPr>
        <w:t>号</w:t>
      </w:r>
      <w:r>
        <w:rPr>
          <w:spacing w:val="5"/>
          <w:sz w:val="28"/>
          <w:szCs w:val="28"/>
        </w:rPr>
        <w:t>），</w:t>
      </w:r>
      <w:r>
        <w:rPr>
          <w:sz w:val="28"/>
          <w:szCs w:val="28"/>
        </w:rPr>
        <w:t>自</w:t>
      </w:r>
      <w:r>
        <w:rPr>
          <w:spacing w:val="-53"/>
          <w:sz w:val="28"/>
          <w:szCs w:val="28"/>
        </w:rPr>
        <w:t xml:space="preserve"> </w:t>
      </w:r>
      <w:r>
        <w:rPr>
          <w:sz w:val="28"/>
          <w:szCs w:val="28"/>
        </w:rPr>
        <w:t>2021</w:t>
      </w:r>
      <w:r>
        <w:rPr>
          <w:spacing w:val="-40"/>
          <w:sz w:val="28"/>
          <w:szCs w:val="28"/>
        </w:rPr>
        <w:t xml:space="preserve"> </w:t>
      </w:r>
      <w:r>
        <w:rPr>
          <w:spacing w:val="-1"/>
          <w:sz w:val="28"/>
          <w:szCs w:val="28"/>
        </w:rPr>
        <w:t>年起，各级</w:t>
      </w:r>
      <w:r>
        <w:rPr>
          <w:spacing w:val="4"/>
          <w:sz w:val="28"/>
          <w:szCs w:val="28"/>
        </w:rPr>
        <w:t>预算单位应当按照不低于10%的比例预留年度食堂</w:t>
      </w:r>
      <w:r>
        <w:rPr>
          <w:spacing w:val="3"/>
          <w:sz w:val="28"/>
          <w:szCs w:val="28"/>
        </w:rPr>
        <w:t>食材采购份额，通过脱</w:t>
      </w:r>
      <w:r>
        <w:rPr>
          <w:spacing w:val="2"/>
          <w:sz w:val="28"/>
          <w:szCs w:val="28"/>
        </w:rPr>
        <w:t>贫地区农副产品网络销售平台采购脱贫地区农副产品。</w:t>
      </w:r>
    </w:p>
    <w:p w14:paraId="7AFD6FA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6" w:firstLineChars="200"/>
        <w:rPr>
          <w:sz w:val="28"/>
          <w:szCs w:val="28"/>
        </w:rPr>
      </w:pPr>
      <w:r>
        <w:rPr>
          <w:spacing w:val="-6"/>
          <w:sz w:val="28"/>
          <w:szCs w:val="28"/>
        </w:rPr>
        <w:t>10、根据《财政部 农业农村部</w:t>
      </w:r>
      <w:r>
        <w:rPr>
          <w:spacing w:val="56"/>
          <w:sz w:val="28"/>
          <w:szCs w:val="28"/>
        </w:rPr>
        <w:t xml:space="preserve"> </w:t>
      </w:r>
      <w:r>
        <w:rPr>
          <w:spacing w:val="-6"/>
          <w:sz w:val="28"/>
          <w:szCs w:val="28"/>
        </w:rPr>
        <w:t>国家乡村振兴局</w:t>
      </w:r>
      <w:r>
        <w:rPr>
          <w:spacing w:val="59"/>
          <w:sz w:val="28"/>
          <w:szCs w:val="28"/>
        </w:rPr>
        <w:t xml:space="preserve"> </w:t>
      </w:r>
      <w:r>
        <w:rPr>
          <w:spacing w:val="-6"/>
          <w:sz w:val="28"/>
          <w:szCs w:val="28"/>
        </w:rPr>
        <w:t>中华全国供销合作总</w:t>
      </w:r>
      <w:r>
        <w:rPr>
          <w:spacing w:val="7"/>
          <w:sz w:val="28"/>
          <w:szCs w:val="28"/>
        </w:rPr>
        <w:t>社关于印发&lt;关于深入开展政府采购脱贫地区农副产品工作推进乡村产业</w:t>
      </w:r>
      <w:r>
        <w:rPr>
          <w:spacing w:val="3"/>
          <w:sz w:val="28"/>
          <w:szCs w:val="28"/>
        </w:rPr>
        <w:t>振兴的实施意见&gt;的通知》（财库〔2021〕20</w:t>
      </w:r>
      <w:r>
        <w:rPr>
          <w:spacing w:val="-39"/>
          <w:sz w:val="28"/>
          <w:szCs w:val="28"/>
        </w:rPr>
        <w:t xml:space="preserve"> </w:t>
      </w:r>
      <w:r>
        <w:rPr>
          <w:spacing w:val="3"/>
          <w:sz w:val="28"/>
          <w:szCs w:val="28"/>
        </w:rPr>
        <w:t>号</w:t>
      </w:r>
      <w:r>
        <w:rPr>
          <w:spacing w:val="18"/>
          <w:sz w:val="28"/>
          <w:szCs w:val="28"/>
        </w:rPr>
        <w:t>），</w:t>
      </w:r>
      <w:r>
        <w:rPr>
          <w:spacing w:val="3"/>
          <w:sz w:val="28"/>
          <w:szCs w:val="28"/>
        </w:rPr>
        <w:t>各级预算</w:t>
      </w:r>
      <w:r>
        <w:rPr>
          <w:spacing w:val="2"/>
          <w:sz w:val="28"/>
          <w:szCs w:val="28"/>
        </w:rPr>
        <w:t>单位要按照</w:t>
      </w:r>
      <w:r>
        <w:rPr>
          <w:spacing w:val="-4"/>
          <w:sz w:val="28"/>
          <w:szCs w:val="28"/>
        </w:rPr>
        <w:t>不低于</w:t>
      </w:r>
      <w:r>
        <w:rPr>
          <w:spacing w:val="-35"/>
          <w:sz w:val="28"/>
          <w:szCs w:val="28"/>
        </w:rPr>
        <w:t xml:space="preserve"> </w:t>
      </w:r>
      <w:r>
        <w:rPr>
          <w:spacing w:val="-4"/>
          <w:sz w:val="28"/>
          <w:szCs w:val="28"/>
        </w:rPr>
        <w:t>10%的预留比例在“832</w:t>
      </w:r>
      <w:r>
        <w:rPr>
          <w:spacing w:val="-48"/>
          <w:sz w:val="28"/>
          <w:szCs w:val="28"/>
        </w:rPr>
        <w:t xml:space="preserve"> </w:t>
      </w:r>
      <w:r>
        <w:rPr>
          <w:spacing w:val="-4"/>
          <w:sz w:val="28"/>
          <w:szCs w:val="28"/>
        </w:rPr>
        <w:t>平台</w:t>
      </w:r>
      <w:r>
        <w:rPr>
          <w:spacing w:val="-100"/>
          <w:sz w:val="28"/>
          <w:szCs w:val="28"/>
        </w:rPr>
        <w:t xml:space="preserve"> </w:t>
      </w:r>
      <w:r>
        <w:rPr>
          <w:spacing w:val="-4"/>
          <w:sz w:val="28"/>
          <w:szCs w:val="28"/>
        </w:rPr>
        <w:t>”填报预留份额。鼓励各</w:t>
      </w:r>
      <w:r>
        <w:rPr>
          <w:spacing w:val="-5"/>
          <w:sz w:val="28"/>
          <w:szCs w:val="28"/>
        </w:rPr>
        <w:t>级预算单位工</w:t>
      </w:r>
      <w:r>
        <w:rPr>
          <w:spacing w:val="3"/>
          <w:sz w:val="28"/>
          <w:szCs w:val="28"/>
        </w:rPr>
        <w:t>会组织通过“832</w:t>
      </w:r>
      <w:r>
        <w:rPr>
          <w:spacing w:val="-48"/>
          <w:sz w:val="28"/>
          <w:szCs w:val="28"/>
        </w:rPr>
        <w:t xml:space="preserve"> </w:t>
      </w:r>
      <w:r>
        <w:rPr>
          <w:spacing w:val="3"/>
          <w:sz w:val="28"/>
          <w:szCs w:val="28"/>
        </w:rPr>
        <w:t>平台</w:t>
      </w:r>
      <w:r>
        <w:rPr>
          <w:spacing w:val="-99"/>
          <w:sz w:val="28"/>
          <w:szCs w:val="28"/>
        </w:rPr>
        <w:t xml:space="preserve"> </w:t>
      </w:r>
      <w:r>
        <w:rPr>
          <w:spacing w:val="3"/>
          <w:sz w:val="28"/>
          <w:szCs w:val="28"/>
        </w:rPr>
        <w:t>”采购工会福利、慰问品等，有关采购金额计</w:t>
      </w:r>
      <w:r>
        <w:rPr>
          <w:spacing w:val="2"/>
          <w:sz w:val="28"/>
          <w:szCs w:val="28"/>
        </w:rPr>
        <w:t>入本</w:t>
      </w:r>
      <w:r>
        <w:rPr>
          <w:sz w:val="28"/>
          <w:szCs w:val="28"/>
        </w:rPr>
        <w:t>单位年度采购总额。</w:t>
      </w:r>
    </w:p>
    <w:p w14:paraId="4A16B84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rFonts w:ascii="Arial"/>
          <w:sz w:val="21"/>
        </w:rPr>
      </w:pPr>
      <w:r>
        <w:rPr>
          <w:spacing w:val="2"/>
          <w:sz w:val="28"/>
          <w:szCs w:val="28"/>
        </w:rPr>
        <w:t>11、根据《陕西省财政厅关于加快推进我省中小企业政府采购信用融</w:t>
      </w:r>
      <w:r>
        <w:rPr>
          <w:sz w:val="28"/>
          <w:szCs w:val="28"/>
        </w:rPr>
        <w:t>资工作的通知》（陕财办采〔2020〕15</w:t>
      </w:r>
      <w:r>
        <w:rPr>
          <w:spacing w:val="-41"/>
          <w:sz w:val="28"/>
          <w:szCs w:val="28"/>
        </w:rPr>
        <w:t xml:space="preserve"> </w:t>
      </w:r>
      <w:r>
        <w:rPr>
          <w:sz w:val="28"/>
          <w:szCs w:val="28"/>
        </w:rPr>
        <w:t>号）规定“有</w:t>
      </w:r>
      <w:r>
        <w:rPr>
          <w:spacing w:val="-1"/>
          <w:sz w:val="28"/>
          <w:szCs w:val="28"/>
        </w:rPr>
        <w:t>融资需求的供应商可</w:t>
      </w:r>
      <w:r>
        <w:rPr>
          <w:sz w:val="28"/>
          <w:szCs w:val="28"/>
        </w:rPr>
        <w:t>根据自身情况，在陕西省政府采购信用融资平台（含各市分平台）自主选</w:t>
      </w:r>
      <w:r>
        <w:rPr>
          <w:spacing w:val="3"/>
          <w:sz w:val="28"/>
          <w:szCs w:val="28"/>
        </w:rPr>
        <w:t>择金融机构及其融资产品，凭政府采购中标（成交）</w:t>
      </w:r>
      <w:r>
        <w:rPr>
          <w:spacing w:val="2"/>
          <w:sz w:val="28"/>
          <w:szCs w:val="28"/>
        </w:rPr>
        <w:t>通知书或政府采购合</w:t>
      </w:r>
    </w:p>
    <w:p w14:paraId="75F51C43">
      <w:pPr>
        <w:pStyle w:val="7"/>
        <w:keepNext w:val="0"/>
        <w:keepLines w:val="0"/>
        <w:pageBreakBefore w:val="0"/>
        <w:widowControl/>
        <w:kinsoku/>
        <w:wordWrap/>
        <w:overflowPunct/>
        <w:topLinePunct w:val="0"/>
        <w:autoSpaceDE/>
        <w:autoSpaceDN/>
        <w:bidi w:val="0"/>
        <w:adjustRightInd w:val="0"/>
        <w:snapToGrid w:val="0"/>
        <w:spacing w:line="324" w:lineRule="auto"/>
        <w:ind w:right="0"/>
        <w:rPr>
          <w:sz w:val="28"/>
          <w:szCs w:val="28"/>
        </w:rPr>
      </w:pPr>
      <w:r>
        <w:rPr>
          <w:spacing w:val="6"/>
          <w:sz w:val="28"/>
          <w:szCs w:val="28"/>
        </w:rPr>
        <w:t>同向金融机构提出融资申请。</w:t>
      </w:r>
      <w:r>
        <w:rPr>
          <w:spacing w:val="-92"/>
          <w:sz w:val="28"/>
          <w:szCs w:val="28"/>
        </w:rPr>
        <w:t xml:space="preserve"> </w:t>
      </w:r>
      <w:r>
        <w:rPr>
          <w:spacing w:val="6"/>
          <w:sz w:val="28"/>
          <w:szCs w:val="28"/>
        </w:rPr>
        <w:t>”</w:t>
      </w:r>
    </w:p>
    <w:p w14:paraId="7B5AD3B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both"/>
        <w:rPr>
          <w:sz w:val="28"/>
          <w:szCs w:val="28"/>
        </w:rPr>
      </w:pPr>
      <w:r>
        <w:rPr>
          <w:spacing w:val="2"/>
          <w:sz w:val="28"/>
          <w:szCs w:val="28"/>
        </w:rPr>
        <w:t>12、根据陕西省财政厅关于印发《陕西省中小企业政府采购信用融资</w:t>
      </w:r>
      <w:r>
        <w:rPr>
          <w:spacing w:val="-1"/>
          <w:sz w:val="28"/>
          <w:szCs w:val="28"/>
        </w:rPr>
        <w:t>办法》（陕财办采〔2018〕23</w:t>
      </w:r>
      <w:r>
        <w:rPr>
          <w:spacing w:val="-44"/>
          <w:sz w:val="28"/>
          <w:szCs w:val="28"/>
        </w:rPr>
        <w:t xml:space="preserve"> </w:t>
      </w:r>
      <w:r>
        <w:rPr>
          <w:spacing w:val="-1"/>
          <w:sz w:val="28"/>
          <w:szCs w:val="28"/>
        </w:rPr>
        <w:t>号）规定“中小企业</w:t>
      </w:r>
      <w:r>
        <w:rPr>
          <w:spacing w:val="-2"/>
          <w:sz w:val="28"/>
          <w:szCs w:val="28"/>
        </w:rPr>
        <w:t>可根据各银行提供的方</w:t>
      </w:r>
      <w:r>
        <w:rPr>
          <w:spacing w:val="1"/>
          <w:sz w:val="28"/>
          <w:szCs w:val="28"/>
        </w:rPr>
        <w:t>案，自行选择符合自身情况的金融产品，并根据方案中列明的联系方式和</w:t>
      </w:r>
      <w:r>
        <w:rPr>
          <w:spacing w:val="3"/>
          <w:sz w:val="28"/>
          <w:szCs w:val="28"/>
        </w:rPr>
        <w:t>要求向相关银行提出信用融资申请。银行根据中小企业的申请开展尽职调</w:t>
      </w:r>
      <w:r>
        <w:rPr>
          <w:spacing w:val="1"/>
          <w:sz w:val="28"/>
          <w:szCs w:val="28"/>
        </w:rPr>
        <w:t>查，合理确定融资授信额度。中小企业获得政府采购合同后，凭政府采购</w:t>
      </w:r>
      <w:r>
        <w:rPr>
          <w:spacing w:val="-1"/>
          <w:sz w:val="28"/>
          <w:szCs w:val="28"/>
        </w:rPr>
        <w:t>合同向银行提出融资申请。”（</w:t>
      </w:r>
      <w:r>
        <w:fldChar w:fldCharType="begin"/>
      </w:r>
      <w:r>
        <w:instrText xml:space="preserve"> HYPERLINK "http://www.ccgp-shaanxi.gov.cn/zcdservice/zcd/shanxi/" </w:instrText>
      </w:r>
      <w:r>
        <w:fldChar w:fldCharType="separate"/>
      </w:r>
      <w:r>
        <w:rPr>
          <w:spacing w:val="-1"/>
          <w:sz w:val="28"/>
          <w:szCs w:val="28"/>
        </w:rPr>
        <w:t>陕西省政府采购信用融资平台</w:t>
      </w:r>
      <w:r>
        <w:rPr>
          <w:spacing w:val="-1"/>
          <w:sz w:val="28"/>
          <w:szCs w:val="28"/>
        </w:rPr>
        <w:fldChar w:fldCharType="end"/>
      </w:r>
      <w:r>
        <w:rPr>
          <w:spacing w:val="-1"/>
          <w:sz w:val="28"/>
          <w:szCs w:val="28"/>
        </w:rPr>
        <w:t>：</w:t>
      </w:r>
      <w:r>
        <w:fldChar w:fldCharType="begin"/>
      </w:r>
      <w:r>
        <w:instrText xml:space="preserve"> HYPERLINK "http://www.ccgp-shaanxi.gov.cn/zcdservice/zcd/shanxi/）。" </w:instrText>
      </w:r>
      <w:r>
        <w:fldChar w:fldCharType="separate"/>
      </w:r>
      <w:r>
        <w:rPr>
          <w:spacing w:val="-1"/>
          <w:sz w:val="28"/>
          <w:szCs w:val="28"/>
        </w:rPr>
        <w:t>http://ww</w:t>
      </w:r>
      <w:r>
        <w:rPr>
          <w:spacing w:val="-1"/>
          <w:sz w:val="28"/>
          <w:szCs w:val="28"/>
        </w:rPr>
        <w:fldChar w:fldCharType="end"/>
      </w:r>
      <w:r>
        <w:fldChar w:fldCharType="begin"/>
      </w:r>
      <w:r>
        <w:instrText xml:space="preserve"> HYPERLINK "http://www.ccgp-shaanxi.gov.cn/zcdservice/zcd/shanxi/）。" </w:instrText>
      </w:r>
      <w:r>
        <w:fldChar w:fldCharType="separate"/>
      </w:r>
      <w:r>
        <w:rPr>
          <w:spacing w:val="6"/>
          <w:sz w:val="28"/>
          <w:szCs w:val="28"/>
        </w:rPr>
        <w:t>w.</w:t>
      </w:r>
      <w:r>
        <w:rPr>
          <w:sz w:val="28"/>
          <w:szCs w:val="28"/>
        </w:rPr>
        <w:t>ccgp</w:t>
      </w:r>
      <w:r>
        <w:rPr>
          <w:spacing w:val="6"/>
          <w:sz w:val="28"/>
          <w:szCs w:val="28"/>
        </w:rPr>
        <w:t>-</w:t>
      </w:r>
      <w:r>
        <w:rPr>
          <w:sz w:val="28"/>
          <w:szCs w:val="28"/>
        </w:rPr>
        <w:t>shaanxi</w:t>
      </w:r>
      <w:r>
        <w:rPr>
          <w:spacing w:val="6"/>
          <w:sz w:val="28"/>
          <w:szCs w:val="28"/>
        </w:rPr>
        <w:t>.</w:t>
      </w:r>
      <w:r>
        <w:rPr>
          <w:sz w:val="28"/>
          <w:szCs w:val="28"/>
        </w:rPr>
        <w:t>gov</w:t>
      </w:r>
      <w:r>
        <w:rPr>
          <w:spacing w:val="6"/>
          <w:sz w:val="28"/>
          <w:szCs w:val="28"/>
        </w:rPr>
        <w:t>.</w:t>
      </w:r>
      <w:r>
        <w:rPr>
          <w:sz w:val="28"/>
          <w:szCs w:val="28"/>
        </w:rPr>
        <w:t>cn</w:t>
      </w:r>
      <w:r>
        <w:rPr>
          <w:spacing w:val="6"/>
          <w:sz w:val="28"/>
          <w:szCs w:val="28"/>
        </w:rPr>
        <w:t>/</w:t>
      </w:r>
      <w:r>
        <w:rPr>
          <w:sz w:val="28"/>
          <w:szCs w:val="28"/>
        </w:rPr>
        <w:t>zcdservice</w:t>
      </w:r>
      <w:r>
        <w:rPr>
          <w:spacing w:val="6"/>
          <w:sz w:val="28"/>
          <w:szCs w:val="28"/>
        </w:rPr>
        <w:t>/</w:t>
      </w:r>
      <w:r>
        <w:rPr>
          <w:sz w:val="28"/>
          <w:szCs w:val="28"/>
        </w:rPr>
        <w:t>zcd</w:t>
      </w:r>
      <w:r>
        <w:rPr>
          <w:spacing w:val="6"/>
          <w:sz w:val="28"/>
          <w:szCs w:val="28"/>
        </w:rPr>
        <w:t>/</w:t>
      </w:r>
      <w:r>
        <w:rPr>
          <w:sz w:val="28"/>
          <w:szCs w:val="28"/>
        </w:rPr>
        <w:t>shanxi</w:t>
      </w:r>
      <w:r>
        <w:rPr>
          <w:spacing w:val="6"/>
          <w:sz w:val="28"/>
          <w:szCs w:val="28"/>
        </w:rPr>
        <w:t>/）。</w:t>
      </w:r>
      <w:r>
        <w:rPr>
          <w:spacing w:val="6"/>
          <w:sz w:val="28"/>
          <w:szCs w:val="28"/>
        </w:rPr>
        <w:fldChar w:fldCharType="end"/>
      </w:r>
    </w:p>
    <w:p w14:paraId="08A470F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（六）关于产品和服务</w:t>
      </w:r>
    </w:p>
    <w:p w14:paraId="19C710F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1、所有产品必须具有在中国境内法定许可</w:t>
      </w:r>
      <w:r>
        <w:rPr>
          <w:spacing w:val="-3"/>
          <w:sz w:val="28"/>
          <w:szCs w:val="28"/>
        </w:rPr>
        <w:t>的生产及销售资格，且为全新原厂制造，其核心关键部</w:t>
      </w:r>
      <w:r>
        <w:rPr>
          <w:rFonts w:hint="eastAsia"/>
          <w:spacing w:val="-3"/>
          <w:sz w:val="28"/>
          <w:szCs w:val="28"/>
          <w:lang w:val="en-US" w:eastAsia="zh-CN"/>
        </w:rPr>
        <w:t>件</w:t>
      </w:r>
      <w:r>
        <w:rPr>
          <w:spacing w:val="-3"/>
          <w:sz w:val="28"/>
          <w:szCs w:val="28"/>
        </w:rPr>
        <w:t>为近</w:t>
      </w:r>
      <w:r>
        <w:rPr>
          <w:spacing w:val="-38"/>
          <w:sz w:val="28"/>
          <w:szCs w:val="28"/>
        </w:rPr>
        <w:t xml:space="preserve"> </w:t>
      </w:r>
      <w:r>
        <w:rPr>
          <w:spacing w:val="-3"/>
          <w:sz w:val="28"/>
          <w:szCs w:val="28"/>
        </w:rPr>
        <w:t>10</w:t>
      </w:r>
      <w:r>
        <w:rPr>
          <w:spacing w:val="-47"/>
          <w:sz w:val="28"/>
          <w:szCs w:val="28"/>
        </w:rPr>
        <w:t xml:space="preserve"> </w:t>
      </w:r>
      <w:r>
        <w:rPr>
          <w:spacing w:val="-3"/>
          <w:sz w:val="28"/>
          <w:szCs w:val="28"/>
        </w:rPr>
        <w:t>个月内所生产的非淘汰类产品；属于</w:t>
      </w:r>
      <w:r>
        <w:rPr>
          <w:spacing w:val="3"/>
          <w:sz w:val="28"/>
          <w:szCs w:val="28"/>
        </w:rPr>
        <w:t>《中华人民共和国实施强制性产品认证的产品目录》的产品，</w:t>
      </w:r>
      <w:r>
        <w:rPr>
          <w:rFonts w:hint="eastAsia"/>
          <w:spacing w:val="3"/>
          <w:sz w:val="28"/>
          <w:szCs w:val="28"/>
          <w:lang w:val="en-US" w:eastAsia="zh-CN"/>
        </w:rPr>
        <w:t>不得</w:t>
      </w:r>
      <w:r>
        <w:rPr>
          <w:spacing w:val="2"/>
          <w:sz w:val="28"/>
          <w:szCs w:val="28"/>
        </w:rPr>
        <w:t>提供</w:t>
      </w:r>
      <w:r>
        <w:rPr>
          <w:spacing w:val="3"/>
          <w:sz w:val="28"/>
          <w:szCs w:val="28"/>
        </w:rPr>
        <w:t>超出此目录范畴外的替代品，此外，还须同时具备国家认监委颁布</w:t>
      </w:r>
      <w:r>
        <w:rPr>
          <w:spacing w:val="2"/>
          <w:sz w:val="28"/>
          <w:szCs w:val="28"/>
        </w:rPr>
        <w:t>《中国</w:t>
      </w:r>
      <w:r>
        <w:rPr>
          <w:spacing w:val="-19"/>
          <w:sz w:val="28"/>
          <w:szCs w:val="28"/>
        </w:rPr>
        <w:t>强制认证》（CCC</w:t>
      </w:r>
      <w:r>
        <w:rPr>
          <w:spacing w:val="-43"/>
          <w:sz w:val="28"/>
          <w:szCs w:val="28"/>
        </w:rPr>
        <w:t xml:space="preserve"> </w:t>
      </w:r>
      <w:r>
        <w:rPr>
          <w:spacing w:val="-19"/>
          <w:sz w:val="28"/>
          <w:szCs w:val="28"/>
        </w:rPr>
        <w:t>认证）。</w:t>
      </w:r>
    </w:p>
    <w:p w14:paraId="436EC5F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6" w:firstLineChars="200"/>
        <w:rPr>
          <w:sz w:val="28"/>
          <w:szCs w:val="28"/>
        </w:rPr>
      </w:pPr>
      <w:r>
        <w:rPr>
          <w:spacing w:val="-6"/>
          <w:sz w:val="28"/>
          <w:szCs w:val="28"/>
        </w:rPr>
        <w:t>2、采购的产品属于政府采购节能产品、环境标志产品品</w:t>
      </w:r>
      <w:r>
        <w:rPr>
          <w:spacing w:val="-57"/>
          <w:sz w:val="28"/>
          <w:szCs w:val="28"/>
        </w:rPr>
        <w:t xml:space="preserve"> </w:t>
      </w:r>
      <w:r>
        <w:rPr>
          <w:spacing w:val="-6"/>
          <w:sz w:val="28"/>
          <w:szCs w:val="28"/>
        </w:rPr>
        <w:t>目清单范围的，</w:t>
      </w:r>
      <w:r>
        <w:rPr>
          <w:spacing w:val="3"/>
          <w:sz w:val="28"/>
          <w:szCs w:val="28"/>
        </w:rPr>
        <w:t>供应商需提供国家确定的认证机构出具的、</w:t>
      </w:r>
      <w:r>
        <w:rPr>
          <w:spacing w:val="2"/>
          <w:sz w:val="28"/>
          <w:szCs w:val="28"/>
        </w:rPr>
        <w:t>处于有效期之内的节能产品、</w:t>
      </w:r>
    </w:p>
    <w:p w14:paraId="7158FA5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环境标志产品认证证书，对获得证书的产品实施政府优先采购或强制采购。</w:t>
      </w:r>
    </w:p>
    <w:p w14:paraId="5465316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3、主机设备要有标准配置清单，使用操作及安全须知等重要资料应附</w:t>
      </w:r>
      <w:r>
        <w:rPr>
          <w:spacing w:val="3"/>
          <w:sz w:val="28"/>
          <w:szCs w:val="28"/>
        </w:rPr>
        <w:t>有中文说明；国内制造的产品必须同时具备出厂合格证和相</w:t>
      </w:r>
      <w:r>
        <w:rPr>
          <w:spacing w:val="2"/>
          <w:sz w:val="28"/>
          <w:szCs w:val="28"/>
        </w:rPr>
        <w:t>关检测报告。</w:t>
      </w:r>
      <w:r>
        <w:rPr>
          <w:spacing w:val="3"/>
          <w:sz w:val="28"/>
          <w:szCs w:val="28"/>
        </w:rPr>
        <w:t>购置的计算机设备必须配有正版合法的经采购人认可</w:t>
      </w:r>
      <w:r>
        <w:rPr>
          <w:spacing w:val="2"/>
          <w:sz w:val="28"/>
          <w:szCs w:val="28"/>
        </w:rPr>
        <w:t>的操作系统和软件。</w:t>
      </w:r>
    </w:p>
    <w:p w14:paraId="0625292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28" w:firstLineChars="200"/>
        <w:rPr>
          <w:sz w:val="28"/>
          <w:szCs w:val="28"/>
        </w:rPr>
      </w:pPr>
      <w:r>
        <w:rPr>
          <w:spacing w:val="-8"/>
          <w:sz w:val="28"/>
          <w:szCs w:val="28"/>
        </w:rPr>
        <w:t>4、根据《政府采购进口产品管理办法》（财库〔2007〕</w:t>
      </w:r>
      <w:r>
        <w:rPr>
          <w:spacing w:val="-9"/>
          <w:sz w:val="28"/>
          <w:szCs w:val="28"/>
        </w:rPr>
        <w:t>119</w:t>
      </w:r>
      <w:r>
        <w:rPr>
          <w:spacing w:val="-41"/>
          <w:sz w:val="28"/>
          <w:szCs w:val="28"/>
        </w:rPr>
        <w:t xml:space="preserve"> </w:t>
      </w:r>
      <w:r>
        <w:rPr>
          <w:spacing w:val="-9"/>
          <w:sz w:val="28"/>
          <w:szCs w:val="28"/>
        </w:rPr>
        <w:t>号）与《关</w:t>
      </w:r>
      <w:r>
        <w:rPr>
          <w:spacing w:val="-4"/>
          <w:sz w:val="28"/>
          <w:szCs w:val="28"/>
        </w:rPr>
        <w:t>于政府采购进口产品管理有关问题的通知》（财办库[</w:t>
      </w:r>
      <w:r>
        <w:fldChar w:fldCharType="begin"/>
      </w:r>
      <w:r>
        <w:instrText xml:space="preserve"> HYPERLINK \l "bookmark20" </w:instrText>
      </w:r>
      <w:r>
        <w:fldChar w:fldCharType="separate"/>
      </w:r>
      <w:r>
        <w:rPr>
          <w:spacing w:val="-4"/>
          <w:sz w:val="28"/>
          <w:szCs w:val="28"/>
        </w:rPr>
        <w:t>2008</w:t>
      </w:r>
      <w:r>
        <w:rPr>
          <w:spacing w:val="-4"/>
          <w:sz w:val="28"/>
          <w:szCs w:val="28"/>
        </w:rPr>
        <w:fldChar w:fldCharType="end"/>
      </w:r>
      <w:r>
        <w:rPr>
          <w:spacing w:val="-4"/>
          <w:sz w:val="28"/>
          <w:szCs w:val="28"/>
        </w:rPr>
        <w:t>]248</w:t>
      </w:r>
      <w:r>
        <w:rPr>
          <w:spacing w:val="-42"/>
          <w:sz w:val="28"/>
          <w:szCs w:val="28"/>
        </w:rPr>
        <w:t xml:space="preserve"> </w:t>
      </w:r>
      <w:r>
        <w:rPr>
          <w:spacing w:val="-4"/>
          <w:sz w:val="28"/>
          <w:szCs w:val="28"/>
        </w:rPr>
        <w:t>号）的</w:t>
      </w:r>
      <w:r>
        <w:rPr>
          <w:spacing w:val="-5"/>
          <w:sz w:val="28"/>
          <w:szCs w:val="28"/>
        </w:rPr>
        <w:t>有关</w:t>
      </w:r>
      <w:r>
        <w:rPr>
          <w:spacing w:val="3"/>
          <w:sz w:val="28"/>
          <w:szCs w:val="28"/>
        </w:rPr>
        <w:t>规定，未经核准同意，供应商磋商时必须提供本国产品</w:t>
      </w:r>
      <w:r>
        <w:rPr>
          <w:spacing w:val="2"/>
          <w:sz w:val="28"/>
          <w:szCs w:val="28"/>
        </w:rPr>
        <w:t>，供应商以进口产</w:t>
      </w:r>
      <w:r>
        <w:rPr>
          <w:spacing w:val="1"/>
          <w:sz w:val="28"/>
          <w:szCs w:val="28"/>
        </w:rPr>
        <w:t>品参与磋商的，将作无效磋商处理。</w:t>
      </w:r>
    </w:p>
    <w:p w14:paraId="65FD5E0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rFonts w:ascii="Arial"/>
          <w:sz w:val="21"/>
        </w:rPr>
      </w:pPr>
      <w:r>
        <w:rPr>
          <w:spacing w:val="-2"/>
          <w:sz w:val="28"/>
          <w:szCs w:val="28"/>
        </w:rPr>
        <w:t>5、如磋商文件中已说明，经政府采购管理部门审核同意，允许部分或</w:t>
      </w:r>
    </w:p>
    <w:p w14:paraId="7C660D0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jc w:val="both"/>
        <w:rPr>
          <w:sz w:val="28"/>
          <w:szCs w:val="28"/>
        </w:rPr>
      </w:pPr>
      <w:r>
        <w:rPr>
          <w:spacing w:val="-3"/>
          <w:sz w:val="28"/>
          <w:szCs w:val="28"/>
        </w:rPr>
        <w:t>全部产品采购进口产品，供应商既可提供本国产品，也可以提供进口产品。</w:t>
      </w:r>
      <w:r>
        <w:rPr>
          <w:spacing w:val="3"/>
          <w:sz w:val="28"/>
          <w:szCs w:val="28"/>
        </w:rPr>
        <w:t>在提供的进口产品中，优先采购向我国供应商转让</w:t>
      </w:r>
      <w:r>
        <w:rPr>
          <w:spacing w:val="2"/>
          <w:sz w:val="28"/>
          <w:szCs w:val="28"/>
        </w:rPr>
        <w:t>技术、与我国供应商签</w:t>
      </w:r>
      <w:r>
        <w:rPr>
          <w:spacing w:val="3"/>
          <w:sz w:val="28"/>
          <w:szCs w:val="28"/>
        </w:rPr>
        <w:t>订消化吸收再创新方案的供应商的进口产品。进口</w:t>
      </w:r>
      <w:r>
        <w:rPr>
          <w:spacing w:val="2"/>
          <w:sz w:val="28"/>
          <w:szCs w:val="28"/>
        </w:rPr>
        <w:t>产品必须同时具备原产</w:t>
      </w:r>
      <w:r>
        <w:rPr>
          <w:spacing w:val="-1"/>
          <w:sz w:val="28"/>
          <w:szCs w:val="28"/>
        </w:rPr>
        <w:t>地证明、</w:t>
      </w:r>
      <w:r>
        <w:rPr>
          <w:spacing w:val="-70"/>
          <w:sz w:val="28"/>
          <w:szCs w:val="28"/>
        </w:rPr>
        <w:t xml:space="preserve"> </w:t>
      </w:r>
      <w:r>
        <w:rPr>
          <w:spacing w:val="-1"/>
          <w:sz w:val="28"/>
          <w:szCs w:val="28"/>
        </w:rPr>
        <w:t>中国商检证明及合法进货渠道全套单证。</w:t>
      </w:r>
    </w:p>
    <w:p w14:paraId="13DA93F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both"/>
        <w:rPr>
          <w:sz w:val="28"/>
          <w:szCs w:val="28"/>
        </w:rPr>
      </w:pPr>
      <w:r>
        <w:rPr>
          <w:spacing w:val="2"/>
          <w:sz w:val="28"/>
          <w:szCs w:val="28"/>
        </w:rPr>
        <w:t>6、如采购的产品属于列入《网络关键设备和网络安全专用产品目录》</w:t>
      </w:r>
      <w:r>
        <w:rPr>
          <w:spacing w:val="16"/>
          <w:sz w:val="28"/>
          <w:szCs w:val="28"/>
        </w:rPr>
        <w:t xml:space="preserve"> </w:t>
      </w:r>
      <w:r>
        <w:rPr>
          <w:spacing w:val="3"/>
          <w:sz w:val="28"/>
          <w:szCs w:val="28"/>
        </w:rPr>
        <w:t>（如目录有更新，以最新的为准）的网络安全专用</w:t>
      </w:r>
      <w:r>
        <w:rPr>
          <w:spacing w:val="2"/>
          <w:sz w:val="28"/>
          <w:szCs w:val="28"/>
        </w:rPr>
        <w:t>产品的，供应商应当提</w:t>
      </w:r>
      <w:r>
        <w:rPr>
          <w:spacing w:val="3"/>
          <w:sz w:val="28"/>
          <w:szCs w:val="28"/>
        </w:rPr>
        <w:t>供经安全检测或安全认证的产品或已经获得《计算</w:t>
      </w:r>
      <w:r>
        <w:rPr>
          <w:spacing w:val="2"/>
          <w:sz w:val="28"/>
          <w:szCs w:val="28"/>
        </w:rPr>
        <w:t>机信息系统安全专用产品销售许可证》且尚在有效期内的产品。</w:t>
      </w:r>
    </w:p>
    <w:p w14:paraId="4C47496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（七）关于同一品牌产品的处理</w:t>
      </w:r>
    </w:p>
    <w:p w14:paraId="25F0AED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1、单一产品采购项目中，提供相同品牌的产品的</w:t>
      </w:r>
      <w:r>
        <w:rPr>
          <w:spacing w:val="-3"/>
          <w:sz w:val="28"/>
          <w:szCs w:val="28"/>
        </w:rPr>
        <w:t>不同供应商参加同一</w:t>
      </w:r>
      <w:r>
        <w:rPr>
          <w:spacing w:val="3"/>
          <w:sz w:val="28"/>
          <w:szCs w:val="28"/>
        </w:rPr>
        <w:t>合同项下投标的，提供相同品牌产品且通过资格审查</w:t>
      </w:r>
      <w:r>
        <w:rPr>
          <w:spacing w:val="2"/>
          <w:sz w:val="28"/>
          <w:szCs w:val="28"/>
        </w:rPr>
        <w:t>、符合性审查的不同</w:t>
      </w:r>
      <w:r>
        <w:rPr>
          <w:spacing w:val="3"/>
          <w:sz w:val="28"/>
          <w:szCs w:val="28"/>
        </w:rPr>
        <w:t>供应商，按一家供应商计算，评审后得分最高的同品</w:t>
      </w:r>
      <w:r>
        <w:rPr>
          <w:spacing w:val="2"/>
          <w:sz w:val="28"/>
          <w:szCs w:val="28"/>
        </w:rPr>
        <w:t>牌供应商获得成交供</w:t>
      </w:r>
      <w:r>
        <w:rPr>
          <w:spacing w:val="1"/>
          <w:sz w:val="28"/>
          <w:szCs w:val="28"/>
        </w:rPr>
        <w:t>应商推荐资格；评审得分相同的，由磋商小组按照最后报价最低的</w:t>
      </w:r>
      <w:r>
        <w:rPr>
          <w:sz w:val="28"/>
          <w:szCs w:val="28"/>
        </w:rPr>
        <w:t>方式确</w:t>
      </w:r>
      <w:r>
        <w:rPr>
          <w:spacing w:val="3"/>
          <w:sz w:val="28"/>
          <w:szCs w:val="28"/>
        </w:rPr>
        <w:t>定一个获得成交供应商推荐资格，其他同品牌</w:t>
      </w:r>
      <w:r>
        <w:rPr>
          <w:spacing w:val="2"/>
          <w:sz w:val="28"/>
          <w:szCs w:val="28"/>
        </w:rPr>
        <w:t>供应商不作为成交候选人。</w:t>
      </w:r>
    </w:p>
    <w:p w14:paraId="557F251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2、非单一产品采购项目，采购人将根据采购项目技术构成、产品价格</w:t>
      </w:r>
      <w:r>
        <w:rPr>
          <w:spacing w:val="-1"/>
          <w:sz w:val="28"/>
          <w:szCs w:val="28"/>
        </w:rPr>
        <w:t>比重等因素确定核心产品（可能不止一种</w:t>
      </w:r>
      <w:r>
        <w:rPr>
          <w:spacing w:val="-79"/>
          <w:sz w:val="28"/>
          <w:szCs w:val="28"/>
        </w:rPr>
        <w:t>），</w:t>
      </w:r>
      <w:r>
        <w:rPr>
          <w:spacing w:val="-1"/>
          <w:sz w:val="28"/>
          <w:szCs w:val="28"/>
        </w:rPr>
        <w:t>并在磋商文</w:t>
      </w:r>
      <w:r>
        <w:rPr>
          <w:spacing w:val="-2"/>
          <w:sz w:val="28"/>
          <w:szCs w:val="28"/>
        </w:rPr>
        <w:t>件中载明。提供相</w:t>
      </w:r>
      <w:r>
        <w:rPr>
          <w:spacing w:val="3"/>
          <w:sz w:val="28"/>
          <w:szCs w:val="28"/>
        </w:rPr>
        <w:t>同品牌的核心产品且通过资格审查、符合性审</w:t>
      </w:r>
      <w:r>
        <w:rPr>
          <w:spacing w:val="2"/>
          <w:sz w:val="28"/>
          <w:szCs w:val="28"/>
        </w:rPr>
        <w:t>查的不同供应商参加同一合</w:t>
      </w:r>
      <w:r>
        <w:rPr>
          <w:spacing w:val="3"/>
          <w:sz w:val="28"/>
          <w:szCs w:val="28"/>
        </w:rPr>
        <w:t>同项下投标的，按一家供应商计算，评审后得</w:t>
      </w:r>
      <w:r>
        <w:rPr>
          <w:spacing w:val="2"/>
          <w:sz w:val="28"/>
          <w:szCs w:val="28"/>
        </w:rPr>
        <w:t>分最高的同品牌供应商获得</w:t>
      </w:r>
      <w:r>
        <w:rPr>
          <w:spacing w:val="1"/>
          <w:sz w:val="28"/>
          <w:szCs w:val="28"/>
        </w:rPr>
        <w:t>成交供应商推荐资格；评审得分相同的，由磋商小组按照最</w:t>
      </w:r>
      <w:r>
        <w:rPr>
          <w:sz w:val="28"/>
          <w:szCs w:val="28"/>
        </w:rPr>
        <w:t>后报价最低的</w:t>
      </w:r>
      <w:r>
        <w:rPr>
          <w:spacing w:val="3"/>
          <w:sz w:val="28"/>
          <w:szCs w:val="28"/>
        </w:rPr>
        <w:t>方式确定一个获得成交供应商推荐资格，其他</w:t>
      </w:r>
      <w:r>
        <w:rPr>
          <w:spacing w:val="2"/>
          <w:sz w:val="28"/>
          <w:szCs w:val="28"/>
        </w:rPr>
        <w:t>同品牌供应商不作为成交候</w:t>
      </w:r>
      <w:r>
        <w:rPr>
          <w:spacing w:val="-6"/>
          <w:sz w:val="28"/>
          <w:szCs w:val="28"/>
        </w:rPr>
        <w:t>选人。</w:t>
      </w:r>
    </w:p>
    <w:p w14:paraId="6F242E3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3、核心产品为两个以上时，多家供应商提供的核心产品有部分采用或</w:t>
      </w:r>
      <w:r>
        <w:rPr>
          <w:spacing w:val="1"/>
          <w:sz w:val="28"/>
          <w:szCs w:val="28"/>
        </w:rPr>
        <w:t>全部采用相同品牌的，按一家供应商计算。</w:t>
      </w:r>
    </w:p>
    <w:p w14:paraId="1958248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（八）知识产权与保密事项</w:t>
      </w:r>
    </w:p>
    <w:p w14:paraId="1F88992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1、所有涉及知识产权的产品及设计，供应</w:t>
      </w:r>
      <w:r>
        <w:rPr>
          <w:spacing w:val="-3"/>
          <w:sz w:val="28"/>
          <w:szCs w:val="28"/>
        </w:rPr>
        <w:t>商必须确保采购人拥有其合</w:t>
      </w:r>
      <w:r>
        <w:rPr>
          <w:spacing w:val="1"/>
          <w:sz w:val="28"/>
          <w:szCs w:val="28"/>
        </w:rPr>
        <w:t>法的、不受限制的无偿使用权，并免受任何侵权诉讼或索偿，</w:t>
      </w:r>
      <w:r>
        <w:rPr>
          <w:sz w:val="28"/>
          <w:szCs w:val="28"/>
        </w:rPr>
        <w:t>否则，</w:t>
      </w:r>
      <w:r>
        <w:rPr>
          <w:spacing w:val="-82"/>
          <w:sz w:val="28"/>
          <w:szCs w:val="28"/>
        </w:rPr>
        <w:t xml:space="preserve"> </w:t>
      </w:r>
      <w:r>
        <w:rPr>
          <w:sz w:val="28"/>
          <w:szCs w:val="28"/>
        </w:rPr>
        <w:t>由此</w:t>
      </w:r>
      <w:r>
        <w:rPr>
          <w:spacing w:val="2"/>
          <w:sz w:val="28"/>
          <w:szCs w:val="28"/>
        </w:rPr>
        <w:t>产生的一切经济损失和法律责任由供应商承担。</w:t>
      </w:r>
    </w:p>
    <w:p w14:paraId="7A24925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rFonts w:ascii="Arial"/>
          <w:sz w:val="21"/>
        </w:rPr>
      </w:pPr>
      <w:r>
        <w:rPr>
          <w:spacing w:val="-2"/>
          <w:sz w:val="28"/>
          <w:szCs w:val="28"/>
        </w:rPr>
        <w:t>2、由采购人向供应商提供的用户需求书、图纸、样品、模型、模件和</w:t>
      </w:r>
    </w:p>
    <w:p w14:paraId="099E5A8C">
      <w:pPr>
        <w:pStyle w:val="7"/>
        <w:keepNext w:val="0"/>
        <w:keepLines w:val="0"/>
        <w:pageBreakBefore w:val="0"/>
        <w:widowControl/>
        <w:kinsoku/>
        <w:wordWrap/>
        <w:overflowPunct/>
        <w:topLinePunct w:val="0"/>
        <w:autoSpaceDE/>
        <w:autoSpaceDN/>
        <w:bidi w:val="0"/>
        <w:adjustRightInd w:val="0"/>
        <w:snapToGrid w:val="0"/>
        <w:spacing w:line="324" w:lineRule="auto"/>
        <w:ind w:right="0"/>
        <w:jc w:val="both"/>
        <w:rPr>
          <w:sz w:val="28"/>
          <w:szCs w:val="28"/>
        </w:rPr>
      </w:pPr>
      <w:r>
        <w:rPr>
          <w:spacing w:val="3"/>
          <w:sz w:val="28"/>
          <w:szCs w:val="28"/>
        </w:rPr>
        <w:t>所有资料，供应商获得后，应对其保密。除非采购</w:t>
      </w:r>
      <w:r>
        <w:rPr>
          <w:spacing w:val="2"/>
          <w:sz w:val="28"/>
          <w:szCs w:val="28"/>
        </w:rPr>
        <w:t>人同意，供应商不得向</w:t>
      </w:r>
      <w:r>
        <w:rPr>
          <w:spacing w:val="3"/>
          <w:sz w:val="28"/>
          <w:szCs w:val="28"/>
        </w:rPr>
        <w:t>第三方透露或将其用于本次磋商以外的任何用途。开</w:t>
      </w:r>
      <w:r>
        <w:rPr>
          <w:spacing w:val="2"/>
          <w:sz w:val="28"/>
          <w:szCs w:val="28"/>
        </w:rPr>
        <w:t>标后，若采购人有要</w:t>
      </w:r>
      <w:r>
        <w:rPr>
          <w:spacing w:val="3"/>
          <w:sz w:val="28"/>
          <w:szCs w:val="28"/>
        </w:rPr>
        <w:t>求，供应商须归还采购人认为需保密的文件和资料，</w:t>
      </w:r>
      <w:r>
        <w:rPr>
          <w:spacing w:val="2"/>
          <w:sz w:val="28"/>
          <w:szCs w:val="28"/>
        </w:rPr>
        <w:t>并销毁所有相应的备</w:t>
      </w:r>
      <w:r>
        <w:rPr>
          <w:spacing w:val="-1"/>
          <w:sz w:val="28"/>
          <w:szCs w:val="28"/>
        </w:rPr>
        <w:t>份文件及资料。</w:t>
      </w:r>
    </w:p>
    <w:p w14:paraId="07B7ADD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rFonts w:hint="eastAsia" w:eastAsia="仿宋"/>
          <w:b/>
          <w:bCs/>
          <w:spacing w:val="-1"/>
          <w:sz w:val="28"/>
          <w:szCs w:val="28"/>
          <w:lang w:eastAsia="zh-CN"/>
        </w:rPr>
      </w:pPr>
      <w:r>
        <w:rPr>
          <w:b/>
          <w:bCs/>
          <w:spacing w:val="-1"/>
          <w:sz w:val="28"/>
          <w:szCs w:val="28"/>
        </w:rPr>
        <w:t>（九）</w:t>
      </w:r>
      <w:r>
        <w:rPr>
          <w:rFonts w:hint="eastAsia"/>
          <w:b/>
          <w:bCs/>
          <w:spacing w:val="-1"/>
          <w:sz w:val="28"/>
          <w:szCs w:val="28"/>
        </w:rPr>
        <w:t>供应商应自行承担所有与参与本次磋商相关的费用</w:t>
      </w:r>
      <w:r>
        <w:rPr>
          <w:rFonts w:hint="eastAsia"/>
          <w:b/>
          <w:bCs/>
          <w:spacing w:val="-1"/>
          <w:sz w:val="28"/>
          <w:szCs w:val="28"/>
          <w:lang w:eastAsia="zh-CN"/>
        </w:rPr>
        <w:t>。</w:t>
      </w:r>
    </w:p>
    <w:p w14:paraId="553DD89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outlineLvl w:val="1"/>
        <w:rPr>
          <w:sz w:val="28"/>
          <w:szCs w:val="28"/>
        </w:rPr>
      </w:pPr>
      <w:bookmarkStart w:id="5" w:name="bookmark5"/>
      <w:bookmarkEnd w:id="5"/>
      <w:r>
        <w:rPr>
          <w:b/>
          <w:bCs/>
          <w:spacing w:val="-4"/>
          <w:sz w:val="28"/>
          <w:szCs w:val="28"/>
        </w:rPr>
        <w:t>三、磋商文件</w:t>
      </w:r>
    </w:p>
    <w:p w14:paraId="7F2E5FC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（一）磋商文件包括下列内容</w:t>
      </w:r>
    </w:p>
    <w:p w14:paraId="5120174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第一章</w:t>
      </w:r>
      <w:r>
        <w:rPr>
          <w:spacing w:val="13"/>
          <w:sz w:val="28"/>
          <w:szCs w:val="28"/>
        </w:rPr>
        <w:t xml:space="preserve">  </w:t>
      </w:r>
      <w:r>
        <w:rPr>
          <w:spacing w:val="-4"/>
          <w:sz w:val="28"/>
          <w:szCs w:val="28"/>
        </w:rPr>
        <w:t>磋商邀请函</w:t>
      </w:r>
    </w:p>
    <w:p w14:paraId="257130B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第二章</w:t>
      </w:r>
      <w:r>
        <w:rPr>
          <w:spacing w:val="13"/>
          <w:sz w:val="28"/>
          <w:szCs w:val="28"/>
        </w:rPr>
        <w:t xml:space="preserve">  </w:t>
      </w:r>
      <w:r>
        <w:rPr>
          <w:spacing w:val="-4"/>
          <w:sz w:val="28"/>
          <w:szCs w:val="28"/>
        </w:rPr>
        <w:t>供应商须知</w:t>
      </w:r>
    </w:p>
    <w:p w14:paraId="53E53C8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第三章  磋商内容及采购要求</w:t>
      </w:r>
    </w:p>
    <w:p w14:paraId="4180D13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第四章</w:t>
      </w:r>
      <w:r>
        <w:rPr>
          <w:spacing w:val="17"/>
          <w:sz w:val="28"/>
          <w:szCs w:val="28"/>
        </w:rPr>
        <w:t xml:space="preserve">  </w:t>
      </w:r>
      <w:r>
        <w:rPr>
          <w:spacing w:val="-4"/>
          <w:sz w:val="28"/>
          <w:szCs w:val="28"/>
        </w:rPr>
        <w:t>合同草案条款</w:t>
      </w:r>
    </w:p>
    <w:p w14:paraId="36FC207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第五章</w:t>
      </w:r>
      <w:r>
        <w:rPr>
          <w:spacing w:val="17"/>
          <w:sz w:val="28"/>
          <w:szCs w:val="28"/>
        </w:rPr>
        <w:t xml:space="preserve">  </w:t>
      </w:r>
      <w:r>
        <w:rPr>
          <w:spacing w:val="-2"/>
          <w:sz w:val="28"/>
          <w:szCs w:val="28"/>
        </w:rPr>
        <w:t>响应文件构成及格式</w:t>
      </w:r>
    </w:p>
    <w:p w14:paraId="1D1E825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（二）磋商文件的检查及阅读</w:t>
      </w:r>
    </w:p>
    <w:p w14:paraId="145E5F5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供应商下载磋商文件后应仔细阅读检查磋商文</w:t>
      </w:r>
      <w:r>
        <w:rPr>
          <w:spacing w:val="2"/>
          <w:sz w:val="28"/>
          <w:szCs w:val="28"/>
        </w:rPr>
        <w:t>件中的所有内容，按照</w:t>
      </w:r>
      <w:r>
        <w:rPr>
          <w:spacing w:val="3"/>
          <w:sz w:val="28"/>
          <w:szCs w:val="28"/>
        </w:rPr>
        <w:t>磋商文件中所列事项、条款、规范要求及格式，在响应</w:t>
      </w:r>
      <w:r>
        <w:rPr>
          <w:spacing w:val="2"/>
          <w:sz w:val="28"/>
          <w:szCs w:val="28"/>
        </w:rPr>
        <w:t>文件中对磋商文件做出全面的响应，并按磋商文件的要求提交全部资料。</w:t>
      </w:r>
    </w:p>
    <w:p w14:paraId="5272B83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项目废标后重新组织招标的，</w:t>
      </w:r>
      <w:r>
        <w:rPr>
          <w:rFonts w:hint="eastAsia"/>
          <w:spacing w:val="3"/>
          <w:sz w:val="28"/>
          <w:szCs w:val="28"/>
          <w:lang w:val="en-US" w:eastAsia="zh-CN"/>
        </w:rPr>
        <w:t>代理机构</w:t>
      </w:r>
      <w:r>
        <w:rPr>
          <w:spacing w:val="2"/>
          <w:sz w:val="28"/>
          <w:szCs w:val="28"/>
        </w:rPr>
        <w:t>将重新编</w:t>
      </w:r>
      <w:r>
        <w:rPr>
          <w:spacing w:val="3"/>
          <w:sz w:val="28"/>
          <w:szCs w:val="28"/>
        </w:rPr>
        <w:t>制、发布新版磋商文件，供应商应按新版磋商文件重新</w:t>
      </w:r>
      <w:r>
        <w:rPr>
          <w:spacing w:val="2"/>
          <w:sz w:val="28"/>
          <w:szCs w:val="28"/>
        </w:rPr>
        <w:t>编制响应文件。原</w:t>
      </w:r>
      <w:r>
        <w:rPr>
          <w:spacing w:val="1"/>
          <w:sz w:val="28"/>
          <w:szCs w:val="28"/>
        </w:rPr>
        <w:t>磋商文件及响应文件失效。</w:t>
      </w:r>
    </w:p>
    <w:p w14:paraId="7C3500C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（三）磋商文件的修改、澄清</w:t>
      </w:r>
    </w:p>
    <w:p w14:paraId="7161BEA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jc w:val="both"/>
        <w:rPr>
          <w:sz w:val="28"/>
          <w:szCs w:val="28"/>
        </w:rPr>
      </w:pPr>
      <w:r>
        <w:rPr>
          <w:spacing w:val="-2"/>
          <w:sz w:val="28"/>
          <w:szCs w:val="28"/>
        </w:rPr>
        <w:t>1、在提交响应文件截止之日前，</w:t>
      </w:r>
      <w:r>
        <w:rPr>
          <w:rFonts w:hint="eastAsia"/>
          <w:spacing w:val="-2"/>
          <w:sz w:val="28"/>
          <w:szCs w:val="28"/>
          <w:lang w:val="en-US" w:eastAsia="zh-CN"/>
        </w:rPr>
        <w:t>代理机构</w:t>
      </w:r>
      <w:r>
        <w:rPr>
          <w:spacing w:val="-3"/>
          <w:sz w:val="28"/>
          <w:szCs w:val="28"/>
        </w:rPr>
        <w:t>可对已</w:t>
      </w:r>
      <w:r>
        <w:rPr>
          <w:spacing w:val="3"/>
          <w:sz w:val="28"/>
          <w:szCs w:val="28"/>
        </w:rPr>
        <w:t>发出的磋商文件进行必要的澄清或者修改，澄清或者</w:t>
      </w:r>
      <w:r>
        <w:rPr>
          <w:spacing w:val="2"/>
          <w:sz w:val="28"/>
          <w:szCs w:val="28"/>
        </w:rPr>
        <w:t>修改的内容作为磋商</w:t>
      </w:r>
      <w:r>
        <w:rPr>
          <w:spacing w:val="3"/>
          <w:sz w:val="28"/>
          <w:szCs w:val="28"/>
        </w:rPr>
        <w:t>文件的组成部分。澄清或者修改的内容可能影响响应</w:t>
      </w:r>
      <w:r>
        <w:rPr>
          <w:spacing w:val="2"/>
          <w:sz w:val="28"/>
          <w:szCs w:val="28"/>
        </w:rPr>
        <w:t>文件编制的，</w:t>
      </w:r>
      <w:r>
        <w:rPr>
          <w:rFonts w:hint="eastAsia"/>
          <w:spacing w:val="2"/>
          <w:sz w:val="28"/>
          <w:szCs w:val="28"/>
          <w:lang w:eastAsia="zh-CN"/>
        </w:rPr>
        <w:t>陕西中源项目管理有限公司</w:t>
      </w:r>
      <w:r>
        <w:rPr>
          <w:sz w:val="28"/>
          <w:szCs w:val="28"/>
        </w:rPr>
        <w:t>将在提交响应文件截止之日至少</w:t>
      </w:r>
      <w:r>
        <w:rPr>
          <w:spacing w:val="-50"/>
          <w:sz w:val="28"/>
          <w:szCs w:val="28"/>
        </w:rPr>
        <w:t xml:space="preserve"> </w:t>
      </w:r>
      <w:r>
        <w:rPr>
          <w:sz w:val="28"/>
          <w:szCs w:val="28"/>
        </w:rPr>
        <w:t>5 日前，在财政部</w:t>
      </w:r>
      <w:r>
        <w:rPr>
          <w:spacing w:val="-2"/>
          <w:sz w:val="28"/>
          <w:szCs w:val="28"/>
        </w:rPr>
        <w:t>门指定的政府采购信息发布媒体上</w:t>
      </w:r>
      <w:r>
        <w:rPr>
          <w:b/>
          <w:bCs/>
          <w:spacing w:val="-2"/>
          <w:sz w:val="28"/>
          <w:szCs w:val="28"/>
        </w:rPr>
        <w:t>发布更正公告</w:t>
      </w:r>
      <w:r>
        <w:rPr>
          <w:spacing w:val="-2"/>
          <w:sz w:val="28"/>
          <w:szCs w:val="28"/>
        </w:rPr>
        <w:t>；不足</w:t>
      </w:r>
      <w:r>
        <w:rPr>
          <w:spacing w:val="-32"/>
          <w:sz w:val="28"/>
          <w:szCs w:val="28"/>
        </w:rPr>
        <w:t xml:space="preserve"> </w:t>
      </w:r>
      <w:r>
        <w:rPr>
          <w:spacing w:val="-2"/>
          <w:sz w:val="28"/>
          <w:szCs w:val="28"/>
        </w:rPr>
        <w:t>5 日，</w:t>
      </w:r>
      <w:r>
        <w:rPr>
          <w:rFonts w:hint="eastAsia"/>
          <w:spacing w:val="-2"/>
          <w:sz w:val="28"/>
          <w:szCs w:val="28"/>
          <w:lang w:eastAsia="zh-CN"/>
        </w:rPr>
        <w:t>陕西中源项目管理有限公司</w:t>
      </w:r>
      <w:r>
        <w:rPr>
          <w:spacing w:val="2"/>
          <w:sz w:val="28"/>
          <w:szCs w:val="28"/>
        </w:rPr>
        <w:t>将顺延提交响应文件的截止时间。</w:t>
      </w:r>
    </w:p>
    <w:p w14:paraId="536C2E5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2、供应商对磋商文件提出质疑的，应在获取磋商文件之日起</w:t>
      </w:r>
      <w:r>
        <w:rPr>
          <w:spacing w:val="-4"/>
          <w:sz w:val="28"/>
          <w:szCs w:val="28"/>
        </w:rPr>
        <w:t>起</w:t>
      </w:r>
      <w:r>
        <w:rPr>
          <w:spacing w:val="-49"/>
          <w:sz w:val="28"/>
          <w:szCs w:val="28"/>
        </w:rPr>
        <w:t xml:space="preserve"> </w:t>
      </w:r>
      <w:r>
        <w:rPr>
          <w:spacing w:val="-4"/>
          <w:sz w:val="28"/>
          <w:szCs w:val="28"/>
        </w:rPr>
        <w:t>7</w:t>
      </w:r>
      <w:r>
        <w:rPr>
          <w:spacing w:val="-48"/>
          <w:sz w:val="28"/>
          <w:szCs w:val="28"/>
        </w:rPr>
        <w:t xml:space="preserve"> </w:t>
      </w:r>
      <w:r>
        <w:rPr>
          <w:spacing w:val="-4"/>
          <w:sz w:val="28"/>
          <w:szCs w:val="28"/>
        </w:rPr>
        <w:t>个工</w:t>
      </w:r>
      <w:r>
        <w:rPr>
          <w:sz w:val="28"/>
          <w:szCs w:val="28"/>
        </w:rPr>
        <w:t>作</w:t>
      </w:r>
      <w:r>
        <w:rPr>
          <w:spacing w:val="-55"/>
          <w:sz w:val="28"/>
          <w:szCs w:val="28"/>
        </w:rPr>
        <w:t xml:space="preserve"> </w:t>
      </w:r>
      <w:r>
        <w:rPr>
          <w:sz w:val="28"/>
          <w:szCs w:val="28"/>
        </w:rPr>
        <w:t>日内以书面形式提出，采购人以书面形式予以答复；在此之后提出的针</w:t>
      </w:r>
      <w:r>
        <w:rPr>
          <w:spacing w:val="3"/>
          <w:sz w:val="28"/>
          <w:szCs w:val="28"/>
        </w:rPr>
        <w:t>对磋商文件的质疑为无效质疑。答复的内容可能</w:t>
      </w:r>
      <w:r>
        <w:rPr>
          <w:spacing w:val="2"/>
          <w:sz w:val="28"/>
          <w:szCs w:val="28"/>
        </w:rPr>
        <w:t>影响响应文件编制的，</w:t>
      </w:r>
      <w:r>
        <w:rPr>
          <w:rFonts w:hint="eastAsia"/>
          <w:spacing w:val="2"/>
          <w:sz w:val="28"/>
          <w:szCs w:val="28"/>
          <w:lang w:eastAsia="zh-CN"/>
        </w:rPr>
        <w:t>陕西中源项目管理有限公司</w:t>
      </w:r>
      <w:r>
        <w:rPr>
          <w:spacing w:val="3"/>
          <w:sz w:val="28"/>
          <w:szCs w:val="28"/>
        </w:rPr>
        <w:t>将在财政部门指定的</w:t>
      </w:r>
      <w:r>
        <w:rPr>
          <w:spacing w:val="2"/>
          <w:sz w:val="28"/>
          <w:szCs w:val="28"/>
        </w:rPr>
        <w:t>政府采购信息发布媒体上</w:t>
      </w:r>
      <w:r>
        <w:rPr>
          <w:b/>
          <w:bCs/>
          <w:spacing w:val="-3"/>
          <w:sz w:val="28"/>
          <w:szCs w:val="28"/>
        </w:rPr>
        <w:t>发布更正公告</w:t>
      </w:r>
      <w:r>
        <w:rPr>
          <w:spacing w:val="-3"/>
          <w:sz w:val="28"/>
          <w:szCs w:val="28"/>
        </w:rPr>
        <w:t>。</w:t>
      </w:r>
    </w:p>
    <w:p w14:paraId="1DEB5BD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rFonts w:hint="eastAsia" w:eastAsia="仿宋"/>
          <w:sz w:val="28"/>
          <w:szCs w:val="28"/>
          <w:lang w:eastAsia="zh-CN"/>
        </w:rPr>
      </w:pPr>
      <w:r>
        <w:rPr>
          <w:spacing w:val="-2"/>
          <w:sz w:val="28"/>
          <w:szCs w:val="28"/>
        </w:rPr>
        <w:t>3、各供应商在提交响应文件截止时间之前，应随时关注下列地址发布</w:t>
      </w:r>
      <w:r>
        <w:rPr>
          <w:spacing w:val="2"/>
          <w:sz w:val="28"/>
          <w:szCs w:val="28"/>
        </w:rPr>
        <w:t>的变更公告，也可登录全国公共资源交易平台</w:t>
      </w:r>
      <w:r>
        <w:rPr>
          <w:rFonts w:hint="eastAsia"/>
          <w:spacing w:val="2"/>
          <w:sz w:val="28"/>
          <w:szCs w:val="28"/>
          <w:lang w:eastAsia="zh-CN"/>
        </w:rPr>
        <w:t>（陕西省·安康市）</w:t>
      </w:r>
      <w:r>
        <w:rPr>
          <w:spacing w:val="2"/>
          <w:sz w:val="28"/>
          <w:szCs w:val="28"/>
        </w:rPr>
        <w:t>政府采购交易系统查看左上角的信息提醒，</w:t>
      </w:r>
      <w:r>
        <w:rPr>
          <w:rFonts w:hint="eastAsia"/>
          <w:spacing w:val="2"/>
          <w:sz w:val="28"/>
          <w:szCs w:val="28"/>
          <w:lang w:eastAsia="zh-CN"/>
        </w:rPr>
        <w:t>陕西中源项目管理有限公司</w:t>
      </w:r>
      <w:r>
        <w:rPr>
          <w:b/>
          <w:bCs/>
          <w:spacing w:val="2"/>
          <w:sz w:val="28"/>
          <w:szCs w:val="28"/>
        </w:rPr>
        <w:t>不再单独通知，</w:t>
      </w:r>
      <w:r>
        <w:rPr>
          <w:b/>
          <w:bCs/>
          <w:sz w:val="28"/>
          <w:szCs w:val="28"/>
        </w:rPr>
        <w:t>因供应商未及时关注所造成的一切后果由供应商自行承担</w:t>
      </w:r>
      <w:r>
        <w:rPr>
          <w:rFonts w:hint="eastAsia"/>
          <w:b/>
          <w:bCs/>
          <w:sz w:val="28"/>
          <w:szCs w:val="28"/>
          <w:lang w:eastAsia="zh-CN"/>
        </w:rPr>
        <w:t>。</w:t>
      </w:r>
    </w:p>
    <w:p w14:paraId="66581A3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outlineLvl w:val="1"/>
        <w:rPr>
          <w:rFonts w:hint="eastAsia"/>
          <w:b/>
          <w:bCs/>
          <w:spacing w:val="-2"/>
          <w:sz w:val="28"/>
          <w:szCs w:val="28"/>
          <w:lang w:eastAsia="zh-CN"/>
        </w:rPr>
      </w:pPr>
      <w:r>
        <w:rPr>
          <w:b/>
          <w:bCs/>
          <w:spacing w:val="-2"/>
          <w:sz w:val="28"/>
          <w:szCs w:val="28"/>
        </w:rPr>
        <w:t>（</w:t>
      </w:r>
      <w:r>
        <w:rPr>
          <w:spacing w:val="-75"/>
          <w:sz w:val="28"/>
          <w:szCs w:val="28"/>
        </w:rPr>
        <w:t xml:space="preserve"> </w:t>
      </w:r>
      <w:r>
        <w:rPr>
          <w:b/>
          <w:bCs/>
          <w:spacing w:val="-2"/>
          <w:sz w:val="28"/>
          <w:szCs w:val="28"/>
        </w:rPr>
        <w:t>四）磋商文件的解释权归</w:t>
      </w:r>
      <w:bookmarkStart w:id="6" w:name="bookmark6"/>
      <w:bookmarkEnd w:id="6"/>
      <w:r>
        <w:rPr>
          <w:rFonts w:hint="eastAsia"/>
          <w:b/>
          <w:bCs/>
          <w:spacing w:val="-2"/>
          <w:sz w:val="28"/>
          <w:szCs w:val="28"/>
          <w:lang w:eastAsia="zh-CN"/>
        </w:rPr>
        <w:t>陕西中源项目管理有限公司</w:t>
      </w:r>
    </w:p>
    <w:p w14:paraId="7171AD8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0" w:firstLineChars="200"/>
        <w:outlineLvl w:val="1"/>
        <w:rPr>
          <w:sz w:val="28"/>
          <w:szCs w:val="28"/>
        </w:rPr>
      </w:pPr>
      <w:r>
        <w:rPr>
          <w:b/>
          <w:bCs/>
          <w:spacing w:val="-8"/>
          <w:sz w:val="28"/>
          <w:szCs w:val="28"/>
        </w:rPr>
        <w:t>四、磋商报价</w:t>
      </w:r>
    </w:p>
    <w:p w14:paraId="1E3940B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磋商报价是供应商响应本项目要求的全部工作内容</w:t>
      </w:r>
      <w:r>
        <w:rPr>
          <w:spacing w:val="2"/>
          <w:sz w:val="28"/>
          <w:szCs w:val="28"/>
        </w:rPr>
        <w:t>的价格体现，包括</w:t>
      </w:r>
      <w:r>
        <w:rPr>
          <w:spacing w:val="-3"/>
          <w:sz w:val="28"/>
          <w:szCs w:val="28"/>
        </w:rPr>
        <w:t>完成采购内容所需的直接费、间接费、利润、税金及其它相关的一切费用。</w:t>
      </w:r>
      <w:r>
        <w:rPr>
          <w:spacing w:val="3"/>
          <w:sz w:val="28"/>
          <w:szCs w:val="28"/>
        </w:rPr>
        <w:t>供应商在报价时应充分考虑所有可能发生的费用，磋商文件</w:t>
      </w:r>
      <w:r>
        <w:rPr>
          <w:spacing w:val="2"/>
          <w:sz w:val="28"/>
          <w:szCs w:val="28"/>
        </w:rPr>
        <w:t>未列明，而供</w:t>
      </w:r>
      <w:r>
        <w:rPr>
          <w:spacing w:val="3"/>
          <w:sz w:val="28"/>
          <w:szCs w:val="28"/>
        </w:rPr>
        <w:t>应商认为应当计取的费用均应列入报价中。报价时不</w:t>
      </w:r>
      <w:r>
        <w:rPr>
          <w:spacing w:val="2"/>
          <w:sz w:val="28"/>
          <w:szCs w:val="28"/>
        </w:rPr>
        <w:t>论是否计取，采购人</w:t>
      </w:r>
      <w:r>
        <w:rPr>
          <w:sz w:val="28"/>
          <w:szCs w:val="28"/>
        </w:rPr>
        <w:t>均按已计取对待。</w:t>
      </w:r>
    </w:p>
    <w:p w14:paraId="73F4DAB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（一）供应商应按照《响应文件构成及格式》中《第一</w:t>
      </w:r>
      <w:r>
        <w:rPr>
          <w:spacing w:val="-3"/>
          <w:sz w:val="28"/>
          <w:szCs w:val="28"/>
        </w:rPr>
        <w:t>次磋商报价表》</w:t>
      </w:r>
      <w:r>
        <w:rPr>
          <w:spacing w:val="-1"/>
          <w:sz w:val="28"/>
          <w:szCs w:val="28"/>
        </w:rPr>
        <w:t>中的相关要求填写需要响应的内容。</w:t>
      </w:r>
    </w:p>
    <w:p w14:paraId="563B361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（二）磋商报价采取多轮报价的办法，最后报价作</w:t>
      </w:r>
      <w:r>
        <w:rPr>
          <w:b/>
          <w:bCs/>
          <w:spacing w:val="-1"/>
          <w:sz w:val="28"/>
          <w:szCs w:val="28"/>
        </w:rPr>
        <w:t>为计算价格分值的</w:t>
      </w:r>
      <w:r>
        <w:rPr>
          <w:b/>
          <w:bCs/>
          <w:spacing w:val="1"/>
          <w:sz w:val="28"/>
          <w:szCs w:val="28"/>
        </w:rPr>
        <w:t>依据。供应商应在磋商当天，磋商小组规定</w:t>
      </w:r>
      <w:r>
        <w:rPr>
          <w:b/>
          <w:bCs/>
          <w:sz w:val="28"/>
          <w:szCs w:val="28"/>
        </w:rPr>
        <w:t>的报价时间内，使用制作响应</w:t>
      </w:r>
      <w:r>
        <w:rPr>
          <w:b/>
          <w:bCs/>
          <w:spacing w:val="-2"/>
          <w:sz w:val="28"/>
          <w:szCs w:val="28"/>
        </w:rPr>
        <w:t>文件的数字认证证书（CA</w:t>
      </w:r>
      <w:r>
        <w:rPr>
          <w:spacing w:val="-50"/>
          <w:sz w:val="28"/>
          <w:szCs w:val="28"/>
        </w:rPr>
        <w:t xml:space="preserve"> </w:t>
      </w:r>
      <w:r>
        <w:rPr>
          <w:b/>
          <w:bCs/>
          <w:spacing w:val="-2"/>
          <w:sz w:val="28"/>
          <w:szCs w:val="28"/>
        </w:rPr>
        <w:t>锁）登录全国公共资源交易平</w:t>
      </w:r>
      <w:r>
        <w:rPr>
          <w:b/>
          <w:bCs/>
          <w:spacing w:val="-3"/>
          <w:sz w:val="28"/>
          <w:szCs w:val="28"/>
        </w:rPr>
        <w:t>台（陕西省</w:t>
      </w:r>
      <w:r>
        <w:rPr>
          <w:rFonts w:hint="eastAsia"/>
          <w:b/>
          <w:bCs/>
          <w:spacing w:val="-3"/>
          <w:sz w:val="28"/>
          <w:szCs w:val="28"/>
          <w:lang w:val="en-US" w:eastAsia="zh-CN"/>
        </w:rPr>
        <w:t>·安康市</w:t>
      </w:r>
      <w:r>
        <w:rPr>
          <w:b/>
          <w:bCs/>
          <w:spacing w:val="-3"/>
          <w:sz w:val="28"/>
          <w:szCs w:val="28"/>
        </w:rPr>
        <w:t>）网站</w:t>
      </w:r>
      <w:r>
        <w:rPr>
          <w:b/>
          <w:bCs/>
          <w:spacing w:val="-15"/>
          <w:sz w:val="28"/>
          <w:szCs w:val="28"/>
        </w:rPr>
        <w:t>〖首页</w:t>
      </w:r>
      <w:r>
        <w:rPr>
          <w:spacing w:val="-15"/>
          <w:sz w:val="28"/>
          <w:szCs w:val="28"/>
        </w:rPr>
        <w:t xml:space="preserve"> </w:t>
      </w:r>
      <w:r>
        <w:rPr>
          <w:b/>
          <w:bCs/>
          <w:spacing w:val="-15"/>
          <w:sz w:val="28"/>
          <w:szCs w:val="28"/>
        </w:rPr>
        <w:t>·〉电子交易平台</w:t>
      </w:r>
      <w:r>
        <w:rPr>
          <w:spacing w:val="-29"/>
          <w:sz w:val="28"/>
          <w:szCs w:val="28"/>
        </w:rPr>
        <w:t xml:space="preserve"> </w:t>
      </w:r>
      <w:r>
        <w:rPr>
          <w:b/>
          <w:bCs/>
          <w:spacing w:val="-15"/>
          <w:sz w:val="28"/>
          <w:szCs w:val="28"/>
        </w:rPr>
        <w:t>·〉供应商端〗后，在〖我的项目〗下</w:t>
      </w:r>
      <w:r>
        <w:rPr>
          <w:b/>
          <w:bCs/>
          <w:spacing w:val="-16"/>
          <w:sz w:val="28"/>
          <w:szCs w:val="28"/>
        </w:rPr>
        <w:t>找到本次磋</w:t>
      </w:r>
      <w:r>
        <w:rPr>
          <w:b/>
          <w:bCs/>
          <w:spacing w:val="-1"/>
          <w:sz w:val="28"/>
          <w:szCs w:val="28"/>
        </w:rPr>
        <w:t>商的项目，填写最后报价表，签章并提交。</w:t>
      </w:r>
    </w:p>
    <w:p w14:paraId="1493240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jc w:val="both"/>
        <w:rPr>
          <w:sz w:val="28"/>
          <w:szCs w:val="28"/>
        </w:rPr>
      </w:pPr>
      <w:r>
        <w:rPr>
          <w:b/>
          <w:bCs/>
          <w:sz w:val="28"/>
          <w:szCs w:val="28"/>
        </w:rPr>
        <w:t>（三）如采购内容无实质性变更，各供应商的</w:t>
      </w:r>
      <w:r>
        <w:rPr>
          <w:b/>
          <w:bCs/>
          <w:spacing w:val="-1"/>
          <w:sz w:val="28"/>
          <w:szCs w:val="28"/>
        </w:rPr>
        <w:t>报价应逐次降低，本次</w:t>
      </w:r>
      <w:r>
        <w:rPr>
          <w:b/>
          <w:bCs/>
          <w:sz w:val="28"/>
          <w:szCs w:val="28"/>
        </w:rPr>
        <w:t>报价超过采购预算或磋商文件规定的最高限价的，按无效响</w:t>
      </w:r>
      <w:r>
        <w:rPr>
          <w:b/>
          <w:bCs/>
          <w:spacing w:val="-1"/>
          <w:sz w:val="28"/>
          <w:szCs w:val="28"/>
        </w:rPr>
        <w:t>应处理；本次</w:t>
      </w:r>
      <w:r>
        <w:rPr>
          <w:b/>
          <w:bCs/>
          <w:sz w:val="28"/>
          <w:szCs w:val="28"/>
        </w:rPr>
        <w:t>报价超过上次报价但未超过采购预算或磋商文件规定的最高</w:t>
      </w:r>
      <w:r>
        <w:rPr>
          <w:b/>
          <w:bCs/>
          <w:spacing w:val="-1"/>
          <w:sz w:val="28"/>
          <w:szCs w:val="28"/>
        </w:rPr>
        <w:t>限价的，或在</w:t>
      </w:r>
      <w:r>
        <w:rPr>
          <w:b/>
          <w:bCs/>
          <w:sz w:val="28"/>
          <w:szCs w:val="28"/>
        </w:rPr>
        <w:t>规定时间内最后报价未提交、提交不成功的均为无效报价，</w:t>
      </w:r>
      <w:r>
        <w:rPr>
          <w:b/>
          <w:bCs/>
          <w:spacing w:val="-1"/>
          <w:sz w:val="28"/>
          <w:szCs w:val="28"/>
        </w:rPr>
        <w:t>按无效响应处</w:t>
      </w:r>
      <w:r>
        <w:rPr>
          <w:b/>
          <w:bCs/>
          <w:spacing w:val="-12"/>
          <w:sz w:val="28"/>
          <w:szCs w:val="28"/>
        </w:rPr>
        <w:t>理。</w:t>
      </w:r>
    </w:p>
    <w:p w14:paraId="714F3FD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供应商最终报价较首次报价降价的，成交后，</w:t>
      </w:r>
      <w:r>
        <w:rPr>
          <w:spacing w:val="2"/>
          <w:sz w:val="28"/>
          <w:szCs w:val="28"/>
        </w:rPr>
        <w:t>签订合同时应按照成交价较首次报价的下浮比率修改分项报价表中的相应报价。</w:t>
      </w:r>
    </w:p>
    <w:p w14:paraId="6BC9952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（四）磋商报价货币：</w:t>
      </w:r>
      <w:r>
        <w:rPr>
          <w:b/>
          <w:bCs/>
          <w:spacing w:val="1"/>
          <w:sz w:val="28"/>
          <w:szCs w:val="28"/>
        </w:rPr>
        <w:t>人民币</w:t>
      </w:r>
      <w:r>
        <w:rPr>
          <w:spacing w:val="1"/>
          <w:sz w:val="28"/>
          <w:szCs w:val="28"/>
        </w:rPr>
        <w:t>；</w:t>
      </w:r>
      <w:r>
        <w:rPr>
          <w:b/>
          <w:bCs/>
          <w:spacing w:val="1"/>
          <w:sz w:val="28"/>
          <w:szCs w:val="28"/>
        </w:rPr>
        <w:t>单位：元（报价最多保</w:t>
      </w:r>
      <w:r>
        <w:rPr>
          <w:b/>
          <w:bCs/>
          <w:sz w:val="28"/>
          <w:szCs w:val="28"/>
        </w:rPr>
        <w:t>留到小数点后</w:t>
      </w:r>
      <w:r>
        <w:rPr>
          <w:b/>
          <w:bCs/>
          <w:spacing w:val="-34"/>
          <w:sz w:val="28"/>
          <w:szCs w:val="28"/>
        </w:rPr>
        <w:t>两位）。</w:t>
      </w:r>
    </w:p>
    <w:p w14:paraId="5CAE481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（五）磋商报价大小写不一致</w:t>
      </w:r>
      <w:r>
        <w:rPr>
          <w:rFonts w:hint="eastAsia"/>
          <w:spacing w:val="2"/>
          <w:sz w:val="28"/>
          <w:szCs w:val="28"/>
          <w:lang w:val="en-US" w:eastAsia="zh-CN"/>
        </w:rPr>
        <w:t>时，</w:t>
      </w:r>
      <w:r>
        <w:rPr>
          <w:spacing w:val="2"/>
          <w:sz w:val="28"/>
          <w:szCs w:val="28"/>
        </w:rPr>
        <w:t>以大写为准。</w:t>
      </w:r>
    </w:p>
    <w:p w14:paraId="1BF9B8F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（六）因供应商对磋商文件理解不透、误解、</w:t>
      </w:r>
      <w:r>
        <w:rPr>
          <w:spacing w:val="2"/>
          <w:sz w:val="28"/>
          <w:szCs w:val="28"/>
        </w:rPr>
        <w:t>疏漏或对市场行情了解不清造成的后果和风险，均由供应商自己负</w:t>
      </w:r>
      <w:r>
        <w:rPr>
          <w:spacing w:val="1"/>
          <w:sz w:val="28"/>
          <w:szCs w:val="28"/>
        </w:rPr>
        <w:t>责。</w:t>
      </w:r>
    </w:p>
    <w:p w14:paraId="5614BB6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0" w:firstLineChars="200"/>
        <w:outlineLvl w:val="1"/>
        <w:rPr>
          <w:sz w:val="28"/>
          <w:szCs w:val="28"/>
        </w:rPr>
      </w:pPr>
      <w:bookmarkStart w:id="7" w:name="bookmark7"/>
      <w:bookmarkEnd w:id="7"/>
      <w:r>
        <w:rPr>
          <w:b/>
          <w:bCs/>
          <w:spacing w:val="-3"/>
          <w:sz w:val="28"/>
          <w:szCs w:val="28"/>
        </w:rPr>
        <w:t>五、响应文件</w:t>
      </w:r>
    </w:p>
    <w:p w14:paraId="4844B6E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outlineLvl w:val="1"/>
        <w:rPr>
          <w:sz w:val="28"/>
          <w:szCs w:val="28"/>
        </w:rPr>
      </w:pPr>
      <w:r>
        <w:rPr>
          <w:b/>
          <w:bCs/>
          <w:spacing w:val="-2"/>
          <w:sz w:val="28"/>
          <w:szCs w:val="28"/>
        </w:rPr>
        <w:t>（一）响应文件形式</w:t>
      </w:r>
    </w:p>
    <w:p w14:paraId="76793D2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本项目采用电子响应文件的形式。</w:t>
      </w:r>
    </w:p>
    <w:p w14:paraId="108BC71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编制电子响应文件时，应使用最新发布的电子磋商文件及专用制作工</w:t>
      </w:r>
      <w:r>
        <w:rPr>
          <w:sz w:val="28"/>
          <w:szCs w:val="28"/>
        </w:rPr>
        <w:t>具进行编制。并使用数字认证证书（CA</w:t>
      </w:r>
      <w:r>
        <w:rPr>
          <w:spacing w:val="-48"/>
          <w:sz w:val="28"/>
          <w:szCs w:val="28"/>
        </w:rPr>
        <w:t xml:space="preserve"> </w:t>
      </w:r>
      <w:r>
        <w:rPr>
          <w:sz w:val="28"/>
          <w:szCs w:val="28"/>
        </w:rPr>
        <w:t>锁）对电子响应文件</w:t>
      </w:r>
      <w:r>
        <w:rPr>
          <w:spacing w:val="-1"/>
          <w:sz w:val="28"/>
          <w:szCs w:val="28"/>
        </w:rPr>
        <w:t>进行签署、加</w:t>
      </w:r>
      <w:r>
        <w:rPr>
          <w:spacing w:val="1"/>
          <w:sz w:val="28"/>
          <w:szCs w:val="28"/>
        </w:rPr>
        <w:t>密、递交及磋商时解密等相关操作。</w:t>
      </w:r>
    </w:p>
    <w:p w14:paraId="29417BA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both"/>
        <w:rPr>
          <w:sz w:val="28"/>
          <w:szCs w:val="28"/>
        </w:rPr>
      </w:pPr>
      <w:r>
        <w:rPr>
          <w:spacing w:val="2"/>
          <w:sz w:val="28"/>
          <w:szCs w:val="28"/>
        </w:rPr>
        <w:t>1、磋商文件</w:t>
      </w:r>
      <w:r>
        <w:rPr>
          <w:rFonts w:hint="eastAsia"/>
          <w:spacing w:val="2"/>
          <w:sz w:val="28"/>
          <w:szCs w:val="28"/>
          <w:lang w:val="en-US" w:eastAsia="zh-CN"/>
        </w:rPr>
        <w:t>的</w:t>
      </w:r>
      <w:r>
        <w:rPr>
          <w:spacing w:val="2"/>
          <w:sz w:val="28"/>
          <w:szCs w:val="28"/>
        </w:rPr>
        <w:t>下载。供应商登录全国公共</w:t>
      </w:r>
      <w:r>
        <w:rPr>
          <w:spacing w:val="1"/>
          <w:sz w:val="28"/>
          <w:szCs w:val="28"/>
        </w:rPr>
        <w:t>资源交易平台（陕西省</w:t>
      </w:r>
      <w:r>
        <w:rPr>
          <w:rFonts w:hint="eastAsia"/>
          <w:spacing w:val="1"/>
          <w:sz w:val="28"/>
          <w:szCs w:val="28"/>
          <w:lang w:val="en-US" w:eastAsia="zh-CN"/>
        </w:rPr>
        <w:t>·安康市</w:t>
      </w:r>
      <w:r>
        <w:rPr>
          <w:spacing w:val="1"/>
          <w:sz w:val="28"/>
          <w:szCs w:val="28"/>
        </w:rPr>
        <w:t>）</w:t>
      </w:r>
      <w:r>
        <w:rPr>
          <w:spacing w:val="-12"/>
          <w:sz w:val="28"/>
          <w:szCs w:val="28"/>
        </w:rPr>
        <w:t>网站〖首页 ·〉电子交易平台</w:t>
      </w:r>
      <w:r>
        <w:rPr>
          <w:spacing w:val="-31"/>
          <w:sz w:val="28"/>
          <w:szCs w:val="28"/>
        </w:rPr>
        <w:t xml:space="preserve"> </w:t>
      </w:r>
      <w:r>
        <w:rPr>
          <w:spacing w:val="-12"/>
          <w:sz w:val="28"/>
          <w:szCs w:val="28"/>
        </w:rPr>
        <w:t>·〉供应商端〗</w:t>
      </w:r>
      <w:r>
        <w:rPr>
          <w:spacing w:val="-13"/>
          <w:sz w:val="28"/>
          <w:szCs w:val="28"/>
        </w:rPr>
        <w:t>后，在〖招标公告〗</w:t>
      </w:r>
      <w:r>
        <w:rPr>
          <w:spacing w:val="-11"/>
          <w:sz w:val="28"/>
          <w:szCs w:val="28"/>
        </w:rPr>
        <w:t>模块中选择项目点击“我要投标</w:t>
      </w:r>
      <w:r>
        <w:rPr>
          <w:spacing w:val="-89"/>
          <w:sz w:val="28"/>
          <w:szCs w:val="28"/>
        </w:rPr>
        <w:t xml:space="preserve"> </w:t>
      </w:r>
      <w:r>
        <w:rPr>
          <w:spacing w:val="-11"/>
          <w:sz w:val="28"/>
          <w:szCs w:val="28"/>
        </w:rPr>
        <w:t>”，参与投标活动。然后即可在〖我的项目〗</w:t>
      </w:r>
      <w:r>
        <w:rPr>
          <w:spacing w:val="-2"/>
          <w:sz w:val="28"/>
          <w:szCs w:val="28"/>
        </w:rPr>
        <w:t>中点击“项目流程&gt;交易文件下载</w:t>
      </w:r>
      <w:r>
        <w:rPr>
          <w:spacing w:val="-93"/>
          <w:sz w:val="28"/>
          <w:szCs w:val="28"/>
        </w:rPr>
        <w:t xml:space="preserve"> </w:t>
      </w:r>
      <w:r>
        <w:rPr>
          <w:spacing w:val="-2"/>
          <w:sz w:val="28"/>
          <w:szCs w:val="28"/>
        </w:rPr>
        <w:t>”下载电子磋商文件（*.SXSZF）。</w:t>
      </w:r>
    </w:p>
    <w:p w14:paraId="18F4007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jc w:val="both"/>
        <w:rPr>
          <w:sz w:val="28"/>
          <w:szCs w:val="28"/>
        </w:rPr>
      </w:pPr>
      <w:r>
        <w:rPr>
          <w:spacing w:val="-4"/>
          <w:sz w:val="28"/>
          <w:szCs w:val="28"/>
        </w:rPr>
        <w:t>注意：该项目如有变更文件，则应点击“项目流程&gt;答疑文件下载</w:t>
      </w:r>
      <w:r>
        <w:rPr>
          <w:spacing w:val="-83"/>
          <w:sz w:val="28"/>
          <w:szCs w:val="28"/>
        </w:rPr>
        <w:t xml:space="preserve"> </w:t>
      </w:r>
      <w:r>
        <w:rPr>
          <w:spacing w:val="-4"/>
          <w:sz w:val="28"/>
          <w:szCs w:val="28"/>
        </w:rPr>
        <w:t>”下</w:t>
      </w:r>
      <w:r>
        <w:rPr>
          <w:spacing w:val="1"/>
          <w:sz w:val="28"/>
          <w:szCs w:val="28"/>
        </w:rPr>
        <w:t>载更新后的电子磋商文件（*.</w:t>
      </w:r>
      <w:r>
        <w:rPr>
          <w:sz w:val="28"/>
          <w:szCs w:val="28"/>
        </w:rPr>
        <w:t>SXSCF</w:t>
      </w:r>
      <w:r>
        <w:rPr>
          <w:spacing w:val="-60"/>
          <w:sz w:val="28"/>
          <w:szCs w:val="28"/>
        </w:rPr>
        <w:t>），</w:t>
      </w:r>
      <w:r>
        <w:rPr>
          <w:b/>
          <w:bCs/>
          <w:spacing w:val="1"/>
          <w:sz w:val="28"/>
          <w:szCs w:val="28"/>
        </w:rPr>
        <w:t>使用旧版电子磋商文件制</w:t>
      </w:r>
      <w:r>
        <w:rPr>
          <w:b/>
          <w:bCs/>
          <w:sz w:val="28"/>
          <w:szCs w:val="28"/>
        </w:rPr>
        <w:t>作的电子</w:t>
      </w:r>
      <w:r>
        <w:rPr>
          <w:b/>
          <w:bCs/>
          <w:spacing w:val="-1"/>
          <w:sz w:val="28"/>
          <w:szCs w:val="28"/>
        </w:rPr>
        <w:t>响应文件，系统将拒绝接收。</w:t>
      </w:r>
    </w:p>
    <w:p w14:paraId="24D94A0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both"/>
        <w:rPr>
          <w:rFonts w:hint="eastAsia"/>
          <w:spacing w:val="2"/>
          <w:sz w:val="28"/>
          <w:szCs w:val="28"/>
          <w:lang w:val="en-US" w:eastAsia="zh-CN"/>
        </w:rPr>
      </w:pPr>
      <w:r>
        <w:rPr>
          <w:rFonts w:hint="eastAsia"/>
          <w:spacing w:val="2"/>
          <w:sz w:val="28"/>
          <w:szCs w:val="28"/>
          <w:lang w:val="en-US" w:eastAsia="zh-CN"/>
        </w:rPr>
        <w:t>2、 磋商文件需要使用专用软件打开、浏览。供应商可在全国公共资源交易平台（陕西省）网站〖首页 ·〉服务指南 ·〉下载专区〗免费下载“ 陕西省公共资源交易平台政府采购电子标书制作工具 ”，并升级至最新版本，使用该客户端可以打开电子磋商文件。软件操作手册详见全国公共资源交易平台（陕西省·安康市）网站〖首页 ·〉服务指南 ·〉下载专区〗 中的《陕西省公共资源交易（政府采购类）响应文件制作软件操作手册》。</w:t>
      </w:r>
    </w:p>
    <w:p w14:paraId="3B08A4B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3、制作电子响应文件。电子响应文件同样需要使用上述软件进行编制。</w:t>
      </w:r>
      <w:r>
        <w:rPr>
          <w:spacing w:val="-2"/>
          <w:sz w:val="28"/>
          <w:szCs w:val="28"/>
        </w:rPr>
        <w:t>在编制过程中，如有技术性问题，请先翻阅操作手册，或致电软件开发商。</w:t>
      </w:r>
    </w:p>
    <w:p w14:paraId="75825F2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技术支持热线：0512-58188039。</w:t>
      </w:r>
    </w:p>
    <w:p w14:paraId="51A5DEC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（二）响应文件语言及有效期</w:t>
      </w:r>
    </w:p>
    <w:p w14:paraId="4BFDE0E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1、响应活动的所有文件、资料、函电文均</w:t>
      </w:r>
      <w:r>
        <w:rPr>
          <w:spacing w:val="-3"/>
          <w:sz w:val="28"/>
          <w:szCs w:val="28"/>
        </w:rPr>
        <w:t>使用简体中文，确需提交用其他语言形成的资料，必须翻译成简体中文，如有差异，以简体中文为准。</w:t>
      </w:r>
    </w:p>
    <w:p w14:paraId="747DD63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2、响应文件有效期为</w:t>
      </w:r>
      <w:r>
        <w:rPr>
          <w:b/>
          <w:bCs/>
          <w:spacing w:val="-1"/>
          <w:sz w:val="28"/>
          <w:szCs w:val="28"/>
        </w:rPr>
        <w:t>自响应文件开启之日起90</w:t>
      </w:r>
      <w:r>
        <w:rPr>
          <w:spacing w:val="-50"/>
          <w:sz w:val="28"/>
          <w:szCs w:val="28"/>
        </w:rPr>
        <w:t xml:space="preserve"> </w:t>
      </w:r>
      <w:r>
        <w:rPr>
          <w:b/>
          <w:bCs/>
          <w:spacing w:val="-1"/>
          <w:sz w:val="28"/>
          <w:szCs w:val="28"/>
        </w:rPr>
        <w:t>个日历日</w:t>
      </w:r>
      <w:r>
        <w:rPr>
          <w:spacing w:val="-1"/>
          <w:sz w:val="28"/>
          <w:szCs w:val="28"/>
        </w:rPr>
        <w:t>。</w:t>
      </w:r>
      <w:r>
        <w:rPr>
          <w:spacing w:val="-2"/>
          <w:sz w:val="28"/>
          <w:szCs w:val="28"/>
        </w:rPr>
        <w:t>如成交，</w:t>
      </w:r>
      <w:r>
        <w:rPr>
          <w:spacing w:val="1"/>
          <w:sz w:val="28"/>
          <w:szCs w:val="28"/>
        </w:rPr>
        <w:t>延长至合同执行完毕时止。</w:t>
      </w:r>
    </w:p>
    <w:p w14:paraId="2E67997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outlineLvl w:val="1"/>
        <w:rPr>
          <w:sz w:val="28"/>
          <w:szCs w:val="28"/>
        </w:rPr>
      </w:pPr>
      <w:r>
        <w:rPr>
          <w:b/>
          <w:bCs/>
          <w:spacing w:val="-1"/>
          <w:sz w:val="28"/>
          <w:szCs w:val="28"/>
        </w:rPr>
        <w:t>（三）响应文件的提交</w:t>
      </w:r>
    </w:p>
    <w:p w14:paraId="590E8AD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604" w:firstLineChars="200"/>
        <w:jc w:val="both"/>
        <w:rPr>
          <w:sz w:val="28"/>
          <w:szCs w:val="28"/>
        </w:rPr>
      </w:pPr>
      <w:r>
        <w:rPr>
          <w:spacing w:val="11"/>
          <w:sz w:val="28"/>
          <w:szCs w:val="28"/>
        </w:rPr>
        <w:t>电子响应文件可于提交响应文件截止时间前任意时段登录全国公共</w:t>
      </w:r>
      <w:r>
        <w:rPr>
          <w:spacing w:val="-4"/>
          <w:sz w:val="28"/>
          <w:szCs w:val="28"/>
        </w:rPr>
        <w:t>资源交易平台</w:t>
      </w:r>
      <w:r>
        <w:rPr>
          <w:rFonts w:hint="eastAsia"/>
          <w:spacing w:val="-4"/>
          <w:sz w:val="28"/>
          <w:szCs w:val="28"/>
          <w:lang w:eastAsia="zh-CN"/>
        </w:rPr>
        <w:t>（陕西省·安康市）</w:t>
      </w:r>
      <w:r>
        <w:rPr>
          <w:spacing w:val="-4"/>
          <w:sz w:val="28"/>
          <w:szCs w:val="28"/>
        </w:rPr>
        <w:t>网站“</w:t>
      </w:r>
      <w:r>
        <w:rPr>
          <w:spacing w:val="-89"/>
          <w:sz w:val="28"/>
          <w:szCs w:val="28"/>
        </w:rPr>
        <w:t xml:space="preserve"> </w:t>
      </w:r>
      <w:r>
        <w:rPr>
          <w:spacing w:val="-4"/>
          <w:sz w:val="28"/>
          <w:szCs w:val="28"/>
        </w:rPr>
        <w:t>电子交易平台&gt;供应商</w:t>
      </w:r>
      <w:r>
        <w:rPr>
          <w:spacing w:val="-5"/>
          <w:sz w:val="28"/>
          <w:szCs w:val="28"/>
        </w:rPr>
        <w:t>端</w:t>
      </w:r>
      <w:r>
        <w:rPr>
          <w:spacing w:val="-100"/>
          <w:sz w:val="28"/>
          <w:szCs w:val="28"/>
        </w:rPr>
        <w:t xml:space="preserve"> </w:t>
      </w:r>
      <w:r>
        <w:rPr>
          <w:spacing w:val="-5"/>
          <w:sz w:val="28"/>
          <w:szCs w:val="28"/>
        </w:rPr>
        <w:t>”进行提交，逾期</w:t>
      </w:r>
      <w:r>
        <w:rPr>
          <w:spacing w:val="3"/>
          <w:sz w:val="28"/>
          <w:szCs w:val="28"/>
        </w:rPr>
        <w:t>系统将拒绝接收。提交时，供应商应登录全国公共资</w:t>
      </w:r>
      <w:r>
        <w:rPr>
          <w:spacing w:val="2"/>
          <w:sz w:val="28"/>
          <w:szCs w:val="28"/>
        </w:rPr>
        <w:t>源交易中心平台</w:t>
      </w:r>
      <w:r>
        <w:rPr>
          <w:rFonts w:hint="eastAsia"/>
          <w:spacing w:val="2"/>
          <w:sz w:val="28"/>
          <w:szCs w:val="28"/>
          <w:lang w:eastAsia="zh-CN"/>
        </w:rPr>
        <w:t>（陕西省·安康市）</w:t>
      </w:r>
      <w:r>
        <w:rPr>
          <w:spacing w:val="-66"/>
          <w:w w:val="84"/>
          <w:sz w:val="28"/>
          <w:szCs w:val="28"/>
        </w:rPr>
        <w:t>，</w:t>
      </w:r>
      <w:r>
        <w:rPr>
          <w:spacing w:val="-19"/>
          <w:sz w:val="28"/>
          <w:szCs w:val="28"/>
        </w:rPr>
        <w:t>选择“首页&gt;电子交易平台&gt;供应商端&gt;我的项目</w:t>
      </w:r>
      <w:r>
        <w:rPr>
          <w:spacing w:val="-96"/>
          <w:sz w:val="28"/>
          <w:szCs w:val="28"/>
        </w:rPr>
        <w:t xml:space="preserve"> </w:t>
      </w:r>
      <w:r>
        <w:rPr>
          <w:spacing w:val="-19"/>
          <w:sz w:val="28"/>
          <w:szCs w:val="28"/>
        </w:rPr>
        <w:t>”，点击</w:t>
      </w:r>
      <w:r>
        <w:rPr>
          <w:spacing w:val="-20"/>
          <w:sz w:val="28"/>
          <w:szCs w:val="28"/>
        </w:rPr>
        <w:t>“项目流程</w:t>
      </w:r>
      <w:r>
        <w:rPr>
          <w:spacing w:val="-98"/>
          <w:sz w:val="28"/>
          <w:szCs w:val="28"/>
        </w:rPr>
        <w:t xml:space="preserve"> </w:t>
      </w:r>
      <w:r>
        <w:rPr>
          <w:spacing w:val="-20"/>
          <w:sz w:val="28"/>
          <w:szCs w:val="28"/>
        </w:rPr>
        <w:t>”，</w:t>
      </w:r>
      <w:r>
        <w:rPr>
          <w:spacing w:val="-8"/>
          <w:sz w:val="28"/>
          <w:szCs w:val="28"/>
        </w:rPr>
        <w:t>在打开的“项目管理</w:t>
      </w:r>
      <w:r>
        <w:rPr>
          <w:spacing w:val="-100"/>
          <w:sz w:val="28"/>
          <w:szCs w:val="28"/>
        </w:rPr>
        <w:t xml:space="preserve"> </w:t>
      </w:r>
      <w:r>
        <w:rPr>
          <w:spacing w:val="-8"/>
          <w:sz w:val="28"/>
          <w:szCs w:val="28"/>
        </w:rPr>
        <w:t>”对话框中选择“上传响应文件</w:t>
      </w:r>
      <w:r>
        <w:rPr>
          <w:spacing w:val="-100"/>
          <w:sz w:val="28"/>
          <w:szCs w:val="28"/>
        </w:rPr>
        <w:t xml:space="preserve"> </w:t>
      </w:r>
      <w:r>
        <w:rPr>
          <w:spacing w:val="-8"/>
          <w:sz w:val="28"/>
          <w:szCs w:val="28"/>
        </w:rPr>
        <w:t>”，上传</w:t>
      </w:r>
      <w:r>
        <w:rPr>
          <w:spacing w:val="-9"/>
          <w:sz w:val="28"/>
          <w:szCs w:val="28"/>
        </w:rPr>
        <w:t>加密的电子响</w:t>
      </w:r>
      <w:r>
        <w:rPr>
          <w:spacing w:val="-3"/>
          <w:sz w:val="28"/>
          <w:szCs w:val="28"/>
        </w:rPr>
        <w:t>应文件（*.SXSTF）。上传成功后，电子化平台将予以记录。</w:t>
      </w:r>
    </w:p>
    <w:p w14:paraId="15DE2DA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outlineLvl w:val="1"/>
        <w:rPr>
          <w:sz w:val="28"/>
          <w:szCs w:val="28"/>
        </w:rPr>
      </w:pPr>
      <w:r>
        <w:rPr>
          <w:b/>
          <w:bCs/>
          <w:spacing w:val="-4"/>
          <w:sz w:val="28"/>
          <w:szCs w:val="28"/>
        </w:rPr>
        <w:t>（</w:t>
      </w:r>
      <w:r>
        <w:rPr>
          <w:spacing w:val="-76"/>
          <w:sz w:val="28"/>
          <w:szCs w:val="28"/>
        </w:rPr>
        <w:t xml:space="preserve"> </w:t>
      </w:r>
      <w:r>
        <w:rPr>
          <w:b/>
          <w:bCs/>
          <w:spacing w:val="-4"/>
          <w:sz w:val="28"/>
          <w:szCs w:val="28"/>
        </w:rPr>
        <w:t>四）响应文件的补充、修改和撤回</w:t>
      </w:r>
    </w:p>
    <w:p w14:paraId="29F15C1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1、供应商在递交响应文件后，且在提交响</w:t>
      </w:r>
      <w:r>
        <w:rPr>
          <w:spacing w:val="-3"/>
          <w:sz w:val="28"/>
          <w:szCs w:val="28"/>
        </w:rPr>
        <w:t>应文件截止时间前，可以对</w:t>
      </w:r>
      <w:r>
        <w:rPr>
          <w:spacing w:val="2"/>
          <w:sz w:val="28"/>
          <w:szCs w:val="28"/>
        </w:rPr>
        <w:t>所提交的响应文件进行补充、修改或撤回。</w:t>
      </w:r>
    </w:p>
    <w:p w14:paraId="2A84A97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2、对电子响应文件进行补充、修改的，应先从电子交易平台上撤回旧</w:t>
      </w:r>
      <w:r>
        <w:rPr>
          <w:spacing w:val="1"/>
          <w:sz w:val="28"/>
          <w:szCs w:val="28"/>
        </w:rPr>
        <w:t>版，再重新提交新版。</w:t>
      </w:r>
    </w:p>
    <w:p w14:paraId="1727902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textAlignment w:val="baseline"/>
        <w:rPr>
          <w:rFonts w:ascii="Arial"/>
          <w:sz w:val="21"/>
        </w:rPr>
      </w:pPr>
      <w:r>
        <w:rPr>
          <w:spacing w:val="2"/>
          <w:sz w:val="28"/>
          <w:szCs w:val="28"/>
        </w:rPr>
        <w:t>3、响应文件提交截止时间后，供应商不得对其响应文件做任何修改。</w:t>
      </w:r>
    </w:p>
    <w:p w14:paraId="7C97206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outlineLvl w:val="1"/>
        <w:rPr>
          <w:sz w:val="28"/>
          <w:szCs w:val="28"/>
        </w:rPr>
      </w:pPr>
      <w:r>
        <w:rPr>
          <w:b/>
          <w:bCs/>
          <w:sz w:val="28"/>
          <w:szCs w:val="28"/>
        </w:rPr>
        <w:t>（五）供应商提交响应文件时，出现下列情况</w:t>
      </w:r>
      <w:r>
        <w:rPr>
          <w:b/>
          <w:bCs/>
          <w:spacing w:val="-1"/>
          <w:sz w:val="28"/>
          <w:szCs w:val="28"/>
        </w:rPr>
        <w:t>之一的，其响应文件将</w:t>
      </w:r>
      <w:r>
        <w:rPr>
          <w:b/>
          <w:bCs/>
          <w:spacing w:val="-3"/>
          <w:sz w:val="28"/>
          <w:szCs w:val="28"/>
        </w:rPr>
        <w:t>被拒绝接收：</w:t>
      </w:r>
    </w:p>
    <w:p w14:paraId="6A37A16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1、逾期提交电子响应文件；</w:t>
      </w:r>
    </w:p>
    <w:p w14:paraId="13453F3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2、提交的电子响应文件与本项目不相符的。</w:t>
      </w:r>
    </w:p>
    <w:p w14:paraId="52C13B8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outlineLvl w:val="1"/>
        <w:rPr>
          <w:sz w:val="28"/>
          <w:szCs w:val="28"/>
        </w:rPr>
      </w:pPr>
      <w:bookmarkStart w:id="8" w:name="bookmark8"/>
      <w:bookmarkEnd w:id="8"/>
      <w:r>
        <w:rPr>
          <w:b/>
          <w:bCs/>
          <w:spacing w:val="-2"/>
          <w:sz w:val="28"/>
          <w:szCs w:val="28"/>
        </w:rPr>
        <w:t>六、开启响应文件</w:t>
      </w:r>
    </w:p>
    <w:p w14:paraId="1DFE930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（一）</w:t>
      </w:r>
      <w:r>
        <w:rPr>
          <w:rFonts w:hint="eastAsia"/>
          <w:spacing w:val="2"/>
          <w:sz w:val="28"/>
          <w:szCs w:val="28"/>
          <w:lang w:val="en-US" w:eastAsia="zh-CN"/>
        </w:rPr>
        <w:t>代理机构</w:t>
      </w:r>
      <w:r>
        <w:rPr>
          <w:spacing w:val="2"/>
          <w:sz w:val="28"/>
          <w:szCs w:val="28"/>
        </w:rPr>
        <w:t>组织开标、评审工作，整个过程</w:t>
      </w:r>
      <w:r>
        <w:rPr>
          <w:spacing w:val="1"/>
          <w:sz w:val="28"/>
          <w:szCs w:val="28"/>
        </w:rPr>
        <w:t>受政府采购监管机构的监督、管理。</w:t>
      </w:r>
    </w:p>
    <w:p w14:paraId="1C8A729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（二）</w:t>
      </w:r>
      <w:r>
        <w:rPr>
          <w:rFonts w:hint="eastAsia"/>
          <w:b/>
          <w:bCs/>
          <w:sz w:val="28"/>
          <w:szCs w:val="28"/>
          <w:lang w:val="en-US" w:eastAsia="zh-CN"/>
        </w:rPr>
        <w:t>代理机构</w:t>
      </w:r>
      <w:r>
        <w:rPr>
          <w:b/>
          <w:bCs/>
          <w:sz w:val="28"/>
          <w:szCs w:val="28"/>
        </w:rPr>
        <w:t>在磋商文</w:t>
      </w:r>
      <w:r>
        <w:rPr>
          <w:b/>
          <w:bCs/>
          <w:spacing w:val="-1"/>
          <w:sz w:val="28"/>
          <w:szCs w:val="28"/>
        </w:rPr>
        <w:t>件规定的时间和地点组</w:t>
      </w:r>
      <w:r>
        <w:rPr>
          <w:b/>
          <w:bCs/>
          <w:sz w:val="28"/>
          <w:szCs w:val="28"/>
        </w:rPr>
        <w:t>织开标。</w:t>
      </w:r>
    </w:p>
    <w:p w14:paraId="06F64E3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参加磋商的供应商不足</w:t>
      </w:r>
      <w:r>
        <w:rPr>
          <w:spacing w:val="-40"/>
          <w:sz w:val="28"/>
          <w:szCs w:val="28"/>
        </w:rPr>
        <w:t xml:space="preserve"> </w:t>
      </w:r>
      <w:r>
        <w:rPr>
          <w:spacing w:val="-1"/>
          <w:sz w:val="28"/>
          <w:szCs w:val="28"/>
        </w:rPr>
        <w:t>3</w:t>
      </w:r>
      <w:r>
        <w:rPr>
          <w:spacing w:val="-45"/>
          <w:sz w:val="28"/>
          <w:szCs w:val="28"/>
        </w:rPr>
        <w:t xml:space="preserve"> </w:t>
      </w:r>
      <w:r>
        <w:rPr>
          <w:spacing w:val="-1"/>
          <w:sz w:val="28"/>
          <w:szCs w:val="28"/>
        </w:rPr>
        <w:t>家的，不得开启。</w:t>
      </w:r>
    </w:p>
    <w:p w14:paraId="577EFF7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（三）开启时，</w:t>
      </w:r>
      <w:r>
        <w:rPr>
          <w:rFonts w:hint="eastAsia"/>
          <w:spacing w:val="2"/>
          <w:sz w:val="28"/>
          <w:szCs w:val="28"/>
          <w:lang w:eastAsia="zh-CN"/>
        </w:rPr>
        <w:t>陕西中源项目管理有限公司</w:t>
      </w:r>
      <w:r>
        <w:rPr>
          <w:spacing w:val="2"/>
          <w:sz w:val="28"/>
          <w:szCs w:val="28"/>
        </w:rPr>
        <w:t>现场工作人员将根据项</w:t>
      </w:r>
      <w:r>
        <w:rPr>
          <w:spacing w:val="3"/>
          <w:sz w:val="28"/>
          <w:szCs w:val="28"/>
        </w:rPr>
        <w:t>目供应商数约定解密时长，供应商应在规定时间内，</w:t>
      </w:r>
      <w:r>
        <w:rPr>
          <w:spacing w:val="2"/>
          <w:sz w:val="28"/>
          <w:szCs w:val="28"/>
        </w:rPr>
        <w:t>使用电子响应文件加</w:t>
      </w:r>
      <w:r>
        <w:rPr>
          <w:sz w:val="28"/>
          <w:szCs w:val="28"/>
        </w:rPr>
        <w:t>密时所用的数字认证证书（CA</w:t>
      </w:r>
      <w:r>
        <w:rPr>
          <w:spacing w:val="-50"/>
          <w:sz w:val="28"/>
          <w:szCs w:val="28"/>
        </w:rPr>
        <w:t xml:space="preserve"> </w:t>
      </w:r>
      <w:r>
        <w:rPr>
          <w:sz w:val="28"/>
          <w:szCs w:val="28"/>
        </w:rPr>
        <w:t>锁）在</w:t>
      </w:r>
      <w:r>
        <w:rPr>
          <w:rFonts w:hint="eastAsia"/>
          <w:sz w:val="28"/>
          <w:szCs w:val="28"/>
          <w:lang w:val="en-US" w:eastAsia="zh-CN"/>
        </w:rPr>
        <w:t>本公司电脑</w:t>
      </w:r>
      <w:r>
        <w:rPr>
          <w:sz w:val="28"/>
          <w:szCs w:val="28"/>
        </w:rPr>
        <w:t>上解密电子响应</w:t>
      </w:r>
      <w:r>
        <w:rPr>
          <w:spacing w:val="2"/>
          <w:sz w:val="28"/>
          <w:szCs w:val="28"/>
        </w:rPr>
        <w:t>文件。未在规定时间内解密的，视为响应无效。</w:t>
      </w:r>
    </w:p>
    <w:p w14:paraId="336E3E1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w:t>
      </w:r>
      <w:r>
        <w:rPr>
          <w:rFonts w:hint="eastAsia"/>
          <w:spacing w:val="2"/>
          <w:sz w:val="28"/>
          <w:szCs w:val="28"/>
          <w:lang w:val="en-US" w:eastAsia="zh-CN"/>
        </w:rPr>
        <w:t>四</w:t>
      </w:r>
      <w:r>
        <w:rPr>
          <w:spacing w:val="2"/>
          <w:sz w:val="28"/>
          <w:szCs w:val="28"/>
        </w:rPr>
        <w:t>）供应商未参加开标的，视同认可开启结果。</w:t>
      </w:r>
    </w:p>
    <w:p w14:paraId="0600494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jc w:val="right"/>
        <w:rPr>
          <w:sz w:val="28"/>
          <w:szCs w:val="28"/>
        </w:rPr>
      </w:pPr>
      <w:r>
        <w:rPr>
          <w:b/>
          <w:bCs/>
          <w:spacing w:val="-1"/>
          <w:sz w:val="28"/>
          <w:szCs w:val="28"/>
        </w:rPr>
        <w:t>（六）在开启环节出现下列情况之一的，其响</w:t>
      </w:r>
      <w:r>
        <w:rPr>
          <w:b/>
          <w:bCs/>
          <w:spacing w:val="-2"/>
          <w:sz w:val="28"/>
          <w:szCs w:val="28"/>
        </w:rPr>
        <w:t>应文件视为无效文件：</w:t>
      </w:r>
    </w:p>
    <w:p w14:paraId="0C2E9B4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1、供应商拒绝对电子响应文件进行解密的；</w:t>
      </w:r>
    </w:p>
    <w:p w14:paraId="60B8143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6" w:firstLineChars="200"/>
        <w:rPr>
          <w:sz w:val="28"/>
          <w:szCs w:val="28"/>
        </w:rPr>
      </w:pPr>
      <w:r>
        <w:rPr>
          <w:spacing w:val="4"/>
          <w:sz w:val="28"/>
          <w:szCs w:val="28"/>
        </w:rPr>
        <w:t>2、因供应商自身原因（如解密时使用的</w:t>
      </w:r>
      <w:r>
        <w:rPr>
          <w:sz w:val="28"/>
          <w:szCs w:val="28"/>
        </w:rPr>
        <w:t>CA</w:t>
      </w:r>
      <w:r>
        <w:rPr>
          <w:spacing w:val="-32"/>
          <w:sz w:val="28"/>
          <w:szCs w:val="28"/>
        </w:rPr>
        <w:t xml:space="preserve"> </w:t>
      </w:r>
      <w:r>
        <w:rPr>
          <w:spacing w:val="4"/>
          <w:sz w:val="28"/>
          <w:szCs w:val="28"/>
        </w:rPr>
        <w:t>锁与制作电子响应文件使用的</w:t>
      </w:r>
      <w:r>
        <w:rPr>
          <w:sz w:val="28"/>
          <w:szCs w:val="28"/>
        </w:rPr>
        <w:t>CA</w:t>
      </w:r>
      <w:r>
        <w:rPr>
          <w:spacing w:val="-49"/>
          <w:sz w:val="28"/>
          <w:szCs w:val="28"/>
        </w:rPr>
        <w:t xml:space="preserve"> </w:t>
      </w:r>
      <w:r>
        <w:rPr>
          <w:spacing w:val="4"/>
          <w:sz w:val="28"/>
          <w:szCs w:val="28"/>
        </w:rPr>
        <w:t>锁不一致、或沿用旧版磋商文件编制响</w:t>
      </w:r>
      <w:r>
        <w:rPr>
          <w:spacing w:val="3"/>
          <w:sz w:val="28"/>
          <w:szCs w:val="28"/>
        </w:rPr>
        <w:t>应文件等情形</w:t>
      </w:r>
      <w:r>
        <w:rPr>
          <w:spacing w:val="-55"/>
          <w:sz w:val="28"/>
          <w:szCs w:val="28"/>
        </w:rPr>
        <w:t>），</w:t>
      </w:r>
      <w:r>
        <w:rPr>
          <w:spacing w:val="3"/>
          <w:sz w:val="28"/>
          <w:szCs w:val="28"/>
        </w:rPr>
        <w:t>导致在规</w:t>
      </w:r>
      <w:r>
        <w:rPr>
          <w:spacing w:val="1"/>
          <w:sz w:val="28"/>
          <w:szCs w:val="28"/>
        </w:rPr>
        <w:t>定时间内无法解密响应文件的；</w:t>
      </w:r>
    </w:p>
    <w:p w14:paraId="4F8D77E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3、上传的电子响应文件无法打开的；</w:t>
      </w:r>
    </w:p>
    <w:p w14:paraId="33C0CA0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4、政府采购法律法规规定的其他无效情形。</w:t>
      </w:r>
    </w:p>
    <w:p w14:paraId="316AB85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（七）特殊情形下的应急处置</w:t>
      </w:r>
    </w:p>
    <w:p w14:paraId="7E6612E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rFonts w:ascii="Arial"/>
          <w:sz w:val="21"/>
        </w:rPr>
      </w:pPr>
      <w:r>
        <w:rPr>
          <w:spacing w:val="2"/>
          <w:sz w:val="28"/>
          <w:szCs w:val="28"/>
        </w:rPr>
        <w:t>在开启、评审过程中，如因停电、断网、电子化系统故障等特殊原因导致电子化开、评审无法正常进行时，将视响应文件解密情况特殊处理。</w:t>
      </w:r>
    </w:p>
    <w:p w14:paraId="76F31E5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1、开启时响应文件未解密的，将另行确定时间继续完成开标程序；</w:t>
      </w:r>
    </w:p>
    <w:p w14:paraId="676C174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2、开启后响应文件已解密但评审结论未形成的，将发布废标公告，重</w:t>
      </w:r>
      <w:r>
        <w:rPr>
          <w:sz w:val="28"/>
          <w:szCs w:val="28"/>
        </w:rPr>
        <w:t>新组织采购活动；</w:t>
      </w:r>
    </w:p>
    <w:p w14:paraId="16E50A0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3、开启后响应文件已解密且评审结论已形成的，待特殊情况</w:t>
      </w:r>
      <w:r>
        <w:rPr>
          <w:sz w:val="28"/>
          <w:szCs w:val="28"/>
        </w:rPr>
        <w:t>排除后，继续完成评审活动。</w:t>
      </w:r>
    </w:p>
    <w:p w14:paraId="47A74AE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0" w:firstLineChars="200"/>
        <w:outlineLvl w:val="1"/>
        <w:rPr>
          <w:sz w:val="28"/>
          <w:szCs w:val="28"/>
        </w:rPr>
      </w:pPr>
      <w:bookmarkStart w:id="9" w:name="bookmark9"/>
      <w:bookmarkEnd w:id="9"/>
      <w:r>
        <w:rPr>
          <w:b/>
          <w:bCs/>
          <w:spacing w:val="-3"/>
          <w:sz w:val="28"/>
          <w:szCs w:val="28"/>
        </w:rPr>
        <w:t>七、组织评审</w:t>
      </w:r>
    </w:p>
    <w:p w14:paraId="23E46AE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（一）采购代理机构负责组织评审工作，并履行下列职责</w:t>
      </w:r>
    </w:p>
    <w:p w14:paraId="40EC1A8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1、核对评审专家身份和采购人代表授权函，对评</w:t>
      </w:r>
      <w:r>
        <w:rPr>
          <w:spacing w:val="-3"/>
          <w:sz w:val="28"/>
          <w:szCs w:val="28"/>
        </w:rPr>
        <w:t>审专家在政府采购活</w:t>
      </w:r>
      <w:r>
        <w:rPr>
          <w:spacing w:val="3"/>
          <w:sz w:val="28"/>
          <w:szCs w:val="28"/>
        </w:rPr>
        <w:t>动中的职责履行情况予以记录，并及时将有关违法违</w:t>
      </w:r>
      <w:r>
        <w:rPr>
          <w:spacing w:val="2"/>
          <w:sz w:val="28"/>
          <w:szCs w:val="28"/>
        </w:rPr>
        <w:t>规行为向财政部门报</w:t>
      </w:r>
      <w:r>
        <w:rPr>
          <w:spacing w:val="-9"/>
          <w:sz w:val="28"/>
          <w:szCs w:val="28"/>
        </w:rPr>
        <w:t>告；</w:t>
      </w:r>
    </w:p>
    <w:p w14:paraId="78D358E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2、宣布评审纪律；</w:t>
      </w:r>
    </w:p>
    <w:p w14:paraId="14A4C5AE">
      <w:pPr>
        <w:pStyle w:val="7"/>
        <w:keepNext w:val="0"/>
        <w:keepLines w:val="0"/>
        <w:pageBreakBefore w:val="0"/>
        <w:widowControl/>
        <w:kinsoku/>
        <w:wordWrap/>
        <w:overflowPunct/>
        <w:topLinePunct w:val="0"/>
        <w:autoSpaceDE/>
        <w:autoSpaceDN/>
        <w:bidi w:val="0"/>
        <w:adjustRightInd w:val="0"/>
        <w:snapToGrid w:val="0"/>
        <w:spacing w:line="324" w:lineRule="auto"/>
        <w:ind w:right="0" w:firstLine="568" w:firstLineChars="200"/>
        <w:rPr>
          <w:sz w:val="28"/>
          <w:szCs w:val="28"/>
        </w:rPr>
      </w:pPr>
      <w:r>
        <w:rPr>
          <w:spacing w:val="2"/>
          <w:sz w:val="28"/>
          <w:szCs w:val="28"/>
        </w:rPr>
        <w:t>3、公布供应商名单，告知评审专家应当回避的情形；</w:t>
      </w:r>
    </w:p>
    <w:p w14:paraId="1A73EB4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4、组织磋商小组推选评审组长，采购人代表不得担</w:t>
      </w:r>
      <w:r>
        <w:rPr>
          <w:spacing w:val="2"/>
          <w:sz w:val="28"/>
          <w:szCs w:val="28"/>
        </w:rPr>
        <w:t>任组长;</w:t>
      </w:r>
    </w:p>
    <w:p w14:paraId="73797E1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jc w:val="both"/>
        <w:rPr>
          <w:sz w:val="28"/>
          <w:szCs w:val="28"/>
        </w:rPr>
      </w:pPr>
      <w:r>
        <w:rPr>
          <w:spacing w:val="-4"/>
          <w:sz w:val="28"/>
          <w:szCs w:val="28"/>
        </w:rPr>
        <w:t>5、在评审期间采取必要的通讯管理措施，保证评审活动不受外界干扰；</w:t>
      </w:r>
    </w:p>
    <w:p w14:paraId="2948DED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6、根据磋商小组的要求介绍政府采购相关政策</w:t>
      </w:r>
      <w:r>
        <w:rPr>
          <w:spacing w:val="2"/>
          <w:sz w:val="28"/>
          <w:szCs w:val="28"/>
        </w:rPr>
        <w:t>法规、磋商文件；</w:t>
      </w:r>
    </w:p>
    <w:p w14:paraId="218811E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7、维护评审秩序，监督磋商小组依照磋商文件规定的评审程序、方法</w:t>
      </w:r>
      <w:r>
        <w:rPr>
          <w:spacing w:val="3"/>
          <w:sz w:val="28"/>
          <w:szCs w:val="28"/>
        </w:rPr>
        <w:t>和标准进行独立评审，及时制止和纠正采购人代表、</w:t>
      </w:r>
      <w:r>
        <w:rPr>
          <w:spacing w:val="2"/>
          <w:sz w:val="28"/>
          <w:szCs w:val="28"/>
        </w:rPr>
        <w:t>评审专家的倾向性言</w:t>
      </w:r>
      <w:r>
        <w:rPr>
          <w:spacing w:val="1"/>
          <w:sz w:val="28"/>
          <w:szCs w:val="28"/>
        </w:rPr>
        <w:t>论或者违法违规行为；</w:t>
      </w:r>
    </w:p>
    <w:p w14:paraId="47A2A96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8、核对评审结果；</w:t>
      </w:r>
    </w:p>
    <w:p w14:paraId="68014FA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pacing w:val="2"/>
          <w:sz w:val="28"/>
          <w:szCs w:val="28"/>
        </w:rPr>
      </w:pPr>
      <w:r>
        <w:rPr>
          <w:spacing w:val="-2"/>
          <w:sz w:val="28"/>
          <w:szCs w:val="28"/>
        </w:rPr>
        <w:t>9、评审工作完成后，按照规定向评审专家支付劳务报酬和异地评审差</w:t>
      </w:r>
      <w:r>
        <w:rPr>
          <w:spacing w:val="2"/>
          <w:sz w:val="28"/>
          <w:szCs w:val="28"/>
        </w:rPr>
        <w:t>旅费，不得向评审专家以外的其他人员支付评审劳务报酬；</w:t>
      </w:r>
    </w:p>
    <w:p w14:paraId="5B98BFA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10、处理与评审有关的其他事项。</w:t>
      </w:r>
    </w:p>
    <w:p w14:paraId="30417C2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采购人可以在评审前说明项目背景和采购需</w:t>
      </w:r>
      <w:r>
        <w:rPr>
          <w:spacing w:val="2"/>
          <w:sz w:val="28"/>
          <w:szCs w:val="28"/>
        </w:rPr>
        <w:t>求，说明内容不得含有歧</w:t>
      </w:r>
      <w:r>
        <w:rPr>
          <w:spacing w:val="-3"/>
          <w:sz w:val="28"/>
          <w:szCs w:val="28"/>
        </w:rPr>
        <w:t>视性、倾向性意见，不得超出磋商文件所述范围。说明应当提</w:t>
      </w:r>
      <w:r>
        <w:rPr>
          <w:spacing w:val="-4"/>
          <w:sz w:val="28"/>
          <w:szCs w:val="28"/>
        </w:rPr>
        <w:t>交书面材料，</w:t>
      </w:r>
      <w:r>
        <w:rPr>
          <w:spacing w:val="1"/>
          <w:sz w:val="28"/>
          <w:szCs w:val="28"/>
        </w:rPr>
        <w:t>并随磋商文件一并存档。</w:t>
      </w:r>
    </w:p>
    <w:p w14:paraId="1A2C8C4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（二）磋商小组负责具体评审事务，并独立履行下列职责：</w:t>
      </w:r>
    </w:p>
    <w:p w14:paraId="7CFA3AD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textAlignment w:val="baseline"/>
        <w:rPr>
          <w:rFonts w:ascii="Arial"/>
          <w:sz w:val="21"/>
        </w:rPr>
      </w:pPr>
      <w:r>
        <w:rPr>
          <w:spacing w:val="2"/>
          <w:sz w:val="28"/>
          <w:szCs w:val="28"/>
        </w:rPr>
        <w:t>1、遵守评审工作纪律，不得泄露评审情况和评审中获悉的商业秘密；</w:t>
      </w:r>
    </w:p>
    <w:p w14:paraId="6BFE345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2、按照客观、公正、审慎的原则，根据磋商文件规定的评审程序、评</w:t>
      </w:r>
      <w:r>
        <w:rPr>
          <w:sz w:val="28"/>
          <w:szCs w:val="28"/>
        </w:rPr>
        <w:t>审方法和评审标准进行独立评审；</w:t>
      </w:r>
    </w:p>
    <w:p w14:paraId="57232AF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3、要求供应商对响应文件有关事项做出澄清或者说明；</w:t>
      </w:r>
    </w:p>
    <w:p w14:paraId="315D2BD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4、与供应商分别进行磋商；</w:t>
      </w:r>
    </w:p>
    <w:p w14:paraId="2403072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5、对响应文件进行比较和评价；</w:t>
      </w:r>
    </w:p>
    <w:p w14:paraId="5222AA9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jc w:val="right"/>
        <w:rPr>
          <w:sz w:val="28"/>
          <w:szCs w:val="28"/>
        </w:rPr>
      </w:pPr>
      <w:r>
        <w:rPr>
          <w:spacing w:val="1"/>
          <w:sz w:val="28"/>
          <w:szCs w:val="28"/>
        </w:rPr>
        <w:t>6、确定成交候选人名单，以及根据采购人委托直接确定成交</w:t>
      </w:r>
      <w:r>
        <w:rPr>
          <w:sz w:val="28"/>
          <w:szCs w:val="28"/>
        </w:rPr>
        <w:t>供应商；</w:t>
      </w:r>
    </w:p>
    <w:p w14:paraId="5D91926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7、配合答复供应商的询问、质疑和投诉等事项，不得泄露评审文件、</w:t>
      </w:r>
      <w:r>
        <w:rPr>
          <w:spacing w:val="2"/>
          <w:sz w:val="28"/>
          <w:szCs w:val="28"/>
        </w:rPr>
        <w:t>评审情况和在评审过程中获悉的商业秘密；</w:t>
      </w:r>
    </w:p>
    <w:p w14:paraId="1309A5A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8、向采购人、</w:t>
      </w:r>
      <w:r>
        <w:rPr>
          <w:rFonts w:hint="eastAsia"/>
          <w:spacing w:val="-2"/>
          <w:sz w:val="28"/>
          <w:szCs w:val="28"/>
          <w:lang w:eastAsia="zh-CN"/>
        </w:rPr>
        <w:t>陕西中源项目管理有限公司</w:t>
      </w:r>
      <w:r>
        <w:rPr>
          <w:spacing w:val="-2"/>
          <w:sz w:val="28"/>
          <w:szCs w:val="28"/>
        </w:rPr>
        <w:t>或者有关部门报告评审中</w:t>
      </w:r>
      <w:r>
        <w:rPr>
          <w:spacing w:val="-1"/>
          <w:sz w:val="28"/>
          <w:szCs w:val="28"/>
        </w:rPr>
        <w:t>发现的违法行为。</w:t>
      </w:r>
    </w:p>
    <w:p w14:paraId="25C749A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（三）成立磋商小组</w:t>
      </w:r>
    </w:p>
    <w:p w14:paraId="3F41065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jc w:val="both"/>
        <w:rPr>
          <w:sz w:val="28"/>
          <w:szCs w:val="28"/>
        </w:rPr>
      </w:pPr>
      <w:r>
        <w:rPr>
          <w:spacing w:val="-2"/>
          <w:sz w:val="28"/>
          <w:szCs w:val="28"/>
        </w:rPr>
        <w:t>1、为了确保磋商工作的公平、公正，依据</w:t>
      </w:r>
      <w:r>
        <w:rPr>
          <w:spacing w:val="-3"/>
          <w:sz w:val="28"/>
          <w:szCs w:val="28"/>
        </w:rPr>
        <w:t>政府采购法和政府采购相关</w:t>
      </w:r>
      <w:r>
        <w:rPr>
          <w:spacing w:val="1"/>
          <w:sz w:val="28"/>
          <w:szCs w:val="28"/>
        </w:rPr>
        <w:t>法规、规章，成立磋商小组，磋商小组由采购人代表和评审专家共</w:t>
      </w:r>
      <w:r>
        <w:rPr>
          <w:spacing w:val="-41"/>
          <w:sz w:val="28"/>
          <w:szCs w:val="28"/>
        </w:rPr>
        <w:t xml:space="preserve"> </w:t>
      </w:r>
      <w:r>
        <w:rPr>
          <w:spacing w:val="1"/>
          <w:sz w:val="28"/>
          <w:szCs w:val="28"/>
        </w:rPr>
        <w:t>3</w:t>
      </w:r>
      <w:r>
        <w:rPr>
          <w:spacing w:val="-46"/>
          <w:sz w:val="28"/>
          <w:szCs w:val="28"/>
        </w:rPr>
        <w:t xml:space="preserve"> </w:t>
      </w:r>
      <w:r>
        <w:rPr>
          <w:spacing w:val="1"/>
          <w:sz w:val="28"/>
          <w:szCs w:val="28"/>
        </w:rPr>
        <w:t>人以</w:t>
      </w:r>
      <w:r>
        <w:rPr>
          <w:spacing w:val="2"/>
          <w:sz w:val="28"/>
          <w:szCs w:val="28"/>
        </w:rPr>
        <w:t>上单数组成，其中评审专家人数不少于磋商小组成员总数的三分之二。</w:t>
      </w:r>
    </w:p>
    <w:p w14:paraId="36D8F88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评审专家对本单位的采购项目只能作为采购人代表参与评审。采购代理机构工作人员不得参加由本机构代理的政府采购项目的评审。</w:t>
      </w:r>
    </w:p>
    <w:p w14:paraId="4DDD7B6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磋商小组成员名单在评审结果公告前应当保密。</w:t>
      </w:r>
    </w:p>
    <w:p w14:paraId="0681AAB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pacing w:val="2"/>
          <w:sz w:val="28"/>
          <w:szCs w:val="28"/>
        </w:rPr>
      </w:pPr>
      <w:r>
        <w:rPr>
          <w:spacing w:val="2"/>
          <w:sz w:val="28"/>
          <w:szCs w:val="28"/>
        </w:rPr>
        <w:t>2、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 1 名法律专家。</w:t>
      </w:r>
    </w:p>
    <w:p w14:paraId="71280B9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pacing w:val="2"/>
          <w:sz w:val="28"/>
          <w:szCs w:val="28"/>
        </w:rPr>
      </w:pPr>
      <w:r>
        <w:rPr>
          <w:spacing w:val="2"/>
          <w:sz w:val="28"/>
          <w:szCs w:val="28"/>
        </w:rPr>
        <w:t>3、评审中因磋商小组成员缺席、回避或者健康等特殊原因导致磋商小组组成不符合规定的，</w:t>
      </w:r>
      <w:r>
        <w:rPr>
          <w:rFonts w:hint="eastAsia"/>
          <w:spacing w:val="2"/>
          <w:sz w:val="28"/>
          <w:szCs w:val="28"/>
          <w:lang w:eastAsia="zh-CN"/>
        </w:rPr>
        <w:t>陕西中源项目管理有限公司</w:t>
      </w:r>
      <w:r>
        <w:rPr>
          <w:spacing w:val="2"/>
          <w:sz w:val="28"/>
          <w:szCs w:val="28"/>
        </w:rPr>
        <w:t>应当依法补足后继续评审。被更换的磋商小组成员所做出的评审意见无效。无法及时补足磋商小组成员的，</w:t>
      </w:r>
      <w:r>
        <w:rPr>
          <w:rFonts w:hint="eastAsia"/>
          <w:spacing w:val="2"/>
          <w:sz w:val="28"/>
          <w:szCs w:val="28"/>
          <w:lang w:eastAsia="zh-CN"/>
        </w:rPr>
        <w:t>陕西中源项目管理有限公司</w:t>
      </w:r>
      <w:r>
        <w:rPr>
          <w:spacing w:val="2"/>
          <w:sz w:val="28"/>
          <w:szCs w:val="28"/>
        </w:rPr>
        <w:t>应当停止评审活动，封存所有响应文件和开标、评审资料，依法重新组建磋商小组进行评审。原磋商小组所做出的评审意见无效。</w:t>
      </w:r>
    </w:p>
    <w:p w14:paraId="0DC18CE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rFonts w:hint="eastAsia"/>
          <w:spacing w:val="2"/>
          <w:sz w:val="28"/>
          <w:szCs w:val="28"/>
          <w:lang w:val="en-US" w:eastAsia="zh-CN"/>
        </w:rPr>
        <w:t>代理机构</w:t>
      </w:r>
      <w:r>
        <w:rPr>
          <w:spacing w:val="2"/>
          <w:sz w:val="28"/>
          <w:szCs w:val="28"/>
        </w:rPr>
        <w:t>应当将变更、重新组建磋商小组的情况</w:t>
      </w:r>
      <w:r>
        <w:rPr>
          <w:spacing w:val="1"/>
          <w:sz w:val="28"/>
          <w:szCs w:val="28"/>
        </w:rPr>
        <w:t>予以记录，并随磋商文件一并存档。</w:t>
      </w:r>
    </w:p>
    <w:p w14:paraId="35C3A8D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2" w:firstLineChars="200"/>
        <w:rPr>
          <w:sz w:val="28"/>
          <w:szCs w:val="28"/>
        </w:rPr>
      </w:pPr>
      <w:r>
        <w:rPr>
          <w:b/>
          <w:bCs/>
          <w:spacing w:val="-5"/>
          <w:sz w:val="28"/>
          <w:szCs w:val="28"/>
        </w:rPr>
        <w:t>（</w:t>
      </w:r>
      <w:r>
        <w:rPr>
          <w:spacing w:val="-78"/>
          <w:sz w:val="28"/>
          <w:szCs w:val="28"/>
        </w:rPr>
        <w:t xml:space="preserve"> </w:t>
      </w:r>
      <w:r>
        <w:rPr>
          <w:b/>
          <w:bCs/>
          <w:spacing w:val="-5"/>
          <w:sz w:val="28"/>
          <w:szCs w:val="28"/>
        </w:rPr>
        <w:t>四）评审方法：综合评分法</w:t>
      </w:r>
    </w:p>
    <w:p w14:paraId="674A37C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综合评分法，是指响应文件满足磋商文件全部实质性要求且按评审因素的量化指标评审得分最高的供应商为成交候选供应商的评审方法。</w:t>
      </w:r>
    </w:p>
    <w:p w14:paraId="7F8F116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（五）评审程序</w:t>
      </w:r>
    </w:p>
    <w:p w14:paraId="771FA33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jc w:val="both"/>
        <w:rPr>
          <w:sz w:val="28"/>
          <w:szCs w:val="28"/>
        </w:rPr>
      </w:pPr>
      <w:r>
        <w:rPr>
          <w:spacing w:val="-4"/>
          <w:sz w:val="28"/>
          <w:szCs w:val="28"/>
        </w:rPr>
        <w:t>分步评审，每一步评审不符合磋商文件要求者，不得进入下一步评审，</w:t>
      </w:r>
      <w:r>
        <w:rPr>
          <w:spacing w:val="3"/>
          <w:sz w:val="28"/>
          <w:szCs w:val="28"/>
        </w:rPr>
        <w:t>全部评审合格的供应商，进入最后的打分，最后按得</w:t>
      </w:r>
      <w:r>
        <w:rPr>
          <w:spacing w:val="2"/>
          <w:sz w:val="28"/>
          <w:szCs w:val="28"/>
        </w:rPr>
        <w:t>分由高到低排序，推</w:t>
      </w:r>
      <w:r>
        <w:rPr>
          <w:sz w:val="28"/>
          <w:szCs w:val="28"/>
        </w:rPr>
        <w:t>荐成交候选供应商。</w:t>
      </w:r>
    </w:p>
    <w:p w14:paraId="431D313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rPr>
          <w:sz w:val="28"/>
          <w:szCs w:val="28"/>
        </w:rPr>
      </w:pPr>
      <w:r>
        <w:rPr>
          <w:b/>
          <w:bCs/>
          <w:spacing w:val="-4"/>
          <w:sz w:val="28"/>
          <w:szCs w:val="28"/>
        </w:rPr>
        <w:t>1、资格性审查</w:t>
      </w:r>
    </w:p>
    <w:p w14:paraId="6AB485E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outlineLvl w:val="1"/>
        <w:rPr>
          <w:sz w:val="28"/>
          <w:szCs w:val="28"/>
        </w:rPr>
      </w:pPr>
      <w:r>
        <w:rPr>
          <w:spacing w:val="3"/>
          <w:sz w:val="28"/>
          <w:szCs w:val="28"/>
        </w:rPr>
        <w:t>开标结束后，磋商小组依据法律法规和磋商</w:t>
      </w:r>
      <w:r>
        <w:rPr>
          <w:spacing w:val="2"/>
          <w:sz w:val="28"/>
          <w:szCs w:val="28"/>
        </w:rPr>
        <w:t>文件的规定，对响应文件</w:t>
      </w:r>
    </w:p>
    <w:p w14:paraId="385EEC2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中的供应商资格证明文件进行审查，以确定供应商是否具备磋商资格。</w:t>
      </w:r>
    </w:p>
    <w:p w14:paraId="259FB89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8" w:firstLineChars="200"/>
        <w:rPr>
          <w:sz w:val="28"/>
          <w:szCs w:val="28"/>
        </w:rPr>
      </w:pPr>
      <w:r>
        <w:rPr>
          <w:b/>
          <w:bCs/>
          <w:spacing w:val="-6"/>
          <w:sz w:val="28"/>
          <w:szCs w:val="28"/>
        </w:rPr>
        <w:t>资格审查表</w:t>
      </w:r>
    </w:p>
    <w:p w14:paraId="4B2F45B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 w:firstLineChars="200"/>
        <w:rPr>
          <w:rFonts w:ascii="Arial"/>
          <w:sz w:val="2"/>
        </w:rPr>
      </w:pPr>
    </w:p>
    <w:tbl>
      <w:tblPr>
        <w:tblStyle w:val="15"/>
        <w:tblW w:w="9212" w:type="dxa"/>
        <w:tblInd w:w="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1865"/>
        <w:gridCol w:w="4580"/>
        <w:gridCol w:w="806"/>
        <w:gridCol w:w="1225"/>
      </w:tblGrid>
      <w:tr w14:paraId="6CBB9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736" w:type="dxa"/>
            <w:vAlign w:val="center"/>
          </w:tcPr>
          <w:p w14:paraId="204F724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jc w:val="center"/>
              <w:rPr>
                <w:rFonts w:ascii="Arial"/>
                <w:sz w:val="21"/>
              </w:rPr>
            </w:pPr>
          </w:p>
          <w:p w14:paraId="0FAE039D">
            <w:pPr>
              <w:pStyle w:val="16"/>
              <w:keepNext w:val="0"/>
              <w:keepLines w:val="0"/>
              <w:pageBreakBefore w:val="0"/>
              <w:widowControl/>
              <w:kinsoku/>
              <w:wordWrap/>
              <w:overflowPunct/>
              <w:topLinePunct w:val="0"/>
              <w:autoSpaceDE/>
              <w:autoSpaceDN/>
              <w:bidi w:val="0"/>
              <w:adjustRightInd w:val="0"/>
              <w:snapToGrid w:val="0"/>
              <w:spacing w:line="324" w:lineRule="auto"/>
              <w:ind w:right="0"/>
              <w:jc w:val="center"/>
            </w:pPr>
            <w:r>
              <w:rPr>
                <w:b/>
                <w:bCs/>
                <w:spacing w:val="-9"/>
              </w:rPr>
              <w:t>序号</w:t>
            </w:r>
          </w:p>
        </w:tc>
        <w:tc>
          <w:tcPr>
            <w:tcW w:w="1865" w:type="dxa"/>
            <w:vAlign w:val="center"/>
          </w:tcPr>
          <w:p w14:paraId="1409E92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jc w:val="center"/>
              <w:rPr>
                <w:rFonts w:ascii="Arial"/>
                <w:sz w:val="21"/>
              </w:rPr>
            </w:pPr>
          </w:p>
          <w:p w14:paraId="1E3A0505">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62" w:firstLineChars="200"/>
              <w:jc w:val="center"/>
            </w:pPr>
            <w:r>
              <w:rPr>
                <w:b/>
                <w:bCs/>
                <w:spacing w:val="-5"/>
              </w:rPr>
              <w:t>资格审查项</w:t>
            </w:r>
          </w:p>
        </w:tc>
        <w:tc>
          <w:tcPr>
            <w:tcW w:w="4580" w:type="dxa"/>
            <w:vAlign w:val="center"/>
          </w:tcPr>
          <w:p w14:paraId="2B36A11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jc w:val="center"/>
              <w:rPr>
                <w:rFonts w:ascii="Arial"/>
                <w:sz w:val="21"/>
              </w:rPr>
            </w:pPr>
          </w:p>
          <w:p w14:paraId="5F741CD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62" w:firstLineChars="200"/>
              <w:jc w:val="center"/>
            </w:pPr>
            <w:r>
              <w:rPr>
                <w:b/>
                <w:bCs/>
                <w:spacing w:val="-5"/>
              </w:rPr>
              <w:t>通过条件</w:t>
            </w:r>
          </w:p>
        </w:tc>
        <w:tc>
          <w:tcPr>
            <w:tcW w:w="806" w:type="dxa"/>
            <w:vAlign w:val="center"/>
          </w:tcPr>
          <w:p w14:paraId="790F9653">
            <w:pPr>
              <w:pStyle w:val="16"/>
              <w:keepNext w:val="0"/>
              <w:keepLines w:val="0"/>
              <w:pageBreakBefore w:val="0"/>
              <w:widowControl/>
              <w:kinsoku/>
              <w:wordWrap/>
              <w:overflowPunct/>
              <w:topLinePunct w:val="0"/>
              <w:autoSpaceDE/>
              <w:autoSpaceDN/>
              <w:bidi w:val="0"/>
              <w:adjustRightInd w:val="0"/>
              <w:snapToGrid w:val="0"/>
              <w:spacing w:line="324" w:lineRule="auto"/>
              <w:ind w:right="0"/>
              <w:jc w:val="center"/>
            </w:pPr>
            <w:r>
              <w:rPr>
                <w:b/>
                <w:bCs/>
                <w:spacing w:val="-11"/>
              </w:rPr>
              <w:t>结论</w:t>
            </w:r>
          </w:p>
        </w:tc>
        <w:tc>
          <w:tcPr>
            <w:tcW w:w="1225" w:type="dxa"/>
            <w:vAlign w:val="center"/>
          </w:tcPr>
          <w:p w14:paraId="373DE207">
            <w:pPr>
              <w:pStyle w:val="16"/>
              <w:keepNext w:val="0"/>
              <w:keepLines w:val="0"/>
              <w:pageBreakBefore w:val="0"/>
              <w:widowControl/>
              <w:kinsoku/>
              <w:wordWrap/>
              <w:overflowPunct/>
              <w:topLinePunct w:val="0"/>
              <w:autoSpaceDE/>
              <w:autoSpaceDN/>
              <w:bidi w:val="0"/>
              <w:adjustRightInd w:val="0"/>
              <w:snapToGrid w:val="0"/>
              <w:spacing w:line="324" w:lineRule="auto"/>
              <w:ind w:right="0"/>
              <w:jc w:val="center"/>
            </w:pPr>
            <w:r>
              <w:rPr>
                <w:b/>
                <w:bCs/>
                <w:spacing w:val="-7"/>
              </w:rPr>
              <w:t>不通过</w:t>
            </w:r>
            <w:r>
              <w:rPr>
                <w:b/>
                <w:bCs/>
                <w:spacing w:val="-11"/>
              </w:rPr>
              <w:t>原因</w:t>
            </w:r>
          </w:p>
        </w:tc>
      </w:tr>
      <w:tr w14:paraId="0E3E0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4" w:hRule="atLeast"/>
        </w:trPr>
        <w:tc>
          <w:tcPr>
            <w:tcW w:w="736" w:type="dxa"/>
            <w:vAlign w:val="top"/>
          </w:tcPr>
          <w:p w14:paraId="7915024B">
            <w:pPr>
              <w:keepNext w:val="0"/>
              <w:keepLines w:val="0"/>
              <w:pageBreakBefore w:val="0"/>
              <w:widowControl/>
              <w:kinsoku/>
              <w:wordWrap/>
              <w:overflowPunct/>
              <w:topLinePunct w:val="0"/>
              <w:autoSpaceDE/>
              <w:autoSpaceDN/>
              <w:bidi w:val="0"/>
              <w:adjustRightInd w:val="0"/>
              <w:snapToGrid w:val="0"/>
              <w:spacing w:line="324" w:lineRule="auto"/>
              <w:ind w:right="0"/>
              <w:rPr>
                <w:rFonts w:ascii="Arial"/>
                <w:sz w:val="21"/>
              </w:rPr>
            </w:pPr>
          </w:p>
          <w:p w14:paraId="64AC28CD">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rPr>
                <w:position w:val="1"/>
              </w:rPr>
              <w:t>1</w:t>
            </w:r>
          </w:p>
        </w:tc>
        <w:tc>
          <w:tcPr>
            <w:tcW w:w="1865" w:type="dxa"/>
            <w:vAlign w:val="top"/>
          </w:tcPr>
          <w:p w14:paraId="7A7F1460">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1"/>
              </w:rPr>
              <w:t>营业执照等主体资格证明文</w:t>
            </w:r>
            <w:r>
              <w:t>件</w:t>
            </w:r>
          </w:p>
        </w:tc>
        <w:tc>
          <w:tcPr>
            <w:tcW w:w="4580" w:type="dxa"/>
            <w:vAlign w:val="top"/>
          </w:tcPr>
          <w:p w14:paraId="7D3DA6CB">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12" w:firstLineChars="200"/>
              <w:jc w:val="both"/>
            </w:pPr>
            <w:r>
              <w:rPr>
                <w:spacing w:val="8"/>
              </w:rPr>
              <w:t>提供有效存续的企业营业执照（副本）/事业单位法人证书/专业服务机构执业许</w:t>
            </w:r>
            <w:r>
              <w:rPr>
                <w:spacing w:val="1"/>
              </w:rPr>
              <w:t>可证/民办非企业单位登记证书。</w:t>
            </w:r>
          </w:p>
        </w:tc>
        <w:tc>
          <w:tcPr>
            <w:tcW w:w="806" w:type="dxa"/>
            <w:vAlign w:val="top"/>
          </w:tcPr>
          <w:p w14:paraId="51CCB0A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25" w:type="dxa"/>
            <w:vAlign w:val="top"/>
          </w:tcPr>
          <w:p w14:paraId="1BB06C7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278A6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4" w:hRule="atLeast"/>
        </w:trPr>
        <w:tc>
          <w:tcPr>
            <w:tcW w:w="736" w:type="dxa"/>
            <w:vAlign w:val="top"/>
          </w:tcPr>
          <w:p w14:paraId="3335C18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F5E4DC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19B1F7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D3D00A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F85E2A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77FFDF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62BE4D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5A8850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62E132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597052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2A41D69">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rPr>
                <w:position w:val="1"/>
              </w:rPr>
              <w:t>2</w:t>
            </w:r>
          </w:p>
        </w:tc>
        <w:tc>
          <w:tcPr>
            <w:tcW w:w="1865" w:type="dxa"/>
            <w:vAlign w:val="top"/>
          </w:tcPr>
          <w:p w14:paraId="4DA62D4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D8004E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14E507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B19B25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49A7AB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C547A0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7BC83C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94BC38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DB51C9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6A5117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B787D1B">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1"/>
              </w:rPr>
              <w:t>财务状况报告</w:t>
            </w:r>
          </w:p>
        </w:tc>
        <w:tc>
          <w:tcPr>
            <w:tcW w:w="4580" w:type="dxa"/>
            <w:vAlign w:val="top"/>
          </w:tcPr>
          <w:p w14:paraId="53515770">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以下两种资料提供任意一种即可：</w:t>
            </w:r>
          </w:p>
          <w:p w14:paraId="587B22B5">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92" w:firstLineChars="200"/>
            </w:pPr>
            <w:r>
              <w:rPr>
                <w:spacing w:val="3"/>
              </w:rPr>
              <w:t>（1）提供</w:t>
            </w:r>
            <w:r>
              <w:rPr>
                <w:rFonts w:hint="eastAsia"/>
                <w:spacing w:val="3"/>
                <w:lang w:val="en-US" w:eastAsia="zh-CN"/>
              </w:rPr>
              <w:t>2024年或2025年</w:t>
            </w:r>
            <w:r>
              <w:rPr>
                <w:spacing w:val="2"/>
              </w:rPr>
              <w:t>任意一个年度经审计的财务报告（包括</w:t>
            </w:r>
            <w:r>
              <w:rPr>
                <w:spacing w:val="-2"/>
              </w:rPr>
              <w:t>“</w:t>
            </w:r>
            <w:r>
              <w:rPr>
                <w:spacing w:val="-74"/>
              </w:rPr>
              <w:t xml:space="preserve"> </w:t>
            </w:r>
            <w:r>
              <w:rPr>
                <w:spacing w:val="-2"/>
              </w:rPr>
              <w:t>四表一注</w:t>
            </w:r>
            <w:r>
              <w:rPr>
                <w:spacing w:val="-84"/>
              </w:rPr>
              <w:t xml:space="preserve"> </w:t>
            </w:r>
            <w:r>
              <w:rPr>
                <w:spacing w:val="-2"/>
              </w:rPr>
              <w:t>”，即资产负债表、利润表、</w:t>
            </w:r>
            <w:r>
              <w:rPr>
                <w:spacing w:val="13"/>
              </w:rPr>
              <w:t>现金流量表</w:t>
            </w:r>
            <w:r>
              <w:rPr>
                <w:spacing w:val="-55"/>
              </w:rPr>
              <w:t xml:space="preserve"> </w:t>
            </w:r>
            <w:r>
              <w:rPr>
                <w:spacing w:val="13"/>
              </w:rPr>
              <w:t>、所有者权益变动表及其附</w:t>
            </w:r>
            <w:r>
              <w:rPr>
                <w:spacing w:val="2"/>
              </w:rPr>
              <w:t>注，符合《中小企业划型标准规定》的小型企业按照《小企业会计准则》执行。成</w:t>
            </w:r>
            <w:r>
              <w:rPr>
                <w:spacing w:val="16"/>
              </w:rPr>
              <w:t>立时间至提交响应文件截止时间不足一年的可提供成立后任意时段的资产负债</w:t>
            </w:r>
            <w:r>
              <w:rPr>
                <w:spacing w:val="1"/>
              </w:rPr>
              <w:t>表</w:t>
            </w:r>
            <w:r>
              <w:rPr>
                <w:spacing w:val="15"/>
              </w:rPr>
              <w:t>），</w:t>
            </w:r>
            <w:r>
              <w:rPr>
                <w:spacing w:val="1"/>
              </w:rPr>
              <w:t>审计报告须具有注册会计师行业统</w:t>
            </w:r>
            <w:r>
              <w:rPr>
                <w:spacing w:val="3"/>
              </w:rPr>
              <w:t>一监管平台赋予的验证码；</w:t>
            </w:r>
          </w:p>
          <w:p w14:paraId="2F502F5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08" w:firstLineChars="200"/>
            </w:pPr>
            <w:r>
              <w:rPr>
                <w:spacing w:val="7"/>
              </w:rPr>
              <w:t>（2）其开标前三个月内基本开户银行出</w:t>
            </w:r>
            <w:r>
              <w:rPr>
                <w:spacing w:val="-1"/>
              </w:rPr>
              <w:t>具的资信证明。</w:t>
            </w:r>
          </w:p>
        </w:tc>
        <w:tc>
          <w:tcPr>
            <w:tcW w:w="806" w:type="dxa"/>
            <w:vAlign w:val="top"/>
          </w:tcPr>
          <w:p w14:paraId="64274E1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25" w:type="dxa"/>
            <w:vAlign w:val="top"/>
          </w:tcPr>
          <w:p w14:paraId="560A0EF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5E96D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trPr>
        <w:tc>
          <w:tcPr>
            <w:tcW w:w="736" w:type="dxa"/>
            <w:shd w:val="clear" w:color="auto" w:fill="auto"/>
            <w:vAlign w:val="top"/>
          </w:tcPr>
          <w:p w14:paraId="304ED01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E32D16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47AD75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D1FC7E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rPr>
                <w:rFonts w:ascii="仿宋" w:hAnsi="仿宋" w:eastAsia="仿宋" w:cs="仿宋"/>
                <w:snapToGrid w:val="0"/>
                <w:color w:val="000000"/>
                <w:kern w:val="0"/>
                <w:sz w:val="24"/>
                <w:szCs w:val="24"/>
                <w:lang w:val="en-US" w:eastAsia="en-US" w:bidi="ar-SA"/>
              </w:rPr>
            </w:pPr>
            <w:r>
              <w:t>3</w:t>
            </w:r>
          </w:p>
        </w:tc>
        <w:tc>
          <w:tcPr>
            <w:tcW w:w="1865" w:type="dxa"/>
            <w:shd w:val="clear" w:color="auto" w:fill="auto"/>
            <w:vAlign w:val="top"/>
          </w:tcPr>
          <w:p w14:paraId="163DFEF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325CA8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F2FB79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72BA4A7">
            <w:pPr>
              <w:pStyle w:val="16"/>
              <w:keepNext w:val="0"/>
              <w:keepLines w:val="0"/>
              <w:pageBreakBefore w:val="0"/>
              <w:widowControl/>
              <w:kinsoku/>
              <w:wordWrap/>
              <w:overflowPunct/>
              <w:topLinePunct w:val="0"/>
              <w:autoSpaceDE/>
              <w:autoSpaceDN/>
              <w:bidi w:val="0"/>
              <w:adjustRightInd w:val="0"/>
              <w:snapToGrid w:val="0"/>
              <w:spacing w:line="324" w:lineRule="auto"/>
              <w:ind w:right="0"/>
              <w:rPr>
                <w:rFonts w:ascii="仿宋" w:hAnsi="仿宋" w:eastAsia="仿宋" w:cs="仿宋"/>
                <w:snapToGrid w:val="0"/>
                <w:color w:val="000000"/>
                <w:kern w:val="0"/>
                <w:sz w:val="24"/>
                <w:szCs w:val="24"/>
                <w:lang w:val="en-US" w:eastAsia="en-US" w:bidi="ar-SA"/>
              </w:rPr>
            </w:pPr>
            <w:r>
              <w:t>社保缴纳证明</w:t>
            </w:r>
          </w:p>
        </w:tc>
        <w:tc>
          <w:tcPr>
            <w:tcW w:w="4580" w:type="dxa"/>
            <w:shd w:val="clear" w:color="auto" w:fill="auto"/>
            <w:vAlign w:val="top"/>
          </w:tcPr>
          <w:p w14:paraId="75C69DBB">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rightChars="0" w:firstLine="520" w:firstLineChars="200"/>
              <w:jc w:val="both"/>
              <w:rPr>
                <w:rFonts w:ascii="仿宋" w:hAnsi="仿宋" w:eastAsia="仿宋" w:cs="仿宋"/>
                <w:snapToGrid w:val="0"/>
                <w:color w:val="000000"/>
                <w:kern w:val="0"/>
                <w:sz w:val="24"/>
                <w:szCs w:val="24"/>
                <w:lang w:val="en-US" w:eastAsia="en-US" w:bidi="ar-SA"/>
              </w:rPr>
            </w:pPr>
            <w:r>
              <w:rPr>
                <w:spacing w:val="10"/>
              </w:rPr>
              <w:t>提供递交响应文件截止之</w:t>
            </w:r>
            <w:r>
              <w:rPr>
                <w:spacing w:val="-26"/>
              </w:rPr>
              <w:t xml:space="preserve"> </w:t>
            </w:r>
            <w:r>
              <w:rPr>
                <w:spacing w:val="10"/>
              </w:rPr>
              <w:t>日前一年内任</w:t>
            </w:r>
            <w:r>
              <w:rPr>
                <w:spacing w:val="15"/>
              </w:rPr>
              <w:t>意一个月的社会保障资金缴存单据或社保机构开具的社会保险参保缴费情况证</w:t>
            </w:r>
            <w:r>
              <w:rPr>
                <w:spacing w:val="1"/>
              </w:rPr>
              <w:t>明。依法不需要缴纳社会保障资金的供应商应提供相关文件证明。</w:t>
            </w:r>
          </w:p>
        </w:tc>
        <w:tc>
          <w:tcPr>
            <w:tcW w:w="806" w:type="dxa"/>
            <w:vAlign w:val="top"/>
          </w:tcPr>
          <w:p w14:paraId="1D0CCA8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25" w:type="dxa"/>
            <w:vAlign w:val="top"/>
          </w:tcPr>
          <w:p w14:paraId="41116D8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57A14D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trPr>
        <w:tc>
          <w:tcPr>
            <w:tcW w:w="736" w:type="dxa"/>
            <w:shd w:val="clear" w:color="auto" w:fill="auto"/>
            <w:vAlign w:val="top"/>
          </w:tcPr>
          <w:p w14:paraId="77C4FC2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26F2B8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C35613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0CA0E56">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rPr>
                <w:rFonts w:ascii="仿宋" w:hAnsi="仿宋" w:eastAsia="仿宋" w:cs="仿宋"/>
                <w:snapToGrid w:val="0"/>
                <w:color w:val="000000"/>
                <w:kern w:val="0"/>
                <w:sz w:val="24"/>
                <w:szCs w:val="24"/>
                <w:lang w:val="en-US" w:eastAsia="en-US" w:bidi="ar-SA"/>
              </w:rPr>
            </w:pPr>
            <w:r>
              <w:rPr>
                <w:position w:val="1"/>
              </w:rPr>
              <w:t>4</w:t>
            </w:r>
          </w:p>
        </w:tc>
        <w:tc>
          <w:tcPr>
            <w:tcW w:w="1865" w:type="dxa"/>
            <w:shd w:val="clear" w:color="auto" w:fill="auto"/>
            <w:vAlign w:val="top"/>
          </w:tcPr>
          <w:p w14:paraId="6FD7C19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F55721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F07A80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E8D9EC2">
            <w:pPr>
              <w:pStyle w:val="16"/>
              <w:keepNext w:val="0"/>
              <w:keepLines w:val="0"/>
              <w:pageBreakBefore w:val="0"/>
              <w:widowControl/>
              <w:kinsoku/>
              <w:wordWrap/>
              <w:overflowPunct/>
              <w:topLinePunct w:val="0"/>
              <w:autoSpaceDE/>
              <w:autoSpaceDN/>
              <w:bidi w:val="0"/>
              <w:adjustRightInd w:val="0"/>
              <w:snapToGrid w:val="0"/>
              <w:spacing w:line="324" w:lineRule="auto"/>
              <w:ind w:right="0"/>
              <w:rPr>
                <w:rFonts w:ascii="仿宋" w:hAnsi="仿宋" w:eastAsia="仿宋" w:cs="仿宋"/>
                <w:snapToGrid w:val="0"/>
                <w:color w:val="000000"/>
                <w:kern w:val="0"/>
                <w:sz w:val="24"/>
                <w:szCs w:val="24"/>
                <w:lang w:val="en-US" w:eastAsia="en-US" w:bidi="ar-SA"/>
              </w:rPr>
            </w:pPr>
            <w:r>
              <w:t>税收缴纳证明</w:t>
            </w:r>
          </w:p>
        </w:tc>
        <w:tc>
          <w:tcPr>
            <w:tcW w:w="4580" w:type="dxa"/>
            <w:shd w:val="clear" w:color="auto" w:fill="auto"/>
            <w:vAlign w:val="top"/>
          </w:tcPr>
          <w:p w14:paraId="6FA6A4F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rightChars="0" w:firstLine="520" w:firstLineChars="200"/>
              <w:jc w:val="both"/>
              <w:rPr>
                <w:rFonts w:ascii="仿宋" w:hAnsi="仿宋" w:eastAsia="仿宋" w:cs="仿宋"/>
                <w:snapToGrid w:val="0"/>
                <w:color w:val="000000"/>
                <w:kern w:val="0"/>
                <w:sz w:val="24"/>
                <w:szCs w:val="24"/>
                <w:lang w:val="en-US" w:eastAsia="en-US" w:bidi="ar-SA"/>
              </w:rPr>
            </w:pPr>
            <w:r>
              <w:rPr>
                <w:spacing w:val="10"/>
              </w:rPr>
              <w:t>提供递交响应文件截止之</w:t>
            </w:r>
            <w:r>
              <w:rPr>
                <w:spacing w:val="-26"/>
              </w:rPr>
              <w:t xml:space="preserve"> </w:t>
            </w:r>
            <w:r>
              <w:rPr>
                <w:spacing w:val="10"/>
              </w:rPr>
              <w:t>日前一年内任</w:t>
            </w:r>
            <w:r>
              <w:rPr>
                <w:spacing w:val="1"/>
              </w:rPr>
              <w:t>意一个月的依法缴纳税收的完税证明，完</w:t>
            </w:r>
            <w:r>
              <w:rPr>
                <w:spacing w:val="15"/>
              </w:rPr>
              <w:t>税证明应有税务机关或代收机关的公章</w:t>
            </w:r>
            <w:r>
              <w:rPr>
                <w:spacing w:val="1"/>
              </w:rPr>
              <w:t>或业务专用章。依法免税或无须缴纳税收的供应商，应提供相应证明文件。</w:t>
            </w:r>
          </w:p>
        </w:tc>
        <w:tc>
          <w:tcPr>
            <w:tcW w:w="806" w:type="dxa"/>
            <w:vAlign w:val="top"/>
          </w:tcPr>
          <w:p w14:paraId="04DE0DA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25" w:type="dxa"/>
            <w:vAlign w:val="top"/>
          </w:tcPr>
          <w:p w14:paraId="267A9D8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516DC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39" w:hRule="atLeast"/>
        </w:trPr>
        <w:tc>
          <w:tcPr>
            <w:tcW w:w="736" w:type="dxa"/>
            <w:shd w:val="clear" w:color="auto" w:fill="auto"/>
            <w:vAlign w:val="top"/>
          </w:tcPr>
          <w:p w14:paraId="30D14E6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1BE374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E00669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67BB09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930319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45DD02A">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rPr>
                <w:rFonts w:ascii="仿宋" w:hAnsi="仿宋" w:eastAsia="仿宋" w:cs="仿宋"/>
                <w:snapToGrid w:val="0"/>
                <w:color w:val="000000"/>
                <w:kern w:val="0"/>
                <w:sz w:val="24"/>
                <w:szCs w:val="24"/>
                <w:lang w:val="en-US" w:eastAsia="en-US" w:bidi="ar-SA"/>
              </w:rPr>
            </w:pPr>
            <w:r>
              <w:t>5</w:t>
            </w:r>
          </w:p>
        </w:tc>
        <w:tc>
          <w:tcPr>
            <w:tcW w:w="1865" w:type="dxa"/>
            <w:shd w:val="clear" w:color="auto" w:fill="auto"/>
            <w:vAlign w:val="top"/>
          </w:tcPr>
          <w:p w14:paraId="3B69E2C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B89E38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3CD615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DA87BC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523DFD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58BEF99">
            <w:pPr>
              <w:pStyle w:val="16"/>
              <w:keepNext w:val="0"/>
              <w:keepLines w:val="0"/>
              <w:pageBreakBefore w:val="0"/>
              <w:widowControl/>
              <w:kinsoku/>
              <w:wordWrap/>
              <w:overflowPunct/>
              <w:topLinePunct w:val="0"/>
              <w:autoSpaceDE/>
              <w:autoSpaceDN/>
              <w:bidi w:val="0"/>
              <w:adjustRightInd w:val="0"/>
              <w:snapToGrid w:val="0"/>
              <w:spacing w:line="324" w:lineRule="auto"/>
              <w:ind w:right="0"/>
              <w:rPr>
                <w:rFonts w:ascii="仿宋" w:hAnsi="仿宋" w:eastAsia="仿宋" w:cs="仿宋"/>
                <w:snapToGrid w:val="0"/>
                <w:color w:val="000000"/>
                <w:kern w:val="0"/>
                <w:sz w:val="24"/>
                <w:szCs w:val="24"/>
                <w:lang w:val="en-US" w:eastAsia="en-US" w:bidi="ar-SA"/>
              </w:rPr>
            </w:pPr>
            <w:r>
              <w:rPr>
                <w:spacing w:val="-2"/>
              </w:rPr>
              <w:t>信用记录</w:t>
            </w:r>
          </w:p>
        </w:tc>
        <w:tc>
          <w:tcPr>
            <w:tcW w:w="4580" w:type="dxa"/>
            <w:shd w:val="clear" w:color="auto" w:fill="auto"/>
            <w:vAlign w:val="top"/>
          </w:tcPr>
          <w:p w14:paraId="0F139B20">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rightChars="0" w:firstLine="484" w:firstLineChars="200"/>
              <w:jc w:val="both"/>
              <w:rPr>
                <w:rFonts w:ascii="仿宋" w:hAnsi="仿宋" w:eastAsia="仿宋" w:cs="仿宋"/>
                <w:snapToGrid w:val="0"/>
                <w:color w:val="000000"/>
                <w:kern w:val="0"/>
                <w:sz w:val="24"/>
                <w:szCs w:val="24"/>
                <w:lang w:val="en-US" w:eastAsia="en-US" w:bidi="ar-SA"/>
              </w:rPr>
            </w:pPr>
            <w:r>
              <w:rPr>
                <w:spacing w:val="1"/>
              </w:rPr>
              <w:t>提供《供应商信用记录书面声明函》。经</w:t>
            </w:r>
            <w:r>
              <w:rPr>
                <w:spacing w:val="-1"/>
              </w:rPr>
              <w:t>查，供应商未被列入“信用中国</w:t>
            </w:r>
            <w:r>
              <w:rPr>
                <w:spacing w:val="-76"/>
              </w:rPr>
              <w:t xml:space="preserve"> </w:t>
            </w:r>
            <w:r>
              <w:rPr>
                <w:spacing w:val="-1"/>
              </w:rPr>
              <w:t>”网站记录的“失信被执行人</w:t>
            </w:r>
            <w:r>
              <w:rPr>
                <w:spacing w:val="-79"/>
              </w:rPr>
              <w:t xml:space="preserve"> </w:t>
            </w:r>
            <w:r>
              <w:rPr>
                <w:spacing w:val="-1"/>
              </w:rPr>
              <w:t>”或“重大税收违法</w:t>
            </w:r>
            <w:r>
              <w:rPr>
                <w:spacing w:val="-4"/>
              </w:rPr>
              <w:t>案件当事人</w:t>
            </w:r>
            <w:r>
              <w:rPr>
                <w:spacing w:val="-71"/>
              </w:rPr>
              <w:t xml:space="preserve"> </w:t>
            </w:r>
            <w:r>
              <w:rPr>
                <w:spacing w:val="-4"/>
              </w:rPr>
              <w:t>”名单；不处于“</w:t>
            </w:r>
            <w:r>
              <w:rPr>
                <w:spacing w:val="-71"/>
              </w:rPr>
              <w:t xml:space="preserve"> </w:t>
            </w:r>
            <w:r>
              <w:rPr>
                <w:spacing w:val="-4"/>
              </w:rPr>
              <w:t>中国政府采</w:t>
            </w:r>
            <w:r>
              <w:rPr>
                <w:spacing w:val="-1"/>
              </w:rPr>
              <w:t>购网</w:t>
            </w:r>
            <w:r>
              <w:rPr>
                <w:spacing w:val="-79"/>
              </w:rPr>
              <w:t xml:space="preserve"> </w:t>
            </w:r>
            <w:r>
              <w:rPr>
                <w:spacing w:val="-1"/>
              </w:rPr>
              <w:t>”记录的“政府采购严重违法失信行为记录名单</w:t>
            </w:r>
            <w:r>
              <w:rPr>
                <w:spacing w:val="-76"/>
              </w:rPr>
              <w:t xml:space="preserve"> </w:t>
            </w:r>
            <w:r>
              <w:rPr>
                <w:spacing w:val="-1"/>
              </w:rPr>
              <w:t>”中的禁止参加政府采购活动</w:t>
            </w:r>
            <w:r>
              <w:rPr>
                <w:spacing w:val="-5"/>
              </w:rPr>
              <w:t>期间。</w:t>
            </w:r>
          </w:p>
        </w:tc>
        <w:tc>
          <w:tcPr>
            <w:tcW w:w="806" w:type="dxa"/>
            <w:vAlign w:val="top"/>
          </w:tcPr>
          <w:p w14:paraId="7B6D259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25" w:type="dxa"/>
            <w:vAlign w:val="top"/>
          </w:tcPr>
          <w:p w14:paraId="21B1830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bl>
    <w:p w14:paraId="453705B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2898C0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hAnsi="Arial" w:eastAsia="Arial" w:cs="Arial"/>
          <w:sz w:val="21"/>
          <w:szCs w:val="21"/>
        </w:rPr>
        <w:sectPr>
          <w:footerReference r:id="rId7" w:type="default"/>
          <w:pgSz w:w="11906" w:h="16839"/>
          <w:pgMar w:top="1210" w:right="1337" w:bottom="1233" w:left="1417" w:header="828" w:footer="1019" w:gutter="0"/>
          <w:pgBorders>
            <w:top w:val="none" w:sz="0" w:space="0"/>
            <w:left w:val="none" w:sz="0" w:space="0"/>
            <w:bottom w:val="none" w:sz="0" w:space="0"/>
            <w:right w:val="none" w:sz="0" w:space="0"/>
          </w:pgBorders>
          <w:pgNumType w:fmt="decimal"/>
          <w:cols w:space="720" w:num="1"/>
        </w:sectPr>
      </w:pPr>
    </w:p>
    <w:p w14:paraId="7BEDBDD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pPr>
    </w:p>
    <w:tbl>
      <w:tblPr>
        <w:tblStyle w:val="15"/>
        <w:tblW w:w="8985" w:type="dxa"/>
        <w:tblInd w:w="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1865"/>
        <w:gridCol w:w="4580"/>
        <w:gridCol w:w="806"/>
        <w:gridCol w:w="998"/>
      </w:tblGrid>
      <w:tr w14:paraId="5DA5F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5" w:hRule="atLeast"/>
        </w:trPr>
        <w:tc>
          <w:tcPr>
            <w:tcW w:w="736" w:type="dxa"/>
            <w:vAlign w:val="top"/>
          </w:tcPr>
          <w:p w14:paraId="0EF318A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288BE21">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6</w:t>
            </w:r>
          </w:p>
        </w:tc>
        <w:tc>
          <w:tcPr>
            <w:tcW w:w="1865" w:type="dxa"/>
            <w:vAlign w:val="top"/>
          </w:tcPr>
          <w:p w14:paraId="612737A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A9E56FF">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1"/>
              </w:rPr>
              <w:t>控股管理关系</w:t>
            </w:r>
          </w:p>
        </w:tc>
        <w:tc>
          <w:tcPr>
            <w:tcW w:w="4580" w:type="dxa"/>
            <w:vAlign w:val="top"/>
          </w:tcPr>
          <w:p w14:paraId="1DFEF4D4">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jc w:val="both"/>
            </w:pPr>
            <w:r>
              <w:rPr>
                <w:spacing w:val="1"/>
              </w:rPr>
              <w:t>提供直接控股和管理关系清单。若与其他</w:t>
            </w:r>
            <w:r>
              <w:rPr>
                <w:spacing w:val="15"/>
              </w:rPr>
              <w:t>供应商存在单位负责人为同一人或者存</w:t>
            </w:r>
            <w:r>
              <w:t>在直接控股、管理关系的，则磋商无效。</w:t>
            </w:r>
          </w:p>
        </w:tc>
        <w:tc>
          <w:tcPr>
            <w:tcW w:w="806" w:type="dxa"/>
            <w:vAlign w:val="top"/>
          </w:tcPr>
          <w:p w14:paraId="5CEBEB9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998" w:type="dxa"/>
            <w:vAlign w:val="top"/>
          </w:tcPr>
          <w:p w14:paraId="131A1F6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2BB40E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736" w:type="dxa"/>
            <w:vAlign w:val="top"/>
          </w:tcPr>
          <w:p w14:paraId="498221D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C87769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DC42348">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7</w:t>
            </w:r>
          </w:p>
        </w:tc>
        <w:tc>
          <w:tcPr>
            <w:tcW w:w="1865" w:type="dxa"/>
            <w:vAlign w:val="top"/>
          </w:tcPr>
          <w:p w14:paraId="73B6D7E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C3E099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640E721">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5"/>
              </w:rPr>
              <w:t>书面声明</w:t>
            </w:r>
          </w:p>
        </w:tc>
        <w:tc>
          <w:tcPr>
            <w:tcW w:w="4580" w:type="dxa"/>
            <w:vAlign w:val="top"/>
          </w:tcPr>
          <w:p w14:paraId="638DA6AF">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pPr>
            <w:r>
              <w:rPr>
                <w:spacing w:val="1"/>
              </w:rPr>
              <w:t>提供书面声明，包括声明具有履行合同所必需的设备和专业技术能力；未为本项目提供整体设计、规范编制或者项目管理、</w:t>
            </w:r>
            <w:r>
              <w:t>监理、检测等服务。</w:t>
            </w:r>
          </w:p>
        </w:tc>
        <w:tc>
          <w:tcPr>
            <w:tcW w:w="806" w:type="dxa"/>
            <w:vAlign w:val="top"/>
          </w:tcPr>
          <w:p w14:paraId="3807754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998" w:type="dxa"/>
            <w:vAlign w:val="top"/>
          </w:tcPr>
          <w:p w14:paraId="72BC969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5C043E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3" w:hRule="atLeast"/>
        </w:trPr>
        <w:tc>
          <w:tcPr>
            <w:tcW w:w="736" w:type="dxa"/>
            <w:vAlign w:val="top"/>
          </w:tcPr>
          <w:p w14:paraId="1F5D0D3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09B8BC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F877CA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756499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92D882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C37223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49E9151">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8</w:t>
            </w:r>
          </w:p>
        </w:tc>
        <w:tc>
          <w:tcPr>
            <w:tcW w:w="1865" w:type="dxa"/>
            <w:vAlign w:val="top"/>
          </w:tcPr>
          <w:p w14:paraId="2B692A5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1544ED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3D21BD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ABC998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EFCE02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C47D0B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4F337C4">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2"/>
              </w:rPr>
              <w:t>法定代表人授权委托书</w:t>
            </w:r>
          </w:p>
        </w:tc>
        <w:tc>
          <w:tcPr>
            <w:tcW w:w="4580" w:type="dxa"/>
            <w:vAlign w:val="top"/>
          </w:tcPr>
          <w:p w14:paraId="15A0BCC7">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jc w:val="both"/>
            </w:pPr>
            <w:r>
              <w:rPr>
                <w:spacing w:val="1"/>
              </w:rPr>
              <w:t>法定代表人参加磋商的，须提供本人身份</w:t>
            </w:r>
            <w:r>
              <w:t>证复印件（附在资格证明文件中</w:t>
            </w:r>
            <w:r>
              <w:rPr>
                <w:spacing w:val="12"/>
              </w:rPr>
              <w:t>）；</w:t>
            </w:r>
            <w:r>
              <w:t>法定</w:t>
            </w:r>
            <w:r>
              <w:rPr>
                <w:spacing w:val="1"/>
              </w:rPr>
              <w:t>代表人授权他人参加磋商的，须提供法定代表人授权委托书。磋商文件中凡是需要法定代表人盖章之处，非法人单位的负责</w:t>
            </w:r>
            <w:r>
              <w:t>人均参照执行。</w:t>
            </w:r>
          </w:p>
          <w:p w14:paraId="524F584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jc w:val="both"/>
            </w:pPr>
            <w:r>
              <w:rPr>
                <w:spacing w:val="1"/>
              </w:rPr>
              <w:t>法人的分支机构参与磋商时，除提供《法定代表人授权委托书》外，还须同时提供法人给分支机构出具的授权书。</w:t>
            </w:r>
          </w:p>
        </w:tc>
        <w:tc>
          <w:tcPr>
            <w:tcW w:w="806" w:type="dxa"/>
            <w:vAlign w:val="top"/>
          </w:tcPr>
          <w:p w14:paraId="0029F73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998" w:type="dxa"/>
            <w:vAlign w:val="top"/>
          </w:tcPr>
          <w:p w14:paraId="055F338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03D2C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8" w:hRule="atLeast"/>
        </w:trPr>
        <w:tc>
          <w:tcPr>
            <w:tcW w:w="736" w:type="dxa"/>
            <w:shd w:val="clear" w:color="auto" w:fill="auto"/>
            <w:vAlign w:val="top"/>
          </w:tcPr>
          <w:p w14:paraId="7EA0016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F0043C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AC43B1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5D9663C">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rPr>
                <w:rFonts w:ascii="仿宋" w:hAnsi="仿宋" w:eastAsia="仿宋" w:cs="仿宋"/>
                <w:snapToGrid w:val="0"/>
                <w:color w:val="000000"/>
                <w:kern w:val="0"/>
                <w:sz w:val="24"/>
                <w:szCs w:val="24"/>
                <w:lang w:val="en-US" w:eastAsia="en-US" w:bidi="ar-SA"/>
              </w:rPr>
            </w:pPr>
            <w:r>
              <w:t>9</w:t>
            </w:r>
          </w:p>
        </w:tc>
        <w:tc>
          <w:tcPr>
            <w:tcW w:w="1865" w:type="dxa"/>
            <w:shd w:val="clear" w:color="auto" w:fill="auto"/>
            <w:vAlign w:val="top"/>
          </w:tcPr>
          <w:p w14:paraId="06B95C6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C6115F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9A520E2">
            <w:pPr>
              <w:pStyle w:val="16"/>
              <w:keepNext w:val="0"/>
              <w:keepLines w:val="0"/>
              <w:pageBreakBefore w:val="0"/>
              <w:widowControl/>
              <w:kinsoku/>
              <w:wordWrap/>
              <w:overflowPunct/>
              <w:topLinePunct w:val="0"/>
              <w:autoSpaceDE/>
              <w:autoSpaceDN/>
              <w:bidi w:val="0"/>
              <w:adjustRightInd w:val="0"/>
              <w:snapToGrid w:val="0"/>
              <w:spacing w:line="324" w:lineRule="auto"/>
              <w:ind w:right="0"/>
              <w:rPr>
                <w:rFonts w:ascii="仿宋" w:hAnsi="仿宋" w:eastAsia="仿宋" w:cs="仿宋"/>
                <w:snapToGrid w:val="0"/>
                <w:color w:val="000000"/>
                <w:kern w:val="0"/>
                <w:sz w:val="24"/>
                <w:szCs w:val="24"/>
                <w:lang w:val="en-US" w:eastAsia="en-US" w:bidi="ar-SA"/>
              </w:rPr>
            </w:pPr>
            <w:r>
              <w:rPr>
                <w:spacing w:val="-2"/>
              </w:rPr>
              <w:t>落实政府采购</w:t>
            </w:r>
            <w:r>
              <w:rPr>
                <w:spacing w:val="-1"/>
              </w:rPr>
              <w:t>政策须满足的</w:t>
            </w:r>
            <w:r>
              <w:rPr>
                <w:spacing w:val="-5"/>
              </w:rPr>
              <w:t>资格要求</w:t>
            </w:r>
          </w:p>
        </w:tc>
        <w:tc>
          <w:tcPr>
            <w:tcW w:w="4580" w:type="dxa"/>
            <w:shd w:val="clear" w:color="auto" w:fill="auto"/>
            <w:vAlign w:val="top"/>
          </w:tcPr>
          <w:p w14:paraId="3AC46BCE">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rightChars="0" w:firstLine="484" w:firstLineChars="200"/>
              <w:jc w:val="both"/>
              <w:rPr>
                <w:rFonts w:ascii="仿宋" w:hAnsi="仿宋" w:eastAsia="仿宋" w:cs="仿宋"/>
                <w:snapToGrid w:val="0"/>
                <w:color w:val="000000"/>
                <w:kern w:val="0"/>
                <w:sz w:val="24"/>
                <w:szCs w:val="24"/>
                <w:lang w:val="en-US" w:eastAsia="en-US" w:bidi="ar-SA"/>
              </w:rPr>
            </w:pPr>
            <w:r>
              <w:rPr>
                <w:spacing w:val="1"/>
              </w:rPr>
              <w:t>供应商为中小企业的，提供《中小企业声明函》；供应商为监狱企业的，应提供监狱企业的证明文件；供应商为残疾人福利性单位的，应提供《残疾人福利性单位声明函》（监狱企业或残疾人福利性单位视同小型、微型企业）。</w:t>
            </w:r>
          </w:p>
        </w:tc>
        <w:tc>
          <w:tcPr>
            <w:tcW w:w="806" w:type="dxa"/>
            <w:vAlign w:val="top"/>
          </w:tcPr>
          <w:p w14:paraId="30BA788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998" w:type="dxa"/>
            <w:vAlign w:val="top"/>
          </w:tcPr>
          <w:p w14:paraId="59561C9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653561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8" w:hRule="atLeast"/>
        </w:trPr>
        <w:tc>
          <w:tcPr>
            <w:tcW w:w="736" w:type="dxa"/>
            <w:shd w:val="clear" w:color="auto" w:fill="auto"/>
            <w:vAlign w:val="top"/>
          </w:tcPr>
          <w:p w14:paraId="7B3289F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A5643D1">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24" w:firstLineChars="200"/>
              <w:rPr>
                <w:rFonts w:hint="eastAsia" w:ascii="仿宋" w:hAnsi="仿宋" w:eastAsia="仿宋" w:cs="仿宋"/>
                <w:snapToGrid w:val="0"/>
                <w:color w:val="000000"/>
                <w:kern w:val="0"/>
                <w:sz w:val="24"/>
                <w:szCs w:val="24"/>
                <w:lang w:val="en-US" w:eastAsia="zh-CN" w:bidi="ar-SA"/>
              </w:rPr>
            </w:pPr>
            <w:r>
              <w:rPr>
                <w:spacing w:val="-14"/>
                <w:position w:val="1"/>
              </w:rPr>
              <w:t>1</w:t>
            </w:r>
            <w:r>
              <w:rPr>
                <w:rFonts w:hint="eastAsia"/>
                <w:spacing w:val="-14"/>
                <w:position w:val="1"/>
                <w:lang w:val="en-US" w:eastAsia="zh-CN"/>
              </w:rPr>
              <w:t>0</w:t>
            </w:r>
          </w:p>
        </w:tc>
        <w:tc>
          <w:tcPr>
            <w:tcW w:w="1865" w:type="dxa"/>
            <w:shd w:val="clear" w:color="auto" w:fill="auto"/>
            <w:vAlign w:val="top"/>
          </w:tcPr>
          <w:p w14:paraId="6EC07716">
            <w:pPr>
              <w:pStyle w:val="16"/>
              <w:keepNext w:val="0"/>
              <w:keepLines w:val="0"/>
              <w:pageBreakBefore w:val="0"/>
              <w:widowControl/>
              <w:kinsoku/>
              <w:wordWrap/>
              <w:overflowPunct/>
              <w:topLinePunct w:val="0"/>
              <w:autoSpaceDE/>
              <w:autoSpaceDN/>
              <w:bidi w:val="0"/>
              <w:adjustRightInd w:val="0"/>
              <w:snapToGrid w:val="0"/>
              <w:spacing w:line="324" w:lineRule="auto"/>
              <w:ind w:right="0"/>
              <w:rPr>
                <w:rFonts w:ascii="仿宋" w:hAnsi="仿宋" w:eastAsia="仿宋" w:cs="仿宋"/>
                <w:snapToGrid w:val="0"/>
                <w:color w:val="000000"/>
                <w:kern w:val="0"/>
                <w:sz w:val="24"/>
                <w:szCs w:val="24"/>
                <w:lang w:val="en-US" w:eastAsia="en-US" w:bidi="ar-SA"/>
              </w:rPr>
            </w:pPr>
            <w:r>
              <w:rPr>
                <w:spacing w:val="-1"/>
              </w:rPr>
              <w:t>本项目不接受</w:t>
            </w:r>
            <w:r>
              <w:rPr>
                <w:spacing w:val="-4"/>
              </w:rPr>
              <w:t>联合体响应</w:t>
            </w:r>
          </w:p>
        </w:tc>
        <w:tc>
          <w:tcPr>
            <w:tcW w:w="4580" w:type="dxa"/>
            <w:shd w:val="clear" w:color="auto" w:fill="auto"/>
            <w:vAlign w:val="top"/>
          </w:tcPr>
          <w:p w14:paraId="416E5252">
            <w:pPr>
              <w:pStyle w:val="16"/>
              <w:keepNext w:val="0"/>
              <w:keepLines w:val="0"/>
              <w:pageBreakBefore w:val="0"/>
              <w:widowControl/>
              <w:kinsoku/>
              <w:wordWrap/>
              <w:overflowPunct/>
              <w:topLinePunct w:val="0"/>
              <w:autoSpaceDE/>
              <w:autoSpaceDN/>
              <w:bidi w:val="0"/>
              <w:adjustRightInd w:val="0"/>
              <w:snapToGrid w:val="0"/>
              <w:spacing w:line="324" w:lineRule="auto"/>
              <w:ind w:right="0" w:rightChars="0" w:firstLine="270" w:firstLineChars="100"/>
              <w:rPr>
                <w:rFonts w:ascii="仿宋" w:hAnsi="仿宋" w:eastAsia="仿宋" w:cs="仿宋"/>
                <w:snapToGrid w:val="0"/>
                <w:color w:val="000000"/>
                <w:kern w:val="0"/>
                <w:sz w:val="24"/>
                <w:szCs w:val="24"/>
                <w:lang w:val="en-US" w:eastAsia="en-US" w:bidi="ar-SA"/>
              </w:rPr>
            </w:pPr>
            <w:r>
              <w:rPr>
                <w:spacing w:val="15"/>
              </w:rPr>
              <w:t>供应商应提供《非联合体投标声</w:t>
            </w:r>
            <w:r>
              <w:t>明》</w:t>
            </w:r>
          </w:p>
        </w:tc>
        <w:tc>
          <w:tcPr>
            <w:tcW w:w="806" w:type="dxa"/>
            <w:vAlign w:val="top"/>
          </w:tcPr>
          <w:p w14:paraId="5CFF832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998" w:type="dxa"/>
            <w:vAlign w:val="top"/>
          </w:tcPr>
          <w:p w14:paraId="02B3C02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00E4E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3" w:hRule="atLeast"/>
        </w:trPr>
        <w:tc>
          <w:tcPr>
            <w:tcW w:w="8985" w:type="dxa"/>
            <w:gridSpan w:val="5"/>
            <w:shd w:val="clear" w:color="auto" w:fill="auto"/>
            <w:vAlign w:val="top"/>
          </w:tcPr>
          <w:p w14:paraId="0F0446E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8" w:firstLineChars="200"/>
              <w:rPr>
                <w:b/>
                <w:bCs/>
                <w:spacing w:val="2"/>
              </w:rPr>
            </w:pPr>
          </w:p>
          <w:p w14:paraId="5BF410E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8" w:firstLineChars="200"/>
              <w:rPr>
                <w:rFonts w:ascii="Arial"/>
                <w:sz w:val="21"/>
              </w:rPr>
            </w:pPr>
            <w:r>
              <w:rPr>
                <w:b/>
                <w:bCs/>
                <w:spacing w:val="2"/>
              </w:rPr>
              <w:t>磋商小组成员</w:t>
            </w:r>
            <w:r>
              <w:rPr>
                <w:b/>
                <w:bCs/>
                <w:spacing w:val="-12"/>
              </w:rPr>
              <w:t>（</w:t>
            </w:r>
            <w:r>
              <w:rPr>
                <w:b/>
                <w:bCs/>
                <w:spacing w:val="2"/>
              </w:rPr>
              <w:t>签字）</w:t>
            </w:r>
            <w:r>
              <w:rPr>
                <w:b/>
                <w:bCs/>
                <w:spacing w:val="-12"/>
              </w:rPr>
              <w:t>：</w:t>
            </w:r>
          </w:p>
        </w:tc>
      </w:tr>
    </w:tbl>
    <w:p w14:paraId="2ABAEC0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b/>
          <w:bCs/>
          <w:spacing w:val="-2"/>
          <w:sz w:val="28"/>
          <w:szCs w:val="28"/>
        </w:rPr>
      </w:pPr>
    </w:p>
    <w:p w14:paraId="20B448F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出现下列情形的，响应文件将被视为无效：</w:t>
      </w:r>
    </w:p>
    <w:p w14:paraId="0A3706E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（1）不具备磋商文件中规定的资格要求的；</w:t>
      </w:r>
    </w:p>
    <w:p w14:paraId="122FD37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（2）未按磋商文件要求提供资格证明文件，或未按磋商文件要求加盖</w:t>
      </w:r>
      <w:r>
        <w:rPr>
          <w:spacing w:val="-5"/>
          <w:sz w:val="28"/>
          <w:szCs w:val="28"/>
        </w:rPr>
        <w:t>公章的；</w:t>
      </w:r>
    </w:p>
    <w:p w14:paraId="2A33928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（3）磋商小组认为供应商的资格证明文件存在疑点，要求供应商通过</w:t>
      </w:r>
      <w:r>
        <w:rPr>
          <w:spacing w:val="-6"/>
          <w:sz w:val="28"/>
          <w:szCs w:val="28"/>
        </w:rPr>
        <w:t>公共资源交易平台（以下简称“平台”）或电子邮件（在平台无法支持的情</w:t>
      </w:r>
      <w:r>
        <w:rPr>
          <w:spacing w:val="3"/>
          <w:sz w:val="28"/>
          <w:szCs w:val="28"/>
        </w:rPr>
        <w:t>况下）等形式提供更清晰有效的证明文件，供应商</w:t>
      </w:r>
      <w:r>
        <w:rPr>
          <w:spacing w:val="2"/>
          <w:sz w:val="28"/>
          <w:szCs w:val="28"/>
        </w:rPr>
        <w:t>不能在规定时限内提供</w:t>
      </w:r>
      <w:r>
        <w:rPr>
          <w:spacing w:val="1"/>
          <w:sz w:val="28"/>
          <w:szCs w:val="28"/>
        </w:rPr>
        <w:t>符合磋商文件要求的证明文件的。</w:t>
      </w:r>
    </w:p>
    <w:p w14:paraId="312D178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资格审查结束后，磋商小组成员应当对审查结果进行签字确认，并告</w:t>
      </w:r>
      <w:r>
        <w:rPr>
          <w:spacing w:val="1"/>
          <w:sz w:val="28"/>
          <w:szCs w:val="28"/>
        </w:rPr>
        <w:t>知有关供应商未通过审查的原因。</w:t>
      </w:r>
    </w:p>
    <w:p w14:paraId="203B865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通过资格审查的供应商不足</w:t>
      </w:r>
      <w:r>
        <w:rPr>
          <w:spacing w:val="-50"/>
          <w:sz w:val="28"/>
          <w:szCs w:val="28"/>
        </w:rPr>
        <w:t xml:space="preserve"> </w:t>
      </w:r>
      <w:r>
        <w:rPr>
          <w:b/>
          <w:bCs/>
          <w:spacing w:val="-2"/>
          <w:sz w:val="28"/>
          <w:szCs w:val="28"/>
        </w:rPr>
        <w:t>3</w:t>
      </w:r>
      <w:r>
        <w:rPr>
          <w:spacing w:val="-45"/>
          <w:sz w:val="28"/>
          <w:szCs w:val="28"/>
        </w:rPr>
        <w:t xml:space="preserve"> </w:t>
      </w:r>
      <w:r>
        <w:rPr>
          <w:b/>
          <w:bCs/>
          <w:spacing w:val="-2"/>
          <w:sz w:val="28"/>
          <w:szCs w:val="28"/>
        </w:rPr>
        <w:t>家的，不得进行符合性审查，应予以废</w:t>
      </w:r>
      <w:r>
        <w:rPr>
          <w:b/>
          <w:bCs/>
          <w:spacing w:val="-12"/>
          <w:sz w:val="28"/>
          <w:szCs w:val="28"/>
        </w:rPr>
        <w:t>标。</w:t>
      </w:r>
    </w:p>
    <w:p w14:paraId="19C8344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2、响应文件的符合性审查</w:t>
      </w:r>
    </w:p>
    <w:p w14:paraId="22667FB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磋商小组依据磋商文件的规定，对响应文件</w:t>
      </w:r>
      <w:r>
        <w:rPr>
          <w:spacing w:val="2"/>
          <w:sz w:val="28"/>
          <w:szCs w:val="28"/>
        </w:rPr>
        <w:t>的有效性、完整性和对磋商文件的响应程度进行审查，以确定是否对磋商文件的全部实质性要求做</w:t>
      </w:r>
      <w:r>
        <w:rPr>
          <w:spacing w:val="-6"/>
          <w:sz w:val="28"/>
          <w:szCs w:val="28"/>
        </w:rPr>
        <w:t>出响应。</w:t>
      </w:r>
    </w:p>
    <w:p w14:paraId="158E1F2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磋商小组要审查每份响应文件是否实质上响应了磋</w:t>
      </w:r>
      <w:r>
        <w:rPr>
          <w:spacing w:val="2"/>
          <w:sz w:val="28"/>
          <w:szCs w:val="28"/>
        </w:rPr>
        <w:t>商文件的要求。实质上没有响应磋商文件要求的响应文件作</w:t>
      </w:r>
      <w:r>
        <w:rPr>
          <w:b/>
          <w:bCs/>
          <w:spacing w:val="2"/>
          <w:sz w:val="28"/>
          <w:szCs w:val="28"/>
        </w:rPr>
        <w:t>无效响应处理</w:t>
      </w:r>
      <w:r>
        <w:rPr>
          <w:spacing w:val="2"/>
          <w:sz w:val="28"/>
          <w:szCs w:val="28"/>
        </w:rPr>
        <w:t>，磋商小组应告知</w:t>
      </w:r>
      <w:r>
        <w:rPr>
          <w:spacing w:val="3"/>
          <w:sz w:val="28"/>
          <w:szCs w:val="28"/>
        </w:rPr>
        <w:t>有关供应商未通过审查的原因。供应商不得通过修正或撤销</w:t>
      </w:r>
      <w:r>
        <w:rPr>
          <w:spacing w:val="2"/>
          <w:sz w:val="28"/>
          <w:szCs w:val="28"/>
        </w:rPr>
        <w:t>不符之处而使</w:t>
      </w:r>
      <w:r>
        <w:rPr>
          <w:spacing w:val="1"/>
          <w:sz w:val="28"/>
          <w:szCs w:val="28"/>
        </w:rPr>
        <w:t>其成为实质上响应。</w:t>
      </w:r>
    </w:p>
    <w:p w14:paraId="32EECC1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6" w:firstLineChars="200"/>
        <w:rPr>
          <w:sz w:val="28"/>
          <w:szCs w:val="28"/>
        </w:rPr>
      </w:pPr>
      <w:r>
        <w:rPr>
          <w:b/>
          <w:bCs/>
          <w:spacing w:val="-4"/>
          <w:sz w:val="28"/>
          <w:szCs w:val="28"/>
        </w:rPr>
        <w:t>符合性审查表</w:t>
      </w:r>
    </w:p>
    <w:p w14:paraId="6B6DC62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 w:firstLineChars="200"/>
        <w:rPr>
          <w:rFonts w:ascii="Arial"/>
          <w:sz w:val="2"/>
        </w:rPr>
      </w:pPr>
    </w:p>
    <w:tbl>
      <w:tblPr>
        <w:tblStyle w:val="15"/>
        <w:tblW w:w="9038" w:type="dxa"/>
        <w:tblInd w:w="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6"/>
        <w:gridCol w:w="2549"/>
        <w:gridCol w:w="3951"/>
        <w:gridCol w:w="610"/>
        <w:gridCol w:w="1282"/>
      </w:tblGrid>
      <w:tr w14:paraId="6BA4A8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646" w:type="dxa"/>
            <w:textDirection w:val="tbRlV"/>
            <w:vAlign w:val="top"/>
          </w:tcPr>
          <w:p w14:paraId="1CB76ADC">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0" w:firstLineChars="0"/>
            </w:pPr>
          </w:p>
        </w:tc>
        <w:tc>
          <w:tcPr>
            <w:tcW w:w="2549" w:type="dxa"/>
            <w:vAlign w:val="center"/>
          </w:tcPr>
          <w:p w14:paraId="4C7C537D">
            <w:pPr>
              <w:pStyle w:val="16"/>
              <w:keepNext w:val="0"/>
              <w:keepLines w:val="0"/>
              <w:pageBreakBefore w:val="0"/>
              <w:widowControl/>
              <w:kinsoku/>
              <w:wordWrap/>
              <w:overflowPunct/>
              <w:topLinePunct w:val="0"/>
              <w:autoSpaceDE/>
              <w:autoSpaceDN/>
              <w:bidi w:val="0"/>
              <w:adjustRightInd w:val="0"/>
              <w:snapToGrid w:val="0"/>
              <w:spacing w:line="324" w:lineRule="auto"/>
              <w:ind w:right="0"/>
              <w:jc w:val="center"/>
            </w:pPr>
            <w:r>
              <w:rPr>
                <w:b/>
                <w:bCs/>
                <w:spacing w:val="-3"/>
              </w:rPr>
              <w:t>符合性审查项</w:t>
            </w:r>
          </w:p>
        </w:tc>
        <w:tc>
          <w:tcPr>
            <w:tcW w:w="3951" w:type="dxa"/>
            <w:vAlign w:val="center"/>
          </w:tcPr>
          <w:p w14:paraId="36849D32">
            <w:pPr>
              <w:pStyle w:val="16"/>
              <w:keepNext w:val="0"/>
              <w:keepLines w:val="0"/>
              <w:pageBreakBefore w:val="0"/>
              <w:widowControl/>
              <w:kinsoku/>
              <w:wordWrap/>
              <w:overflowPunct/>
              <w:topLinePunct w:val="0"/>
              <w:autoSpaceDE/>
              <w:autoSpaceDN/>
              <w:bidi w:val="0"/>
              <w:adjustRightInd w:val="0"/>
              <w:snapToGrid w:val="0"/>
              <w:spacing w:line="324" w:lineRule="auto"/>
              <w:ind w:right="0"/>
              <w:jc w:val="center"/>
            </w:pPr>
            <w:r>
              <w:rPr>
                <w:b/>
                <w:bCs/>
                <w:spacing w:val="-5"/>
              </w:rPr>
              <w:t>通过条件</w:t>
            </w:r>
          </w:p>
        </w:tc>
        <w:tc>
          <w:tcPr>
            <w:tcW w:w="610" w:type="dxa"/>
            <w:vAlign w:val="center"/>
          </w:tcPr>
          <w:p w14:paraId="2991DBFF">
            <w:pPr>
              <w:pStyle w:val="16"/>
              <w:keepNext w:val="0"/>
              <w:keepLines w:val="0"/>
              <w:pageBreakBefore w:val="0"/>
              <w:widowControl/>
              <w:kinsoku/>
              <w:wordWrap/>
              <w:overflowPunct/>
              <w:topLinePunct w:val="0"/>
              <w:autoSpaceDE/>
              <w:autoSpaceDN/>
              <w:bidi w:val="0"/>
              <w:adjustRightInd w:val="0"/>
              <w:snapToGrid w:val="0"/>
              <w:spacing w:line="324" w:lineRule="auto"/>
              <w:ind w:right="0"/>
              <w:jc w:val="center"/>
            </w:pPr>
            <w:r>
              <w:rPr>
                <w:b/>
                <w:bCs/>
                <w:spacing w:val="-11"/>
              </w:rPr>
              <w:t>结论</w:t>
            </w:r>
          </w:p>
        </w:tc>
        <w:tc>
          <w:tcPr>
            <w:tcW w:w="1282" w:type="dxa"/>
            <w:vAlign w:val="center"/>
          </w:tcPr>
          <w:p w14:paraId="2D484461">
            <w:pPr>
              <w:pStyle w:val="16"/>
              <w:keepNext w:val="0"/>
              <w:keepLines w:val="0"/>
              <w:pageBreakBefore w:val="0"/>
              <w:widowControl/>
              <w:kinsoku/>
              <w:wordWrap/>
              <w:overflowPunct/>
              <w:topLinePunct w:val="0"/>
              <w:autoSpaceDE/>
              <w:autoSpaceDN/>
              <w:bidi w:val="0"/>
              <w:adjustRightInd w:val="0"/>
              <w:snapToGrid w:val="0"/>
              <w:spacing w:line="324" w:lineRule="auto"/>
              <w:ind w:right="0"/>
              <w:jc w:val="center"/>
              <w:rPr>
                <w:rFonts w:hint="default" w:eastAsia="仿宋"/>
                <w:lang w:val="en-US" w:eastAsia="zh-CN"/>
              </w:rPr>
            </w:pPr>
            <w:r>
              <w:rPr>
                <w:rFonts w:hint="eastAsia"/>
                <w:lang w:val="en-US" w:eastAsia="zh-CN"/>
              </w:rPr>
              <w:t>未通过原因</w:t>
            </w:r>
          </w:p>
        </w:tc>
      </w:tr>
      <w:tr w14:paraId="463D33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 w:hRule="atLeast"/>
        </w:trPr>
        <w:tc>
          <w:tcPr>
            <w:tcW w:w="646" w:type="dxa"/>
            <w:vAlign w:val="top"/>
          </w:tcPr>
          <w:p w14:paraId="15C048E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235025D">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rPr>
                <w:position w:val="1"/>
              </w:rPr>
              <w:t>1</w:t>
            </w:r>
          </w:p>
        </w:tc>
        <w:tc>
          <w:tcPr>
            <w:tcW w:w="2549" w:type="dxa"/>
            <w:vAlign w:val="top"/>
          </w:tcPr>
          <w:p w14:paraId="7C8538F4">
            <w:pPr>
              <w:pStyle w:val="16"/>
              <w:keepNext w:val="0"/>
              <w:keepLines w:val="0"/>
              <w:pageBreakBefore w:val="0"/>
              <w:widowControl/>
              <w:kinsoku/>
              <w:wordWrap/>
              <w:overflowPunct/>
              <w:topLinePunct w:val="0"/>
              <w:autoSpaceDE/>
              <w:autoSpaceDN/>
              <w:bidi w:val="0"/>
              <w:adjustRightInd w:val="0"/>
              <w:snapToGrid w:val="0"/>
              <w:spacing w:line="324" w:lineRule="auto"/>
              <w:ind w:right="0"/>
            </w:pPr>
            <w:r>
              <w:t>响应文件语言及有效期</w:t>
            </w:r>
          </w:p>
        </w:tc>
        <w:tc>
          <w:tcPr>
            <w:tcW w:w="3951" w:type="dxa"/>
            <w:vAlign w:val="top"/>
          </w:tcPr>
          <w:p w14:paraId="2591DC9C">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pPr>
            <w:r>
              <w:rPr>
                <w:spacing w:val="1"/>
              </w:rPr>
              <w:t>响应文件语言及有效期符合磋商文件</w:t>
            </w:r>
            <w:r>
              <w:rPr>
                <w:spacing w:val="-7"/>
              </w:rPr>
              <w:t>要求。</w:t>
            </w:r>
          </w:p>
        </w:tc>
        <w:tc>
          <w:tcPr>
            <w:tcW w:w="610" w:type="dxa"/>
            <w:vAlign w:val="top"/>
          </w:tcPr>
          <w:p w14:paraId="39E5278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0B9FAE7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0ECC7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6" w:hRule="atLeast"/>
        </w:trPr>
        <w:tc>
          <w:tcPr>
            <w:tcW w:w="646" w:type="dxa"/>
            <w:vAlign w:val="top"/>
          </w:tcPr>
          <w:p w14:paraId="6A78367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6D6427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D02776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6EC456E">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rPr>
                <w:position w:val="1"/>
              </w:rPr>
              <w:t>2</w:t>
            </w:r>
          </w:p>
        </w:tc>
        <w:tc>
          <w:tcPr>
            <w:tcW w:w="2549" w:type="dxa"/>
            <w:vAlign w:val="top"/>
          </w:tcPr>
          <w:p w14:paraId="4642207F">
            <w:pPr>
              <w:pStyle w:val="16"/>
              <w:keepNext w:val="0"/>
              <w:keepLines w:val="0"/>
              <w:pageBreakBefore w:val="0"/>
              <w:widowControl/>
              <w:kinsoku/>
              <w:wordWrap/>
              <w:overflowPunct/>
              <w:topLinePunct w:val="0"/>
              <w:autoSpaceDE/>
              <w:autoSpaceDN/>
              <w:bidi w:val="0"/>
              <w:adjustRightInd w:val="0"/>
              <w:snapToGrid w:val="0"/>
              <w:spacing w:line="324" w:lineRule="auto"/>
              <w:ind w:right="0"/>
              <w:rPr>
                <w:spacing w:val="1"/>
              </w:rPr>
            </w:pPr>
            <w:r>
              <w:rPr>
                <w:spacing w:val="1"/>
              </w:rPr>
              <w:t>响应文件封面、响应函、法定代表人授权委托书三处的项目名</w:t>
            </w:r>
            <w:r>
              <w:rPr>
                <w:rFonts w:hint="eastAsia"/>
                <w:spacing w:val="1"/>
                <w:lang w:val="en-US" w:eastAsia="zh-CN"/>
              </w:rPr>
              <w:t>称、</w:t>
            </w:r>
            <w:r>
              <w:rPr>
                <w:spacing w:val="1"/>
              </w:rPr>
              <w:t>项目编号、标段</w:t>
            </w:r>
          </w:p>
          <w:p w14:paraId="5E068679">
            <w:pPr>
              <w:pStyle w:val="16"/>
              <w:keepNext w:val="0"/>
              <w:keepLines w:val="0"/>
              <w:pageBreakBefore w:val="0"/>
              <w:widowControl/>
              <w:kinsoku/>
              <w:wordWrap/>
              <w:overflowPunct/>
              <w:topLinePunct w:val="0"/>
              <w:autoSpaceDE/>
              <w:autoSpaceDN/>
              <w:bidi w:val="0"/>
              <w:adjustRightInd w:val="0"/>
              <w:snapToGrid w:val="0"/>
              <w:spacing w:line="324" w:lineRule="auto"/>
              <w:ind w:right="0"/>
              <w:rPr>
                <w:spacing w:val="1"/>
              </w:rPr>
            </w:pPr>
            <w:r>
              <w:rPr>
                <w:spacing w:val="1"/>
              </w:rPr>
              <w:t>（如有）</w:t>
            </w:r>
          </w:p>
        </w:tc>
        <w:tc>
          <w:tcPr>
            <w:tcW w:w="3951" w:type="dxa"/>
            <w:vAlign w:val="top"/>
          </w:tcPr>
          <w:p w14:paraId="64D10E41">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rPr>
                <w:spacing w:val="1"/>
              </w:rPr>
            </w:pPr>
          </w:p>
          <w:p w14:paraId="3756CA1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rPr>
                <w:spacing w:val="1"/>
              </w:rPr>
            </w:pPr>
          </w:p>
          <w:p w14:paraId="6BE4E21A">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rPr>
                <w:spacing w:val="1"/>
              </w:rPr>
            </w:pPr>
            <w:r>
              <w:rPr>
                <w:spacing w:val="1"/>
              </w:rPr>
              <w:t>三处均无遗漏，且与所投项目名称、项目编号、标段（如有）一致。</w:t>
            </w:r>
          </w:p>
        </w:tc>
        <w:tc>
          <w:tcPr>
            <w:tcW w:w="610" w:type="dxa"/>
            <w:vAlign w:val="top"/>
          </w:tcPr>
          <w:p w14:paraId="0C11275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7F66DC2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43554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6" w:hRule="atLeast"/>
        </w:trPr>
        <w:tc>
          <w:tcPr>
            <w:tcW w:w="646" w:type="dxa"/>
            <w:vAlign w:val="top"/>
          </w:tcPr>
          <w:p w14:paraId="278CAAA0">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3</w:t>
            </w:r>
          </w:p>
        </w:tc>
        <w:tc>
          <w:tcPr>
            <w:tcW w:w="2549" w:type="dxa"/>
            <w:vAlign w:val="top"/>
          </w:tcPr>
          <w:p w14:paraId="503B0563">
            <w:pPr>
              <w:pStyle w:val="16"/>
              <w:keepNext w:val="0"/>
              <w:keepLines w:val="0"/>
              <w:pageBreakBefore w:val="0"/>
              <w:widowControl/>
              <w:kinsoku/>
              <w:wordWrap/>
              <w:overflowPunct/>
              <w:topLinePunct w:val="0"/>
              <w:autoSpaceDE/>
              <w:autoSpaceDN/>
              <w:bidi w:val="0"/>
              <w:adjustRightInd w:val="0"/>
              <w:snapToGrid w:val="0"/>
              <w:spacing w:line="324" w:lineRule="auto"/>
              <w:ind w:right="0"/>
            </w:pPr>
            <w:r>
              <w:t>响应文件签署、盖章</w:t>
            </w:r>
          </w:p>
        </w:tc>
        <w:tc>
          <w:tcPr>
            <w:tcW w:w="3951" w:type="dxa"/>
            <w:vAlign w:val="top"/>
          </w:tcPr>
          <w:p w14:paraId="1F4D33DB">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08" w:firstLineChars="200"/>
            </w:pPr>
            <w:r>
              <w:rPr>
                <w:spacing w:val="7"/>
              </w:rPr>
              <w:t>均按磋商文件要求签字、盖章（评分</w:t>
            </w:r>
            <w:r>
              <w:rPr>
                <w:spacing w:val="-4"/>
              </w:rPr>
              <w:t>标准中要求提供的证明材料除外）。</w:t>
            </w:r>
          </w:p>
        </w:tc>
        <w:tc>
          <w:tcPr>
            <w:tcW w:w="610" w:type="dxa"/>
            <w:vAlign w:val="top"/>
          </w:tcPr>
          <w:p w14:paraId="3209B03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30284C9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6A436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7" w:hRule="atLeast"/>
        </w:trPr>
        <w:tc>
          <w:tcPr>
            <w:tcW w:w="646" w:type="dxa"/>
            <w:vAlign w:val="top"/>
          </w:tcPr>
          <w:p w14:paraId="1C43F90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4437BA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16C7B5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2E8A3D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0642ED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rPr>
                <w:position w:val="1"/>
              </w:rPr>
              <w:t>4</w:t>
            </w:r>
          </w:p>
        </w:tc>
        <w:tc>
          <w:tcPr>
            <w:tcW w:w="2549" w:type="dxa"/>
            <w:vAlign w:val="top"/>
          </w:tcPr>
          <w:p w14:paraId="0EAC477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6FCBCE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081951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2DB784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A6BB8B4">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1"/>
              </w:rPr>
              <w:t>第一次磋商报价表</w:t>
            </w:r>
          </w:p>
        </w:tc>
        <w:tc>
          <w:tcPr>
            <w:tcW w:w="3951" w:type="dxa"/>
            <w:vAlign w:val="top"/>
          </w:tcPr>
          <w:p w14:paraId="6C850338">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24" w:firstLineChars="200"/>
            </w:pPr>
            <w:r>
              <w:rPr>
                <w:spacing w:val="11"/>
              </w:rPr>
              <w:t>（1）第一次磋商报价表填写符合要</w:t>
            </w:r>
            <w:r>
              <w:rPr>
                <w:spacing w:val="-12"/>
              </w:rPr>
              <w:t>求；</w:t>
            </w:r>
          </w:p>
          <w:p w14:paraId="7886155D">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76" w:firstLineChars="200"/>
            </w:pPr>
            <w:r>
              <w:rPr>
                <w:spacing w:val="-1"/>
              </w:rPr>
              <w:t>（2）计量单位、报价货币均符合磋商</w:t>
            </w:r>
            <w:r>
              <w:rPr>
                <w:spacing w:val="-2"/>
              </w:rPr>
              <w:t>文件要求；</w:t>
            </w:r>
          </w:p>
          <w:p w14:paraId="0F1012AC">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76" w:firstLineChars="200"/>
            </w:pPr>
            <w:r>
              <w:rPr>
                <w:spacing w:val="-1"/>
              </w:rPr>
              <w:t>（3）第一次磋商报价未超出采购预算</w:t>
            </w:r>
            <w:r>
              <w:rPr>
                <w:spacing w:val="1"/>
              </w:rPr>
              <w:t>或磋商文件规定的最高限价。</w:t>
            </w:r>
          </w:p>
        </w:tc>
        <w:tc>
          <w:tcPr>
            <w:tcW w:w="610" w:type="dxa"/>
            <w:vAlign w:val="top"/>
          </w:tcPr>
          <w:p w14:paraId="40027DA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0144893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0FD9B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6" w:hRule="atLeast"/>
        </w:trPr>
        <w:tc>
          <w:tcPr>
            <w:tcW w:w="646" w:type="dxa"/>
            <w:vAlign w:val="top"/>
          </w:tcPr>
          <w:p w14:paraId="6AE12C1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FA274C5">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5</w:t>
            </w:r>
          </w:p>
        </w:tc>
        <w:tc>
          <w:tcPr>
            <w:tcW w:w="2549" w:type="dxa"/>
            <w:vAlign w:val="top"/>
          </w:tcPr>
          <w:p w14:paraId="1C7B472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1AAF046">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1"/>
              </w:rPr>
              <w:t>供应商承诺书</w:t>
            </w:r>
          </w:p>
        </w:tc>
        <w:tc>
          <w:tcPr>
            <w:tcW w:w="3951" w:type="dxa"/>
            <w:vAlign w:val="top"/>
          </w:tcPr>
          <w:p w14:paraId="06CE7B4F">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08" w:firstLineChars="200"/>
              <w:jc w:val="both"/>
            </w:pPr>
            <w:r>
              <w:rPr>
                <w:spacing w:val="7"/>
              </w:rPr>
              <w:t>完全理解并接受《质量安全责任承诺</w:t>
            </w:r>
            <w:r>
              <w:rPr>
                <w:spacing w:val="-7"/>
              </w:rPr>
              <w:t>书》、《拒绝政府采购领域商业贿赂承</w:t>
            </w:r>
            <w:r>
              <w:rPr>
                <w:spacing w:val="-24"/>
              </w:rPr>
              <w:t>诺书》。</w:t>
            </w:r>
          </w:p>
        </w:tc>
        <w:tc>
          <w:tcPr>
            <w:tcW w:w="610" w:type="dxa"/>
            <w:vAlign w:val="top"/>
          </w:tcPr>
          <w:p w14:paraId="73B905A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271832D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5CA5D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06" w:hRule="atLeast"/>
        </w:trPr>
        <w:tc>
          <w:tcPr>
            <w:tcW w:w="646" w:type="dxa"/>
            <w:vAlign w:val="top"/>
          </w:tcPr>
          <w:p w14:paraId="1C35BF2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9E82EB0">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6</w:t>
            </w:r>
          </w:p>
        </w:tc>
        <w:tc>
          <w:tcPr>
            <w:tcW w:w="2549" w:type="dxa"/>
            <w:vAlign w:val="top"/>
          </w:tcPr>
          <w:p w14:paraId="69AA016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9143131">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spacing w:val="-1"/>
              </w:rPr>
              <w:t>技术服务要求</w:t>
            </w:r>
          </w:p>
        </w:tc>
        <w:tc>
          <w:tcPr>
            <w:tcW w:w="3951" w:type="dxa"/>
            <w:vAlign w:val="top"/>
          </w:tcPr>
          <w:p w14:paraId="2812C03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08" w:firstLineChars="200"/>
              <w:jc w:val="both"/>
              <w:rPr>
                <w:spacing w:val="-8"/>
              </w:rPr>
            </w:pPr>
            <w:r>
              <w:rPr>
                <w:spacing w:val="7"/>
              </w:rPr>
              <w:t>完全理解并接受对合格供应商、合格的货物、工程或服务要求，根据供应</w:t>
            </w:r>
            <w:r>
              <w:rPr>
                <w:spacing w:val="-8"/>
              </w:rPr>
              <w:t>商响应文件《实质性条款响应》，结合</w:t>
            </w:r>
            <w:r>
              <w:rPr>
                <w:spacing w:val="5"/>
              </w:rPr>
              <w:t>磋商文件第三章“★</w:t>
            </w:r>
            <w:r>
              <w:rPr>
                <w:spacing w:val="-77"/>
              </w:rPr>
              <w:t xml:space="preserve"> </w:t>
            </w:r>
            <w:r>
              <w:rPr>
                <w:spacing w:val="5"/>
              </w:rPr>
              <w:t>”标识的实质性</w:t>
            </w:r>
            <w:r>
              <w:t>要求没有负偏离。</w:t>
            </w:r>
          </w:p>
        </w:tc>
        <w:tc>
          <w:tcPr>
            <w:tcW w:w="610" w:type="dxa"/>
            <w:vAlign w:val="top"/>
          </w:tcPr>
          <w:p w14:paraId="52C6D2A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7D2012D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0B3CC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1" w:hRule="atLeast"/>
        </w:trPr>
        <w:tc>
          <w:tcPr>
            <w:tcW w:w="646" w:type="dxa"/>
            <w:vAlign w:val="top"/>
          </w:tcPr>
          <w:p w14:paraId="6264627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EECC508">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7</w:t>
            </w:r>
          </w:p>
        </w:tc>
        <w:tc>
          <w:tcPr>
            <w:tcW w:w="2549" w:type="dxa"/>
            <w:vAlign w:val="top"/>
          </w:tcPr>
          <w:p w14:paraId="2ECA757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8C3C4DC">
            <w:pPr>
              <w:pStyle w:val="16"/>
              <w:keepNext w:val="0"/>
              <w:keepLines w:val="0"/>
              <w:pageBreakBefore w:val="0"/>
              <w:widowControl/>
              <w:kinsoku/>
              <w:wordWrap/>
              <w:overflowPunct/>
              <w:topLinePunct w:val="0"/>
              <w:autoSpaceDE/>
              <w:autoSpaceDN/>
              <w:bidi w:val="0"/>
              <w:adjustRightInd w:val="0"/>
              <w:snapToGrid w:val="0"/>
              <w:spacing w:line="324" w:lineRule="auto"/>
              <w:ind w:right="0"/>
              <w:rPr>
                <w:spacing w:val="-1"/>
              </w:rPr>
            </w:pPr>
            <w:r>
              <w:t>合同草案条款响应</w:t>
            </w:r>
          </w:p>
        </w:tc>
        <w:tc>
          <w:tcPr>
            <w:tcW w:w="3951" w:type="dxa"/>
            <w:vAlign w:val="top"/>
          </w:tcPr>
          <w:p w14:paraId="5FFF739E">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rightChars="0" w:firstLine="508" w:firstLineChars="200"/>
              <w:rPr>
                <w:spacing w:val="7"/>
              </w:rPr>
            </w:pPr>
            <w:r>
              <w:rPr>
                <w:spacing w:val="7"/>
              </w:rPr>
              <w:t>有完全理解并接受磋商文件合同草案</w:t>
            </w:r>
            <w:r>
              <w:t>条款要求的描述。</w:t>
            </w:r>
          </w:p>
        </w:tc>
        <w:tc>
          <w:tcPr>
            <w:tcW w:w="610" w:type="dxa"/>
            <w:vAlign w:val="top"/>
          </w:tcPr>
          <w:p w14:paraId="3F39D6A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2AC8EDB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6C7D0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6" w:hRule="atLeast"/>
        </w:trPr>
        <w:tc>
          <w:tcPr>
            <w:tcW w:w="646" w:type="dxa"/>
            <w:vAlign w:val="top"/>
          </w:tcPr>
          <w:p w14:paraId="27B21F2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ABED225">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8</w:t>
            </w:r>
          </w:p>
        </w:tc>
        <w:tc>
          <w:tcPr>
            <w:tcW w:w="2549" w:type="dxa"/>
            <w:vAlign w:val="top"/>
          </w:tcPr>
          <w:p w14:paraId="59FEB482">
            <w:pPr>
              <w:pStyle w:val="16"/>
              <w:keepNext w:val="0"/>
              <w:keepLines w:val="0"/>
              <w:pageBreakBefore w:val="0"/>
              <w:widowControl/>
              <w:kinsoku/>
              <w:wordWrap/>
              <w:overflowPunct/>
              <w:topLinePunct w:val="0"/>
              <w:autoSpaceDE/>
              <w:autoSpaceDN/>
              <w:bidi w:val="0"/>
              <w:adjustRightInd w:val="0"/>
              <w:snapToGrid w:val="0"/>
              <w:spacing w:line="324" w:lineRule="auto"/>
              <w:ind w:right="0"/>
              <w:rPr>
                <w:spacing w:val="-1"/>
              </w:rPr>
            </w:pPr>
            <w:r>
              <w:t>无其他磋商文件或法</w:t>
            </w:r>
            <w:r>
              <w:rPr>
                <w:spacing w:val="1"/>
              </w:rPr>
              <w:t>规明确规定响应无效</w:t>
            </w:r>
            <w:r>
              <w:rPr>
                <w:spacing w:val="-8"/>
              </w:rPr>
              <w:t>的事项</w:t>
            </w:r>
          </w:p>
        </w:tc>
        <w:tc>
          <w:tcPr>
            <w:tcW w:w="3951" w:type="dxa"/>
            <w:vAlign w:val="top"/>
          </w:tcPr>
          <w:p w14:paraId="6525D9BE">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rightChars="0" w:firstLine="508" w:firstLineChars="200"/>
              <w:rPr>
                <w:spacing w:val="7"/>
              </w:rPr>
            </w:pPr>
            <w:r>
              <w:rPr>
                <w:spacing w:val="7"/>
              </w:rPr>
              <w:t>没有不符合磋商文件规定的被视为无</w:t>
            </w:r>
            <w:r>
              <w:t>效响应的其他条款。</w:t>
            </w:r>
          </w:p>
        </w:tc>
        <w:tc>
          <w:tcPr>
            <w:tcW w:w="610" w:type="dxa"/>
            <w:vAlign w:val="top"/>
          </w:tcPr>
          <w:p w14:paraId="7FCB2DB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282" w:type="dxa"/>
            <w:vAlign w:val="top"/>
          </w:tcPr>
          <w:p w14:paraId="7F21699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68C43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9038" w:type="dxa"/>
            <w:gridSpan w:val="5"/>
            <w:vAlign w:val="top"/>
          </w:tcPr>
          <w:p w14:paraId="5BB4A9F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8" w:firstLineChars="200"/>
              <w:rPr>
                <w:b/>
                <w:bCs/>
                <w:spacing w:val="2"/>
              </w:rPr>
            </w:pPr>
          </w:p>
          <w:p w14:paraId="32F027E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8" w:firstLineChars="200"/>
              <w:rPr>
                <w:rFonts w:ascii="Arial"/>
                <w:sz w:val="21"/>
              </w:rPr>
            </w:pPr>
            <w:r>
              <w:rPr>
                <w:b/>
                <w:bCs/>
                <w:spacing w:val="2"/>
              </w:rPr>
              <w:t>磋商小组成员</w:t>
            </w:r>
            <w:r>
              <w:rPr>
                <w:b/>
                <w:bCs/>
                <w:spacing w:val="-12"/>
              </w:rPr>
              <w:t>（</w:t>
            </w:r>
            <w:r>
              <w:rPr>
                <w:b/>
                <w:bCs/>
                <w:spacing w:val="2"/>
              </w:rPr>
              <w:t>签字）</w:t>
            </w:r>
            <w:r>
              <w:rPr>
                <w:b/>
                <w:bCs/>
                <w:spacing w:val="-12"/>
              </w:rPr>
              <w:t>：</w:t>
            </w:r>
          </w:p>
        </w:tc>
      </w:tr>
    </w:tbl>
    <w:p w14:paraId="0B458B7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pPr>
    </w:p>
    <w:p w14:paraId="5D54AB3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3、响应文件的澄清</w:t>
      </w:r>
    </w:p>
    <w:p w14:paraId="73594D6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（1）磋商小组在对响应文件的有效性、完整性和响应程度进行审查时，可以要求供应商对响应文件中含义不明确、同类问题表述不一致或者有明显文字和计算错误的内容等做出必要的澄清、说明或者更正。</w:t>
      </w:r>
    </w:p>
    <w:p w14:paraId="09D9A58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（2）</w:t>
      </w:r>
      <w:r>
        <w:rPr>
          <w:rFonts w:hint="eastAsia"/>
          <w:spacing w:val="3"/>
          <w:sz w:val="28"/>
          <w:szCs w:val="28"/>
        </w:rPr>
        <w:t>供应商应对其响应文件的清晰性和准确性负责</w:t>
      </w:r>
      <w:r>
        <w:rPr>
          <w:spacing w:val="3"/>
          <w:sz w:val="28"/>
          <w:szCs w:val="28"/>
        </w:rPr>
        <w:t>，澄清、说明或更正前磋商小组将按最不利于参与本次磋商供应商的原则对响应文件做出评判。</w:t>
      </w:r>
    </w:p>
    <w:p w14:paraId="2E6CDA1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3）磋商小组要求供应商澄清、说明或者更正响应文件应当以书面形式做出。供应商应当在规定的澄清时限内通过公共资源交易平台（以下简称“平台”）或电子邮件（在平台无法支持的情况下）等书面形式提交，供应商的澄清、说明或者更正应当由法定代表人或其授权代表签字或者加盖公章。</w:t>
      </w:r>
    </w:p>
    <w:p w14:paraId="6D5FBFD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（4）供应商的澄清、说明或者更正不得超出响应文件的范围或者改变响应文件的实质性内容。澄清、说明或者更正的内容将作为合同履行的重要依据。</w:t>
      </w:r>
    </w:p>
    <w:p w14:paraId="62E1202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4、进行磋商</w:t>
      </w:r>
    </w:p>
    <w:p w14:paraId="1F4F995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磋商小组所有成员应当集中与单一供应商分</w:t>
      </w:r>
      <w:r>
        <w:rPr>
          <w:spacing w:val="2"/>
          <w:sz w:val="28"/>
          <w:szCs w:val="28"/>
        </w:rPr>
        <w:t>别进行磋商，并给予所有</w:t>
      </w:r>
      <w:r>
        <w:rPr>
          <w:spacing w:val="3"/>
          <w:sz w:val="28"/>
          <w:szCs w:val="28"/>
        </w:rPr>
        <w:t>参加磋商的供应商平等的磋商机会。需要供应商书面答复磋</w:t>
      </w:r>
      <w:r>
        <w:rPr>
          <w:spacing w:val="2"/>
          <w:sz w:val="28"/>
          <w:szCs w:val="28"/>
        </w:rPr>
        <w:t>商内容的，供</w:t>
      </w:r>
      <w:r>
        <w:rPr>
          <w:spacing w:val="3"/>
          <w:sz w:val="28"/>
          <w:szCs w:val="28"/>
        </w:rPr>
        <w:t>应商应当按照磋商小组的要求，在磋商小组规定的时</w:t>
      </w:r>
      <w:r>
        <w:rPr>
          <w:spacing w:val="2"/>
          <w:sz w:val="28"/>
          <w:szCs w:val="28"/>
        </w:rPr>
        <w:t>限内通过公共资源交</w:t>
      </w:r>
      <w:r>
        <w:rPr>
          <w:spacing w:val="-6"/>
          <w:sz w:val="28"/>
          <w:szCs w:val="28"/>
        </w:rPr>
        <w:t>易平台（以下简称“平台”）或电子邮件（在平台无法支持的情况下）等书</w:t>
      </w:r>
      <w:r>
        <w:rPr>
          <w:spacing w:val="-3"/>
          <w:sz w:val="28"/>
          <w:szCs w:val="28"/>
        </w:rPr>
        <w:t>面形式答复磋商的内容，并由法定代表人或其授权代表签字或者加盖公章。</w:t>
      </w:r>
    </w:p>
    <w:p w14:paraId="6E190F4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5、磋商文件的实质性变更</w:t>
      </w:r>
    </w:p>
    <w:p w14:paraId="710FAED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（1）在磋商过程中，磋商小组可以根据磋商文件和磋商情况实质性变</w:t>
      </w:r>
      <w:r>
        <w:rPr>
          <w:spacing w:val="3"/>
          <w:sz w:val="28"/>
          <w:szCs w:val="28"/>
        </w:rPr>
        <w:t>动采购需求中的技术、服务要求以及合同草案</w:t>
      </w:r>
      <w:r>
        <w:rPr>
          <w:spacing w:val="2"/>
          <w:sz w:val="28"/>
          <w:szCs w:val="28"/>
        </w:rPr>
        <w:t>条款，但不得变动磋商文件中的其他内容。实质性变动的内容，须经采购人代表确认。</w:t>
      </w:r>
    </w:p>
    <w:p w14:paraId="77A602B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（2）对磋商文件作出的实质性变动是磋商文件的有效组成部分，磋商</w:t>
      </w:r>
      <w:r>
        <w:rPr>
          <w:spacing w:val="-6"/>
          <w:sz w:val="28"/>
          <w:szCs w:val="28"/>
        </w:rPr>
        <w:t>小组将通过公共资源交易平台（以下简称“平台”）或电子邮件（在平台无</w:t>
      </w:r>
      <w:r>
        <w:rPr>
          <w:spacing w:val="2"/>
          <w:sz w:val="28"/>
          <w:szCs w:val="28"/>
        </w:rPr>
        <w:t>法支持的情况下）等书面形式通知所有参加磋商的供应商。</w:t>
      </w:r>
    </w:p>
    <w:p w14:paraId="7E464A0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（3）供应商应当按照磋商文件的变动情况和磋商小组的要求，在磋商</w:t>
      </w:r>
      <w:r>
        <w:rPr>
          <w:sz w:val="28"/>
          <w:szCs w:val="28"/>
        </w:rPr>
        <w:t>小组规定的时限内重新提交响应文件，并用数字认证证书（CA</w:t>
      </w:r>
      <w:r>
        <w:rPr>
          <w:spacing w:val="-50"/>
          <w:sz w:val="28"/>
          <w:szCs w:val="28"/>
        </w:rPr>
        <w:t xml:space="preserve"> </w:t>
      </w:r>
      <w:r>
        <w:rPr>
          <w:sz w:val="28"/>
          <w:szCs w:val="28"/>
        </w:rPr>
        <w:t>锁）</w:t>
      </w:r>
      <w:r>
        <w:rPr>
          <w:spacing w:val="-1"/>
          <w:sz w:val="28"/>
          <w:szCs w:val="28"/>
        </w:rPr>
        <w:t>签章或</w:t>
      </w:r>
      <w:r>
        <w:rPr>
          <w:spacing w:val="2"/>
          <w:sz w:val="28"/>
          <w:szCs w:val="28"/>
        </w:rPr>
        <w:t>由法定代表人或其授权代表签字或者加盖公章。</w:t>
      </w:r>
    </w:p>
    <w:p w14:paraId="747CC4E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8" w:firstLineChars="200"/>
        <w:rPr>
          <w:sz w:val="28"/>
          <w:szCs w:val="28"/>
        </w:rPr>
      </w:pPr>
      <w:r>
        <w:rPr>
          <w:spacing w:val="7"/>
          <w:sz w:val="28"/>
          <w:szCs w:val="28"/>
        </w:rPr>
        <w:t>（4）供应商未能在规定的时间内按照磋商小组的要求通过公共资源</w:t>
      </w:r>
      <w:r>
        <w:rPr>
          <w:spacing w:val="-6"/>
          <w:sz w:val="28"/>
          <w:szCs w:val="28"/>
        </w:rPr>
        <w:t>交易平台（以下简称“平台”）或电子邮件（在平台无法支持的情况下）等</w:t>
      </w:r>
      <w:r>
        <w:rPr>
          <w:spacing w:val="2"/>
          <w:sz w:val="28"/>
          <w:szCs w:val="28"/>
        </w:rPr>
        <w:t>书面形式提交实质性变更响应文件的，视作未实质性响应。</w:t>
      </w:r>
    </w:p>
    <w:p w14:paraId="63AFD35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6、最后报价</w:t>
      </w:r>
    </w:p>
    <w:p w14:paraId="0DF2DF2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（1）磋商文件能够详细列明采购标的的技术、服务要求的，磋商结束</w:t>
      </w:r>
      <w:r>
        <w:rPr>
          <w:spacing w:val="3"/>
          <w:sz w:val="28"/>
          <w:szCs w:val="28"/>
        </w:rPr>
        <w:t>后，磋商小组应当要求所有实质性响应的供应商在</w:t>
      </w:r>
      <w:r>
        <w:rPr>
          <w:spacing w:val="2"/>
          <w:sz w:val="28"/>
          <w:szCs w:val="28"/>
        </w:rPr>
        <w:t>规定时间内提交最后报</w:t>
      </w:r>
      <w:r>
        <w:rPr>
          <w:spacing w:val="-1"/>
          <w:sz w:val="28"/>
          <w:szCs w:val="28"/>
        </w:rPr>
        <w:t>价，提交最后报价的供应商不得少于</w:t>
      </w:r>
      <w:r>
        <w:rPr>
          <w:spacing w:val="-37"/>
          <w:sz w:val="28"/>
          <w:szCs w:val="28"/>
        </w:rPr>
        <w:t xml:space="preserve"> </w:t>
      </w:r>
      <w:r>
        <w:rPr>
          <w:spacing w:val="-1"/>
          <w:sz w:val="28"/>
          <w:szCs w:val="28"/>
        </w:rPr>
        <w:t>3</w:t>
      </w:r>
      <w:r>
        <w:rPr>
          <w:spacing w:val="-45"/>
          <w:sz w:val="28"/>
          <w:szCs w:val="28"/>
        </w:rPr>
        <w:t xml:space="preserve"> </w:t>
      </w:r>
      <w:r>
        <w:rPr>
          <w:spacing w:val="-1"/>
          <w:sz w:val="28"/>
          <w:szCs w:val="28"/>
        </w:rPr>
        <w:t>家。</w:t>
      </w:r>
    </w:p>
    <w:p w14:paraId="05E520A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（2）磋商文件不能详细列明采购标的的技术、服务要求，需经磋商由</w:t>
      </w:r>
      <w:r>
        <w:rPr>
          <w:spacing w:val="3"/>
          <w:sz w:val="28"/>
          <w:szCs w:val="28"/>
        </w:rPr>
        <w:t>供应商提供最终设计方案或解决方案的，磋商结束后</w:t>
      </w:r>
      <w:r>
        <w:rPr>
          <w:spacing w:val="2"/>
          <w:sz w:val="28"/>
          <w:szCs w:val="28"/>
        </w:rPr>
        <w:t>，磋商小组应当按照</w:t>
      </w:r>
      <w:r>
        <w:rPr>
          <w:spacing w:val="1"/>
          <w:sz w:val="28"/>
          <w:szCs w:val="28"/>
        </w:rPr>
        <w:t>少数服从多数的原则投票推荐</w:t>
      </w:r>
      <w:r>
        <w:rPr>
          <w:spacing w:val="-40"/>
          <w:sz w:val="28"/>
          <w:szCs w:val="28"/>
        </w:rPr>
        <w:t xml:space="preserve"> </w:t>
      </w:r>
      <w:r>
        <w:rPr>
          <w:spacing w:val="1"/>
          <w:sz w:val="28"/>
          <w:szCs w:val="28"/>
        </w:rPr>
        <w:t>3</w:t>
      </w:r>
      <w:r>
        <w:rPr>
          <w:spacing w:val="-45"/>
          <w:sz w:val="28"/>
          <w:szCs w:val="28"/>
        </w:rPr>
        <w:t xml:space="preserve"> </w:t>
      </w:r>
      <w:r>
        <w:rPr>
          <w:spacing w:val="1"/>
          <w:sz w:val="28"/>
          <w:szCs w:val="28"/>
        </w:rPr>
        <w:t>家以上供应商的设计方案或者解决方案，并要求其在规定时间内提交最后报价。</w:t>
      </w:r>
    </w:p>
    <w:p w14:paraId="12D11FA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（3）最后报价是供应商响应文件的有效组成部分。符合《</w:t>
      </w:r>
      <w:r>
        <w:rPr>
          <w:rFonts w:hint="eastAsia"/>
          <w:spacing w:val="-2"/>
          <w:sz w:val="28"/>
          <w:szCs w:val="28"/>
        </w:rPr>
        <w:t>政府采购竞争性磋商采购方式管理暂行办法</w:t>
      </w:r>
      <w:r>
        <w:rPr>
          <w:spacing w:val="3"/>
          <w:sz w:val="28"/>
          <w:szCs w:val="28"/>
        </w:rPr>
        <w:t>》第三条第四项情</w:t>
      </w:r>
      <w:r>
        <w:rPr>
          <w:spacing w:val="2"/>
          <w:sz w:val="28"/>
          <w:szCs w:val="28"/>
        </w:rPr>
        <w:t>形的，即市场竞争不充分的科研项目，以及需要扶持的科技成果转化项目，提交最后报价的供应商</w:t>
      </w:r>
      <w:r>
        <w:rPr>
          <w:spacing w:val="1"/>
          <w:sz w:val="28"/>
          <w:szCs w:val="28"/>
        </w:rPr>
        <w:t>可以为</w:t>
      </w:r>
      <w:r>
        <w:rPr>
          <w:spacing w:val="-34"/>
          <w:sz w:val="28"/>
          <w:szCs w:val="28"/>
        </w:rPr>
        <w:t xml:space="preserve"> </w:t>
      </w:r>
      <w:r>
        <w:rPr>
          <w:spacing w:val="1"/>
          <w:sz w:val="28"/>
          <w:szCs w:val="28"/>
        </w:rPr>
        <w:t>2</w:t>
      </w:r>
      <w:r>
        <w:rPr>
          <w:spacing w:val="-48"/>
          <w:sz w:val="28"/>
          <w:szCs w:val="28"/>
        </w:rPr>
        <w:t xml:space="preserve"> </w:t>
      </w:r>
      <w:r>
        <w:rPr>
          <w:spacing w:val="1"/>
          <w:sz w:val="28"/>
          <w:szCs w:val="28"/>
        </w:rPr>
        <w:t>家。根据《财政部关于政府采购竞争性磋商采购</w:t>
      </w:r>
      <w:r>
        <w:rPr>
          <w:rFonts w:hint="eastAsia"/>
          <w:spacing w:val="1"/>
          <w:sz w:val="28"/>
          <w:szCs w:val="28"/>
          <w:lang w:val="en-US" w:eastAsia="zh-CN"/>
        </w:rPr>
        <w:t>方式</w:t>
      </w:r>
      <w:r>
        <w:rPr>
          <w:spacing w:val="1"/>
          <w:sz w:val="28"/>
          <w:szCs w:val="28"/>
        </w:rPr>
        <w:t>管理暂行办法</w:t>
      </w:r>
      <w:r>
        <w:rPr>
          <w:spacing w:val="-1"/>
          <w:sz w:val="28"/>
          <w:szCs w:val="28"/>
        </w:rPr>
        <w:t>有关问题的补充通知》（财库〔2015〕124</w:t>
      </w:r>
      <w:r>
        <w:rPr>
          <w:spacing w:val="-40"/>
          <w:sz w:val="28"/>
          <w:szCs w:val="28"/>
        </w:rPr>
        <w:t xml:space="preserve"> </w:t>
      </w:r>
      <w:r>
        <w:rPr>
          <w:spacing w:val="-1"/>
          <w:sz w:val="28"/>
          <w:szCs w:val="28"/>
        </w:rPr>
        <w:t>号</w:t>
      </w:r>
      <w:r>
        <w:rPr>
          <w:spacing w:val="-52"/>
          <w:sz w:val="28"/>
          <w:szCs w:val="28"/>
        </w:rPr>
        <w:t>），</w:t>
      </w:r>
      <w:r>
        <w:rPr>
          <w:spacing w:val="-1"/>
          <w:sz w:val="28"/>
          <w:szCs w:val="28"/>
        </w:rPr>
        <w:t>采购</w:t>
      </w:r>
      <w:r>
        <w:rPr>
          <w:spacing w:val="-2"/>
          <w:sz w:val="28"/>
          <w:szCs w:val="28"/>
        </w:rPr>
        <w:t>的政府购买服务项目</w:t>
      </w:r>
      <w:r>
        <w:rPr>
          <w:sz w:val="28"/>
          <w:szCs w:val="28"/>
        </w:rPr>
        <w:t>（含政府和社会资本合作项目</w:t>
      </w:r>
      <w:r>
        <w:rPr>
          <w:spacing w:val="-73"/>
          <w:w w:val="93"/>
          <w:sz w:val="28"/>
          <w:szCs w:val="28"/>
        </w:rPr>
        <w:t>），</w:t>
      </w:r>
      <w:r>
        <w:rPr>
          <w:sz w:val="28"/>
          <w:szCs w:val="28"/>
        </w:rPr>
        <w:t>在采购过程中符合要求</w:t>
      </w:r>
      <w:r>
        <w:rPr>
          <w:spacing w:val="-1"/>
          <w:sz w:val="28"/>
          <w:szCs w:val="28"/>
        </w:rPr>
        <w:t>的供应商（社会资</w:t>
      </w:r>
      <w:r>
        <w:rPr>
          <w:spacing w:val="1"/>
          <w:sz w:val="28"/>
          <w:szCs w:val="28"/>
        </w:rPr>
        <w:t>本）只有</w:t>
      </w:r>
      <w:r>
        <w:rPr>
          <w:spacing w:val="-53"/>
          <w:sz w:val="28"/>
          <w:szCs w:val="28"/>
        </w:rPr>
        <w:t xml:space="preserve"> </w:t>
      </w:r>
      <w:r>
        <w:rPr>
          <w:spacing w:val="1"/>
          <w:sz w:val="28"/>
          <w:szCs w:val="28"/>
        </w:rPr>
        <w:t>2</w:t>
      </w:r>
      <w:r>
        <w:rPr>
          <w:spacing w:val="-47"/>
          <w:sz w:val="28"/>
          <w:szCs w:val="28"/>
        </w:rPr>
        <w:t xml:space="preserve"> </w:t>
      </w:r>
      <w:r>
        <w:rPr>
          <w:spacing w:val="1"/>
          <w:sz w:val="28"/>
          <w:szCs w:val="28"/>
        </w:rPr>
        <w:t>家的，竞争性磋商采购活动可以</w:t>
      </w:r>
      <w:r>
        <w:rPr>
          <w:sz w:val="28"/>
          <w:szCs w:val="28"/>
        </w:rPr>
        <w:t>继续进行。</w:t>
      </w:r>
    </w:p>
    <w:p w14:paraId="4F7601B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8" w:firstLineChars="200"/>
        <w:rPr>
          <w:sz w:val="28"/>
          <w:szCs w:val="28"/>
        </w:rPr>
      </w:pPr>
      <w:r>
        <w:rPr>
          <w:spacing w:val="7"/>
          <w:sz w:val="28"/>
          <w:szCs w:val="28"/>
        </w:rPr>
        <w:t>（4）供应商要在电子交易平台中提交最后报价，并用数字认证证书</w:t>
      </w:r>
      <w:r>
        <w:rPr>
          <w:sz w:val="28"/>
          <w:szCs w:val="28"/>
        </w:rPr>
        <w:t>（CA</w:t>
      </w:r>
      <w:r>
        <w:rPr>
          <w:spacing w:val="-47"/>
          <w:sz w:val="28"/>
          <w:szCs w:val="28"/>
        </w:rPr>
        <w:t xml:space="preserve"> </w:t>
      </w:r>
      <w:r>
        <w:rPr>
          <w:sz w:val="28"/>
          <w:szCs w:val="28"/>
        </w:rPr>
        <w:t>锁）签章。平台系统无法使用时，供应商要按照磋商小组要求，</w:t>
      </w:r>
      <w:r>
        <w:rPr>
          <w:spacing w:val="-1"/>
          <w:sz w:val="28"/>
          <w:szCs w:val="28"/>
        </w:rPr>
        <w:t>通过</w:t>
      </w:r>
      <w:r>
        <w:rPr>
          <w:spacing w:val="3"/>
          <w:sz w:val="28"/>
          <w:szCs w:val="28"/>
        </w:rPr>
        <w:t>电子邮件等书面形式提交最后报价表。最后报价表应由</w:t>
      </w:r>
      <w:r>
        <w:rPr>
          <w:spacing w:val="2"/>
          <w:sz w:val="28"/>
          <w:szCs w:val="28"/>
        </w:rPr>
        <w:t>其法定代表人或授</w:t>
      </w:r>
      <w:r>
        <w:rPr>
          <w:spacing w:val="3"/>
          <w:sz w:val="28"/>
          <w:szCs w:val="28"/>
        </w:rPr>
        <w:t>权代表签字或者加盖公章。最后报价将作为综合评分法</w:t>
      </w:r>
      <w:r>
        <w:rPr>
          <w:spacing w:val="2"/>
          <w:sz w:val="28"/>
          <w:szCs w:val="28"/>
        </w:rPr>
        <w:t>中价格分的计算依</w:t>
      </w:r>
      <w:r>
        <w:rPr>
          <w:spacing w:val="-9"/>
          <w:sz w:val="28"/>
          <w:szCs w:val="28"/>
        </w:rPr>
        <w:t>据。</w:t>
      </w:r>
    </w:p>
    <w:p w14:paraId="08259E9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（5）已提交响应文件的供应商，在提交最后报价之前，可以根据磋商</w:t>
      </w:r>
      <w:r>
        <w:rPr>
          <w:spacing w:val="3"/>
          <w:sz w:val="28"/>
          <w:szCs w:val="28"/>
        </w:rPr>
        <w:t>情况书面申请退出磋商，书面申请应由其法定代表人或</w:t>
      </w:r>
      <w:r>
        <w:rPr>
          <w:spacing w:val="2"/>
          <w:sz w:val="28"/>
          <w:szCs w:val="28"/>
        </w:rPr>
        <w:t>授权代表签字或者</w:t>
      </w:r>
      <w:r>
        <w:rPr>
          <w:spacing w:val="-2"/>
          <w:sz w:val="28"/>
          <w:szCs w:val="28"/>
        </w:rPr>
        <w:t>加盖公章。</w:t>
      </w:r>
    </w:p>
    <w:p w14:paraId="679E880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7、异常低价审查</w:t>
      </w:r>
    </w:p>
    <w:p w14:paraId="55BB630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政府采购评标中出现下列情形之一的，评标委员会应当启动异常低价投标审查程序：</w:t>
      </w:r>
    </w:p>
    <w:p w14:paraId="79B04E6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（1）投标报价低于全部通过符合性审查投标人投标报价平均值 50%的，即投标报价&lt;全部通过符合性审查投标人投标报价平均值×50%；</w:t>
      </w:r>
    </w:p>
    <w:p w14:paraId="0FF0F95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（2）投标报价低于通过符合性审查的次低报价投标人投标报价 50%的，即投标报价&lt;通过符合性审查的次低报价投标人投标报价×50%；</w:t>
      </w:r>
    </w:p>
    <w:p w14:paraId="053C971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（3）投标报价低于采购项目最高限价45%的，即投标报价&lt;采购项目最高限价×45%（未设定最高限价的采购项目，以采购项目预算金额作为最高限价）；</w:t>
      </w:r>
    </w:p>
    <w:p w14:paraId="779022C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（4）磋商小组基于专业判断，认为供应商报价过低，有可能影响产品质量或者不能诚信履约的其他情形。</w:t>
      </w:r>
    </w:p>
    <w:p w14:paraId="3CA23D9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磋商小组依据专业经验，参考同类项目成交价格、类似产品市场价格水平、行业人工费用标准、国家有关部门指导行业协会发布的行业平均成本等情况，对报价合理性进行判断。</w:t>
      </w:r>
    </w:p>
    <w:p w14:paraId="143F813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jc w:val="both"/>
        <w:rPr>
          <w:sz w:val="28"/>
          <w:szCs w:val="28"/>
        </w:rPr>
      </w:pPr>
      <w:r>
        <w:rPr>
          <w:spacing w:val="-2"/>
          <w:sz w:val="28"/>
          <w:szCs w:val="28"/>
        </w:rPr>
        <w:t>（5）磋商小组启动异常低价响应审查后，要求相关供应商在评审现场</w:t>
      </w:r>
      <w:r>
        <w:rPr>
          <w:spacing w:val="-3"/>
          <w:sz w:val="28"/>
          <w:szCs w:val="28"/>
        </w:rPr>
        <w:t>规定的时间内（一般不少于</w:t>
      </w:r>
      <w:r>
        <w:rPr>
          <w:spacing w:val="-48"/>
          <w:sz w:val="28"/>
          <w:szCs w:val="28"/>
        </w:rPr>
        <w:t xml:space="preserve"> </w:t>
      </w:r>
      <w:r>
        <w:rPr>
          <w:spacing w:val="-3"/>
          <w:sz w:val="28"/>
          <w:szCs w:val="28"/>
        </w:rPr>
        <w:t>30</w:t>
      </w:r>
      <w:r>
        <w:rPr>
          <w:spacing w:val="-45"/>
          <w:sz w:val="28"/>
          <w:szCs w:val="28"/>
        </w:rPr>
        <w:t xml:space="preserve"> </w:t>
      </w:r>
      <w:r>
        <w:rPr>
          <w:spacing w:val="-3"/>
          <w:sz w:val="28"/>
          <w:szCs w:val="28"/>
        </w:rPr>
        <w:t>分钟）对响应价格作出解释，提供项目具体</w:t>
      </w:r>
      <w:r>
        <w:rPr>
          <w:spacing w:val="3"/>
          <w:sz w:val="28"/>
          <w:szCs w:val="28"/>
        </w:rPr>
        <w:t>成本测算等与报价合理性相关的书面说明及必要的证明</w:t>
      </w:r>
      <w:r>
        <w:rPr>
          <w:spacing w:val="2"/>
          <w:sz w:val="28"/>
          <w:szCs w:val="28"/>
        </w:rPr>
        <w:t>材料（包括但不限</w:t>
      </w:r>
      <w:r>
        <w:rPr>
          <w:spacing w:val="-1"/>
          <w:sz w:val="28"/>
          <w:szCs w:val="28"/>
        </w:rPr>
        <w:t>于原材料成本、人工成本、制造费用等</w:t>
      </w:r>
      <w:r>
        <w:rPr>
          <w:spacing w:val="-78"/>
          <w:w w:val="99"/>
          <w:sz w:val="28"/>
          <w:szCs w:val="28"/>
        </w:rPr>
        <w:t>），</w:t>
      </w:r>
      <w:r>
        <w:rPr>
          <w:spacing w:val="-1"/>
          <w:sz w:val="28"/>
          <w:szCs w:val="28"/>
        </w:rPr>
        <w:t>供应商不能在规定时间内提供书</w:t>
      </w:r>
      <w:r>
        <w:rPr>
          <w:spacing w:val="3"/>
          <w:sz w:val="28"/>
          <w:szCs w:val="28"/>
        </w:rPr>
        <w:t>面说明、证明材料，或者提供的书面说明、证明材料不</w:t>
      </w:r>
      <w:r>
        <w:rPr>
          <w:spacing w:val="2"/>
          <w:sz w:val="28"/>
          <w:szCs w:val="28"/>
        </w:rPr>
        <w:t>能证明其报价合理</w:t>
      </w:r>
      <w:r>
        <w:rPr>
          <w:spacing w:val="-7"/>
          <w:sz w:val="28"/>
          <w:szCs w:val="28"/>
        </w:rPr>
        <w:t>性的，磋商小组应当将其作为无效响应处理（“规定时间</w:t>
      </w:r>
      <w:r>
        <w:rPr>
          <w:spacing w:val="-98"/>
          <w:sz w:val="28"/>
          <w:szCs w:val="28"/>
        </w:rPr>
        <w:t xml:space="preserve"> </w:t>
      </w:r>
      <w:r>
        <w:rPr>
          <w:spacing w:val="-7"/>
          <w:sz w:val="28"/>
          <w:szCs w:val="28"/>
        </w:rPr>
        <w:t>”由磋商小组具体</w:t>
      </w:r>
      <w:r>
        <w:rPr>
          <w:spacing w:val="-28"/>
          <w:sz w:val="28"/>
          <w:szCs w:val="28"/>
        </w:rPr>
        <w:t>确定）。</w:t>
      </w:r>
    </w:p>
    <w:p w14:paraId="56E3613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8、综合比较与评价</w:t>
      </w:r>
    </w:p>
    <w:p w14:paraId="11183CF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jc w:val="both"/>
        <w:rPr>
          <w:sz w:val="28"/>
          <w:szCs w:val="28"/>
        </w:rPr>
      </w:pPr>
      <w:r>
        <w:rPr>
          <w:spacing w:val="1"/>
          <w:sz w:val="28"/>
          <w:szCs w:val="28"/>
        </w:rPr>
        <w:t>经磋商确定最终采购需求和提交最后报价的供应</w:t>
      </w:r>
      <w:r>
        <w:rPr>
          <w:sz w:val="28"/>
          <w:szCs w:val="28"/>
        </w:rPr>
        <w:t>商后，</w:t>
      </w:r>
      <w:r>
        <w:rPr>
          <w:spacing w:val="-83"/>
          <w:sz w:val="28"/>
          <w:szCs w:val="28"/>
        </w:rPr>
        <w:t xml:space="preserve"> </w:t>
      </w:r>
      <w:r>
        <w:rPr>
          <w:sz w:val="28"/>
          <w:szCs w:val="28"/>
        </w:rPr>
        <w:t>由磋商小组按</w:t>
      </w:r>
      <w:r>
        <w:rPr>
          <w:spacing w:val="2"/>
          <w:sz w:val="28"/>
          <w:szCs w:val="28"/>
        </w:rPr>
        <w:t>“评审要素及分值一览表</w:t>
      </w:r>
      <w:r>
        <w:rPr>
          <w:spacing w:val="-88"/>
          <w:sz w:val="28"/>
          <w:szCs w:val="28"/>
        </w:rPr>
        <w:t xml:space="preserve"> </w:t>
      </w:r>
      <w:r>
        <w:rPr>
          <w:spacing w:val="2"/>
          <w:sz w:val="28"/>
          <w:szCs w:val="28"/>
        </w:rPr>
        <w:t>”中规定的评审方法和标准，对提交最后报价的</w:t>
      </w:r>
      <w:r>
        <w:rPr>
          <w:spacing w:val="3"/>
          <w:sz w:val="28"/>
          <w:szCs w:val="28"/>
        </w:rPr>
        <w:t>供应商的响应文件和最后报价进行综合评分。</w:t>
      </w:r>
    </w:p>
    <w:p w14:paraId="3920792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评审时，磋商小组各成员应当独立对每个有效响应的文件进行评价、</w:t>
      </w:r>
      <w:r>
        <w:rPr>
          <w:spacing w:val="2"/>
          <w:sz w:val="28"/>
          <w:szCs w:val="28"/>
        </w:rPr>
        <w:t>打分，然后汇总每个供应商每项评审因素的得分。</w:t>
      </w:r>
    </w:p>
    <w:p w14:paraId="2815ED33">
      <w:pPr>
        <w:pStyle w:val="7"/>
        <w:keepNext w:val="0"/>
        <w:keepLines w:val="0"/>
        <w:pageBreakBefore w:val="0"/>
        <w:widowControl/>
        <w:kinsoku/>
        <w:wordWrap/>
        <w:overflowPunct/>
        <w:topLinePunct w:val="0"/>
        <w:autoSpaceDE/>
        <w:autoSpaceDN/>
        <w:bidi w:val="0"/>
        <w:adjustRightInd w:val="0"/>
        <w:snapToGrid w:val="0"/>
        <w:spacing w:line="324" w:lineRule="auto"/>
        <w:ind w:right="0"/>
        <w:rPr>
          <w:b/>
          <w:bCs/>
          <w:spacing w:val="-1"/>
          <w:sz w:val="28"/>
          <w:szCs w:val="28"/>
        </w:rPr>
      </w:pPr>
    </w:p>
    <w:p w14:paraId="62A14A3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评审要素及分值一览表</w:t>
      </w:r>
    </w:p>
    <w:p w14:paraId="0AEAF4D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bl>
      <w:tblPr>
        <w:tblStyle w:val="13"/>
        <w:tblW w:w="92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32"/>
        <w:gridCol w:w="855"/>
        <w:gridCol w:w="7091"/>
      </w:tblGrid>
      <w:tr w14:paraId="6B19B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2FDD0F0C">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类别</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03BBD4FC">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分值</w:t>
            </w:r>
          </w:p>
        </w:tc>
        <w:tc>
          <w:tcPr>
            <w:tcW w:w="7091"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7891A912">
            <w:pPr>
              <w:keepNext w:val="0"/>
              <w:keepLines w:val="0"/>
              <w:pageBreakBefore w:val="0"/>
              <w:widowControl/>
              <w:suppressLineNumbers w:val="0"/>
              <w:kinsoku/>
              <w:wordWrap/>
              <w:overflowPunct/>
              <w:topLinePunct w:val="0"/>
              <w:autoSpaceDE/>
              <w:autoSpaceDN/>
              <w:bidi w:val="0"/>
              <w:adjustRightInd w:val="0"/>
              <w:snapToGrid w:val="0"/>
              <w:spacing w:line="324" w:lineRule="auto"/>
              <w:ind w:left="0" w:leftChars="0" w:right="0" w:firstLine="480" w:firstLineChars="20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评标标准</w:t>
            </w:r>
          </w:p>
        </w:tc>
      </w:tr>
      <w:tr w14:paraId="16D8D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3"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4E1A7066">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投标报价</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3FD9429C">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13047D89">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1、经初审合格的磋商响应文件，其投标报价为有效投标报价，对符合政策性扣减的供应商的有效投标价格进行10%的价格折扣，并依据扣减后的价格（评审价格）进行价格评审。</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2、满足竞争性磋商文件实质性要求且最终报价最低的供应商的价格为投标基准价，其价格分为满分 10 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3、投标报价得分=（投标基准价/最终投标报价）×10 的公式计算得分。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4、经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tc>
      </w:tr>
      <w:tr w14:paraId="51863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43066E3C">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技术响应</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467183CD">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20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0D611BB1">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依据各供应商对招标技术参数响应情况进行评审，完全满足招标文件要求的得20分，每负偏离一项扣1分，扣完为止。（按招标技术要求提供相应证明材料，包括不限于检测报告或彩页或功能截图，未提供视为不响应，不予计分）</w:t>
            </w:r>
          </w:p>
        </w:tc>
      </w:tr>
      <w:tr w14:paraId="662F2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295348A1">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技术方案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34A2172F">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default"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20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6555FC10">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1、行政办公平台建设方案：供应商依据采购需求编写方案，功能应包含请假管理、外出管理、差旅管理、经费管理、印章管理、文件管理、通知公告等，功能全面、完全满足采购要求得4-5分；内容基本完整、设计较合理，有兼容性，得2-3分；缺项或内容缺乏、架构不合理、无兼容性，得0-1分。</w:t>
            </w:r>
          </w:p>
          <w:p w14:paraId="511FCA06">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 xml:space="preserve">2、网络基础设施系统建设方案：供应商从网络架构、设备参数、无线覆盖等方面进行详细阐述，架构清晰明确、设备齐全且参数全面、无线网覆盖全面，得4-5分；内容基本完整、架构较合理，设备较齐全及参数基本完整，无线网基本能覆盖，得2-3分；缺项或内容缺乏、架构不合理、设备及参数不齐全，得0-1分。 </w:t>
            </w:r>
          </w:p>
          <w:p w14:paraId="23E9A503">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3、AI课程评价系统建设方案：供应商根据本项目提供技术方案，内容包括:①项目概述；②总体设计；③详细功能技术方案；④关键技术特点等。技术方案内容全面详细、阐述条理清晰、针对性和可实施性强，得4-</w:t>
            </w:r>
            <w:r>
              <w:rPr>
                <w:rFonts w:hint="eastAsia" w:ascii="仿宋" w:hAnsi="仿宋" w:eastAsia="仿宋" w:cs="仿宋"/>
                <w:i w:val="0"/>
                <w:iCs w:val="0"/>
                <w:color w:val="auto"/>
                <w:kern w:val="0"/>
                <w:sz w:val="24"/>
                <w:szCs w:val="24"/>
                <w:highlight w:val="none"/>
                <w:u w:val="none"/>
                <w:lang w:val="en-US" w:eastAsia="zh-CN" w:bidi="ar"/>
              </w:rPr>
              <w:t>5</w:t>
            </w:r>
            <w:r>
              <w:rPr>
                <w:rFonts w:hint="default" w:ascii="仿宋" w:hAnsi="仿宋" w:eastAsia="仿宋" w:cs="仿宋"/>
                <w:i w:val="0"/>
                <w:iCs w:val="0"/>
                <w:color w:val="auto"/>
                <w:kern w:val="0"/>
                <w:sz w:val="24"/>
                <w:szCs w:val="24"/>
                <w:highlight w:val="none"/>
                <w:u w:val="none"/>
                <w:lang w:val="en-US" w:eastAsia="zh-CN" w:bidi="ar"/>
              </w:rPr>
              <w:t>分;基本满足要求，个别功能配置略有差异得1-3分;关键功能配置不满足要求得0分。</w:t>
            </w:r>
          </w:p>
          <w:p w14:paraId="47232AD6">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default" w:ascii="仿宋" w:hAnsi="仿宋" w:eastAsia="仿宋" w:cs="仿宋"/>
                <w:i w:val="0"/>
                <w:iCs w:val="0"/>
                <w:color w:val="auto"/>
                <w:kern w:val="0"/>
                <w:sz w:val="24"/>
                <w:szCs w:val="24"/>
                <w:highlight w:val="none"/>
                <w:u w:val="none"/>
                <w:lang w:val="en-US" w:eastAsia="zh-CN" w:bidi="ar"/>
              </w:rPr>
            </w:pPr>
            <w:r>
              <w:rPr>
                <w:rFonts w:hint="default" w:ascii="仿宋" w:hAnsi="仿宋" w:eastAsia="仿宋" w:cs="仿宋"/>
                <w:i w:val="0"/>
                <w:iCs w:val="0"/>
                <w:color w:val="auto"/>
                <w:kern w:val="0"/>
                <w:sz w:val="24"/>
                <w:szCs w:val="24"/>
                <w:highlight w:val="none"/>
                <w:u w:val="none"/>
                <w:lang w:val="en-US" w:eastAsia="zh-CN" w:bidi="ar"/>
              </w:rPr>
              <w:t>4、AI 智慧体育系统建设方案：供应商依据采购需求编写系统方案，内容需包含系统架构、核心功能设计、数据采集与分析、AI 算法应用、家校互通、设备兼容性等方面。系统架构先进合理、功能设计全面完整，完全满足采购要求，得4-5 分；内容基本完整、架构较合理，基本满足采购要求，但细节不足，得2-3 分；缺项或内容缺乏、功能缺失、架构不合理，得0-1 分。</w:t>
            </w:r>
          </w:p>
        </w:tc>
      </w:tr>
      <w:tr w14:paraId="5C03D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2928EB0B">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default"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履约能力</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59003987">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6</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6BE71266">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供应商具有 ITSS 信息技术服务运行维护标准符合性证书、软件能力成熟度等级证书、信息安全服务资质认证证书，每提供 1 项得 2 分，</w:t>
            </w:r>
          </w:p>
          <w:p w14:paraId="2EE9A409">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最高得 6 分，未提供不得分。</w:t>
            </w:r>
          </w:p>
          <w:p w14:paraId="4BCB8375">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注：以上证明材料提供相应证书复印件并加盖投标人公章。</w:t>
            </w:r>
          </w:p>
        </w:tc>
      </w:tr>
      <w:tr w14:paraId="655C1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2CF7DE89">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项目实施方案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5D2F64CC">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12</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135A1D45">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根据供应商提供的项目实施方案，包括①项目总体实施方案、②项目团队方案、③项目应急预案、④项目实施安全方案、⑤系统安装调试方案、⑥项目验收方案等内容。</w:t>
            </w:r>
          </w:p>
          <w:p w14:paraId="127BB414">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供应商对每项方案进行详细阐述，方案完整、合理、可操作性强得2分；内容基本完整、设计较合理，有可操作性，得1分；缺项或内容缺乏、设计不合理、无可操作性，得0分，满分12分。</w:t>
            </w:r>
          </w:p>
        </w:tc>
      </w:tr>
      <w:tr w14:paraId="19A7B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0"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1D08B283">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人员配备</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7E5451E0">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default"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24C136A8">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1、供应商为保证项目顺利实施交付及后续服务，需至少配置10人以上的项目团队，项目组织管理团队健全,人员结构科学合理、分工明确，岗位责任明确，配齐10人项目团队的得2分，未配齐不得分。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2、拟派项目专职项目经理具备信息系统项目管理师、注册信息安全工程师。每提供一个证书得1分，满分2分。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3、技术团队成员至少包括软件设计师、通信工程师、系统架构设计师、</w:t>
            </w:r>
            <w:r>
              <w:rPr>
                <w:rFonts w:hint="eastAsia" w:ascii="仿宋" w:hAnsi="仿宋" w:eastAsia="仿宋" w:cs="仿宋"/>
                <w:i w:val="0"/>
                <w:iCs w:val="0"/>
                <w:color w:val="auto"/>
                <w:kern w:val="0"/>
                <w:sz w:val="24"/>
                <w:szCs w:val="24"/>
                <w:highlight w:val="none"/>
                <w:u w:val="none"/>
                <w:lang w:val="en-US" w:eastAsia="zh-CN" w:bidi="ar"/>
              </w:rPr>
              <w:t>系统集成项目管理工程师</w:t>
            </w:r>
            <w:r>
              <w:rPr>
                <w:rFonts w:hint="eastAsia" w:ascii="仿宋" w:hAnsi="仿宋" w:eastAsia="仿宋" w:cs="仿宋"/>
                <w:i w:val="0"/>
                <w:iCs w:val="0"/>
                <w:color w:val="auto"/>
                <w:kern w:val="0"/>
                <w:sz w:val="24"/>
                <w:szCs w:val="24"/>
                <w:u w:val="none"/>
                <w:lang w:val="en-US" w:eastAsia="zh-CN" w:bidi="ar"/>
              </w:rPr>
              <w:t>、注册信息安全工程师、网络工程师，每提供1项得 1分，最高得6 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注：1、一人多证按一人计分，不重复计分。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2、需提供以上人员证书复印件及 2025 年10月以后任意一月本单位社保缴纳的证明材料，否则不计分</w:t>
            </w:r>
          </w:p>
        </w:tc>
      </w:tr>
      <w:tr w14:paraId="1D503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1BBD43BE">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售后服务方案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420F75E6">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10</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5E504FFE">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供应商根据本项目提供售后服务方案，内容包括：①售后服务体系；②售后服务人员配置；③售后服务内容；④保证措施；⑤售后服务承诺；⑥项目交付采购人后出现故障的响应时间、解决故障时间等。</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售后服务方案内容全面详细、阐述条理清晰、针对性和可实施性强，得 4-6 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售后服务方案内容较全面、阐述条理较清晰、具有针对性和可实施性，得 2-4 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售后服务方案内容内容简单，但基本满足项目实际需求，得 0-2 分；未响应不得分。</w:t>
            </w:r>
          </w:p>
        </w:tc>
      </w:tr>
      <w:tr w14:paraId="23B85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9" w:hRule="atLeast"/>
        </w:trPr>
        <w:tc>
          <w:tcPr>
            <w:tcW w:w="1332"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vAlign w:val="center"/>
          </w:tcPr>
          <w:p w14:paraId="6DC2CAE4">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培训方案</w:t>
            </w:r>
          </w:p>
        </w:tc>
        <w:tc>
          <w:tcPr>
            <w:tcW w:w="855" w:type="dxa"/>
            <w:tcBorders>
              <w:top w:val="single" w:color="000000" w:sz="4" w:space="0"/>
              <w:left w:val="single" w:color="000000" w:sz="4" w:space="0"/>
              <w:bottom w:val="single" w:color="000000" w:sz="4" w:space="0"/>
              <w:right w:val="single" w:color="000000" w:sz="4" w:space="0"/>
            </w:tcBorders>
            <w:shd w:val="clear" w:color="auto" w:fill="EBF1DE" w:themeFill="accent3" w:themeFillTint="32"/>
            <w:noWrap/>
            <w:vAlign w:val="center"/>
          </w:tcPr>
          <w:p w14:paraId="43474E28">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6</w:t>
            </w:r>
          </w:p>
        </w:tc>
        <w:tc>
          <w:tcPr>
            <w:tcW w:w="7091" w:type="dxa"/>
            <w:tcBorders>
              <w:top w:val="single" w:color="000000" w:sz="4" w:space="0"/>
              <w:left w:val="single" w:color="000000" w:sz="4" w:space="0"/>
              <w:bottom w:val="single" w:color="000000" w:sz="4" w:space="0"/>
              <w:right w:val="single" w:color="000000" w:sz="4" w:space="0"/>
            </w:tcBorders>
            <w:shd w:val="clear" w:color="auto" w:fill="FDEADA" w:themeFill="accent6" w:themeFillTint="32"/>
            <w:vAlign w:val="center"/>
          </w:tcPr>
          <w:p w14:paraId="21E45E89">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供应商根据本项目提供培训方案，内容包括：①培训组织架构；②培训时间；③培训内容；④培训方式；⑤培训流程及日程安排等。</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方案内容全面详细、阐述条理清晰、针对性和可实施性强，得 4-6 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方案内容较全面、阐述条理较清晰、具有针对性和可实施性，得 2-4 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方案内容内容简单，但基本满足项目实际需求，得 0-2分；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未响应不得分。</w:t>
            </w:r>
          </w:p>
        </w:tc>
      </w:tr>
      <w:tr w14:paraId="30025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2" w:hRule="atLeast"/>
        </w:trPr>
        <w:tc>
          <w:tcPr>
            <w:tcW w:w="1332" w:type="dxa"/>
            <w:tcBorders>
              <w:top w:val="single" w:color="000000" w:sz="4" w:space="0"/>
              <w:left w:val="single" w:color="000000" w:sz="4" w:space="0"/>
              <w:bottom w:val="single" w:color="auto" w:sz="4" w:space="0"/>
              <w:right w:val="single" w:color="000000" w:sz="4" w:space="0"/>
            </w:tcBorders>
            <w:shd w:val="clear" w:color="auto" w:fill="EBF1DE" w:themeFill="accent3" w:themeFillTint="32"/>
            <w:vAlign w:val="center"/>
          </w:tcPr>
          <w:p w14:paraId="3E269F23">
            <w:pPr>
              <w:keepNext w:val="0"/>
              <w:keepLines w:val="0"/>
              <w:pageBreakBefore w:val="0"/>
              <w:widowControl/>
              <w:suppressLineNumbers w:val="0"/>
              <w:kinsoku/>
              <w:wordWrap/>
              <w:overflowPunct/>
              <w:topLinePunct w:val="0"/>
              <w:autoSpaceDE/>
              <w:autoSpaceDN/>
              <w:bidi w:val="0"/>
              <w:adjustRightInd w:val="0"/>
              <w:snapToGrid w:val="0"/>
              <w:spacing w:line="324" w:lineRule="auto"/>
              <w:ind w:left="0" w:leftChars="0" w:right="0" w:firstLine="480" w:firstLineChars="200"/>
              <w:jc w:val="both"/>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业绩</w:t>
            </w:r>
          </w:p>
        </w:tc>
        <w:tc>
          <w:tcPr>
            <w:tcW w:w="855" w:type="dxa"/>
            <w:tcBorders>
              <w:top w:val="single" w:color="000000" w:sz="4" w:space="0"/>
              <w:left w:val="single" w:color="000000" w:sz="4" w:space="0"/>
              <w:bottom w:val="single" w:color="auto" w:sz="4" w:space="0"/>
              <w:right w:val="single" w:color="000000" w:sz="4" w:space="0"/>
            </w:tcBorders>
            <w:shd w:val="clear" w:color="auto" w:fill="EBF1DE" w:themeFill="accent3" w:themeFillTint="32"/>
            <w:vAlign w:val="center"/>
          </w:tcPr>
          <w:p w14:paraId="5758EE9E">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both"/>
              <w:textAlignment w:val="center"/>
              <w:rPr>
                <w:rFonts w:hint="eastAsia" w:ascii="仿宋" w:hAnsi="仿宋" w:eastAsia="仿宋" w:cs="仿宋"/>
                <w:i w:val="0"/>
                <w:iCs w:val="0"/>
                <w:color w:val="auto"/>
                <w:sz w:val="24"/>
                <w:szCs w:val="24"/>
                <w:u w:val="none"/>
                <w:lang w:val="en-US"/>
              </w:rPr>
            </w:pPr>
            <w:r>
              <w:rPr>
                <w:rFonts w:hint="eastAsia" w:ascii="仿宋" w:hAnsi="仿宋" w:eastAsia="仿宋" w:cs="仿宋"/>
                <w:i w:val="0"/>
                <w:iCs w:val="0"/>
                <w:color w:val="auto"/>
                <w:kern w:val="0"/>
                <w:sz w:val="24"/>
                <w:szCs w:val="24"/>
                <w:u w:val="none"/>
                <w:lang w:val="en-US" w:eastAsia="zh-CN" w:bidi="ar"/>
              </w:rPr>
              <w:t>6</w:t>
            </w:r>
          </w:p>
        </w:tc>
        <w:tc>
          <w:tcPr>
            <w:tcW w:w="7091" w:type="dxa"/>
            <w:tcBorders>
              <w:top w:val="single" w:color="000000" w:sz="4" w:space="0"/>
              <w:left w:val="single" w:color="000000" w:sz="4" w:space="0"/>
              <w:bottom w:val="single" w:color="auto" w:sz="4" w:space="0"/>
              <w:right w:val="single" w:color="000000" w:sz="4" w:space="0"/>
            </w:tcBorders>
            <w:shd w:val="clear" w:color="auto" w:fill="FDEADA" w:themeFill="accent6" w:themeFillTint="32"/>
            <w:vAlign w:val="center"/>
          </w:tcPr>
          <w:p w14:paraId="3F4D80E6">
            <w:pPr>
              <w:keepNext w:val="0"/>
              <w:keepLines w:val="0"/>
              <w:pageBreakBefore w:val="0"/>
              <w:widowControl/>
              <w:suppressLineNumbers w:val="0"/>
              <w:kinsoku/>
              <w:wordWrap/>
              <w:overflowPunct/>
              <w:topLinePunct w:val="0"/>
              <w:autoSpaceDE/>
              <w:autoSpaceDN/>
              <w:bidi w:val="0"/>
              <w:adjustRightInd w:val="0"/>
              <w:snapToGrid w:val="0"/>
              <w:spacing w:line="324" w:lineRule="auto"/>
              <w:ind w:left="0" w:leftChars="0" w:right="0" w:firstLine="480" w:firstLineChars="200"/>
              <w:jc w:val="left"/>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供应商提供 2023 年5月1日至今类似项目业绩（以合同签订时间为准），每提供一项计2分，满分6分，不提供不得分。</w:t>
            </w:r>
            <w:r>
              <w:rPr>
                <w:rFonts w:hint="eastAsia" w:ascii="仿宋" w:hAnsi="仿宋" w:eastAsia="仿宋" w:cs="仿宋"/>
                <w:i w:val="0"/>
                <w:iCs w:val="0"/>
                <w:color w:val="auto"/>
                <w:kern w:val="0"/>
                <w:sz w:val="24"/>
                <w:szCs w:val="24"/>
                <w:u w:val="none"/>
                <w:lang w:val="en-US" w:eastAsia="zh-CN" w:bidi="ar"/>
              </w:rPr>
              <w:br w:type="textWrapping"/>
            </w:r>
            <w:r>
              <w:rPr>
                <w:rFonts w:hint="eastAsia" w:ascii="仿宋" w:hAnsi="仿宋" w:eastAsia="仿宋" w:cs="仿宋"/>
                <w:i w:val="0"/>
                <w:iCs w:val="0"/>
                <w:color w:val="auto"/>
                <w:kern w:val="0"/>
                <w:sz w:val="24"/>
                <w:szCs w:val="24"/>
                <w:u w:val="none"/>
                <w:lang w:val="en-US" w:eastAsia="zh-CN" w:bidi="ar"/>
              </w:rPr>
              <w:t>注：供应商提供的业绩证明文件应为签订的合同复印件加盖公章为准。</w:t>
            </w:r>
          </w:p>
        </w:tc>
      </w:tr>
      <w:tr w14:paraId="11C59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9278" w:type="dxa"/>
            <w:gridSpan w:val="3"/>
            <w:tcBorders>
              <w:top w:val="single" w:color="auto" w:sz="4" w:space="0"/>
              <w:left w:val="single" w:color="auto" w:sz="4" w:space="0"/>
              <w:bottom w:val="single" w:color="auto" w:sz="4" w:space="0"/>
              <w:right w:val="single" w:color="auto" w:sz="4" w:space="0"/>
            </w:tcBorders>
            <w:shd w:val="clear" w:color="auto" w:fill="E6E0EC" w:themeFill="accent4" w:themeFillTint="32"/>
            <w:vAlign w:val="center"/>
          </w:tcPr>
          <w:p w14:paraId="586AD989">
            <w:pPr>
              <w:keepNext w:val="0"/>
              <w:keepLines w:val="0"/>
              <w:pageBreakBefore w:val="0"/>
              <w:widowControl/>
              <w:suppressLineNumbers w:val="0"/>
              <w:kinsoku/>
              <w:wordWrap/>
              <w:overflowPunct/>
              <w:topLinePunct w:val="0"/>
              <w:autoSpaceDE/>
              <w:autoSpaceDN/>
              <w:bidi w:val="0"/>
              <w:adjustRightInd w:val="0"/>
              <w:snapToGrid w:val="0"/>
              <w:spacing w:line="324" w:lineRule="auto"/>
              <w:ind w:right="0"/>
              <w:jc w:val="left"/>
              <w:textAlignment w:val="center"/>
              <w:rPr>
                <w:rFonts w:hint="eastAsia" w:ascii="仿宋" w:hAnsi="仿宋" w:eastAsia="仿宋" w:cs="仿宋"/>
                <w:b/>
                <w:bCs/>
                <w:i w:val="0"/>
                <w:iCs w:val="0"/>
                <w:color w:val="auto"/>
                <w:sz w:val="22"/>
                <w:szCs w:val="22"/>
                <w:u w:val="none"/>
              </w:rPr>
            </w:pPr>
            <w:r>
              <w:rPr>
                <w:rFonts w:hint="eastAsia" w:ascii="仿宋" w:hAnsi="仿宋" w:eastAsia="仿宋" w:cs="仿宋"/>
                <w:b/>
                <w:bCs/>
                <w:i w:val="0"/>
                <w:iCs w:val="0"/>
                <w:color w:val="auto"/>
                <w:kern w:val="0"/>
                <w:sz w:val="22"/>
                <w:szCs w:val="22"/>
                <w:u w:val="none"/>
                <w:lang w:val="en-US" w:eastAsia="zh-CN" w:bidi="ar"/>
              </w:rPr>
              <w:t>备注：评审小组打分时，赋分区间含下限值不含上限值，如 2-3 分，指“2≤得分＜3”。</w:t>
            </w:r>
          </w:p>
        </w:tc>
      </w:tr>
    </w:tbl>
    <w:p w14:paraId="371BCDA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hAnsi="Arial" w:eastAsia="Arial" w:cs="Arial"/>
          <w:sz w:val="21"/>
          <w:szCs w:val="21"/>
        </w:rPr>
        <w:sectPr>
          <w:headerReference r:id="rId8" w:type="default"/>
          <w:footerReference r:id="rId9" w:type="default"/>
          <w:pgSz w:w="11906" w:h="16839"/>
          <w:pgMar w:top="1210" w:right="1416" w:bottom="1233" w:left="1405" w:header="828" w:footer="1019" w:gutter="0"/>
          <w:pgBorders>
            <w:top w:val="none" w:sz="0" w:space="0"/>
            <w:left w:val="none" w:sz="0" w:space="0"/>
            <w:bottom w:val="none" w:sz="0" w:space="0"/>
            <w:right w:val="none" w:sz="0" w:space="0"/>
          </w:pgBorders>
          <w:pgNumType w:fmt="decimal"/>
          <w:cols w:space="720" w:num="1"/>
        </w:sectPr>
      </w:pPr>
    </w:p>
    <w:p w14:paraId="0374636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4F492C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9、推荐成交候选供应商</w:t>
      </w:r>
    </w:p>
    <w:p w14:paraId="6DE4AC3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磋商小组应当根据综合评分情况，按照评审得分由高到低顺序推荐 3名以上成交候选供应商（有效供应商不足三家时以实际数量推荐）。评审得分相同的，按照最后报价由低到高的顺序推荐。评审得分且最后报价相同的，按照技术指标优劣顺序推荐。</w:t>
      </w:r>
    </w:p>
    <w:p w14:paraId="412DA17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10、编写评审报告</w:t>
      </w:r>
    </w:p>
    <w:p w14:paraId="5F12FD1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 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4200D34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磋商小组如果启动异常低价响应审查，应当将启动原因、审查意见和审查结果在评审报告中记录，并随供应商提供的相关书面说明及证明材料，以及磋商小组有关互联网浏览、查询历史一并归档。</w:t>
      </w:r>
    </w:p>
    <w:p w14:paraId="70A0D6F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采购人书面授权磋商小组直接确定成交供应商的，磋商小组应在评审报告中明确成交供应商及成交金额。</w:t>
      </w:r>
    </w:p>
    <w:p w14:paraId="72607E4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除下列情形外，任何人不得以任何理由组织重新评审：</w:t>
      </w:r>
    </w:p>
    <w:p w14:paraId="4A08453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（1）资格性检查认定错误的；</w:t>
      </w:r>
    </w:p>
    <w:p w14:paraId="24EF6AC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（2）分值汇总计算错误的；</w:t>
      </w:r>
    </w:p>
    <w:p w14:paraId="0DAB0B0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（3）分项评分超出评分标准范围的；</w:t>
      </w:r>
    </w:p>
    <w:p w14:paraId="6B9CCCD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（4）客观分评分不一致的；</w:t>
      </w:r>
    </w:p>
    <w:p w14:paraId="499B140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（5）经磋商小组一致认定评分畸高、畸低的情形。</w:t>
      </w:r>
    </w:p>
    <w:p w14:paraId="2E13F07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（六）有下列情况之一的，视为供应商串通投标，其投标无效：</w:t>
      </w:r>
    </w:p>
    <w:p w14:paraId="1D0A250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1、不同供应商的响应文件由同一单位或者个人编制；</w:t>
      </w:r>
    </w:p>
    <w:p w14:paraId="626F0C2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2、不同供应商的响应文件由同一台电脑编制；</w:t>
      </w:r>
    </w:p>
    <w:p w14:paraId="6B1FAFD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3、不同供应商委托同一单位或者个人办理投标事宜；</w:t>
      </w:r>
    </w:p>
    <w:p w14:paraId="48B70BD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4、不同供应商的响应文件载明的项目管理成员或者联系人员为同一人；</w:t>
      </w:r>
    </w:p>
    <w:p w14:paraId="2307867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5、不同供应商的响应文件异常一致或者磋商报价呈规律性差异；</w:t>
      </w:r>
    </w:p>
    <w:p w14:paraId="6DB2439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6、不同供应商的响应文件相互混装；</w:t>
      </w:r>
    </w:p>
    <w:p w14:paraId="2197717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7、政府采购法律法规及磋商文件规定的其他情形。</w:t>
      </w:r>
    </w:p>
    <w:p w14:paraId="50336A4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bookmarkStart w:id="10" w:name="bookmark10"/>
      <w:bookmarkEnd w:id="10"/>
      <w:r>
        <w:rPr>
          <w:spacing w:val="3"/>
          <w:sz w:val="28"/>
          <w:szCs w:val="28"/>
        </w:rPr>
        <w:t>八、成交</w:t>
      </w:r>
    </w:p>
    <w:p w14:paraId="2B69C9D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（一）本项目采用第 1 种方式确定成交供应商：</w:t>
      </w:r>
    </w:p>
    <w:p w14:paraId="126B805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1、采购人根据磋商小组评审结果确认。</w:t>
      </w:r>
    </w:p>
    <w:p w14:paraId="0BC7B9D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rFonts w:hint="eastAsia"/>
          <w:spacing w:val="3"/>
          <w:sz w:val="28"/>
          <w:szCs w:val="28"/>
          <w:lang w:eastAsia="zh-CN"/>
        </w:rPr>
        <w:t>陕西中源项目管理有限公司</w:t>
      </w:r>
      <w:r>
        <w:rPr>
          <w:spacing w:val="3"/>
          <w:sz w:val="28"/>
          <w:szCs w:val="28"/>
        </w:rPr>
        <w:t>在评审结束后2 个工作日内将评审报告送采购人确认。采购人在收到评审报告之日起 5 个工作日内，从评审报告提出的成交候选供应商中，按照排序由高到低的原则确定成交供应商。采购人逾期未确定成交供应商且不提出异议的，视同按评审报告提出的排序第一的供应商为成交供应商。</w:t>
      </w:r>
    </w:p>
    <w:p w14:paraId="5A04FB6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2、采购人书面授权磋商小组直接确定成交供应商。</w:t>
      </w:r>
    </w:p>
    <w:p w14:paraId="7D8DB90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采购人在评审前提供《委托评审小组定标授权书》，磋商小组会将根据采购人授权直接确定成交供应商。</w:t>
      </w:r>
    </w:p>
    <w:p w14:paraId="7E87B0D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（二）</w:t>
      </w:r>
      <w:r>
        <w:rPr>
          <w:rFonts w:hint="eastAsia"/>
          <w:spacing w:val="3"/>
          <w:sz w:val="28"/>
          <w:szCs w:val="28"/>
          <w:lang w:eastAsia="zh-CN"/>
        </w:rPr>
        <w:t>陕西中源项目管理有限公司</w:t>
      </w:r>
      <w:r>
        <w:rPr>
          <w:spacing w:val="3"/>
          <w:sz w:val="28"/>
          <w:szCs w:val="28"/>
        </w:rPr>
        <w:t>将在成交供应商确定之日起2 个工作 日内，在【</w:t>
      </w:r>
      <w:r>
        <w:rPr>
          <w:spacing w:val="3"/>
          <w:sz w:val="28"/>
          <w:szCs w:val="28"/>
        </w:rPr>
        <w:fldChar w:fldCharType="begin"/>
      </w:r>
      <w:r>
        <w:rPr>
          <w:spacing w:val="3"/>
          <w:sz w:val="28"/>
          <w:szCs w:val="28"/>
        </w:rPr>
        <w:instrText xml:space="preserve"> HYPERLINK "http://www.ccgp-shaanxi.gov.cn/" </w:instrText>
      </w:r>
      <w:r>
        <w:rPr>
          <w:spacing w:val="3"/>
          <w:sz w:val="28"/>
          <w:szCs w:val="28"/>
        </w:rPr>
        <w:fldChar w:fldCharType="separate"/>
      </w:r>
      <w:r>
        <w:rPr>
          <w:spacing w:val="3"/>
          <w:sz w:val="28"/>
          <w:szCs w:val="28"/>
        </w:rPr>
        <w:t>陕西省政府采购网</w:t>
      </w:r>
      <w:r>
        <w:rPr>
          <w:spacing w:val="3"/>
          <w:sz w:val="28"/>
          <w:szCs w:val="28"/>
        </w:rPr>
        <w:fldChar w:fldCharType="end"/>
      </w:r>
      <w:r>
        <w:rPr>
          <w:spacing w:val="3"/>
          <w:sz w:val="28"/>
          <w:szCs w:val="28"/>
        </w:rPr>
        <w:t>（</w:t>
      </w:r>
      <w:r>
        <w:rPr>
          <w:spacing w:val="3"/>
          <w:sz w:val="28"/>
          <w:szCs w:val="28"/>
        </w:rPr>
        <w:fldChar w:fldCharType="begin"/>
      </w:r>
      <w:r>
        <w:rPr>
          <w:spacing w:val="3"/>
          <w:sz w:val="28"/>
          <w:szCs w:val="28"/>
        </w:rPr>
        <w:instrText xml:space="preserve"> HYPERLINK "https://www.ccgp-shaanxi.gov.cn" </w:instrText>
      </w:r>
      <w:r>
        <w:rPr>
          <w:spacing w:val="3"/>
          <w:sz w:val="28"/>
          <w:szCs w:val="28"/>
        </w:rPr>
        <w:fldChar w:fldCharType="separate"/>
      </w:r>
      <w:r>
        <w:rPr>
          <w:spacing w:val="3"/>
          <w:sz w:val="28"/>
          <w:szCs w:val="28"/>
        </w:rPr>
        <w:t>www.ccgp-shaanxi.gov.cn</w:t>
      </w:r>
      <w:r>
        <w:rPr>
          <w:spacing w:val="3"/>
          <w:sz w:val="28"/>
          <w:szCs w:val="28"/>
        </w:rPr>
        <w:fldChar w:fldCharType="end"/>
      </w:r>
      <w:r>
        <w:rPr>
          <w:spacing w:val="3"/>
          <w:sz w:val="28"/>
          <w:szCs w:val="28"/>
        </w:rPr>
        <w:t>）】、【全国公共资源交易平台</w:t>
      </w:r>
      <w:r>
        <w:rPr>
          <w:rFonts w:hint="eastAsia"/>
          <w:spacing w:val="3"/>
          <w:sz w:val="28"/>
          <w:szCs w:val="28"/>
          <w:lang w:eastAsia="zh-CN"/>
        </w:rPr>
        <w:t>（陕西省·安康市）</w:t>
      </w:r>
      <w:r>
        <w:rPr>
          <w:spacing w:val="3"/>
          <w:sz w:val="28"/>
          <w:szCs w:val="28"/>
        </w:rPr>
        <w:t>（</w:t>
      </w:r>
      <w:r>
        <w:rPr>
          <w:rFonts w:hint="eastAsia"/>
          <w:spacing w:val="3"/>
          <w:sz w:val="28"/>
          <w:szCs w:val="28"/>
        </w:rPr>
        <w:t>https://ggzyjy.ankang.gov.cn/</w:t>
      </w:r>
      <w:r>
        <w:rPr>
          <w:spacing w:val="3"/>
          <w:sz w:val="28"/>
          <w:szCs w:val="28"/>
        </w:rPr>
        <w:t>）】上发布成交公告，成交公告期限为 1 个工作日。 同时，</w:t>
      </w:r>
      <w:r>
        <w:rPr>
          <w:rFonts w:hint="eastAsia"/>
          <w:spacing w:val="3"/>
          <w:sz w:val="28"/>
          <w:szCs w:val="28"/>
          <w:lang w:eastAsia="zh-CN"/>
        </w:rPr>
        <w:t>陕西中源项目管理有限公司</w:t>
      </w:r>
      <w:r>
        <w:rPr>
          <w:spacing w:val="3"/>
          <w:sz w:val="28"/>
          <w:szCs w:val="28"/>
        </w:rPr>
        <w:t>向成交供应商发出“成交通知书 ”，并将磋商文件随成交结果同时公告。成交结果公告应当包括以下内容：</w:t>
      </w:r>
    </w:p>
    <w:p w14:paraId="2A0B49F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1、采购人和采购代理机构的名称、地址和联系方式；</w:t>
      </w:r>
    </w:p>
    <w:p w14:paraId="3727CAC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2、项目名称和项目编号；</w:t>
      </w:r>
    </w:p>
    <w:p w14:paraId="6F4D02A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3、成交供应商名称、地址和成交金额；</w:t>
      </w:r>
    </w:p>
    <w:p w14:paraId="7F70CE8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4、主要成交标的的名称、规格型号、数量、单价、服务要求；</w:t>
      </w:r>
    </w:p>
    <w:p w14:paraId="7B876D8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5、磋商小组成员名单。</w:t>
      </w:r>
    </w:p>
    <w:p w14:paraId="2C4906C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pacing w:val="3"/>
          <w:sz w:val="28"/>
          <w:szCs w:val="28"/>
        </w:rPr>
      </w:pPr>
      <w:r>
        <w:rPr>
          <w:spacing w:val="3"/>
          <w:sz w:val="28"/>
          <w:szCs w:val="28"/>
        </w:rPr>
        <w:t>采用书面推荐供应商参加采购活动的，还应当公告采购人和评审专家的推荐意见。</w:t>
      </w:r>
    </w:p>
    <w:p w14:paraId="080EB79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outlineLvl w:val="1"/>
        <w:rPr>
          <w:sz w:val="28"/>
          <w:szCs w:val="28"/>
        </w:rPr>
      </w:pPr>
      <w:bookmarkStart w:id="11" w:name="bookmark11"/>
      <w:bookmarkEnd w:id="11"/>
      <w:r>
        <w:rPr>
          <w:b/>
          <w:bCs/>
          <w:spacing w:val="-2"/>
          <w:sz w:val="28"/>
          <w:szCs w:val="28"/>
        </w:rPr>
        <w:t>九、签订政府采购合同</w:t>
      </w:r>
    </w:p>
    <w:p w14:paraId="56DC2B4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0" w:firstLineChars="200"/>
        <w:rPr>
          <w:sz w:val="28"/>
          <w:szCs w:val="28"/>
        </w:rPr>
      </w:pPr>
      <w:r>
        <w:rPr>
          <w:spacing w:val="-5"/>
          <w:sz w:val="28"/>
          <w:szCs w:val="28"/>
        </w:rPr>
        <w:t>（一）采购人与成交供应商应当在成交通知书发出之日起</w:t>
      </w:r>
      <w:r>
        <w:rPr>
          <w:spacing w:val="-40"/>
          <w:sz w:val="28"/>
          <w:szCs w:val="28"/>
        </w:rPr>
        <w:t xml:space="preserve"> </w:t>
      </w:r>
      <w:r>
        <w:rPr>
          <w:spacing w:val="-5"/>
          <w:sz w:val="28"/>
          <w:szCs w:val="28"/>
        </w:rPr>
        <w:t>25 日内，按</w:t>
      </w:r>
      <w:r>
        <w:rPr>
          <w:spacing w:val="3"/>
          <w:sz w:val="28"/>
          <w:szCs w:val="28"/>
        </w:rPr>
        <w:t>照磋商文件确定的合同文本以及采购标的、</w:t>
      </w:r>
      <w:r>
        <w:rPr>
          <w:spacing w:val="2"/>
          <w:sz w:val="28"/>
          <w:szCs w:val="28"/>
        </w:rPr>
        <w:t>规格型号、采购金额、采购数量、技术和服务要求等事项协商签订政府采购合同。</w:t>
      </w:r>
    </w:p>
    <w:p w14:paraId="579D54D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（二）采购人不得向成交供应商提出超出磋商</w:t>
      </w:r>
      <w:r>
        <w:rPr>
          <w:spacing w:val="2"/>
          <w:sz w:val="28"/>
          <w:szCs w:val="28"/>
        </w:rPr>
        <w:t>文件以外的任何要求作</w:t>
      </w:r>
      <w:r>
        <w:rPr>
          <w:spacing w:val="3"/>
          <w:sz w:val="28"/>
          <w:szCs w:val="28"/>
        </w:rPr>
        <w:t>为签订合同的条件，不得与成交供应商订立</w:t>
      </w:r>
      <w:r>
        <w:rPr>
          <w:spacing w:val="2"/>
          <w:sz w:val="28"/>
          <w:szCs w:val="28"/>
        </w:rPr>
        <w:t>背离磋商文件确定的合同文本</w:t>
      </w:r>
      <w:r>
        <w:rPr>
          <w:spacing w:val="3"/>
          <w:sz w:val="28"/>
          <w:szCs w:val="28"/>
        </w:rPr>
        <w:t>以及采购标的、规格型号、采购金额、采购</w:t>
      </w:r>
      <w:r>
        <w:rPr>
          <w:spacing w:val="2"/>
          <w:sz w:val="28"/>
          <w:szCs w:val="28"/>
        </w:rPr>
        <w:t>数量、技术和服务要求等实质</w:t>
      </w:r>
      <w:r>
        <w:rPr>
          <w:spacing w:val="-1"/>
          <w:sz w:val="28"/>
          <w:szCs w:val="28"/>
        </w:rPr>
        <w:t>性内容的协议。</w:t>
      </w:r>
    </w:p>
    <w:p w14:paraId="6FB8DB6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（三）成交供应商拒绝与采购人签订合同的，</w:t>
      </w:r>
      <w:r>
        <w:rPr>
          <w:spacing w:val="2"/>
          <w:sz w:val="28"/>
          <w:szCs w:val="28"/>
        </w:rPr>
        <w:t>采购人可以按照评审报</w:t>
      </w:r>
      <w:r>
        <w:rPr>
          <w:spacing w:val="3"/>
          <w:sz w:val="28"/>
          <w:szCs w:val="28"/>
        </w:rPr>
        <w:t>告推荐的成交候选人名单排序，确定下一候选人为成交</w:t>
      </w:r>
      <w:r>
        <w:rPr>
          <w:spacing w:val="2"/>
          <w:sz w:val="28"/>
          <w:szCs w:val="28"/>
        </w:rPr>
        <w:t>供应商，也可以重</w:t>
      </w:r>
      <w:r>
        <w:rPr>
          <w:spacing w:val="3"/>
          <w:sz w:val="28"/>
          <w:szCs w:val="28"/>
        </w:rPr>
        <w:t>新开展政府采购活动。拒绝签订政府采购合同的成交供</w:t>
      </w:r>
      <w:r>
        <w:rPr>
          <w:spacing w:val="2"/>
          <w:sz w:val="28"/>
          <w:szCs w:val="28"/>
        </w:rPr>
        <w:t>应商不得参加对该</w:t>
      </w:r>
      <w:r>
        <w:rPr>
          <w:spacing w:val="1"/>
          <w:sz w:val="28"/>
          <w:szCs w:val="28"/>
        </w:rPr>
        <w:t>项目重新开展的采购活动。</w:t>
      </w:r>
    </w:p>
    <w:p w14:paraId="678DAAF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（四）磋商文件、成交供应商的响应文件、《成交通知书》及其澄清、说明文件、承诺等，均为签订采购合同的依据，作为采购合同的组成部分。</w:t>
      </w:r>
    </w:p>
    <w:p w14:paraId="74055F1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（五）政府采购合同应当包括采购人与成交供应商的名称和住所、标的、数量、质量、价款或者报酬、履行期限及地点和方式、验收要求、违约责任、解决争议的方法等内容。</w:t>
      </w:r>
    </w:p>
    <w:p w14:paraId="04B6FD6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（六）采购人与成交供应商应当根据合同的约定依法履行合同义务。政府采购合同的履行、违约责任和解决争议的方法等适用《中华人民</w:t>
      </w:r>
    </w:p>
    <w:p w14:paraId="6C141CD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共和国民法典》。</w:t>
      </w:r>
    </w:p>
    <w:p w14:paraId="0027A7E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（七）采购人应当及时对采购项目进行验收。采购人可以邀请参加本项目的其他投标供应商或者第三方机构参与验收。参与验收的投标供应商或者第三方机构的意见作为验收书的参考资料一并存档。</w:t>
      </w:r>
    </w:p>
    <w:p w14:paraId="4538A5D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（八）采购人应当加强对成交供应商的履约管理，并按照采购合同约定，及时向成交供应商支付采购资金。对于成交供应商违反采购合同约定的行为，采购人应当及时处理，依法追究其违约责任。</w:t>
      </w:r>
    </w:p>
    <w:p w14:paraId="2BAC10ED">
      <w:pPr>
        <w:pStyle w:val="7"/>
        <w:keepNext w:val="0"/>
        <w:keepLines w:val="0"/>
        <w:pageBreakBefore w:val="0"/>
        <w:widowControl/>
        <w:kinsoku/>
        <w:wordWrap/>
        <w:overflowPunct/>
        <w:topLinePunct w:val="0"/>
        <w:autoSpaceDE/>
        <w:autoSpaceDN/>
        <w:bidi w:val="0"/>
        <w:adjustRightInd w:val="0"/>
        <w:snapToGrid w:val="0"/>
        <w:spacing w:line="324" w:lineRule="auto"/>
        <w:ind w:right="0" w:firstLine="574" w:firstLineChars="200"/>
        <w:rPr>
          <w:b/>
          <w:bCs/>
          <w:spacing w:val="3"/>
          <w:sz w:val="28"/>
          <w:szCs w:val="28"/>
        </w:rPr>
      </w:pPr>
      <w:bookmarkStart w:id="12" w:name="bookmark12"/>
      <w:bookmarkEnd w:id="12"/>
      <w:r>
        <w:rPr>
          <w:b/>
          <w:bCs/>
          <w:spacing w:val="3"/>
          <w:sz w:val="28"/>
          <w:szCs w:val="28"/>
        </w:rPr>
        <w:t>十、其他</w:t>
      </w:r>
    </w:p>
    <w:p w14:paraId="634CBBE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（一）磋商小组发现磋商文件存在歧义、重大缺陷导致评审工作无法进行，或者磋商文件内容违反国家有关强制性规定的，应当停止评审工作，与采购人或者</w:t>
      </w:r>
      <w:r>
        <w:rPr>
          <w:rFonts w:hint="eastAsia"/>
          <w:spacing w:val="3"/>
          <w:sz w:val="28"/>
          <w:szCs w:val="28"/>
          <w:lang w:eastAsia="zh-CN"/>
        </w:rPr>
        <w:t>陕西中源项目管理有限公司</w:t>
      </w:r>
      <w:r>
        <w:rPr>
          <w:spacing w:val="3"/>
          <w:sz w:val="28"/>
          <w:szCs w:val="28"/>
        </w:rPr>
        <w:t>沟通并作书面记录。采购人或者</w:t>
      </w:r>
      <w:r>
        <w:rPr>
          <w:rFonts w:hint="eastAsia"/>
          <w:spacing w:val="3"/>
          <w:sz w:val="28"/>
          <w:szCs w:val="28"/>
          <w:lang w:eastAsia="zh-CN"/>
        </w:rPr>
        <w:t>陕西中源项目管理有限公司</w:t>
      </w:r>
      <w:r>
        <w:rPr>
          <w:spacing w:val="3"/>
          <w:sz w:val="28"/>
          <w:szCs w:val="28"/>
        </w:rPr>
        <w:t>确认后，应当修改磋商文件，重新组织采购活动。</w:t>
      </w:r>
    </w:p>
    <w:p w14:paraId="57084B2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（二）根据《政府采购法》第三十六条规定，在磋商采购中，出现下列情形之一的，本项目按废标处理：</w:t>
      </w:r>
    </w:p>
    <w:p w14:paraId="6F3876C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1、出现影响采购公正的违法、违规行为的；</w:t>
      </w:r>
    </w:p>
    <w:p w14:paraId="286A530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2、供应商的报价均超过了采购预算，采购人不能支付的；</w:t>
      </w:r>
    </w:p>
    <w:p w14:paraId="53C31A2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3、因重大变故，采购任务取消的。</w:t>
      </w:r>
    </w:p>
    <w:p w14:paraId="705B68F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废标后， 由</w:t>
      </w:r>
      <w:r>
        <w:rPr>
          <w:rFonts w:hint="eastAsia"/>
          <w:spacing w:val="3"/>
          <w:sz w:val="28"/>
          <w:szCs w:val="28"/>
          <w:lang w:eastAsia="zh-CN"/>
        </w:rPr>
        <w:t>陕西中源项目管理有限公司</w:t>
      </w:r>
      <w:r>
        <w:rPr>
          <w:spacing w:val="3"/>
          <w:sz w:val="28"/>
          <w:szCs w:val="28"/>
        </w:rPr>
        <w:t>发布废标公告。除采购任务取消外，本项目将重新组织采购活动。</w:t>
      </w:r>
    </w:p>
    <w:p w14:paraId="3C070EF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（三）在递交响应文件阶段、资格审查阶段以及符合性审查阶段，当出现有效投标供应商不足 3 家时，除采购任务取消外，按照以下方式处理：</w:t>
      </w:r>
    </w:p>
    <w:p w14:paraId="74AEBD1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1、磋商文件存在不合理条款或者磋商程序不符合规定的，采购人、</w:t>
      </w:r>
      <w:r>
        <w:rPr>
          <w:rFonts w:hint="eastAsia"/>
          <w:spacing w:val="3"/>
          <w:sz w:val="28"/>
          <w:szCs w:val="28"/>
          <w:lang w:eastAsia="zh-CN"/>
        </w:rPr>
        <w:t>陕西中源项目管理有限公司</w:t>
      </w:r>
      <w:r>
        <w:rPr>
          <w:spacing w:val="3"/>
          <w:sz w:val="28"/>
          <w:szCs w:val="28"/>
        </w:rPr>
        <w:t>改正后依法重新开展采购活动；</w:t>
      </w:r>
    </w:p>
    <w:p w14:paraId="6889AA0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2、磋商文件没有不合理条款、磋商程序符合规定，需要采用其他采购式采购的，采购人应当依法报财政部门批准。</w:t>
      </w:r>
    </w:p>
    <w:p w14:paraId="49CAFD0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（四）</w:t>
      </w:r>
      <w:r>
        <w:rPr>
          <w:rFonts w:hint="eastAsia"/>
          <w:spacing w:val="3"/>
          <w:sz w:val="28"/>
          <w:szCs w:val="28"/>
          <w:lang w:eastAsia="zh-CN"/>
        </w:rPr>
        <w:t>陕西中源项目管理有限公司</w:t>
      </w:r>
      <w:r>
        <w:rPr>
          <w:spacing w:val="3"/>
          <w:sz w:val="28"/>
          <w:szCs w:val="28"/>
        </w:rPr>
        <w:t>应当采取必要措施，保证评审在严格保密的情况下进行。除采购人代表、评审现场组织人员外，采购人的其他工作人员以及与评审工作无关的人员不得进入评审现场。</w:t>
      </w:r>
    </w:p>
    <w:p w14:paraId="5F0EA9F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有关人员对评审情况以及在评审过程中获悉的国家秘密、商业秘密负有保密责任。</w:t>
      </w:r>
    </w:p>
    <w:p w14:paraId="3BF1A7A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（五）磋商文件未明确的其他事项，按《政府采购法》及其相关法律法规执行。</w:t>
      </w:r>
    </w:p>
    <w:p w14:paraId="4634626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spacing w:val="3"/>
          <w:sz w:val="28"/>
          <w:szCs w:val="28"/>
        </w:rPr>
        <w:t>（六）</w:t>
      </w:r>
      <w:r>
        <w:rPr>
          <w:rFonts w:hint="eastAsia"/>
          <w:spacing w:val="3"/>
          <w:sz w:val="28"/>
          <w:szCs w:val="28"/>
          <w:lang w:eastAsia="zh-CN"/>
        </w:rPr>
        <w:t>陕西中源项目管理有限公司</w:t>
      </w:r>
      <w:r>
        <w:rPr>
          <w:spacing w:val="3"/>
          <w:sz w:val="28"/>
          <w:szCs w:val="28"/>
        </w:rPr>
        <w:t>应当建立真实完整的招标采购档案，妥善保存每项采购活动的采购文件。</w:t>
      </w:r>
    </w:p>
    <w:p w14:paraId="13EEAB5D">
      <w:pPr>
        <w:pStyle w:val="7"/>
        <w:keepNext w:val="0"/>
        <w:keepLines w:val="0"/>
        <w:pageBreakBefore w:val="0"/>
        <w:widowControl/>
        <w:kinsoku/>
        <w:wordWrap/>
        <w:overflowPunct/>
        <w:topLinePunct w:val="0"/>
        <w:autoSpaceDE/>
        <w:autoSpaceDN/>
        <w:bidi w:val="0"/>
        <w:adjustRightInd w:val="0"/>
        <w:snapToGrid w:val="0"/>
        <w:spacing w:line="324" w:lineRule="auto"/>
        <w:ind w:right="0" w:firstLine="574" w:firstLineChars="200"/>
        <w:rPr>
          <w:b/>
          <w:bCs/>
          <w:spacing w:val="3"/>
          <w:sz w:val="28"/>
          <w:szCs w:val="28"/>
        </w:rPr>
      </w:pPr>
      <w:r>
        <w:rPr>
          <w:b/>
          <w:bCs/>
          <w:spacing w:val="3"/>
          <w:sz w:val="28"/>
          <w:szCs w:val="28"/>
        </w:rPr>
        <w:t>十一、采购代理服务费：</w:t>
      </w:r>
    </w:p>
    <w:p w14:paraId="062D92F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eastAsia="zh-CN"/>
        </w:rPr>
      </w:pPr>
      <w:r>
        <w:rPr>
          <w:rFonts w:hint="eastAsia"/>
          <w:spacing w:val="3"/>
          <w:sz w:val="28"/>
          <w:szCs w:val="28"/>
          <w:lang w:val="en-US" w:eastAsia="zh-CN"/>
        </w:rPr>
        <w:t>参考</w:t>
      </w:r>
      <w:r>
        <w:rPr>
          <w:rFonts w:hint="eastAsia"/>
          <w:spacing w:val="3"/>
          <w:sz w:val="28"/>
          <w:szCs w:val="28"/>
          <w:lang w:eastAsia="zh-CN"/>
        </w:rPr>
        <w:t>《关于降低部分建设项目收费标准规范收费行为等有关问题的通知》（〔2011〕534号）、《招标代理业务收费管理暂行办法》（计价格〔2002〕1980号）等文件规定的收取标准及计算办法，</w:t>
      </w:r>
      <w:r>
        <w:rPr>
          <w:rFonts w:hint="eastAsia"/>
          <w:spacing w:val="3"/>
          <w:sz w:val="28"/>
          <w:szCs w:val="28"/>
          <w:lang w:val="en-US" w:eastAsia="zh-CN"/>
        </w:rPr>
        <w:t>由中标人</w:t>
      </w:r>
      <w:r>
        <w:rPr>
          <w:rFonts w:hint="eastAsia"/>
          <w:spacing w:val="3"/>
          <w:sz w:val="28"/>
          <w:szCs w:val="28"/>
          <w:lang w:eastAsia="zh-CN"/>
        </w:rPr>
        <w:t>向陕西中源项目管理有限公司缴纳招标代理服务费。</w:t>
      </w:r>
    </w:p>
    <w:p w14:paraId="56B037B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eastAsia="zh-CN"/>
        </w:rPr>
        <w:sectPr>
          <w:footerReference r:id="rId10"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16DBDBD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jc w:val="center"/>
        <w:outlineLvl w:val="0"/>
        <w:rPr>
          <w:rFonts w:ascii="黑体" w:hAnsi="黑体" w:eastAsia="黑体" w:cs="黑体"/>
          <w:sz w:val="31"/>
          <w:szCs w:val="31"/>
        </w:rPr>
      </w:pPr>
      <w:bookmarkStart w:id="13" w:name="bookmark21"/>
      <w:bookmarkEnd w:id="13"/>
      <w:r>
        <w:rPr>
          <w:rFonts w:ascii="黑体" w:hAnsi="黑体" w:eastAsia="黑体" w:cs="黑体"/>
          <w:spacing w:val="11"/>
          <w:sz w:val="31"/>
          <w:szCs w:val="31"/>
        </w:rPr>
        <w:t>第三章  磋商内容及采购要求</w:t>
      </w:r>
    </w:p>
    <w:p w14:paraId="60E7B7B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pPr>
      <w:bookmarkStart w:id="14" w:name="bookmark13"/>
      <w:bookmarkEnd w:id="14"/>
    </w:p>
    <w:p w14:paraId="03FFF58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eastAsia="zh-CN"/>
        </w:rPr>
      </w:pPr>
      <w:r>
        <w:rPr>
          <w:rFonts w:hint="eastAsia"/>
          <w:spacing w:val="3"/>
          <w:sz w:val="28"/>
          <w:szCs w:val="28"/>
          <w:lang w:val="en-US" w:eastAsia="zh-CN"/>
        </w:rPr>
        <w:t>一、项目名称：安康市第二小学智慧校园建设项目</w:t>
      </w:r>
    </w:p>
    <w:p w14:paraId="1B564C8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default"/>
          <w:spacing w:val="3"/>
          <w:sz w:val="28"/>
          <w:szCs w:val="28"/>
          <w:lang w:val="en-US" w:eastAsia="zh-CN"/>
        </w:rPr>
      </w:pPr>
      <w:r>
        <w:rPr>
          <w:rFonts w:hint="eastAsia"/>
          <w:spacing w:val="3"/>
          <w:sz w:val="28"/>
          <w:szCs w:val="28"/>
          <w:lang w:val="en-US" w:eastAsia="zh-CN"/>
        </w:rPr>
        <w:t>二、项目概况：</w:t>
      </w:r>
      <w:r>
        <w:rPr>
          <w:rFonts w:hint="eastAsia"/>
          <w:spacing w:val="3"/>
          <w:sz w:val="28"/>
          <w:szCs w:val="28"/>
        </w:rPr>
        <w:t>为适应新时代教育发展需求，提升学校信息化水平，</w:t>
      </w:r>
      <w:r>
        <w:rPr>
          <w:rFonts w:hint="eastAsia"/>
          <w:spacing w:val="3"/>
          <w:sz w:val="28"/>
          <w:szCs w:val="28"/>
          <w:lang w:val="en-US" w:eastAsia="zh-CN"/>
        </w:rPr>
        <w:t>安康市</w:t>
      </w:r>
      <w:r>
        <w:rPr>
          <w:rFonts w:hint="eastAsia"/>
          <w:spacing w:val="3"/>
          <w:sz w:val="28"/>
          <w:szCs w:val="28"/>
        </w:rPr>
        <w:t>第二小学智慧校园建设项目</w:t>
      </w:r>
      <w:r>
        <w:rPr>
          <w:rFonts w:hint="eastAsia"/>
          <w:spacing w:val="3"/>
          <w:sz w:val="28"/>
          <w:szCs w:val="28"/>
          <w:lang w:eastAsia="zh-CN"/>
        </w:rPr>
        <w:t>，</w:t>
      </w:r>
      <w:r>
        <w:rPr>
          <w:rFonts w:hint="eastAsia"/>
          <w:spacing w:val="3"/>
          <w:sz w:val="28"/>
          <w:szCs w:val="28"/>
          <w:lang w:val="en-US" w:eastAsia="zh-CN"/>
        </w:rPr>
        <w:t>主要包括基础设施优化更新、搭建行政办公平台、建设AI辅助教育系统等。</w:t>
      </w:r>
    </w:p>
    <w:p w14:paraId="3231C1F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eastAsia="zh-CN"/>
        </w:rPr>
      </w:pPr>
      <w:r>
        <w:rPr>
          <w:rFonts w:hint="eastAsia"/>
          <w:spacing w:val="3"/>
          <w:sz w:val="28"/>
          <w:szCs w:val="28"/>
          <w:lang w:val="en-US" w:eastAsia="zh-CN"/>
        </w:rPr>
        <w:t>三、主要功能或目标：</w:t>
      </w:r>
    </w:p>
    <w:p w14:paraId="5C6C2B3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eastAsia="zh-CN"/>
        </w:rPr>
      </w:pPr>
      <w:r>
        <w:rPr>
          <w:rFonts w:hint="eastAsia"/>
          <w:spacing w:val="3"/>
          <w:sz w:val="28"/>
          <w:szCs w:val="28"/>
          <w:lang w:val="en-US" w:eastAsia="zh-CN"/>
        </w:rPr>
        <w:t>为适应教育信息化2.0发展要求，提升学校信息化水平和教育教学质量，拟通过本次智慧校园建设项目，构建“数字化、智能化、一体化”的教育教学环境。</w:t>
      </w:r>
    </w:p>
    <w:p w14:paraId="7D42135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eastAsia="zh-CN"/>
        </w:rPr>
      </w:pPr>
      <w:r>
        <w:rPr>
          <w:rFonts w:hint="eastAsia"/>
          <w:spacing w:val="3"/>
          <w:sz w:val="28"/>
          <w:szCs w:val="28"/>
          <w:lang w:val="en-US" w:eastAsia="zh-CN"/>
        </w:rPr>
        <w:t>四、技术要求</w:t>
      </w:r>
    </w:p>
    <w:p w14:paraId="30E0493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eastAsia="zh-CN"/>
        </w:rPr>
      </w:pPr>
      <w:r>
        <w:rPr>
          <w:rFonts w:hint="eastAsia"/>
          <w:spacing w:val="3"/>
          <w:sz w:val="28"/>
          <w:szCs w:val="28"/>
          <w:lang w:val="en-US" w:eastAsia="zh-CN"/>
        </w:rPr>
        <w:t>1.</w:t>
      </w:r>
      <w:r>
        <w:rPr>
          <w:rFonts w:hint="eastAsia"/>
          <w:spacing w:val="3"/>
          <w:sz w:val="28"/>
          <w:szCs w:val="28"/>
        </w:rPr>
        <w:t>基础设施</w:t>
      </w:r>
      <w:r>
        <w:rPr>
          <w:rFonts w:hint="eastAsia"/>
          <w:spacing w:val="3"/>
          <w:sz w:val="28"/>
          <w:szCs w:val="28"/>
          <w:lang w:val="en-US" w:eastAsia="zh-CN"/>
        </w:rPr>
        <w:t>及应用层</w:t>
      </w:r>
    </w:p>
    <w:p w14:paraId="6DB1450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rPr>
      </w:pPr>
      <w:r>
        <w:rPr>
          <w:rFonts w:hint="eastAsia"/>
          <w:spacing w:val="3"/>
          <w:sz w:val="28"/>
          <w:szCs w:val="28"/>
        </w:rPr>
        <w:t>中心机房建设：校园网主干设备及结构升级优化，保障多批次网络设备兼容使用</w:t>
      </w:r>
      <w:r>
        <w:rPr>
          <w:rFonts w:hint="eastAsia"/>
          <w:spacing w:val="3"/>
          <w:sz w:val="28"/>
          <w:szCs w:val="28"/>
          <w:lang w:eastAsia="zh-CN"/>
        </w:rPr>
        <w:t>，</w:t>
      </w:r>
      <w:r>
        <w:rPr>
          <w:rFonts w:hint="eastAsia"/>
          <w:spacing w:val="3"/>
          <w:sz w:val="28"/>
          <w:szCs w:val="28"/>
          <w:lang w:val="en-US" w:eastAsia="zh-CN"/>
        </w:rPr>
        <w:t>应用层私有云部署，</w:t>
      </w:r>
      <w:r>
        <w:rPr>
          <w:rFonts w:hint="eastAsia"/>
          <w:spacing w:val="3"/>
          <w:sz w:val="28"/>
          <w:szCs w:val="28"/>
        </w:rPr>
        <w:t>并实现统一管控。</w:t>
      </w:r>
    </w:p>
    <w:p w14:paraId="63030A4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eastAsia="zh-CN"/>
        </w:rPr>
      </w:pPr>
      <w:r>
        <w:rPr>
          <w:rFonts w:hint="eastAsia"/>
          <w:spacing w:val="3"/>
          <w:sz w:val="28"/>
          <w:szCs w:val="28"/>
        </w:rPr>
        <w:t>网络升级改造：</w:t>
      </w:r>
      <w:r>
        <w:rPr>
          <w:rFonts w:hint="eastAsia"/>
          <w:spacing w:val="3"/>
          <w:sz w:val="28"/>
          <w:szCs w:val="28"/>
          <w:lang w:val="en-US" w:eastAsia="zh-CN"/>
        </w:rPr>
        <w:t>对校园网进行千兆网络升级改造，包括线路优化、无线覆盖优化，对所有网络线路进行梳理，以确保校园网结构清晰、性能良好、安全可控。</w:t>
      </w:r>
    </w:p>
    <w:p w14:paraId="0391CAD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rPr>
      </w:pPr>
      <w:r>
        <w:rPr>
          <w:rFonts w:hint="eastAsia"/>
          <w:spacing w:val="3"/>
          <w:sz w:val="28"/>
          <w:szCs w:val="28"/>
          <w:lang w:val="en-US" w:eastAsia="zh-CN"/>
        </w:rPr>
        <w:t>2.</w:t>
      </w:r>
      <w:r>
        <w:rPr>
          <w:rFonts w:hint="eastAsia"/>
          <w:spacing w:val="3"/>
          <w:sz w:val="28"/>
          <w:szCs w:val="28"/>
        </w:rPr>
        <w:t>行政办公</w:t>
      </w:r>
    </w:p>
    <w:p w14:paraId="6E00251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rPr>
      </w:pPr>
      <w:r>
        <w:rPr>
          <w:rFonts w:hint="eastAsia"/>
          <w:spacing w:val="3"/>
          <w:sz w:val="28"/>
          <w:szCs w:val="28"/>
          <w:lang w:val="en-US" w:eastAsia="zh-CN"/>
        </w:rPr>
        <w:t>搭建校园行政办公平台，包含审批工作流、文件管理、通知公告等模块，根据学校实际需求搭建审批工作流、建立文件管理系统，并自动化形成数据留存及分析，可极大提高校园管理效率及质量。</w:t>
      </w:r>
    </w:p>
    <w:p w14:paraId="778D222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rPr>
      </w:pPr>
      <w:r>
        <w:rPr>
          <w:rFonts w:hint="eastAsia"/>
          <w:spacing w:val="3"/>
          <w:sz w:val="28"/>
          <w:szCs w:val="28"/>
          <w:lang w:val="en-US" w:eastAsia="zh-CN"/>
        </w:rPr>
        <w:t>3.</w:t>
      </w:r>
      <w:r>
        <w:rPr>
          <w:rFonts w:hint="eastAsia"/>
          <w:spacing w:val="3"/>
          <w:sz w:val="28"/>
          <w:szCs w:val="28"/>
        </w:rPr>
        <w:t>AI教研与智慧教室</w:t>
      </w:r>
    </w:p>
    <w:p w14:paraId="48FC8D3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rPr>
      </w:pPr>
      <w:r>
        <w:rPr>
          <w:rFonts w:hint="eastAsia"/>
          <w:spacing w:val="3"/>
          <w:sz w:val="28"/>
          <w:szCs w:val="28"/>
          <w:lang w:val="en-US" w:eastAsia="zh-CN"/>
        </w:rPr>
        <w:t>建设</w:t>
      </w:r>
      <w:r>
        <w:rPr>
          <w:rFonts w:hint="eastAsia"/>
          <w:spacing w:val="3"/>
          <w:sz w:val="28"/>
          <w:szCs w:val="28"/>
          <w:lang w:eastAsia="zh-CN"/>
        </w:rPr>
        <w:t>“</w:t>
      </w:r>
      <w:r>
        <w:rPr>
          <w:rFonts w:hint="eastAsia"/>
          <w:spacing w:val="3"/>
          <w:sz w:val="28"/>
          <w:szCs w:val="28"/>
          <w:lang w:val="en-US" w:eastAsia="zh-CN"/>
        </w:rPr>
        <w:t>AI教研+智慧教室”一体化的AI课程评价系统</w:t>
      </w:r>
      <w:r>
        <w:rPr>
          <w:rFonts w:hint="eastAsia"/>
          <w:spacing w:val="3"/>
          <w:sz w:val="28"/>
          <w:szCs w:val="28"/>
        </w:rPr>
        <w:t>，配备教研平台、智能终端及学生互动反馈设备，实现课堂数据自动采集、教学行为分析与师生高效互动</w:t>
      </w:r>
      <w:r>
        <w:rPr>
          <w:rFonts w:hint="eastAsia"/>
          <w:spacing w:val="3"/>
          <w:sz w:val="28"/>
          <w:szCs w:val="28"/>
          <w:lang w:eastAsia="zh-CN"/>
        </w:rPr>
        <w:t>，</w:t>
      </w:r>
      <w:r>
        <w:rPr>
          <w:rFonts w:hint="eastAsia"/>
          <w:spacing w:val="3"/>
          <w:sz w:val="28"/>
          <w:szCs w:val="28"/>
          <w:lang w:val="en-US" w:eastAsia="zh-CN"/>
        </w:rPr>
        <w:t>并运用AI人工智能大数据分析等现代化技术，构建“共备（课前）、共学（课中）、共研（课后）”三位一体的教育教学发展模式</w:t>
      </w:r>
      <w:r>
        <w:rPr>
          <w:rFonts w:hint="eastAsia"/>
          <w:spacing w:val="3"/>
          <w:sz w:val="28"/>
          <w:szCs w:val="28"/>
        </w:rPr>
        <w:t>。</w:t>
      </w:r>
    </w:p>
    <w:p w14:paraId="7D15762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rPr>
      </w:pPr>
      <w:r>
        <w:rPr>
          <w:rFonts w:hint="eastAsia"/>
          <w:spacing w:val="3"/>
          <w:sz w:val="28"/>
          <w:szCs w:val="28"/>
          <w:lang w:val="en-US" w:eastAsia="zh-CN"/>
        </w:rPr>
        <w:t>4.</w:t>
      </w:r>
      <w:r>
        <w:rPr>
          <w:rFonts w:hint="eastAsia"/>
          <w:spacing w:val="3"/>
          <w:sz w:val="28"/>
          <w:szCs w:val="28"/>
        </w:rPr>
        <w:t>AI智慧体育系统</w:t>
      </w:r>
    </w:p>
    <w:p w14:paraId="594E167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pacing w:val="3"/>
          <w:sz w:val="28"/>
          <w:szCs w:val="28"/>
        </w:rPr>
      </w:pPr>
      <w:r>
        <w:rPr>
          <w:rFonts w:hint="eastAsia"/>
          <w:spacing w:val="3"/>
          <w:sz w:val="28"/>
          <w:szCs w:val="28"/>
          <w:lang w:val="en-US" w:eastAsia="zh-CN"/>
        </w:rPr>
        <w:t>以视觉AI技术为核心，通过前端摄像头实时捕捉学生运动姿态，配合高清电子大屏实现画面实时观测及数据可视化。满足校园日常锻炼、课堂教学、体质测试等各类场景常态化应用，构建”教、学、练、赛、评”全场景闭环。</w:t>
      </w:r>
    </w:p>
    <w:p w14:paraId="15525FC7">
      <w:pPr>
        <w:pStyle w:val="7"/>
        <w:keepNext w:val="0"/>
        <w:keepLines w:val="0"/>
        <w:pageBreakBefore w:val="0"/>
        <w:widowControl/>
        <w:numPr>
          <w:ilvl w:val="0"/>
          <w:numId w:val="1"/>
        </w:numPr>
        <w:kinsoku/>
        <w:wordWrap/>
        <w:overflowPunct/>
        <w:topLinePunct w:val="0"/>
        <w:autoSpaceDE/>
        <w:autoSpaceDN/>
        <w:bidi w:val="0"/>
        <w:adjustRightInd w:val="0"/>
        <w:snapToGrid w:val="0"/>
        <w:spacing w:line="324" w:lineRule="auto"/>
        <w:ind w:left="0" w:leftChars="0" w:right="0" w:firstLine="572" w:firstLineChars="200"/>
        <w:rPr>
          <w:rFonts w:hint="eastAsia"/>
          <w:spacing w:val="3"/>
          <w:sz w:val="28"/>
          <w:szCs w:val="28"/>
          <w:lang w:val="en-US" w:eastAsia="zh-CN"/>
        </w:rPr>
      </w:pPr>
      <w:r>
        <w:rPr>
          <w:rFonts w:hint="eastAsia"/>
          <w:spacing w:val="3"/>
          <w:sz w:val="28"/>
          <w:szCs w:val="28"/>
          <w:lang w:val="en-US" w:eastAsia="zh-CN"/>
        </w:rPr>
        <w:t>电子白板一体机2套。</w:t>
      </w:r>
    </w:p>
    <w:p w14:paraId="47D0C4E4">
      <w:pPr>
        <w:keepNext w:val="0"/>
        <w:keepLines w:val="0"/>
        <w:pageBreakBefore w:val="0"/>
        <w:widowControl/>
        <w:kinsoku w:val="0"/>
        <w:wordWrap/>
        <w:overflowPunct/>
        <w:topLinePunct w:val="0"/>
        <w:autoSpaceDE w:val="0"/>
        <w:autoSpaceDN w:val="0"/>
        <w:bidi w:val="0"/>
        <w:adjustRightInd w:val="0"/>
        <w:snapToGrid w:val="0"/>
        <w:spacing w:line="288" w:lineRule="auto"/>
        <w:ind w:left="0"/>
        <w:jc w:val="left"/>
        <w:textAlignment w:val="baseline"/>
        <w:outlineLvl w:val="2"/>
        <w:rPr>
          <w:rFonts w:hint="eastAsia" w:ascii="仿宋" w:hAnsi="仿宋" w:eastAsia="仿宋" w:cs="仿宋"/>
          <w:spacing w:val="3"/>
          <w:sz w:val="28"/>
          <w:szCs w:val="28"/>
          <w:lang w:val="en-US" w:eastAsia="zh-CN"/>
        </w:rPr>
      </w:pPr>
      <w:r>
        <w:rPr>
          <w:rFonts w:hint="eastAsia" w:ascii="仿宋" w:hAnsi="仿宋" w:eastAsia="仿宋" w:cs="仿宋"/>
          <w:b/>
          <w:sz w:val="30"/>
        </w:rPr>
        <w:t>（一）中心机房相关设备</w:t>
      </w:r>
    </w:p>
    <w:tbl>
      <w:tblPr>
        <w:tblStyle w:val="13"/>
        <w:tblW w:w="4995" w:type="pct"/>
        <w:tblInd w:w="0" w:type="dxa"/>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821"/>
        <w:gridCol w:w="2207"/>
        <w:gridCol w:w="4669"/>
        <w:gridCol w:w="867"/>
        <w:gridCol w:w="835"/>
      </w:tblGrid>
      <w:tr w14:paraId="660BDB9A">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236" w:hRule="atLeast"/>
          <w:tblHeader/>
        </w:trPr>
        <w:tc>
          <w:tcPr>
            <w:tcW w:w="437" w:type="pct"/>
            <w:tcBorders>
              <w:top w:val="single" w:color="auto" w:sz="12" w:space="0"/>
              <w:left w:val="single" w:color="auto" w:sz="12" w:space="0"/>
              <w:bottom w:val="nil"/>
              <w:right w:val="nil"/>
            </w:tcBorders>
            <w:noWrap w:val="0"/>
            <w:tcMar>
              <w:top w:w="60" w:type="dxa"/>
              <w:left w:w="120" w:type="dxa"/>
              <w:bottom w:w="30" w:type="dxa"/>
              <w:right w:w="120" w:type="dxa"/>
            </w:tcMar>
            <w:vAlign w:val="center"/>
          </w:tcPr>
          <w:p w14:paraId="0DF55AB2">
            <w:pPr>
              <w:keepNext/>
              <w:snapToGrid w:val="0"/>
              <w:spacing w:before="120" w:after="120" w:line="240" w:lineRule="auto"/>
              <w:ind w:left="0" w:leftChars="0" w:right="0" w:rightChars="0" w:firstLine="0" w:firstLineChars="0"/>
              <w:jc w:val="center"/>
              <w:rPr>
                <w:rFonts w:hint="eastAsia" w:ascii="仿宋" w:hAnsi="仿宋" w:eastAsia="仿宋" w:cs="仿宋"/>
                <w:b/>
                <w:sz w:val="22"/>
              </w:rPr>
            </w:pPr>
            <w:r>
              <w:rPr>
                <w:rFonts w:hint="eastAsia" w:ascii="仿宋" w:hAnsi="仿宋" w:eastAsia="仿宋" w:cs="仿宋"/>
                <w:b/>
                <w:sz w:val="22"/>
              </w:rPr>
              <w:t>序号</w:t>
            </w:r>
          </w:p>
        </w:tc>
        <w:tc>
          <w:tcPr>
            <w:tcW w:w="1174"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2711546C">
            <w:pPr>
              <w:keepNext/>
              <w:snapToGrid w:val="0"/>
              <w:spacing w:before="120" w:after="120" w:line="240" w:lineRule="auto"/>
              <w:ind w:left="0" w:leftChars="0" w:right="0" w:rightChars="0" w:firstLine="0" w:firstLineChars="0"/>
              <w:jc w:val="center"/>
              <w:rPr>
                <w:rFonts w:hint="eastAsia" w:ascii="仿宋" w:hAnsi="仿宋" w:eastAsia="仿宋" w:cs="仿宋"/>
                <w:b/>
                <w:sz w:val="22"/>
              </w:rPr>
            </w:pPr>
            <w:r>
              <w:rPr>
                <w:rFonts w:hint="eastAsia" w:ascii="仿宋" w:hAnsi="仿宋" w:eastAsia="仿宋" w:cs="仿宋"/>
                <w:b/>
                <w:sz w:val="22"/>
              </w:rPr>
              <w:t>设备名称</w:t>
            </w:r>
          </w:p>
        </w:tc>
        <w:tc>
          <w:tcPr>
            <w:tcW w:w="2483"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23A7AB5C">
            <w:pPr>
              <w:keepNext/>
              <w:snapToGrid w:val="0"/>
              <w:spacing w:before="120" w:after="120" w:line="240" w:lineRule="auto"/>
              <w:ind w:left="0" w:leftChars="0" w:right="0" w:rightChars="0" w:firstLine="0" w:firstLineChars="0"/>
              <w:jc w:val="center"/>
              <w:rPr>
                <w:rFonts w:hint="eastAsia" w:ascii="仿宋" w:hAnsi="仿宋" w:eastAsia="仿宋" w:cs="仿宋"/>
                <w:b/>
                <w:sz w:val="22"/>
              </w:rPr>
            </w:pPr>
            <w:r>
              <w:rPr>
                <w:rFonts w:hint="eastAsia" w:ascii="仿宋" w:hAnsi="仿宋" w:eastAsia="仿宋" w:cs="仿宋"/>
                <w:b/>
                <w:sz w:val="22"/>
              </w:rPr>
              <w:t>技术参数</w:t>
            </w:r>
          </w:p>
        </w:tc>
        <w:tc>
          <w:tcPr>
            <w:tcW w:w="461"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2B02978D">
            <w:pPr>
              <w:keepNext/>
              <w:snapToGrid w:val="0"/>
              <w:spacing w:before="120" w:after="120" w:line="240" w:lineRule="auto"/>
              <w:ind w:left="0" w:leftChars="0" w:right="0" w:rightChars="0" w:firstLine="0" w:firstLineChars="0"/>
              <w:jc w:val="center"/>
              <w:rPr>
                <w:rFonts w:hint="eastAsia" w:ascii="仿宋" w:hAnsi="仿宋" w:eastAsia="仿宋" w:cs="仿宋"/>
                <w:b/>
                <w:sz w:val="22"/>
              </w:rPr>
            </w:pPr>
            <w:r>
              <w:rPr>
                <w:rFonts w:hint="eastAsia" w:ascii="仿宋" w:hAnsi="仿宋" w:eastAsia="仿宋" w:cs="仿宋"/>
                <w:b/>
                <w:sz w:val="22"/>
              </w:rPr>
              <w:t>数量</w:t>
            </w:r>
          </w:p>
        </w:tc>
        <w:tc>
          <w:tcPr>
            <w:tcW w:w="444" w:type="pct"/>
            <w:tcBorders>
              <w:top w:val="single" w:color="auto" w:sz="12" w:space="0"/>
              <w:left w:val="single" w:color="auto" w:sz="4" w:space="0"/>
              <w:bottom w:val="nil"/>
              <w:right w:val="single" w:color="auto" w:sz="12" w:space="0"/>
            </w:tcBorders>
            <w:noWrap w:val="0"/>
            <w:tcMar>
              <w:top w:w="60" w:type="dxa"/>
              <w:left w:w="120" w:type="dxa"/>
              <w:bottom w:w="30" w:type="dxa"/>
              <w:right w:w="120" w:type="dxa"/>
            </w:tcMar>
            <w:vAlign w:val="center"/>
          </w:tcPr>
          <w:p w14:paraId="6418A3D0">
            <w:pPr>
              <w:keepNext/>
              <w:snapToGrid w:val="0"/>
              <w:spacing w:before="120" w:after="120" w:line="240" w:lineRule="auto"/>
              <w:ind w:left="0" w:leftChars="0" w:right="0" w:rightChars="0" w:firstLine="0" w:firstLineChars="0"/>
              <w:jc w:val="center"/>
              <w:rPr>
                <w:rFonts w:hint="eastAsia" w:ascii="仿宋" w:hAnsi="仿宋" w:eastAsia="仿宋" w:cs="仿宋"/>
                <w:b/>
                <w:sz w:val="22"/>
              </w:rPr>
            </w:pPr>
            <w:r>
              <w:rPr>
                <w:rFonts w:hint="eastAsia" w:ascii="仿宋" w:hAnsi="仿宋" w:eastAsia="仿宋" w:cs="仿宋"/>
                <w:b/>
                <w:sz w:val="22"/>
              </w:rPr>
              <w:t>单位</w:t>
            </w:r>
          </w:p>
        </w:tc>
      </w:tr>
      <w:tr w14:paraId="507FB30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0" w:hRule="atLeast"/>
          <w:tblHeader/>
        </w:trPr>
        <w:tc>
          <w:tcPr>
            <w:tcW w:w="437"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042C53BD">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1</w:t>
            </w:r>
          </w:p>
        </w:tc>
        <w:tc>
          <w:tcPr>
            <w:tcW w:w="117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39A39A6">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云服务器</w:t>
            </w:r>
          </w:p>
        </w:tc>
        <w:tc>
          <w:tcPr>
            <w:tcW w:w="248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9F504D0">
            <w:pPr>
              <w:keepNext/>
              <w:snapToGrid w:val="0"/>
              <w:spacing w:before="120" w:after="120" w:line="240" w:lineRule="auto"/>
              <w:ind w:left="0" w:leftChars="0" w:right="0" w:rightChars="0" w:firstLine="0" w:firstLineChars="0"/>
              <w:jc w:val="left"/>
              <w:rPr>
                <w:rFonts w:hint="eastAsia" w:ascii="仿宋" w:hAnsi="仿宋" w:eastAsia="仿宋" w:cs="仿宋"/>
                <w:sz w:val="22"/>
              </w:rPr>
            </w:pPr>
            <w:r>
              <w:rPr>
                <w:rFonts w:hint="eastAsia" w:ascii="仿宋" w:hAnsi="仿宋" w:eastAsia="仿宋" w:cs="仿宋"/>
                <w:sz w:val="22"/>
              </w:rPr>
              <w:t>1. 处理器：双CPU架构，总计≥16核高性能云CPU；2. 内存：≥32G大容量云内存；3. 硬盘：云盘总实际可用存储空间≥1TB，支持弹性扩容；4. 外网：提供独立公网IP；5. 带宽：专线≥10M。</w:t>
            </w:r>
          </w:p>
        </w:tc>
        <w:tc>
          <w:tcPr>
            <w:tcW w:w="46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FBCF66A">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5</w:t>
            </w:r>
          </w:p>
        </w:tc>
        <w:tc>
          <w:tcPr>
            <w:tcW w:w="444"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4D0F2451">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年</w:t>
            </w:r>
          </w:p>
        </w:tc>
      </w:tr>
      <w:tr w14:paraId="694D1A03">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73" w:hRule="atLeast"/>
          <w:tblHeader/>
        </w:trPr>
        <w:tc>
          <w:tcPr>
            <w:tcW w:w="437"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517535CE">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2</w:t>
            </w:r>
          </w:p>
        </w:tc>
        <w:tc>
          <w:tcPr>
            <w:tcW w:w="117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F71EE6E">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安全网关</w:t>
            </w:r>
          </w:p>
        </w:tc>
        <w:tc>
          <w:tcPr>
            <w:tcW w:w="248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B1FACC0">
            <w:pPr>
              <w:keepNext/>
              <w:snapToGrid w:val="0"/>
              <w:spacing w:before="120" w:after="120" w:line="240" w:lineRule="auto"/>
              <w:ind w:left="0" w:leftChars="0" w:right="0" w:rightChars="0" w:firstLine="0" w:firstLineChars="0"/>
              <w:jc w:val="left"/>
              <w:rPr>
                <w:rFonts w:hint="eastAsia" w:ascii="仿宋" w:hAnsi="仿宋" w:eastAsia="仿宋" w:cs="仿宋"/>
                <w:sz w:val="22"/>
              </w:rPr>
            </w:pPr>
            <w:r>
              <w:rPr>
                <w:rFonts w:hint="eastAsia" w:ascii="仿宋" w:hAnsi="仿宋" w:eastAsia="仿宋" w:cs="仿宋"/>
                <w:sz w:val="22"/>
              </w:rPr>
              <w:t>1. 端口：固化≥8个千兆电口，≥2个千兆光口，≥2个万兆光口；2. 设备规格：标准1U设备；3. 带宽：≥4G；4. 带机终端：≥600台；5. 支持IPsec VPN服务端并发隧道数≥400，SSL VPN服务端并发隧道数≥300。</w:t>
            </w:r>
          </w:p>
        </w:tc>
        <w:tc>
          <w:tcPr>
            <w:tcW w:w="46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A2404A2">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1</w:t>
            </w:r>
          </w:p>
        </w:tc>
        <w:tc>
          <w:tcPr>
            <w:tcW w:w="444"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32A0027A">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台</w:t>
            </w:r>
          </w:p>
        </w:tc>
      </w:tr>
      <w:tr w14:paraId="32BA6D41">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51" w:hRule="atLeast"/>
          <w:tblHeader/>
        </w:trPr>
        <w:tc>
          <w:tcPr>
            <w:tcW w:w="437"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372EB249">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3</w:t>
            </w:r>
          </w:p>
        </w:tc>
        <w:tc>
          <w:tcPr>
            <w:tcW w:w="117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489AC3C">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上网行为管理</w:t>
            </w:r>
          </w:p>
        </w:tc>
        <w:tc>
          <w:tcPr>
            <w:tcW w:w="248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50FF690">
            <w:pPr>
              <w:keepNext/>
              <w:snapToGrid w:val="0"/>
              <w:spacing w:before="120" w:after="120" w:line="240" w:lineRule="auto"/>
              <w:ind w:left="0" w:leftChars="0" w:right="0" w:rightChars="0" w:firstLine="0" w:firstLineChars="0"/>
              <w:jc w:val="left"/>
              <w:rPr>
                <w:rFonts w:hint="eastAsia" w:ascii="仿宋" w:hAnsi="仿宋" w:eastAsia="仿宋" w:cs="仿宋"/>
                <w:sz w:val="22"/>
              </w:rPr>
            </w:pPr>
            <w:r>
              <w:rPr>
                <w:rFonts w:hint="eastAsia" w:ascii="仿宋" w:hAnsi="仿宋" w:eastAsia="仿宋" w:cs="仿宋"/>
                <w:sz w:val="22"/>
              </w:rPr>
              <w:t>1. 设备规格：标准1U机架设备；2. 接口：≥6个10/100/1000BASE-T接口、≥2个1GE SPF接口、≥2个10GE SPF+接口；3. 审计带宽：≥100M；4. 硬盘：≥1T；5. 含1年应用识别特征库+URL库升级授权。</w:t>
            </w:r>
          </w:p>
        </w:tc>
        <w:tc>
          <w:tcPr>
            <w:tcW w:w="46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C9358CA">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1</w:t>
            </w:r>
          </w:p>
        </w:tc>
        <w:tc>
          <w:tcPr>
            <w:tcW w:w="444"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775F5E08">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台</w:t>
            </w:r>
          </w:p>
        </w:tc>
      </w:tr>
      <w:tr w14:paraId="29EDCF6E">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97" w:hRule="atLeast"/>
          <w:tblHeader/>
        </w:trPr>
        <w:tc>
          <w:tcPr>
            <w:tcW w:w="437"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2567CEE8">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4</w:t>
            </w:r>
          </w:p>
        </w:tc>
        <w:tc>
          <w:tcPr>
            <w:tcW w:w="117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8F3C1F2">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核心交换机</w:t>
            </w:r>
          </w:p>
        </w:tc>
        <w:tc>
          <w:tcPr>
            <w:tcW w:w="248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99EA089">
            <w:pPr>
              <w:keepNext/>
              <w:snapToGrid w:val="0"/>
              <w:spacing w:before="120" w:after="120" w:line="240" w:lineRule="auto"/>
              <w:ind w:left="0" w:leftChars="0" w:right="0" w:rightChars="0" w:firstLine="0" w:firstLineChars="0"/>
              <w:jc w:val="left"/>
              <w:rPr>
                <w:rFonts w:hint="eastAsia" w:ascii="仿宋" w:hAnsi="仿宋" w:eastAsia="仿宋" w:cs="仿宋"/>
                <w:sz w:val="22"/>
              </w:rPr>
            </w:pPr>
            <w:r>
              <w:rPr>
                <w:rFonts w:hint="eastAsia" w:ascii="仿宋" w:hAnsi="仿宋" w:eastAsia="仿宋" w:cs="仿宋"/>
                <w:sz w:val="22"/>
              </w:rPr>
              <w:t>1. 交换容量：≥598Gbps；2. 包转发率：≥148Mpps；3. 接口：≥24个10/100/1000Mbps自适应电口，固化≥4个SFP+万兆光口；4. 支持三层网管功能，支持静态路由、ACL、端口镜像。</w:t>
            </w:r>
          </w:p>
        </w:tc>
        <w:tc>
          <w:tcPr>
            <w:tcW w:w="46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BAF5B5D">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1</w:t>
            </w:r>
          </w:p>
        </w:tc>
        <w:tc>
          <w:tcPr>
            <w:tcW w:w="444"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14111908">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台</w:t>
            </w:r>
          </w:p>
        </w:tc>
      </w:tr>
      <w:tr w14:paraId="2E123A73">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840" w:hRule="atLeast"/>
          <w:tblHeader/>
        </w:trPr>
        <w:tc>
          <w:tcPr>
            <w:tcW w:w="437" w:type="pct"/>
            <w:tcBorders>
              <w:top w:val="single" w:color="auto" w:sz="4" w:space="0"/>
              <w:left w:val="single" w:color="auto" w:sz="12" w:space="0"/>
              <w:bottom w:val="single" w:color="auto" w:sz="12" w:space="0"/>
              <w:right w:val="nil"/>
            </w:tcBorders>
            <w:noWrap w:val="0"/>
            <w:tcMar>
              <w:top w:w="60" w:type="dxa"/>
              <w:left w:w="120" w:type="dxa"/>
              <w:bottom w:w="30" w:type="dxa"/>
              <w:right w:w="120" w:type="dxa"/>
            </w:tcMar>
            <w:vAlign w:val="center"/>
          </w:tcPr>
          <w:p w14:paraId="6B1834EB">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5</w:t>
            </w:r>
          </w:p>
        </w:tc>
        <w:tc>
          <w:tcPr>
            <w:tcW w:w="1174"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4D842C4D">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无线控制器</w:t>
            </w:r>
          </w:p>
        </w:tc>
        <w:tc>
          <w:tcPr>
            <w:tcW w:w="2483"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1F6F23D8">
            <w:pPr>
              <w:keepNext/>
              <w:snapToGrid w:val="0"/>
              <w:spacing w:before="120" w:after="120" w:line="240" w:lineRule="auto"/>
              <w:ind w:left="0" w:leftChars="0" w:right="0" w:rightChars="0" w:firstLine="0" w:firstLineChars="0"/>
              <w:jc w:val="left"/>
              <w:rPr>
                <w:rFonts w:hint="eastAsia" w:ascii="仿宋" w:hAnsi="仿宋" w:eastAsia="仿宋" w:cs="仿宋"/>
                <w:sz w:val="22"/>
              </w:rPr>
            </w:pPr>
            <w:r>
              <w:rPr>
                <w:rFonts w:hint="eastAsia" w:ascii="仿宋" w:hAnsi="仿宋" w:eastAsia="仿宋" w:cs="仿宋"/>
                <w:sz w:val="22"/>
              </w:rPr>
              <w:t>1. 接口：固化≥5个千兆电口，≥1个USB口；2. 管理能力：免License授权，最大可管理≥512台无线设备；3. 支持设备自组网、全网管理及无线网络优化。</w:t>
            </w:r>
          </w:p>
        </w:tc>
        <w:tc>
          <w:tcPr>
            <w:tcW w:w="461"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78FF44C2">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1</w:t>
            </w:r>
          </w:p>
        </w:tc>
        <w:tc>
          <w:tcPr>
            <w:tcW w:w="444" w:type="pct"/>
            <w:tcBorders>
              <w:top w:val="single" w:color="auto" w:sz="4" w:space="0"/>
              <w:left w:val="single" w:color="auto" w:sz="4" w:space="0"/>
              <w:bottom w:val="single" w:color="auto" w:sz="12" w:space="0"/>
              <w:right w:val="single" w:color="auto" w:sz="12" w:space="0"/>
            </w:tcBorders>
            <w:noWrap w:val="0"/>
            <w:tcMar>
              <w:top w:w="60" w:type="dxa"/>
              <w:left w:w="120" w:type="dxa"/>
              <w:bottom w:w="30" w:type="dxa"/>
              <w:right w:w="120" w:type="dxa"/>
            </w:tcMar>
            <w:vAlign w:val="center"/>
          </w:tcPr>
          <w:p w14:paraId="4A5A7904">
            <w:pPr>
              <w:keepNext/>
              <w:snapToGrid w:val="0"/>
              <w:spacing w:before="120" w:after="120" w:line="240" w:lineRule="auto"/>
              <w:ind w:left="0" w:leftChars="0" w:right="0" w:rightChars="0" w:firstLine="0" w:firstLineChars="0"/>
              <w:jc w:val="center"/>
              <w:rPr>
                <w:rFonts w:hint="eastAsia" w:ascii="仿宋" w:hAnsi="仿宋" w:eastAsia="仿宋" w:cs="仿宋"/>
                <w:sz w:val="22"/>
              </w:rPr>
            </w:pPr>
            <w:r>
              <w:rPr>
                <w:rFonts w:hint="eastAsia" w:ascii="仿宋" w:hAnsi="仿宋" w:eastAsia="仿宋" w:cs="仿宋"/>
                <w:sz w:val="22"/>
              </w:rPr>
              <w:t>台</w:t>
            </w:r>
          </w:p>
        </w:tc>
      </w:tr>
    </w:tbl>
    <w:p w14:paraId="1AC8891A">
      <w:pPr>
        <w:keepNext w:val="0"/>
        <w:keepLines w:val="0"/>
        <w:pageBreakBefore w:val="0"/>
        <w:widowControl/>
        <w:kinsoku w:val="0"/>
        <w:wordWrap/>
        <w:overflowPunct/>
        <w:topLinePunct w:val="0"/>
        <w:autoSpaceDE w:val="0"/>
        <w:autoSpaceDN w:val="0"/>
        <w:bidi w:val="0"/>
        <w:adjustRightInd w:val="0"/>
        <w:snapToGrid w:val="0"/>
        <w:spacing w:line="288" w:lineRule="auto"/>
        <w:ind w:left="0"/>
        <w:jc w:val="left"/>
        <w:textAlignment w:val="baseline"/>
        <w:outlineLvl w:val="2"/>
        <w:rPr>
          <w:rFonts w:hint="eastAsia" w:ascii="仿宋" w:hAnsi="仿宋" w:eastAsia="仿宋" w:cs="仿宋"/>
          <w:b/>
          <w:sz w:val="30"/>
        </w:rPr>
      </w:pPr>
    </w:p>
    <w:p w14:paraId="6CB5D536">
      <w:pPr>
        <w:keepNext w:val="0"/>
        <w:keepLines w:val="0"/>
        <w:pageBreakBefore w:val="0"/>
        <w:widowControl/>
        <w:kinsoku w:val="0"/>
        <w:wordWrap/>
        <w:overflowPunct/>
        <w:topLinePunct w:val="0"/>
        <w:autoSpaceDE w:val="0"/>
        <w:autoSpaceDN w:val="0"/>
        <w:bidi w:val="0"/>
        <w:adjustRightInd w:val="0"/>
        <w:snapToGrid w:val="0"/>
        <w:spacing w:line="288" w:lineRule="auto"/>
        <w:ind w:left="0"/>
        <w:jc w:val="left"/>
        <w:textAlignment w:val="baseline"/>
        <w:outlineLvl w:val="2"/>
        <w:rPr>
          <w:rFonts w:hint="eastAsia" w:ascii="仿宋" w:hAnsi="仿宋" w:eastAsia="仿宋" w:cs="仿宋"/>
        </w:rPr>
      </w:pPr>
      <w:r>
        <w:rPr>
          <w:rFonts w:hint="eastAsia" w:ascii="仿宋" w:hAnsi="仿宋" w:eastAsia="仿宋" w:cs="仿宋"/>
          <w:b/>
          <w:sz w:val="30"/>
        </w:rPr>
        <w:t>（二）网络升级改造相关设备及服务</w:t>
      </w:r>
    </w:p>
    <w:tbl>
      <w:tblPr>
        <w:tblStyle w:val="13"/>
        <w:tblW w:w="4995" w:type="pct"/>
        <w:jc w:val="center"/>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819"/>
        <w:gridCol w:w="2204"/>
        <w:gridCol w:w="4651"/>
        <w:gridCol w:w="884"/>
        <w:gridCol w:w="841"/>
      </w:tblGrid>
      <w:tr w14:paraId="1031F263">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0" w:hRule="atLeast"/>
          <w:tblHeader/>
          <w:jc w:val="center"/>
        </w:trPr>
        <w:tc>
          <w:tcPr>
            <w:tcW w:w="436" w:type="pct"/>
            <w:tcBorders>
              <w:top w:val="single" w:color="auto" w:sz="12" w:space="0"/>
              <w:left w:val="single" w:color="auto" w:sz="12" w:space="0"/>
              <w:bottom w:val="nil"/>
              <w:right w:val="nil"/>
            </w:tcBorders>
            <w:noWrap w:val="0"/>
            <w:tcMar>
              <w:top w:w="60" w:type="dxa"/>
              <w:left w:w="120" w:type="dxa"/>
              <w:bottom w:w="30" w:type="dxa"/>
              <w:right w:w="120" w:type="dxa"/>
            </w:tcMar>
            <w:vAlign w:val="center"/>
          </w:tcPr>
          <w:p w14:paraId="70E94B88">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序号</w:t>
            </w:r>
          </w:p>
        </w:tc>
        <w:tc>
          <w:tcPr>
            <w:tcW w:w="1172"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6631E013">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设备名称/服务</w:t>
            </w:r>
          </w:p>
        </w:tc>
        <w:tc>
          <w:tcPr>
            <w:tcW w:w="2473"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0A9F1293">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技术参数</w:t>
            </w:r>
          </w:p>
        </w:tc>
        <w:tc>
          <w:tcPr>
            <w:tcW w:w="470"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270A1272">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数量</w:t>
            </w:r>
          </w:p>
        </w:tc>
        <w:tc>
          <w:tcPr>
            <w:tcW w:w="447" w:type="pct"/>
            <w:tcBorders>
              <w:top w:val="single" w:color="auto" w:sz="12" w:space="0"/>
              <w:left w:val="single" w:color="auto" w:sz="4" w:space="0"/>
              <w:bottom w:val="nil"/>
              <w:right w:val="single" w:color="auto" w:sz="12" w:space="0"/>
            </w:tcBorders>
            <w:noWrap w:val="0"/>
            <w:tcMar>
              <w:top w:w="60" w:type="dxa"/>
              <w:left w:w="120" w:type="dxa"/>
              <w:bottom w:w="30" w:type="dxa"/>
              <w:right w:w="120" w:type="dxa"/>
            </w:tcMar>
            <w:vAlign w:val="center"/>
          </w:tcPr>
          <w:p w14:paraId="34A7031B">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单位</w:t>
            </w:r>
          </w:p>
        </w:tc>
      </w:tr>
      <w:tr w14:paraId="6CA852F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116"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192B3607">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FB24F08">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接入交换机（机架式）</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4254627">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网管型交换机，24个10/100/1000Mbps自适应电口+2个10/100/1000Mbps自适应上联电口+2个1000Mbps上联SFP光口，其中24个口支持PoE/PoE+供电，整机最大PoE输出功率370W。</w:t>
            </w:r>
          </w:p>
          <w:p w14:paraId="62C2F534">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交换容量336Gbps，包转发率92Mpps，金属外壳，6kV防雷，机架式交换机。</w:t>
            </w:r>
          </w:p>
          <w:p w14:paraId="288EC375">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支持VLAN划分、环路检测、防私接、线缆检测、端口隔离等功能，支持EWEB/APP/MACC远程管理。</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CB9B7E7">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8</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05CCB163">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台</w:t>
            </w:r>
          </w:p>
        </w:tc>
      </w:tr>
      <w:tr w14:paraId="0C75D2F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290"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23372380">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2</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95FCF9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接入交换机（桌面式）</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B40038B">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网管型交换机，8个10/100/1000Mbps自适应电口+1个10/100/1000Mbps自适应上联电口+1个1000Mbps上联Combo口，其中8个口支持PoE/PoE+供电，整机最大PoE输出功率120W。</w:t>
            </w:r>
          </w:p>
          <w:p w14:paraId="6EA83EB3">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交换容量192Gbps，包转发率40Mpps，金属外壳，6kV防雷，桌面式交换机。</w:t>
            </w:r>
          </w:p>
          <w:p w14:paraId="236EDBC4">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支持VLAN划分、环路检测、防私接、线缆检测、端口隔离等功能，支持EWEB/APP/MACC远程管理。</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D3169AE">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3</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703049EC">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台</w:t>
            </w:r>
          </w:p>
        </w:tc>
      </w:tr>
      <w:tr w14:paraId="72AA3CAA">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275"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4BFE142A">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3</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ADCC88D">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入墙式AP</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9D3D504">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双频Wi-Fi 6 1800M墙面AP，一个千兆LAN/PoE上联电口，一个千兆下联电口，内置天线，支持2.4GHz/5GHz双频通信，支持802.11a/b/g/n/ac Wave1/Wave2/ax协议，整机最大接入速率1775Mbps。</w:t>
            </w:r>
          </w:p>
          <w:p w14:paraId="6D68EE81">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超薄设计，高出墙面8.5毫米。</w:t>
            </w:r>
          </w:p>
          <w:p w14:paraId="178BFE15">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支持AP与路由两种工作模式，支持AI智能漫游，支持二层漫游，支持一体化组网，支持APP管理。</w:t>
            </w:r>
          </w:p>
          <w:p w14:paraId="6A3C4EEE">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支持802.3 af PoE标准供电（15.4W）。</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A6A414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28</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41EAA49D">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台</w:t>
            </w:r>
          </w:p>
        </w:tc>
      </w:tr>
      <w:tr w14:paraId="79899EF5">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0"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5A42BA75">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4</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C99367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光模块</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A3E040B">
            <w:pPr>
              <w:numPr>
                <w:ilvl w:val="0"/>
                <w:numId w:val="2"/>
              </w:num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sz w:val="22"/>
                <w:szCs w:val="22"/>
              </w:rPr>
              <w:t>类型：千兆单模SFP光模块；</w:t>
            </w:r>
          </w:p>
          <w:p w14:paraId="484E318D">
            <w:pPr>
              <w:numPr>
                <w:ilvl w:val="0"/>
                <w:numId w:val="2"/>
              </w:num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sz w:val="22"/>
                <w:szCs w:val="22"/>
              </w:rPr>
              <w:t>波长：1310nm；</w:t>
            </w:r>
          </w:p>
          <w:p w14:paraId="4E714DDD">
            <w:pPr>
              <w:numPr>
                <w:ilvl w:val="0"/>
                <w:numId w:val="0"/>
              </w:numPr>
              <w:snapToGrid w:val="0"/>
              <w:spacing w:before="120" w:after="120" w:line="240" w:lineRule="auto"/>
              <w:ind w:leftChars="0" w:right="0" w:rightChars="0"/>
              <w:jc w:val="both"/>
              <w:rPr>
                <w:rFonts w:hint="eastAsia" w:ascii="仿宋" w:hAnsi="仿宋" w:eastAsia="仿宋" w:cs="仿宋"/>
                <w:sz w:val="22"/>
                <w:szCs w:val="22"/>
              </w:rPr>
            </w:pPr>
            <w:r>
              <w:rPr>
                <w:rFonts w:hint="eastAsia" w:ascii="仿宋" w:hAnsi="仿宋" w:eastAsia="仿宋" w:cs="仿宋"/>
                <w:sz w:val="22"/>
                <w:szCs w:val="22"/>
              </w:rPr>
              <w:t>3. 最大传输距离≥10km。</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CF8A29E">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14</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3A66FA91">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块</w:t>
            </w:r>
          </w:p>
        </w:tc>
      </w:tr>
      <w:tr w14:paraId="2E43DE9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0"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5B69766D">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5</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53EC303">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吸顶AP</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90D751D">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Wi-Fi 6 3000M双频2.5G吸顶AP，推荐接入终端数110台，适用高密环境。</w:t>
            </w:r>
          </w:p>
          <w:p w14:paraId="4DBA6479">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双LAN口上联，内置天线，支持2.4GHz/5GHz双频通信，支持802.11a/b/g/n/ac Wave1/Wave2/ax协议，支持Wi-Fi 6 160M频宽。</w:t>
            </w:r>
          </w:p>
          <w:p w14:paraId="411483B1">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整机最大接入速率2976Mbps。</w:t>
            </w:r>
          </w:p>
          <w:p w14:paraId="28DD40C3">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支持AP与路由两种工作模式，支持AI智能漫游，支持二、三层漫游，支持一体化组网，支持APP管理，支持802.3at PoE标准供电。</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DC277B7">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7</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10A39D41">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台</w:t>
            </w:r>
          </w:p>
        </w:tc>
      </w:tr>
      <w:tr w14:paraId="156945C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1179"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14B536CC">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6</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6C8ECE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室外AP</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E5494A1">
            <w:pPr>
              <w:snapToGrid w:val="0"/>
              <w:spacing w:before="120" w:after="120" w:line="240" w:lineRule="auto"/>
              <w:ind w:left="0" w:leftChars="0" w:right="0" w:rightChars="0" w:firstLine="0" w:firstLineChars="0"/>
              <w:jc w:val="both"/>
              <w:rPr>
                <w:rFonts w:hint="eastAsia" w:ascii="仿宋" w:hAnsi="仿宋" w:eastAsia="仿宋" w:cs="仿宋"/>
                <w:i w:val="0"/>
                <w:iCs w:val="0"/>
                <w:snapToGrid w:val="0"/>
                <w:color w:val="000000"/>
                <w:kern w:val="0"/>
                <w:sz w:val="22"/>
                <w:szCs w:val="22"/>
                <w:u w:val="none"/>
                <w:lang w:val="en-US" w:eastAsia="zh-CN" w:bidi="ar"/>
              </w:rPr>
            </w:pPr>
            <w:r>
              <w:rPr>
                <w:rFonts w:hint="eastAsia" w:ascii="仿宋" w:hAnsi="仿宋" w:eastAsia="仿宋" w:cs="仿宋"/>
                <w:i w:val="0"/>
                <w:iCs w:val="0"/>
                <w:snapToGrid w:val="0"/>
                <w:color w:val="000000"/>
                <w:kern w:val="0"/>
                <w:sz w:val="22"/>
                <w:szCs w:val="22"/>
                <w:u w:val="none"/>
                <w:lang w:val="en-US" w:eastAsia="zh-CN" w:bidi="ar"/>
              </w:rPr>
              <w:t>2976M高功率双频千兆AP，1个千兆LAN口及1个千兆光口上联，内置天线，支持2.4GHz/5GHz双频通信，支持802.11a/b/g/n/ac Wave1/Wave2/ax协议。</w:t>
            </w:r>
          </w:p>
          <w:p w14:paraId="23482079">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支持AP与路由两种工作模式，支持二层智能漫游，支持一体化组网，支持APP管理，支持PoE供电和本地供电。</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971A247">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2</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5024907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台</w:t>
            </w:r>
          </w:p>
        </w:tc>
      </w:tr>
      <w:tr w14:paraId="73E11FA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430"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383C0B44">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7</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5CD3DB0">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六类网线</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2DC98F4">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sz w:val="22"/>
                <w:szCs w:val="22"/>
              </w:rPr>
              <w:t>1. 材质：纯铜线芯；2. 外皮：阻燃PVC线身；3. 传输速率：≥1000Mbps；4. 每箱足长≥305米。</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5504EF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17</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7D91724A">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箱</w:t>
            </w:r>
          </w:p>
        </w:tc>
      </w:tr>
      <w:tr w14:paraId="27FFFCF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0"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6D82894E">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8</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D813F41">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网络机柜</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12EF03A">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sz w:val="22"/>
                <w:szCs w:val="22"/>
              </w:rPr>
              <w:t>1. 规格：9U壁挂机柜；2. 材质：优质冷轧钢；3. 功能：具备强劲散热、耐磨损功能。</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8CAEB55">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4</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3AD205E7">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台</w:t>
            </w:r>
          </w:p>
        </w:tc>
      </w:tr>
      <w:tr w14:paraId="645434DC">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90"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6EFF4D73">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9</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1554C2B">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安装施工</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5CF1DE4">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sz w:val="22"/>
                <w:szCs w:val="22"/>
              </w:rPr>
              <w:t>包含辅材辅料、综合布线、设备安装，覆盖全校67个信息点，布线规范，符合校园安全标准。</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F38321B">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67</w:t>
            </w:r>
          </w:p>
        </w:tc>
        <w:tc>
          <w:tcPr>
            <w:tcW w:w="447"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35E8B39E">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信息点</w:t>
            </w:r>
          </w:p>
        </w:tc>
      </w:tr>
      <w:tr w14:paraId="0D7D38FC">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633" w:hRule="atLeast"/>
          <w:jc w:val="center"/>
        </w:trPr>
        <w:tc>
          <w:tcPr>
            <w:tcW w:w="436" w:type="pct"/>
            <w:tcBorders>
              <w:top w:val="single" w:color="auto" w:sz="4" w:space="0"/>
              <w:left w:val="single" w:color="auto" w:sz="12" w:space="0"/>
              <w:bottom w:val="single" w:color="auto" w:sz="12" w:space="0"/>
              <w:right w:val="nil"/>
            </w:tcBorders>
            <w:noWrap w:val="0"/>
            <w:tcMar>
              <w:top w:w="60" w:type="dxa"/>
              <w:left w:w="120" w:type="dxa"/>
              <w:bottom w:w="30" w:type="dxa"/>
              <w:right w:w="120" w:type="dxa"/>
            </w:tcMar>
            <w:vAlign w:val="center"/>
          </w:tcPr>
          <w:p w14:paraId="6AFD7C61">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10</w:t>
            </w:r>
          </w:p>
        </w:tc>
        <w:tc>
          <w:tcPr>
            <w:tcW w:w="1172"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6474B863">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系统集成</w:t>
            </w:r>
          </w:p>
        </w:tc>
        <w:tc>
          <w:tcPr>
            <w:tcW w:w="2473"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172A6568">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sz w:val="22"/>
                <w:szCs w:val="22"/>
              </w:rPr>
              <w:t>覆盖1-6号楼，包含无线设备线路铺设、设备安装调试、原有网络整理、线路分类标记（按业务类型颜色区分，标注“源设备-端口”），非标线路重新布线。</w:t>
            </w:r>
          </w:p>
        </w:tc>
        <w:tc>
          <w:tcPr>
            <w:tcW w:w="470"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536C1618">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447" w:type="pct"/>
            <w:tcBorders>
              <w:top w:val="single" w:color="auto" w:sz="4" w:space="0"/>
              <w:left w:val="single" w:color="auto" w:sz="4" w:space="0"/>
              <w:bottom w:val="single" w:color="auto" w:sz="12" w:space="0"/>
              <w:right w:val="single" w:color="auto" w:sz="12" w:space="0"/>
            </w:tcBorders>
            <w:noWrap w:val="0"/>
            <w:tcMar>
              <w:top w:w="60" w:type="dxa"/>
              <w:left w:w="120" w:type="dxa"/>
              <w:bottom w:w="30" w:type="dxa"/>
              <w:right w:w="120" w:type="dxa"/>
            </w:tcMar>
            <w:vAlign w:val="center"/>
          </w:tcPr>
          <w:p w14:paraId="48C644B0">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项</w:t>
            </w:r>
          </w:p>
        </w:tc>
      </w:tr>
    </w:tbl>
    <w:p w14:paraId="1C915642">
      <w:pPr>
        <w:spacing w:before="320" w:after="120" w:line="288" w:lineRule="auto"/>
        <w:ind w:left="0"/>
        <w:jc w:val="left"/>
        <w:outlineLvl w:val="1"/>
        <w:rPr>
          <w:rFonts w:hint="eastAsia" w:ascii="仿宋" w:hAnsi="仿宋" w:eastAsia="仿宋" w:cs="仿宋"/>
        </w:rPr>
      </w:pPr>
      <w:r>
        <w:rPr>
          <w:rFonts w:hint="eastAsia" w:ascii="仿宋" w:hAnsi="仿宋" w:eastAsia="仿宋" w:cs="仿宋"/>
          <w:b/>
          <w:sz w:val="32"/>
        </w:rPr>
        <w:t>二、行政办公部分</w:t>
      </w:r>
    </w:p>
    <w:tbl>
      <w:tblPr>
        <w:tblStyle w:val="13"/>
        <w:tblW w:w="4995" w:type="pct"/>
        <w:jc w:val="center"/>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819"/>
        <w:gridCol w:w="2205"/>
        <w:gridCol w:w="4652"/>
        <w:gridCol w:w="884"/>
        <w:gridCol w:w="839"/>
      </w:tblGrid>
      <w:tr w14:paraId="586ED27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tblHeader/>
          <w:jc w:val="center"/>
        </w:trPr>
        <w:tc>
          <w:tcPr>
            <w:tcW w:w="436" w:type="pct"/>
            <w:tcBorders>
              <w:top w:val="single" w:color="auto" w:sz="12" w:space="0"/>
              <w:left w:val="single" w:color="auto" w:sz="12" w:space="0"/>
              <w:bottom w:val="nil"/>
              <w:right w:val="nil"/>
            </w:tcBorders>
            <w:noWrap w:val="0"/>
            <w:tcMar>
              <w:top w:w="60" w:type="dxa"/>
              <w:left w:w="120" w:type="dxa"/>
              <w:bottom w:w="30" w:type="dxa"/>
              <w:right w:w="120" w:type="dxa"/>
            </w:tcMar>
            <w:vAlign w:val="center"/>
          </w:tcPr>
          <w:p w14:paraId="1B9FD0EB">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序号</w:t>
            </w:r>
          </w:p>
        </w:tc>
        <w:tc>
          <w:tcPr>
            <w:tcW w:w="1172"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2AB6545C">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系统/功能名称</w:t>
            </w:r>
          </w:p>
        </w:tc>
        <w:tc>
          <w:tcPr>
            <w:tcW w:w="2473"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0B127371">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技术参数</w:t>
            </w:r>
          </w:p>
        </w:tc>
        <w:tc>
          <w:tcPr>
            <w:tcW w:w="470"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3CA3E9AA">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数量</w:t>
            </w:r>
          </w:p>
        </w:tc>
        <w:tc>
          <w:tcPr>
            <w:tcW w:w="446" w:type="pct"/>
            <w:tcBorders>
              <w:top w:val="single" w:color="auto" w:sz="12" w:space="0"/>
              <w:left w:val="single" w:color="auto" w:sz="4" w:space="0"/>
              <w:bottom w:val="nil"/>
              <w:right w:val="single" w:color="auto" w:sz="12" w:space="0"/>
            </w:tcBorders>
            <w:noWrap w:val="0"/>
            <w:tcMar>
              <w:top w:w="60" w:type="dxa"/>
              <w:left w:w="120" w:type="dxa"/>
              <w:bottom w:w="30" w:type="dxa"/>
              <w:right w:w="120" w:type="dxa"/>
            </w:tcMar>
            <w:vAlign w:val="center"/>
          </w:tcPr>
          <w:p w14:paraId="2738D67A">
            <w:pPr>
              <w:snapToGrid w:val="0"/>
              <w:spacing w:before="120" w:after="120" w:line="240" w:lineRule="auto"/>
              <w:ind w:left="0" w:leftChars="0" w:right="0" w:rightChars="0" w:firstLine="0" w:firstLineChars="0"/>
              <w:jc w:val="center"/>
              <w:rPr>
                <w:rFonts w:hint="eastAsia" w:ascii="仿宋" w:hAnsi="仿宋" w:eastAsia="仿宋" w:cs="仿宋"/>
                <w:b/>
                <w:sz w:val="22"/>
                <w:szCs w:val="22"/>
              </w:rPr>
            </w:pPr>
            <w:r>
              <w:rPr>
                <w:rFonts w:hint="eastAsia" w:ascii="仿宋" w:hAnsi="仿宋" w:eastAsia="仿宋" w:cs="仿宋"/>
                <w:b/>
                <w:sz w:val="22"/>
                <w:szCs w:val="22"/>
              </w:rPr>
              <w:t>单位</w:t>
            </w:r>
          </w:p>
        </w:tc>
      </w:tr>
      <w:tr w14:paraId="229C1D9D">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31B4002C">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DF9D91B">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审批工作流</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73BC526">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▲系统支持请假管理、外出管理、差旅管理、经费管理、印章管理等多种流程搭建。（提供生产厂家确认的、相应的功能证明材料）</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 设置表单名称。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 指定流程发起人（按需调整人员）。</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 对请假表单进行分组管理，提升填写体验与逻辑结构。</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4. 搭建表单内容，以请假为例，包括：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•请假类型（下拉选项，包含事假、病假、产假、婚假、陪产假、丧假、亲情假等）；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•时间组件（支持开始时间、结束时间）；</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•请假说明（文本输入，用于描述事由）；</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•工作交接情况（文本区域，说明工作安排与对接人）。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5. 配置审批流程，支持按以下条件动态路由：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•时间条件（如请假天数）；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•组织架构（如所属小组或部门）。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6. 高级设置：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1. 自动去重设置：当审批流程中同一审批人重复出现时，系统可自动跳过重复节点，仅需审批一次。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 选项一：同一审批人在流程中多次出现时，仅保留首次节点；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 选项二：仅当同一审批人连续出现时，自动合并为一次审批。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2. 自动通过设置：若某审批节点的审批人与流程发起人为同一人，则该节点自动通过，无需手动操作。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3. 审批中撤销设置：开启后，发起人可在审批流程未完成前主动撤销申请。</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4. 审批后撤销设置：开启后，发起人可在审批单已通过后仍可撤销该申请（需权限控制）。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5. 允许加签：开启后，审批人可在处理过程中临时添加其他人员参与审批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6. 申请限制：开启后，可配置发起频率限制规则，例如每人每周或每月最多提交 N 次申请。</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 7. 支持查看历史记录，并提供数据导出功能。</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DEE918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722275F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套</w:t>
            </w:r>
          </w:p>
        </w:tc>
      </w:tr>
      <w:tr w14:paraId="35768DB0">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317D44B0">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2</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F57D546">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文件管理</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D333743">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可新建文件夹以及多层目录的新建，设置文件夹名称；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支持从本地上传文件以及文件夹目录到自己新建的文件夹里面；</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支持对新建的的文件夹单个进行下载、重命名设置、移动、删除；</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支持对已上传的文件和文件夹目录进行单个或批量下载、移动、删除；</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支持将自己的文件夹共享给他人查看；</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支持将已共享文件进行共享取消；</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支持查看文件夹的状态、共享给他人此文件夹为共享文件夹，未共享给他人此文件夹为私有文件夹；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支持在共享给我的文件夹里面查看别人共享给我的文件；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支持将别人共享给我的文件进行单个或批量下载 也可复制到自己的文件夹里面；</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支持输入文件名名称进行模糊查询；</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支持悬浮查看文件的属性，包含文件名称、文件大小、创建时间以及修改时间；</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支持按照创建名称、创建时间、修改时间进行升序或降序排序。</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回收站</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支持对已删除的文件和文件夹进行单个删除或批量删除；</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支持对已删除的文件进行一键清空；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支持在有效期10天之内对文件和文件夹进行单个或批量还原；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支持输入关键字对已删除的文件和文件夹进行模糊查询。</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27BE374">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2EEC37CC">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套</w:t>
            </w:r>
          </w:p>
        </w:tc>
      </w:tr>
      <w:tr w14:paraId="08F44A6F">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419FDF49">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3</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555A550">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通讯录</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610472E">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按单位、学科、姓名等条件查询教师的手机、QQ等联系信息。</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37E4399">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567C68A1">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套</w:t>
            </w:r>
          </w:p>
        </w:tc>
      </w:tr>
      <w:tr w14:paraId="78D97D61">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36"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07F91EDF">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4</w:t>
            </w:r>
          </w:p>
        </w:tc>
        <w:tc>
          <w:tcPr>
            <w:tcW w:w="117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7295D55D">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通知公告</w:t>
            </w:r>
          </w:p>
        </w:tc>
        <w:tc>
          <w:tcPr>
            <w:tcW w:w="2473"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C7CEE52">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1. 新增、发送通知公告可设置重要级别，发送对象可以按部门或者个人选择，可以保存到草稿箱；</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 收件箱通知公告可以分未读公告和已读公告查询，在页面上展示查询信息，也可点击详情，在弹出页面上显示更详细的信息；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 已发送通知公告可以查询我发送的通知公告，可查看详情及删除，删除后转移到垃圾箱中；</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 具有草稿箱功能，显示已新增未发布的通知公告，可以重新编辑重新发布；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 提供垃圾箱功能，显示所有已删除的通知公告，可对在垃圾箱中进行恢复、彻底删除等操作。</w:t>
            </w:r>
          </w:p>
        </w:tc>
        <w:tc>
          <w:tcPr>
            <w:tcW w:w="470"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21E59FB">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3A19842F">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套</w:t>
            </w:r>
          </w:p>
        </w:tc>
      </w:tr>
      <w:tr w14:paraId="19AB64E7">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36" w:type="pct"/>
            <w:tcBorders>
              <w:top w:val="single" w:color="auto" w:sz="4" w:space="0"/>
              <w:left w:val="single" w:color="auto" w:sz="12" w:space="0"/>
              <w:bottom w:val="single" w:color="auto" w:sz="12" w:space="0"/>
              <w:right w:val="nil"/>
            </w:tcBorders>
            <w:noWrap w:val="0"/>
            <w:tcMar>
              <w:top w:w="60" w:type="dxa"/>
              <w:left w:w="120" w:type="dxa"/>
              <w:bottom w:w="30" w:type="dxa"/>
              <w:right w:w="120" w:type="dxa"/>
            </w:tcMar>
            <w:vAlign w:val="center"/>
          </w:tcPr>
          <w:p w14:paraId="25F1EB31">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5</w:t>
            </w:r>
          </w:p>
        </w:tc>
        <w:tc>
          <w:tcPr>
            <w:tcW w:w="1172"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6E3A9EDC">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问卷调查</w:t>
            </w:r>
          </w:p>
        </w:tc>
        <w:tc>
          <w:tcPr>
            <w:tcW w:w="2473"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1EF3EC6C">
            <w:pPr>
              <w:snapToGrid w:val="0"/>
              <w:spacing w:before="120" w:after="120" w:line="240" w:lineRule="auto"/>
              <w:ind w:left="0" w:leftChars="0" w:right="0" w:rightChars="0" w:firstLine="0" w:firstLineChars="0"/>
              <w:jc w:val="both"/>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1. 发布在线的问卷调查，家长和学生通过网页或手机APP提交调查结果，老师可以看到汇总统计结果；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 实时在线完成问卷调查的任务。</w:t>
            </w:r>
          </w:p>
        </w:tc>
        <w:tc>
          <w:tcPr>
            <w:tcW w:w="470"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1E5E7334">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single" w:color="auto" w:sz="12" w:space="0"/>
              <w:right w:val="single" w:color="auto" w:sz="12" w:space="0"/>
            </w:tcBorders>
            <w:noWrap w:val="0"/>
            <w:tcMar>
              <w:top w:w="60" w:type="dxa"/>
              <w:left w:w="120" w:type="dxa"/>
              <w:bottom w:w="30" w:type="dxa"/>
              <w:right w:w="120" w:type="dxa"/>
            </w:tcMar>
            <w:vAlign w:val="center"/>
          </w:tcPr>
          <w:p w14:paraId="0AD72882">
            <w:pPr>
              <w:snapToGrid w:val="0"/>
              <w:spacing w:before="120" w:after="120" w:line="240" w:lineRule="auto"/>
              <w:ind w:left="0" w:leftChars="0" w:right="0" w:rightChars="0" w:firstLine="0" w:firstLineChars="0"/>
              <w:jc w:val="center"/>
              <w:rPr>
                <w:rFonts w:hint="eastAsia" w:ascii="仿宋" w:hAnsi="仿宋" w:eastAsia="仿宋" w:cs="仿宋"/>
                <w:sz w:val="22"/>
                <w:szCs w:val="22"/>
              </w:rPr>
            </w:pPr>
            <w:r>
              <w:rPr>
                <w:rFonts w:hint="eastAsia" w:ascii="仿宋" w:hAnsi="仿宋" w:eastAsia="仿宋" w:cs="仿宋"/>
                <w:sz w:val="22"/>
                <w:szCs w:val="22"/>
              </w:rPr>
              <w:t>套</w:t>
            </w:r>
          </w:p>
        </w:tc>
      </w:tr>
    </w:tbl>
    <w:p w14:paraId="4B392591">
      <w:pPr>
        <w:spacing w:before="320" w:after="120" w:line="288" w:lineRule="auto"/>
        <w:ind w:left="0"/>
        <w:jc w:val="left"/>
        <w:outlineLvl w:val="1"/>
        <w:rPr>
          <w:rFonts w:hint="eastAsia" w:ascii="仿宋" w:hAnsi="仿宋" w:eastAsia="仿宋" w:cs="仿宋"/>
          <w:b/>
          <w:sz w:val="32"/>
        </w:rPr>
      </w:pPr>
    </w:p>
    <w:p w14:paraId="292DC08D">
      <w:pPr>
        <w:spacing w:before="320" w:after="120" w:line="288" w:lineRule="auto"/>
        <w:ind w:left="0"/>
        <w:jc w:val="left"/>
        <w:outlineLvl w:val="1"/>
        <w:rPr>
          <w:rFonts w:hint="eastAsia" w:ascii="仿宋" w:hAnsi="仿宋" w:eastAsia="仿宋" w:cs="仿宋"/>
          <w:b/>
          <w:sz w:val="32"/>
        </w:rPr>
      </w:pPr>
    </w:p>
    <w:p w14:paraId="3DC2E9AB">
      <w:pPr>
        <w:spacing w:before="320" w:after="120" w:line="288" w:lineRule="auto"/>
        <w:ind w:left="0"/>
        <w:jc w:val="left"/>
        <w:outlineLvl w:val="1"/>
        <w:rPr>
          <w:rFonts w:hint="eastAsia" w:ascii="仿宋" w:hAnsi="仿宋" w:eastAsia="仿宋" w:cs="仿宋"/>
          <w:b/>
          <w:sz w:val="32"/>
        </w:rPr>
      </w:pPr>
    </w:p>
    <w:p w14:paraId="0C9596FD">
      <w:pPr>
        <w:numPr>
          <w:ilvl w:val="0"/>
          <w:numId w:val="3"/>
        </w:numPr>
        <w:spacing w:before="320" w:after="120" w:line="288" w:lineRule="auto"/>
        <w:ind w:left="0"/>
        <w:jc w:val="left"/>
        <w:outlineLvl w:val="1"/>
        <w:rPr>
          <w:rFonts w:hint="eastAsia" w:ascii="仿宋" w:hAnsi="仿宋" w:eastAsia="仿宋" w:cs="仿宋"/>
          <w:b/>
          <w:sz w:val="32"/>
        </w:rPr>
      </w:pPr>
      <w:r>
        <w:rPr>
          <w:rFonts w:hint="eastAsia" w:ascii="仿宋" w:hAnsi="仿宋" w:eastAsia="仿宋" w:cs="仿宋"/>
          <w:b/>
          <w:sz w:val="32"/>
        </w:rPr>
        <w:t>AI教研&amp;智慧教室部分</w:t>
      </w:r>
    </w:p>
    <w:tbl>
      <w:tblPr>
        <w:tblStyle w:val="13"/>
        <w:tblW w:w="4995"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Layout w:type="fixed"/>
        <w:tblCellMar>
          <w:top w:w="0" w:type="dxa"/>
          <w:left w:w="108" w:type="dxa"/>
          <w:bottom w:w="0" w:type="dxa"/>
          <w:right w:w="108" w:type="dxa"/>
        </w:tblCellMar>
      </w:tblPr>
      <w:tblGrid>
        <w:gridCol w:w="810"/>
        <w:gridCol w:w="2206"/>
        <w:gridCol w:w="4651"/>
        <w:gridCol w:w="885"/>
        <w:gridCol w:w="824"/>
      </w:tblGrid>
      <w:tr w14:paraId="71EC45BE">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blHeader/>
        </w:trPr>
        <w:tc>
          <w:tcPr>
            <w:tcW w:w="431" w:type="pct"/>
            <w:tcBorders>
              <w:tl2br w:val="nil"/>
              <w:tr2bl w:val="nil"/>
            </w:tcBorders>
            <w:shd w:val="clear" w:color="auto" w:fill="FFFFFF"/>
            <w:vAlign w:val="center"/>
          </w:tcPr>
          <w:p w14:paraId="6F6EBDF4">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序号</w:t>
            </w:r>
          </w:p>
        </w:tc>
        <w:tc>
          <w:tcPr>
            <w:tcW w:w="1176" w:type="pct"/>
            <w:tcBorders>
              <w:tl2br w:val="nil"/>
              <w:tr2bl w:val="nil"/>
            </w:tcBorders>
            <w:shd w:val="clear" w:color="auto" w:fill="FFFFFF"/>
            <w:vAlign w:val="center"/>
          </w:tcPr>
          <w:p w14:paraId="2A37C34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sz w:val="22"/>
                <w:szCs w:val="22"/>
              </w:rPr>
              <w:t>系统/功能名称</w:t>
            </w:r>
          </w:p>
        </w:tc>
        <w:tc>
          <w:tcPr>
            <w:tcW w:w="2480" w:type="pct"/>
            <w:tcBorders>
              <w:tl2br w:val="nil"/>
              <w:tr2bl w:val="nil"/>
            </w:tcBorders>
            <w:shd w:val="clear" w:color="auto" w:fill="FFFFFF"/>
            <w:vAlign w:val="center"/>
          </w:tcPr>
          <w:p w14:paraId="1AAC2132">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技术参数</w:t>
            </w:r>
          </w:p>
        </w:tc>
        <w:tc>
          <w:tcPr>
            <w:tcW w:w="471" w:type="pct"/>
            <w:tcBorders>
              <w:tl2br w:val="nil"/>
              <w:tr2bl w:val="nil"/>
            </w:tcBorders>
            <w:shd w:val="clear" w:color="auto" w:fill="FFFFFF"/>
            <w:vAlign w:val="center"/>
          </w:tcPr>
          <w:p w14:paraId="1805272E">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数量</w:t>
            </w:r>
          </w:p>
        </w:tc>
        <w:tc>
          <w:tcPr>
            <w:tcW w:w="439" w:type="pct"/>
            <w:tcBorders>
              <w:tl2br w:val="nil"/>
              <w:tr2bl w:val="nil"/>
            </w:tcBorders>
            <w:shd w:val="clear" w:color="auto" w:fill="FFFFFF"/>
            <w:vAlign w:val="center"/>
          </w:tcPr>
          <w:p w14:paraId="365DF87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单位</w:t>
            </w:r>
          </w:p>
        </w:tc>
      </w:tr>
      <w:tr w14:paraId="11AD5CAB">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431" w:type="pct"/>
            <w:tcBorders>
              <w:tl2br w:val="nil"/>
              <w:tr2bl w:val="nil"/>
            </w:tcBorders>
            <w:shd w:val="clear" w:color="auto" w:fill="FFFFFF"/>
            <w:vAlign w:val="center"/>
          </w:tcPr>
          <w:p w14:paraId="3BB0231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1176" w:type="pct"/>
            <w:tcBorders>
              <w:tl2br w:val="nil"/>
              <w:tr2bl w:val="nil"/>
            </w:tcBorders>
            <w:shd w:val="clear" w:color="auto" w:fill="FFFFFF"/>
            <w:noWrap/>
            <w:vAlign w:val="center"/>
          </w:tcPr>
          <w:p w14:paraId="0CA640A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教研平台</w:t>
            </w:r>
          </w:p>
        </w:tc>
        <w:tc>
          <w:tcPr>
            <w:tcW w:w="2480" w:type="pct"/>
            <w:tcBorders>
              <w:tl2br w:val="nil"/>
              <w:tr2bl w:val="nil"/>
            </w:tcBorders>
            <w:shd w:val="clear" w:color="auto" w:fill="FFFFFF"/>
            <w:vAlign w:val="center"/>
          </w:tcPr>
          <w:p w14:paraId="66E7714C">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（一）学校管理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平台数据总览：包含公开课数量、双绿灯影片数、课件数、教案数、被点阅数、被标记数等；以图表的形式呈现每月的课例产生情况；以图表形式呈现学习类型占比情况（学习类型包含：合作学习、互动学习、任务学习、测验学习、差异化学习、互评学习、协作学习）；同时支持分组别预览数据；（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2.成员数据统计：展示每位老师的课例数据，按照时间或科目进行筛选查看；所呈现数据可按类型进行排序；支持下载成员数据统计表及课堂数据统计表；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3.教研数据统计：按学期、每月、每周、组别进行数据统计；以列表形式对每位成员的数据进行呈现，根据统计类型进行排序；</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4.提供≥100G云端存储空间，使用权限≥3年。</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（二）课堂数据评估报告</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科技互动指数：包括数据通道、数据反馈、统计决策、关注学生与评价表扬等基础互动功能分项，统计分析每一个频次与有效组合应用，并给出分项指数和总指数。根据时序呈现科技运用工具，绘制科技互动时序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2.教法应用指数：包括小组学习、全班互动、生本决策、全班测验、个人学习、多元评估；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3.教材实践指数：需包括教学设计、教学过程、 教学效果、技术应用、融合创新，需支持专家手动输入。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▲4.校本综合评估指数：内容包含教学目标、教学内容、过程方法、教学效果、学习效果、教师素养等维度，呈现各维度分数及专家点评评语；（提供功能截图）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▲5.课堂学习参与指数：统计全班与小组学习参与度数据，生成全班课堂学习参与度分布图、分组课堂学习参与度分布图；分析参与度平均指数，互动及作协过程中学生贡献度情况；（提供功能截图）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6.课堂学习类型分析：支持对课堂学习类型进行分析，包括合作学习、互动学习、任务学习、测验学习、差异化学习、互评学习和协作学习等。自动分析出采用了何种素养导向的教学方法与策略。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时间轴：根据时间序为中轴，呈现多种课堂数据，包含专家观课标记、课堂逐字稿、师生互动历程等完整数据，完成课堂音频的文字转换，实现课堂教学过程语音全纪录，可输出整节课的文字字幕。实现字幕与视频进度联动。</w:t>
            </w:r>
          </w:p>
        </w:tc>
        <w:tc>
          <w:tcPr>
            <w:tcW w:w="471" w:type="pct"/>
            <w:tcBorders>
              <w:tl2br w:val="nil"/>
              <w:tr2bl w:val="nil"/>
            </w:tcBorders>
            <w:shd w:val="clear" w:color="auto" w:fill="FFFFFF"/>
            <w:noWrap/>
            <w:vAlign w:val="center"/>
          </w:tcPr>
          <w:p w14:paraId="0039B94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39" w:type="pct"/>
            <w:tcBorders>
              <w:tl2br w:val="nil"/>
              <w:tr2bl w:val="nil"/>
            </w:tcBorders>
            <w:shd w:val="clear" w:color="auto" w:fill="FFFFFF"/>
            <w:noWrap/>
            <w:vAlign w:val="center"/>
          </w:tcPr>
          <w:p w14:paraId="10B5947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252E3FA2">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431" w:type="pct"/>
            <w:tcBorders>
              <w:tl2br w:val="nil"/>
              <w:tr2bl w:val="nil"/>
            </w:tcBorders>
            <w:shd w:val="clear" w:color="auto" w:fill="FFFFFF"/>
            <w:vAlign w:val="center"/>
          </w:tcPr>
          <w:p w14:paraId="7927459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w:t>
            </w:r>
          </w:p>
        </w:tc>
        <w:tc>
          <w:tcPr>
            <w:tcW w:w="1176" w:type="pct"/>
            <w:tcBorders>
              <w:tl2br w:val="nil"/>
              <w:tr2bl w:val="nil"/>
            </w:tcBorders>
            <w:shd w:val="clear" w:color="auto" w:fill="FFFFFF"/>
            <w:noWrap/>
            <w:vAlign w:val="center"/>
          </w:tcPr>
          <w:p w14:paraId="57E9645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AI教研中心智能终端系统</w:t>
            </w:r>
          </w:p>
        </w:tc>
        <w:tc>
          <w:tcPr>
            <w:tcW w:w="2480" w:type="pct"/>
            <w:tcBorders>
              <w:tl2br w:val="nil"/>
              <w:tr2bl w:val="nil"/>
            </w:tcBorders>
            <w:shd w:val="clear" w:color="auto" w:fill="FFFFFF"/>
            <w:vAlign w:val="center"/>
          </w:tcPr>
          <w:p w14:paraId="2C68B262">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一、智能终端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1.支持高清(1080P、1080I、720P)、标清(720×576等)视频采集；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2.不少于1路DVI-I或HDMI视频输入；2路HDMI视频输出；3.5 mm 音频插孔音频输入；3.5 mm 音频插孔音频输出；1 *100/1000M Ethernet port网络接口；1*USB 2.0 数据接口；H.264、FLV、MP4 视频标准；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二、教学中心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1.课堂书写：支持在任意教学环境下（课件讲解、影片播放等）进行原笔迹书写，支持无限板书；</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2.辅助工具：提供图章、板擦、聚焦、放大镜、幕布、计时器等基础教学工具，提供图片截取功能、屏幕批注功能；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3.学科工具：提供多学科的学科工具，如平面图形、尺规、量角器等，其中尺规和平面图形支持角度和长度的数字标注，图形支持、旋转、填充、删除等；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4.挑人工具：可进行重复挑选、去重挑选、挑选组别、组内挑选，支持自定义范围挑选，一次挑选人数≥6；</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5.计分板：可根据需要添加和删除小组个数，并可以一键还原默认小组个数；提供计分板拍照功能，记录小组得分结果；提供不同的得分图标≥20种；</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提供课堂互动摘要功能，支持自动生成全班学生学习表现摘要，记录课堂时间、参与人数、小组数、任务总数、作品总数、推送总数、测验总题数、测验得分率、互动题数、学生互动总数，支持自动生成课堂时间轴历程；（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▲7.同一题目，可支持三次重复作答，作答结果在一个图表上进行呈现；支持查看学生变更作答的具体情况；（提供功能截图）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全员测评：导入云端个人试卷或学校试卷，测评活动开始可逐页呈现题目与选项；支持实时显示已完成人数及百分比和测试时长；测验结束后进行评讲时，可显示知识点比较图、成绩分布图以及逐题答对率分布图，通过柱状图可直接跳转到评讲试题；</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9.随堂测验：提供简易测验模式，可拍照上传试题或快照本页试题，题型包含（单选，多选，填空），并随意组合成试卷, 可提前预设答案并支持隐蔽输入；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▲10.挑战赛：支持生存赛和积分赛，答对可晋级，答错淘汰；可自定义答题时间和最终排名人数，支持人员复活操作；完成全部作答后可查看排行榜；（提供功能截图）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11.提供≥50人学生反馈装置，≥10个分组接入点。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三、教师助教</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1.可扫码登录智慧教室系统，显示教师账号信息、账号存储空间、个人ID所具备的相应权限、连接云服务情况等；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2.自动获取个人云平台题库数量、个人教材数；统计汇总已参与的议课数和录课数。支持与云平台关联，接收新增课例通知，了解课堂数据报告以及观议课记录表；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3.自动接收智慧教室常态化使用数据，包含智慧课堂使用次数，智慧课堂使用总时长，学生参与人次，师生互动次数；记录智慧教室授课达到一定效果的课堂节数。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四、教学行为分析</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1.具备教学行为数据自动采集功能，采集的客观数据通过分析平台产出相应行为分析视频；</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▲2.教学行为分析视频包括专家页面和AI分析页面，两个页面可自由切换；专家页面观课者标记清单和标记内容，AI页面显示科技互动指数、教法应用指数、教材实践指数和科技互动频次；（提供功能截图）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3.教学行为分析视频中的课堂教学影片、教学行为数据特征、标记热点曲线、专家点评标记清单、点评标记内容等五项数据的时间轴相互连动；</w:t>
            </w:r>
          </w:p>
        </w:tc>
        <w:tc>
          <w:tcPr>
            <w:tcW w:w="471" w:type="pct"/>
            <w:tcBorders>
              <w:tl2br w:val="nil"/>
              <w:tr2bl w:val="nil"/>
            </w:tcBorders>
            <w:shd w:val="clear" w:color="auto" w:fill="FFFFFF"/>
            <w:noWrap/>
            <w:vAlign w:val="center"/>
          </w:tcPr>
          <w:p w14:paraId="1B577DC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39" w:type="pct"/>
            <w:tcBorders>
              <w:tl2br w:val="nil"/>
              <w:tr2bl w:val="nil"/>
            </w:tcBorders>
            <w:shd w:val="clear" w:color="auto" w:fill="FFFFFF"/>
            <w:noWrap/>
            <w:vAlign w:val="center"/>
          </w:tcPr>
          <w:p w14:paraId="0E05435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4C4E7106">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431" w:type="pct"/>
            <w:tcBorders>
              <w:tl2br w:val="nil"/>
              <w:tr2bl w:val="nil"/>
            </w:tcBorders>
            <w:shd w:val="clear" w:color="auto" w:fill="FFFFFF"/>
            <w:vAlign w:val="center"/>
          </w:tcPr>
          <w:p w14:paraId="0EA1972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w:t>
            </w:r>
          </w:p>
        </w:tc>
        <w:tc>
          <w:tcPr>
            <w:tcW w:w="1176" w:type="pct"/>
            <w:tcBorders>
              <w:tl2br w:val="nil"/>
              <w:tr2bl w:val="nil"/>
            </w:tcBorders>
            <w:shd w:val="clear" w:color="auto" w:fill="FFFFFF"/>
            <w:noWrap/>
            <w:vAlign w:val="center"/>
          </w:tcPr>
          <w:p w14:paraId="741615B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智慧教室系统</w:t>
            </w:r>
          </w:p>
        </w:tc>
        <w:tc>
          <w:tcPr>
            <w:tcW w:w="2480" w:type="pct"/>
            <w:tcBorders>
              <w:tl2br w:val="nil"/>
              <w:tr2bl w:val="nil"/>
            </w:tcBorders>
            <w:shd w:val="clear" w:color="auto" w:fill="FFFFFF"/>
            <w:vAlign w:val="center"/>
          </w:tcPr>
          <w:p w14:paraId="02259511">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一、教学中心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1.课堂书写：支持在任意教学环境下（课件讲解、影片播放等）进行原笔迹书写，支持无限板书；</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2.辅助工具：提供图章、板擦、聚焦、放大镜、幕布、计时器等基础教学工具，提供图片截取功能、屏幕批注功能；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3.挑人工具：可进行重复挑选、去重挑选、挑选组别、组内挑选，支持自定义范围挑选，一次挑选人数≥6；</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二、管理应用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1.课件管理：具备课堂教材页面管理，包括增加/删除页面、复制页面。提供白板工具栏左右互换功能；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2.授课登录：支持教师通过个人账号、微信或二维码等方式进行身份识别快速登录授课；登录后，即时进入上课模式，并自动获取云端课件；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3.班级管理：课程名单形式多样，提供学校网络课程名单、个人网络课程名单、本地课程名单、动态课程名单；支持与云平台关联，获取班级课程名单资料；</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三、数据采集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提供课堂互动摘要功能，支持自动生成全班学生学习表现摘要，记录课堂时间、参与人数、小组数、任务总数、作品总数、推送总数、测验总题数、测验得分率、互动题数、学生互动总数，支持自动生成课堂时间轴历程；</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四、师生交互</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投票：支持单选题、多选题、判断题功能，实时设定正确答案；同一题目，可支持三次重复作答，作答结果在一个图表上进行呈现；支持查看学生变更作答的具体情况（如每次选择的具体选项、由错到对的变化情况）；统计图类型多样，包括全班统计长条图、分组统计长条图、全班正确率圆饼图、分组正确率圆饼图；支持选择题后在本页面接续填空题时, 学生作答结果可进行分类；分类后可进行智慧挑人、分类点赞计分、分类抢权作答；</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全员测评：导入云端个人试卷或学校试卷，测评活动开始可逐页呈现题目与选项；支持实时显示已完成人数及百分比和测试时长；测验结束后进行评讲时，可显示知识点比较图、成绩分布图以及逐题答对率分布图，通过柱状图可直接跳转到评讲试题；同时在逐题讲解时，可进行二次作答、智慧挑人等功能的使用；评测结束后学生端可显示正确答案；</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作品收集：支持收集图片、声音或文档，多个收集任务可同时进行；完成收集后可贴回白板页面进行展示或讲解，并给予优秀作品计分；教师可以控制作品收集任务的开始与结束，也可将结束的任务重新开启进行二次收集；同一页面展示作品数量≥9；</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4.资料推送：支持推送页面、文件、文本及课件元素；可全员推送、小组推送、以及差异化推送；差异化推送可把不同的学习资料推送给不同的学生端或小组端；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5.口说练习题：支持多种语言的语音朗读，作答结束后可进行自动评分；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6.思维导图：内置思维导图功能，支持发起思维导图全员、分组、差异化共编；支持通过AI指令自动生成思维导图；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7.挑战赛：支持生存赛和积分赛，答对可晋级，答错淘汰；可自定义答题时间和最终排名人数，支持人员复活操作；完成全部作答后可查看排行榜；</w:t>
            </w:r>
          </w:p>
        </w:tc>
        <w:tc>
          <w:tcPr>
            <w:tcW w:w="471" w:type="pct"/>
            <w:tcBorders>
              <w:tl2br w:val="nil"/>
              <w:tr2bl w:val="nil"/>
            </w:tcBorders>
            <w:shd w:val="clear" w:color="auto" w:fill="FFFFFF"/>
            <w:noWrap/>
            <w:vAlign w:val="center"/>
          </w:tcPr>
          <w:p w14:paraId="668E2DD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39" w:type="pct"/>
            <w:tcBorders>
              <w:tl2br w:val="nil"/>
              <w:tr2bl w:val="nil"/>
            </w:tcBorders>
            <w:shd w:val="clear" w:color="auto" w:fill="FFFFFF"/>
            <w:noWrap/>
            <w:vAlign w:val="center"/>
          </w:tcPr>
          <w:p w14:paraId="4FD789E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59486904">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431" w:type="pct"/>
            <w:tcBorders>
              <w:tl2br w:val="nil"/>
              <w:tr2bl w:val="nil"/>
            </w:tcBorders>
            <w:shd w:val="clear" w:color="auto" w:fill="FFFFFF"/>
            <w:vAlign w:val="center"/>
          </w:tcPr>
          <w:p w14:paraId="1B5F285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w:t>
            </w:r>
          </w:p>
        </w:tc>
        <w:tc>
          <w:tcPr>
            <w:tcW w:w="1176" w:type="pct"/>
            <w:tcBorders>
              <w:tl2br w:val="nil"/>
              <w:tr2bl w:val="nil"/>
            </w:tcBorders>
            <w:shd w:val="clear" w:color="auto" w:fill="FFFFFF"/>
            <w:noWrap/>
            <w:vAlign w:val="center"/>
          </w:tcPr>
          <w:p w14:paraId="1B9DB38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AI服务</w:t>
            </w:r>
          </w:p>
        </w:tc>
        <w:tc>
          <w:tcPr>
            <w:tcW w:w="2480" w:type="pct"/>
            <w:tcBorders>
              <w:tl2br w:val="nil"/>
              <w:tr2bl w:val="nil"/>
            </w:tcBorders>
            <w:shd w:val="clear" w:color="auto" w:fill="FFFFFF"/>
            <w:vAlign w:val="center"/>
          </w:tcPr>
          <w:p w14:paraId="3EC2859C">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▲1.文句分析：对学生上传的词语、文字、段落进行智能分类，提炼关键字词，形成文字云；（提供功能截图）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2.作品评分：支持对学生或小组上传的作品进行打分和添加评语，评语和评分结果可粘贴至白板上，结果分数可汇总至个人或小组总记分；评分时可选择分值。</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3.作品投票：支持对个人、组别上传的作品进行投票，投票过程中可添加评语；评语和评分结果可粘贴至白板上，结果分数可汇总至个人或小组总记分；支持多轮或进阶投票，每人投票数量可自定义。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▲4.作品互评：支持自评、全员互评、组内互评、发回评分结果、设置最高分；具备隐藏作品名称、评委名称功能；支持评分、添加评语、查看互评进度；评分结果可累计至个人或小组总计分；（提供功能截图）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5.协作答题：支持全班协作答题、小组间协作答题、差异化协作答题，查看协作过程回放录像与学生参与指数；针对协作结果可以进行点赞计分、学生间互评打分，评分结果可进行排序展示；</w:t>
            </w:r>
          </w:p>
        </w:tc>
        <w:tc>
          <w:tcPr>
            <w:tcW w:w="471" w:type="pct"/>
            <w:tcBorders>
              <w:tl2br w:val="nil"/>
              <w:tr2bl w:val="nil"/>
            </w:tcBorders>
            <w:shd w:val="clear" w:color="auto" w:fill="FFFFFF"/>
            <w:noWrap/>
            <w:vAlign w:val="center"/>
          </w:tcPr>
          <w:p w14:paraId="22965F4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39" w:type="pct"/>
            <w:tcBorders>
              <w:tl2br w:val="nil"/>
              <w:tr2bl w:val="nil"/>
            </w:tcBorders>
            <w:shd w:val="clear" w:color="auto" w:fill="FFFFFF"/>
            <w:noWrap/>
            <w:vAlign w:val="center"/>
          </w:tcPr>
          <w:p w14:paraId="5069268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0142B1A1">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431" w:type="pct"/>
            <w:tcBorders>
              <w:tl2br w:val="nil"/>
              <w:tr2bl w:val="nil"/>
            </w:tcBorders>
            <w:shd w:val="clear" w:color="auto" w:fill="FFFFFF"/>
            <w:vAlign w:val="center"/>
          </w:tcPr>
          <w:p w14:paraId="50FA1F8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5</w:t>
            </w:r>
          </w:p>
        </w:tc>
        <w:tc>
          <w:tcPr>
            <w:tcW w:w="1176" w:type="pct"/>
            <w:tcBorders>
              <w:tl2br w:val="nil"/>
              <w:tr2bl w:val="nil"/>
            </w:tcBorders>
            <w:shd w:val="clear" w:color="auto" w:fill="FFFFFF"/>
            <w:noWrap/>
            <w:vAlign w:val="center"/>
          </w:tcPr>
          <w:p w14:paraId="0491410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学生互动反馈系统</w:t>
            </w:r>
          </w:p>
        </w:tc>
        <w:tc>
          <w:tcPr>
            <w:tcW w:w="2480" w:type="pct"/>
            <w:tcBorders>
              <w:tl2br w:val="nil"/>
              <w:tr2bl w:val="nil"/>
            </w:tcBorders>
            <w:shd w:val="clear" w:color="auto" w:fill="FFFFFF"/>
            <w:vAlign w:val="center"/>
          </w:tcPr>
          <w:p w14:paraId="2907F328">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1.具有0～9数字按键，同一套每个反馈装置需有唯一编码，以识别使用的学生；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2.通讯技术：双向射频RF 2.4G；</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3.通讯距离：以接收器为圆心半径 ≥30 米；</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4.显示屏：128*48分辨率点阵黑白液晶屏；34 x 17 mm可视面积；</w:t>
            </w:r>
          </w:p>
        </w:tc>
        <w:tc>
          <w:tcPr>
            <w:tcW w:w="471" w:type="pct"/>
            <w:tcBorders>
              <w:tl2br w:val="nil"/>
              <w:tr2bl w:val="nil"/>
            </w:tcBorders>
            <w:shd w:val="clear" w:color="auto" w:fill="FFFFFF"/>
            <w:noWrap/>
            <w:vAlign w:val="center"/>
          </w:tcPr>
          <w:p w14:paraId="6932E8C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50</w:t>
            </w:r>
          </w:p>
        </w:tc>
        <w:tc>
          <w:tcPr>
            <w:tcW w:w="439" w:type="pct"/>
            <w:tcBorders>
              <w:tl2br w:val="nil"/>
              <w:tr2bl w:val="nil"/>
            </w:tcBorders>
            <w:shd w:val="clear" w:color="auto" w:fill="FFFFFF"/>
            <w:noWrap/>
            <w:vAlign w:val="center"/>
          </w:tcPr>
          <w:p w14:paraId="40B5B1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r>
      <w:tr w14:paraId="5438BA83">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431" w:type="pct"/>
            <w:tcBorders>
              <w:tl2br w:val="nil"/>
              <w:tr2bl w:val="nil"/>
            </w:tcBorders>
            <w:shd w:val="clear" w:color="auto" w:fill="FFFFFF"/>
            <w:vAlign w:val="center"/>
          </w:tcPr>
          <w:p w14:paraId="3120FF4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6</w:t>
            </w:r>
          </w:p>
        </w:tc>
        <w:tc>
          <w:tcPr>
            <w:tcW w:w="1176" w:type="pct"/>
            <w:tcBorders>
              <w:tl2br w:val="nil"/>
              <w:tr2bl w:val="nil"/>
            </w:tcBorders>
            <w:shd w:val="clear" w:color="auto" w:fill="FFFFFF"/>
            <w:noWrap/>
            <w:vAlign w:val="center"/>
          </w:tcPr>
          <w:p w14:paraId="5134921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接收系统</w:t>
            </w:r>
          </w:p>
        </w:tc>
        <w:tc>
          <w:tcPr>
            <w:tcW w:w="2480" w:type="pct"/>
            <w:tcBorders>
              <w:tl2br w:val="nil"/>
              <w:tr2bl w:val="nil"/>
            </w:tcBorders>
            <w:shd w:val="clear" w:color="auto" w:fill="FFFFFF"/>
            <w:vAlign w:val="center"/>
          </w:tcPr>
          <w:p w14:paraId="34DB2375">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1.数据接口：1个USB接口；</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2.供电方式：USB供电；</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3.通讯技术：2.4GHz通讯频段，双向数据确认；</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4.通信频道：1-80；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5.支持答题器数量：≥400个。</w:t>
            </w:r>
          </w:p>
        </w:tc>
        <w:tc>
          <w:tcPr>
            <w:tcW w:w="471" w:type="pct"/>
            <w:tcBorders>
              <w:tl2br w:val="nil"/>
              <w:tr2bl w:val="nil"/>
            </w:tcBorders>
            <w:shd w:val="clear" w:color="auto" w:fill="FFFFFF"/>
            <w:noWrap/>
            <w:vAlign w:val="center"/>
          </w:tcPr>
          <w:p w14:paraId="72924B1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39" w:type="pct"/>
            <w:tcBorders>
              <w:tl2br w:val="nil"/>
              <w:tr2bl w:val="nil"/>
            </w:tcBorders>
            <w:shd w:val="clear" w:color="auto" w:fill="FFFFFF"/>
            <w:noWrap/>
            <w:vAlign w:val="center"/>
          </w:tcPr>
          <w:p w14:paraId="5D2D307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个</w:t>
            </w:r>
          </w:p>
        </w:tc>
      </w:tr>
    </w:tbl>
    <w:p w14:paraId="2FA69C2F">
      <w:pPr>
        <w:numPr>
          <w:ilvl w:val="0"/>
          <w:numId w:val="3"/>
        </w:numPr>
        <w:spacing w:before="320" w:after="120" w:line="288" w:lineRule="auto"/>
        <w:ind w:left="0" w:leftChars="0" w:firstLine="0" w:firstLineChars="0"/>
        <w:jc w:val="left"/>
        <w:outlineLvl w:val="1"/>
        <w:rPr>
          <w:rFonts w:hint="eastAsia" w:ascii="仿宋" w:hAnsi="仿宋" w:eastAsia="仿宋" w:cs="仿宋"/>
          <w:b/>
          <w:sz w:val="32"/>
        </w:rPr>
      </w:pPr>
      <w:r>
        <w:rPr>
          <w:rFonts w:hint="eastAsia" w:ascii="仿宋" w:hAnsi="仿宋" w:eastAsia="仿宋" w:cs="仿宋"/>
          <w:b/>
          <w:sz w:val="32"/>
        </w:rPr>
        <w:t>AI智慧体育部分</w:t>
      </w:r>
    </w:p>
    <w:tbl>
      <w:tblPr>
        <w:tblStyle w:val="13"/>
        <w:tblW w:w="4995"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746"/>
        <w:gridCol w:w="1848"/>
        <w:gridCol w:w="5154"/>
        <w:gridCol w:w="801"/>
        <w:gridCol w:w="826"/>
      </w:tblGrid>
      <w:tr w14:paraId="243F8731">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blHeader/>
        </w:trPr>
        <w:tc>
          <w:tcPr>
            <w:tcW w:w="746" w:type="dxa"/>
            <w:tcBorders>
              <w:tl2br w:val="nil"/>
              <w:tr2bl w:val="nil"/>
            </w:tcBorders>
            <w:shd w:val="clear" w:color="auto" w:fill="FFFFFF"/>
            <w:vAlign w:val="center"/>
          </w:tcPr>
          <w:p w14:paraId="697FC837">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序号</w:t>
            </w:r>
          </w:p>
        </w:tc>
        <w:tc>
          <w:tcPr>
            <w:tcW w:w="1849" w:type="dxa"/>
            <w:tcBorders>
              <w:tl2br w:val="nil"/>
              <w:tr2bl w:val="nil"/>
            </w:tcBorders>
            <w:shd w:val="clear" w:color="auto" w:fill="FFFFFF"/>
            <w:vAlign w:val="center"/>
          </w:tcPr>
          <w:p w14:paraId="6FA9EC5C">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sz w:val="22"/>
                <w:szCs w:val="22"/>
              </w:rPr>
              <w:t>系统/功能名称</w:t>
            </w:r>
          </w:p>
        </w:tc>
        <w:tc>
          <w:tcPr>
            <w:tcW w:w="5157" w:type="dxa"/>
            <w:tcBorders>
              <w:tl2br w:val="nil"/>
              <w:tr2bl w:val="nil"/>
            </w:tcBorders>
            <w:shd w:val="clear" w:color="auto" w:fill="FFFFFF"/>
            <w:vAlign w:val="center"/>
          </w:tcPr>
          <w:p w14:paraId="61424E6C">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技术参数</w:t>
            </w:r>
          </w:p>
        </w:tc>
        <w:tc>
          <w:tcPr>
            <w:tcW w:w="802" w:type="dxa"/>
            <w:tcBorders>
              <w:tl2br w:val="nil"/>
              <w:tr2bl w:val="nil"/>
            </w:tcBorders>
            <w:shd w:val="clear" w:color="auto" w:fill="FFFFFF"/>
            <w:vAlign w:val="center"/>
          </w:tcPr>
          <w:p w14:paraId="7A4BF36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数量</w:t>
            </w:r>
          </w:p>
        </w:tc>
        <w:tc>
          <w:tcPr>
            <w:tcW w:w="826" w:type="dxa"/>
            <w:tcBorders>
              <w:tl2br w:val="nil"/>
              <w:tr2bl w:val="nil"/>
            </w:tcBorders>
            <w:shd w:val="clear" w:color="auto" w:fill="FFFFFF"/>
            <w:vAlign w:val="center"/>
          </w:tcPr>
          <w:p w14:paraId="59B32A31">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snapToGrid w:val="0"/>
                <w:color w:val="000000"/>
                <w:kern w:val="0"/>
                <w:sz w:val="22"/>
                <w:szCs w:val="22"/>
                <w:u w:val="none"/>
                <w:lang w:val="en-US" w:eastAsia="zh-CN" w:bidi="ar"/>
              </w:rPr>
              <w:t>单位</w:t>
            </w:r>
          </w:p>
        </w:tc>
      </w:tr>
      <w:tr w14:paraId="2FADCC45">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398" w:type="pct"/>
            <w:tcBorders>
              <w:tl2br w:val="nil"/>
              <w:tr2bl w:val="nil"/>
            </w:tcBorders>
            <w:shd w:val="clear" w:color="auto" w:fill="FFFFFF"/>
            <w:vAlign w:val="center"/>
          </w:tcPr>
          <w:p w14:paraId="253D3F4B">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985" w:type="pct"/>
            <w:tcBorders>
              <w:tl2br w:val="nil"/>
              <w:tr2bl w:val="nil"/>
            </w:tcBorders>
            <w:shd w:val="clear" w:color="auto" w:fill="FFFFFF"/>
            <w:vAlign w:val="center"/>
          </w:tcPr>
          <w:p w14:paraId="4E624485">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智慧体育教学练测评系统</w:t>
            </w:r>
          </w:p>
        </w:tc>
        <w:tc>
          <w:tcPr>
            <w:tcW w:w="2747" w:type="pct"/>
            <w:tcBorders>
              <w:tl2br w:val="nil"/>
              <w:tr2bl w:val="nil"/>
            </w:tcBorders>
            <w:shd w:val="clear" w:color="auto" w:fill="FFFFFF"/>
            <w:vAlign w:val="center"/>
          </w:tcPr>
          <w:p w14:paraId="08B5203F">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人脸采集功能：1.1应用系统内拍摄；1.2可选择学生编号，可选择学生性别。2.大屏设置功能：2.1自定义大屏所要播放的排行榜内容，并进行画面预览2.2选择各榜单播放的间隔时间及声音大小；2.3可权限设置——仅管理员有权配置。3.手机控制功能3.1支持手机端切换体测模式、运动项目切换、测试时间选择；3.2支持出现身份信息不匹配时，手动修改；3.3支持手机端控制开始、重置设备；3.4支持手机回放、查看历史记录，可对回放记录进行投屏，并切换相应遥控器。4.运动数据查看4.1全校概览支持查看全校学生的运动测试数据，运动成绩占比率，全校及个人成绩的汇总，平均分值；4.2测试记录可查看学生运动时间、成绩、平均分，可手动排序、成绩生成表格一键导出；4.3运动视频自动储存，可回放查看作弊，保证数据有效真实性，若有误可进行手动修改。</w:t>
            </w:r>
          </w:p>
        </w:tc>
        <w:tc>
          <w:tcPr>
            <w:tcW w:w="427" w:type="pct"/>
            <w:tcBorders>
              <w:tl2br w:val="nil"/>
              <w:tr2bl w:val="nil"/>
            </w:tcBorders>
            <w:shd w:val="clear" w:color="auto" w:fill="FFFFFF"/>
            <w:vAlign w:val="center"/>
          </w:tcPr>
          <w:p w14:paraId="59F8D093">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40" w:type="pct"/>
            <w:tcBorders>
              <w:tl2br w:val="nil"/>
              <w:tr2bl w:val="nil"/>
            </w:tcBorders>
            <w:shd w:val="clear" w:color="auto" w:fill="FFFFFF"/>
            <w:vAlign w:val="center"/>
          </w:tcPr>
          <w:p w14:paraId="40EAFE22">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30795ADC">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398" w:type="pct"/>
            <w:tcBorders>
              <w:tl2br w:val="nil"/>
              <w:tr2bl w:val="nil"/>
            </w:tcBorders>
            <w:shd w:val="clear" w:color="auto" w:fill="FFFFFF"/>
            <w:vAlign w:val="center"/>
          </w:tcPr>
          <w:p w14:paraId="72A1666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w:t>
            </w:r>
          </w:p>
        </w:tc>
        <w:tc>
          <w:tcPr>
            <w:tcW w:w="985" w:type="pct"/>
            <w:tcBorders>
              <w:tl2br w:val="nil"/>
              <w:tr2bl w:val="nil"/>
            </w:tcBorders>
            <w:shd w:val="clear" w:color="auto" w:fill="FFFFFF"/>
            <w:vAlign w:val="center"/>
          </w:tcPr>
          <w:p w14:paraId="710774B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无感人脸识别数据驾驶舱</w:t>
            </w:r>
          </w:p>
        </w:tc>
        <w:tc>
          <w:tcPr>
            <w:tcW w:w="2747" w:type="pct"/>
            <w:tcBorders>
              <w:tl2br w:val="nil"/>
              <w:tr2bl w:val="nil"/>
            </w:tcBorders>
            <w:shd w:val="clear" w:color="auto" w:fill="FFFFFF"/>
            <w:vAlign w:val="center"/>
          </w:tcPr>
          <w:p w14:paraId="2BD711E4">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学生通过看摄像头，自动识别学生人脸，显示学生个人运动档案：个人信息、体育综合评分、体育运动评分、本学期运动天数、身体形态、身体机能、运动能力图5个维度（力量、耐力、速度、柔韧、灵敏）、体质评定及运动处方，校长通过看摄像头，自动识别校长人脸，显示近一个月全校学生运动档案：总运动人次、跳绳排行榜、跳远排行榜、各项运动达标率、成绩统计、各项活跃度、优秀年级占比排名、日运动趋势图。</w:t>
            </w:r>
          </w:p>
        </w:tc>
        <w:tc>
          <w:tcPr>
            <w:tcW w:w="427" w:type="pct"/>
            <w:tcBorders>
              <w:tl2br w:val="nil"/>
              <w:tr2bl w:val="nil"/>
            </w:tcBorders>
            <w:shd w:val="clear" w:color="auto" w:fill="FFFFFF"/>
            <w:vAlign w:val="center"/>
          </w:tcPr>
          <w:p w14:paraId="391A860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40" w:type="pct"/>
            <w:tcBorders>
              <w:tl2br w:val="nil"/>
              <w:tr2bl w:val="nil"/>
            </w:tcBorders>
            <w:shd w:val="clear" w:color="auto" w:fill="FFFFFF"/>
            <w:vAlign w:val="center"/>
          </w:tcPr>
          <w:p w14:paraId="0AFEC61D">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3C241A79">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398" w:type="pct"/>
            <w:tcBorders>
              <w:tl2br w:val="nil"/>
              <w:tr2bl w:val="nil"/>
            </w:tcBorders>
            <w:shd w:val="clear" w:color="auto" w:fill="FFFFFF"/>
            <w:vAlign w:val="center"/>
          </w:tcPr>
          <w:p w14:paraId="4FB94B8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3</w:t>
            </w:r>
          </w:p>
        </w:tc>
        <w:tc>
          <w:tcPr>
            <w:tcW w:w="985" w:type="pct"/>
            <w:tcBorders>
              <w:tl2br w:val="nil"/>
              <w:tr2bl w:val="nil"/>
            </w:tcBorders>
            <w:shd w:val="clear" w:color="auto" w:fill="FFFFFF"/>
            <w:vAlign w:val="center"/>
          </w:tcPr>
          <w:p w14:paraId="33C5DD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户外AI教学练测一体机</w:t>
            </w:r>
          </w:p>
        </w:tc>
        <w:tc>
          <w:tcPr>
            <w:tcW w:w="2747" w:type="pct"/>
            <w:tcBorders>
              <w:tl2br w:val="nil"/>
              <w:tr2bl w:val="nil"/>
            </w:tcBorders>
            <w:shd w:val="clear" w:color="auto" w:fill="FFFFFF"/>
            <w:vAlign w:val="center"/>
          </w:tcPr>
          <w:p w14:paraId="6E8897CB">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一、高清摄像头</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1.像素：≥400万，可变焦距</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2.支持背光补尝，强光抑制，3D数据降噪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3.120dB宽动态，适应不同监控环境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4.支持ROI感兴趣区域增强编码，支持Smart265/264编码，可根据场景情况自适应调整码率分配，有效节省存储成本</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5.摄像头帧率≥25，支持3路视频码流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二、显示终端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1.尺寸：≥55寸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2.分辨率：≥1920*1080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3.显示比例：16:9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4.亮度：≥2000cd/m2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5.可视角度：±178</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6.对比度 1400:1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7.显示区城≥1209*680mm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8.材质：镀锌钢板+静电喷塑漆面+AR防眩玻璃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9.工作温度 -20℃-70C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10.工作湿度：5%~90%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11.工作电源：AC220V,50~60Hz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12.额定功率：350W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13.防护等级：IP65</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14.应用场所：全户外场景，防水防尘高亮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三、AI运动吧智慧体育运动系统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AI运动项目单设备支持多个运动项目：9人跳绳、9人深蹲、9人高抬腿、9人开合跳、9人左右跳、3人纵跳摸高、5人仰卧起坐、2人坐位体前屈、1人立定跳远；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能查看学生个人档案、成绩、曲线图，可查看单项目运动历史成绩记录以及相对应运动处方建议，历史视频可保存15天。各项目运动过程中可实时展示运动者的人体关节点、球的位置框等AI识别内容，以及实时的计数结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1、AI智慧跳绳测试仪：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1.1在1个摄像头下，可支持9人运动同时测试、同时计时计数，运动过程中实现人脸识别、身份信息匹配，前端大屏跳绳过程数据实时显示、跳出测试区域提示、运动结束后分时间段计数、中断数的呈现。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▲1.2支持学号录入同时拓展实现50人及以上同时测试、同时计时计数。（投标时提供由第三方检测机构出具的带有CMA或CNAS标志的检测报告扫描件，原件备查）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▲1.3支持使⽤手机端创建赛事、预约赛事、加⼊赛事并利用设备进⾏⽐赛，可远程最高支持5V5比赛。（投标时提供由第三方检测机构出具的带有CMA或CNAS标志的检测报告扫描件，原件备查）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1.4测试范围：0-2000次，分值1次，允许误差：±1次。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1.5运动结束后，形成个人运动报告，跳绳速率，并给出测评点评和锻炼建议，手机端查看视频回放。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2、AI智慧立定跳远测试仪：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2.1运动过程中应可实现人脸识别、身份信息匹配，支持基于视频实现立定跳远测距，自动识别踩线、单脚起跳、垫步跳、出界等犯规提示、成绩的实时交互呈现；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2.2立定跳远过程中随来随测，在测试位自动识别身份，测试过程声音提示，测试成绩实时显示；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2.3跳远地垫刻度自动识别检测，可左右移动随意摆放；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2.3测试仪器无需跳毯，可直接在塑胶操场上进行测试，适应室内外测试环境，不受强光影响。跳落区两侧无障碍，跳毯两侧不能有其他辅助设备，不影响跳远动作，保障人员、设备安全。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2.4测试屏幕在无人测试状态下显示个人 /班级实时排行榜数据；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2.5测试屏幕实时显示测试者身份信息、实时成绩，实时头像，分时动作切片组合图。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2.6测试结束，成绩实时上传，可在App实时查看，支持历史记录视频回放 ；成绩可纳入教学管理。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2.7测试者在测试位进行人脸识别，各测位独立进行测试，随来随测。测试成绩在屏幕实时显示。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2.8测试范围：0~300cm；分度值：1cm；允许误差：±1cm；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▲2.9立定跳远设备自动识别“请勿遮挡地垫”功能地点外请勿站人，做到提醒作用，增加数据准确性；（提供功能截图）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3、AI智慧纵跳摸高测试仪：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在1个摄像头下，可支持3人同时进行摸高测距测试，运动过程中实现人脸识别、身份信息匹配，跳出界违规显示；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支持前端大屏跳高结果数据显示、瞬间画面呈现。支持“新纪录”等特效动画及声音提示；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测试范围：0~320cm；分度值：1cm；允许误差：±1cm；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4、AI智慧开合跳测试仪：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1个摄像头下，可9人同时运动计时计数，运动过程中实现人脸识别、身份信息匹配，支持前端大屏开合跳过程数据实时显示，支持前端大屏结束后的计数呈现。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犯规动作不计数：需双手双脚运动，手不动或脚不动不计数；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测试范围：0~500次；分度值：1次；允许误差：±1次；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5、AI智慧仰卧起坐测试仪：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测试全程人脸识别、身份绑定，具备防替考、防作弊、自由模式及考试模式，测试结果大屏实时显示。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5.1一台主机、5个测试位、仰卧起坐过程中随来随测，在测试位自动识别身份，测试过程声音提示，测试成绩实时显示；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5.2测试设备自动判别动作有效性，无穿戴装备。有固定测试床和固定脚勾，体测床两侧无其他辅助设备，不影响测试动作。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5.3犯规检测：肩胛骨未触垫、手臂未触膝、膝盖未弯曲、顶胯、未抱头。可自主选择调试违规检测难度。</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5.4测试屏幕在无人测试状态下显示个人 /班级实时排行榜数据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5.5测试屏幕分别实时显示5名测试者身份信息、实时成绩，实时头像，违规个数。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5.6测试结束，成绩实时上传，可在App实时查看，支持历史记录视频回放 ；成绩可纳入教学管理。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5.7测试模式有自由模式和考试模式，自由模式测试者在测试位举右手进行人脸识别，各测位独立进行测试，随来随测。考试模式由老师控制，统一发令进行测试。测试成绩在屏幕实时显示；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5.8测试范围：0~99次；分度值：1次；允许误差：±1次；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6、AI智慧高抬腿测试仪：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6.1 在1个摄像头下，可支持9人同时高抬腿测试，运动过程中实现人脸识别、身份信息匹配，通过前端摄像头自动识别测量结果，测试结果大屏实时显示。可支持高抬腿踩球运动，屏幕实时显示运动个数；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测试范围：0~500次；分度值：1次；允许误差：±1次；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7、AI智慧深蹲测试仪：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在1个摄像头下，可支持9人同时深蹲测试，运动过程中实现人脸识别、身份信息匹配，通过前端摄像头自动识别测量结果，测试结果大屏实时显示；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测试范围：0~500次；分度值：1次；允许误差：±1次；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8、AI智慧坐位体前屈测试仪：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测试全程人脸识别、身份绑定，具备防替考、防作弊、自由模式及考试模式，测试结果大屏实时显示。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8.1在1个摄像头下，可支持2人同时测试，随来随测，在测试位自动识别身份，测试区域请勿站人提示，测试过程声音提示，测试成绩实时显示；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8.2采用图像测距，无机械推板，无易损件。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8.3犯规检测：双腿屈膝、单手推板，可语音播报违规；</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8.4测试屏幕在无人测试状态下显示个人 /班级实时排行榜数据；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8.5测试屏幕分别实时显示2名测试者身份信息、实时成绩，实时头像。</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8.6测试结束，成绩实时上传，可在App实时查看，支持历史记录视频回放 ；成绩可纳入教学管理。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8.7支持自动生成运动处方报告记录成绩、分数、等级，精准分析学生姿态指标：姿态保持时长、屈膝角、身体弯曲角等，系统给出优秀指标供学生参考，包括肌群分析图谱，给予精细化的点评与建议；（投标时提供由第三方检测机构出具的带有CMA或CNAS标志的检测报告扫描件，原件备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8.8测试范围：-20.0cm~40.0cm；分度值：0.1cm；允许误差：±0.1cm；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9、AI左右跳测试仪：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1个摄像头下，可支持9人左右跳，同时进行踩球运球，屏幕实时显示运动个数。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运动过程中实现人脸识别、身份信息匹配，通过前端摄像头自动识别测量结果，测试结果大屏实时显示。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测试范围：0~500次；分度值：1次；允许误差：±1次。</w:t>
            </w:r>
          </w:p>
        </w:tc>
        <w:tc>
          <w:tcPr>
            <w:tcW w:w="427" w:type="pct"/>
            <w:tcBorders>
              <w:tl2br w:val="nil"/>
              <w:tr2bl w:val="nil"/>
            </w:tcBorders>
            <w:shd w:val="clear" w:color="auto" w:fill="FFFFFF"/>
            <w:vAlign w:val="center"/>
          </w:tcPr>
          <w:p w14:paraId="645F71E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2</w:t>
            </w:r>
          </w:p>
        </w:tc>
        <w:tc>
          <w:tcPr>
            <w:tcW w:w="440" w:type="pct"/>
            <w:tcBorders>
              <w:tl2br w:val="nil"/>
              <w:tr2bl w:val="nil"/>
            </w:tcBorders>
            <w:shd w:val="clear" w:color="auto" w:fill="FFFFFF"/>
            <w:vAlign w:val="center"/>
          </w:tcPr>
          <w:p w14:paraId="6779751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4B95F194">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398" w:type="pct"/>
            <w:tcBorders>
              <w:tl2br w:val="nil"/>
              <w:tr2bl w:val="nil"/>
            </w:tcBorders>
            <w:shd w:val="clear" w:color="auto" w:fill="FFFFFF"/>
            <w:vAlign w:val="center"/>
          </w:tcPr>
          <w:p w14:paraId="7EA03B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4</w:t>
            </w:r>
          </w:p>
        </w:tc>
        <w:tc>
          <w:tcPr>
            <w:tcW w:w="985" w:type="pct"/>
            <w:tcBorders>
              <w:tl2br w:val="nil"/>
              <w:tr2bl w:val="nil"/>
            </w:tcBorders>
            <w:shd w:val="clear" w:color="auto" w:fill="FFFFFF"/>
            <w:vAlign w:val="center"/>
          </w:tcPr>
          <w:p w14:paraId="5394922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AI操场吧（50米/100米）</w:t>
            </w:r>
          </w:p>
        </w:tc>
        <w:tc>
          <w:tcPr>
            <w:tcW w:w="2747" w:type="pct"/>
            <w:tcBorders>
              <w:tl2br w:val="nil"/>
              <w:tr2bl w:val="nil"/>
            </w:tcBorders>
            <w:shd w:val="clear" w:color="auto" w:fill="FFFFFF"/>
            <w:vAlign w:val="center"/>
          </w:tcPr>
          <w:p w14:paraId="74457AF7">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一、高清摄像头</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1.像素：≥400万，可变焦距</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2.支持背光补尝，强光抑制，3D数据降噪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3.120dB宽动态，适应不同监控环境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4.支持ROI感兴趣区域增强编码，支持Smart265/264编码，可根据场景情况自适应调整码率分配，有效节省存储成本</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5.摄像头帧率≥25，支持3路视频码流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二、显示终端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1.尺寸：32"</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2.背光类型：DLED</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3.分辨率：1920 × 1080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4.显示尺寸(mm)：702×396</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5.外壳采用 1.5mm 镀锌钢板，喷户外专用粉末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6.结构设计防水边，满足 IP55 防护等级</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7.整机屏前保护玻璃采用 6mm 防爆钢化玻璃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8.采用高亮度显示屏，亮度达到 1500cd/m2</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9.采用工控板卡和工业级开关电源，稳定、长寿命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10.具有漏电、防雷等保护配置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11.配置定时器，可设置按天、周、月设置定时开关机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12.智能温控，根据机箱内不同的温度智能调整风机转速，达到良好控温，并降低整机能耗和机箱噪音</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13.环境光调节，户外广告机根据环境的光线强度变化，自动调整液晶屏亮度，达到最优视觉效果及节能作用。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三、智能边缘服务终端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1.CPU：八核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2.GPU：ARM Mali G610 3D GPU；内嵌高性能 2D加速硬件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3.算力：≥6T</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4.内存：≥8GB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5.存储：≥64GB</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6.操作系统：Linux系统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四、AI短跑系统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系统支持同一场景，一套设备支持50米/100米跑测试项目。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1.支持4-8跑道同时测试，无穿戴设备，随来随测，具备防替考功能；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2.采用AI人脸识别秒级识别测试者身份信息，AI人体轨迹追踪智能识别踩线、抢跑，在终点屏幕显示违规信息，成绩无效；</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3.自助测试模式：测试者在起跑线通过立杆上摄像头举右手进行无配合的无感身份识别，识别成功后音箱自动发令起跑，到达终点，终点屏幕显示测试者信息。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4.考试模式：老师在App统一控制，音箱随机发令，到达终点，终点屏幕显示测试者信息，支持召回重跑，可手动取消违规成绩，手动添加学生信息；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5.考核结束，成绩实时上传，测试者可在App实时查看。</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运动过程中应可实现人脸识别、身份信息匹配，支持基于视频实现抢跑、踩线、窜道、弃跑、中途换人跑等违规提示、成绩的实时交互呈现；（投标时提供由第三方检测机构出具的带有CMA或CNAS标志的检测报告扫描件，原件备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支持创建测评时选择自动发令、手动发令多种发令形式，自动发令可通过测试者在起跑线通过立杆上摄像头举右手进行无配合的无感身份识别，识别成功后音箱自动发令起跑完成测评，手动发令可实现“各就位”“预备”“起跑”分阶段控制；（投标时提供由第三方检测机构出具的带有CMA或CNAS标志的检测报告扫描件，原件备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7.测量范围：0~999.99s，分度值：0.01s，误差：±1％，响应时间：≤0.3秒，人脸识别响应速度：≤1秒</w:t>
            </w:r>
          </w:p>
        </w:tc>
        <w:tc>
          <w:tcPr>
            <w:tcW w:w="427" w:type="pct"/>
            <w:tcBorders>
              <w:tl2br w:val="nil"/>
              <w:tr2bl w:val="nil"/>
            </w:tcBorders>
            <w:shd w:val="clear" w:color="auto" w:fill="FFFFFF"/>
            <w:vAlign w:val="center"/>
          </w:tcPr>
          <w:p w14:paraId="5B2FF44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40" w:type="pct"/>
            <w:tcBorders>
              <w:tl2br w:val="nil"/>
              <w:tr2bl w:val="nil"/>
            </w:tcBorders>
            <w:shd w:val="clear" w:color="auto" w:fill="FFFFFF"/>
            <w:vAlign w:val="center"/>
          </w:tcPr>
          <w:p w14:paraId="31D25086">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77CFEA9B">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CellMar>
            <w:top w:w="0" w:type="dxa"/>
            <w:left w:w="108" w:type="dxa"/>
            <w:bottom w:w="0" w:type="dxa"/>
            <w:right w:w="108" w:type="dxa"/>
          </w:tblCellMar>
        </w:tblPrEx>
        <w:trPr>
          <w:trHeight w:val="567" w:hRule="atLeast"/>
        </w:trPr>
        <w:tc>
          <w:tcPr>
            <w:tcW w:w="398" w:type="pct"/>
            <w:tcBorders>
              <w:tl2br w:val="nil"/>
              <w:tr2bl w:val="nil"/>
            </w:tcBorders>
            <w:shd w:val="clear" w:color="auto" w:fill="FFFFFF"/>
            <w:vAlign w:val="center"/>
          </w:tcPr>
          <w:p w14:paraId="723A6C58">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5</w:t>
            </w:r>
          </w:p>
        </w:tc>
        <w:tc>
          <w:tcPr>
            <w:tcW w:w="985" w:type="pct"/>
            <w:tcBorders>
              <w:tl2br w:val="nil"/>
              <w:tr2bl w:val="nil"/>
            </w:tcBorders>
            <w:shd w:val="clear" w:color="auto" w:fill="FFFFFF"/>
            <w:vAlign w:val="center"/>
          </w:tcPr>
          <w:p w14:paraId="5BF8957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AI操场吧（200米/400米）</w:t>
            </w:r>
          </w:p>
        </w:tc>
        <w:tc>
          <w:tcPr>
            <w:tcW w:w="2747" w:type="pct"/>
            <w:tcBorders>
              <w:tl2br w:val="nil"/>
              <w:tr2bl w:val="nil"/>
            </w:tcBorders>
            <w:shd w:val="clear" w:color="auto" w:fill="FFFFFF"/>
            <w:vAlign w:val="center"/>
          </w:tcPr>
          <w:p w14:paraId="4680ED13">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一、高清摄像头</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1.像素：≥400万，可变焦距</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2.支持背光补尝，强光抑制，3D数据降噪</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3.120dB宽动态，适应不同监控环境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4.支持ROI感兴趣区域增强编码，支持Smart265/264编码，可根据场景情况自适应调整码率分配，有效节省存储成本</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5.摄像头帧率≥25，支持3路视频码流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二、显示终端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1.尺寸：32"</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2.背光类型：DLED</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3.分辨率：1920 × 1080</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4.显示尺寸(mm)：702×396</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5.外壳采用 1.5mm 镀锌钢板，喷户外专用粉末</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6.结构设计防水边，满足 IP55 防护等级</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7.整机屏前保护玻璃采用 6mm 防爆钢化玻璃</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8.采用高亮度显示屏，亮度达到 1500cd/m2</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9.采用工控板卡和工业级开关电源，稳定、长寿命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10.具有漏电、防雷等保护配置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11.配置定时器，可设置按天、周、月设置定时开关机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12.智能温控，根据机箱内不同的温度智能调整风机转速，达到良好控温，并降低整机能耗和机箱噪音</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13.环境光调节，户外广告机根据环境的光线强度变化，自动调整液晶屏亮度，达到最优视觉效果及节能作用。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三、智能边缘服务终端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1.CPU：八核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2.GPU：ARM Mali G610 3D GPU；内嵌高性能 2D加速硬件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3.算力：≥6T</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 xml:space="preserve">4.内存：≥8GB </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5.存储：≥64GB</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6.操作系统：Linux系统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四、AI短跑系统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系统支持同一场景，一套设备支持200米/400米跑步测试项目。支持与同一操场50米/100米跑设备同时使用测试，运动过程中实现人脸识别、身份信息匹配，测试结果大屏实时显示。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支持不少于80人同时使用，可站在任意一个跑道看摄像头人脸识别测试者身份信息，无穿戴设备，随来随测，具备防替考功能；（投标时提供由第三方检测机构出具的带有CMA或CNAS标志的检测报告扫描件，原件备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2.支持站在任意一个跑道看摄像头人脸识别秒级识别测试者身份信息，在终点屏幕显示违规信息，成绩无效。</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3.考试模式：老师在App统一控制，支持召回重跑，可手动取消违规成绩，手动添加学生信息。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4.到达终点，终点屏幕显示测试者信息：个人信息、体育综合评分、体育运动评分、本学期运动天数、身体形态、身体机能、运动能力图5个维度（力量、耐力、速度、柔韧、灵敏）</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▲5.考核结束，成绩实时上传，测试者可在App实时查看。（提供功能截图）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6.终点屏幕显示测试者实时成绩，实时头像，成绩排行及违规信息。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7.支持200米/400米男女同测；可多组循环发令，前一组起跑后，后一组即可发令起跑，测试者随来随测，分组无上限；成绩自动检测，自动计时、自动计圈。</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8.界面响应速度：全部跑完之后，≤1s秒内出分析结果；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9.测量范围：0~999s，分度值：1s，误差：±1％，支持计时成绩误差：≤1s；</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10.支持保存起点发令、终点冲线等情况的视频，与跑步过程中抓拍图片用于核对成绩，支持手动添加和修改成绩；</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▲11.支持手机APP成绩智能补录，可进入补录界面查看全程视频回放及学生每圈过线时间，通过智能提示补录学生跑步成绩；（投标时提供由第三方检测机构出具的带有CMA或CNAS标志的检测报告扫描件，原件备查）</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▲12.支持在APP查看历史测试记录，自动计算体测分数，基于日期的成绩变化曲线，运动处方等信息；（提供功能截图）</w:t>
            </w:r>
          </w:p>
        </w:tc>
        <w:tc>
          <w:tcPr>
            <w:tcW w:w="427" w:type="pct"/>
            <w:tcBorders>
              <w:tl2br w:val="nil"/>
              <w:tr2bl w:val="nil"/>
            </w:tcBorders>
            <w:shd w:val="clear" w:color="auto" w:fill="FFFFFF"/>
            <w:vAlign w:val="center"/>
          </w:tcPr>
          <w:p w14:paraId="2402EB4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40" w:type="pct"/>
            <w:tcBorders>
              <w:tl2br w:val="nil"/>
              <w:tr2bl w:val="nil"/>
            </w:tcBorders>
            <w:shd w:val="clear" w:color="auto" w:fill="FFFFFF"/>
            <w:vAlign w:val="center"/>
          </w:tcPr>
          <w:p w14:paraId="02D77C3E">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r w14:paraId="101A3CA8">
        <w:tblPrEx>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67" w:hRule="atLeast"/>
        </w:trPr>
        <w:tc>
          <w:tcPr>
            <w:tcW w:w="398" w:type="pct"/>
            <w:tcBorders>
              <w:tl2br w:val="nil"/>
              <w:tr2bl w:val="nil"/>
            </w:tcBorders>
            <w:shd w:val="clear" w:color="auto" w:fill="FFFFFF"/>
            <w:vAlign w:val="center"/>
          </w:tcPr>
          <w:p w14:paraId="54E3DD24">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6</w:t>
            </w:r>
          </w:p>
        </w:tc>
        <w:tc>
          <w:tcPr>
            <w:tcW w:w="985" w:type="pct"/>
            <w:tcBorders>
              <w:tl2br w:val="nil"/>
              <w:tr2bl w:val="nil"/>
            </w:tcBorders>
            <w:shd w:val="clear" w:color="auto" w:fill="FFFFFF"/>
            <w:noWrap/>
            <w:vAlign w:val="center"/>
          </w:tcPr>
          <w:p w14:paraId="44DF33B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安装施工</w:t>
            </w:r>
          </w:p>
        </w:tc>
        <w:tc>
          <w:tcPr>
            <w:tcW w:w="2747" w:type="pct"/>
            <w:tcBorders>
              <w:tl2br w:val="nil"/>
              <w:tr2bl w:val="nil"/>
            </w:tcBorders>
            <w:shd w:val="clear" w:color="auto" w:fill="FFFFFF"/>
            <w:vAlign w:val="center"/>
          </w:tcPr>
          <w:p w14:paraId="4B5B95CD">
            <w:pPr>
              <w:keepNext w:val="0"/>
              <w:keepLines w:val="0"/>
              <w:widowControl/>
              <w:suppressLineNumbers w:val="0"/>
              <w:jc w:val="both"/>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辅材辅料、综合布线、预埋件固定、现场复原、设备安装调试、培训等</w:t>
            </w:r>
          </w:p>
        </w:tc>
        <w:tc>
          <w:tcPr>
            <w:tcW w:w="427" w:type="pct"/>
            <w:tcBorders>
              <w:tl2br w:val="nil"/>
              <w:tr2bl w:val="nil"/>
            </w:tcBorders>
            <w:shd w:val="clear" w:color="auto" w:fill="FFFFFF"/>
            <w:vAlign w:val="center"/>
          </w:tcPr>
          <w:p w14:paraId="21BE2027">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1</w:t>
            </w:r>
          </w:p>
        </w:tc>
        <w:tc>
          <w:tcPr>
            <w:tcW w:w="440" w:type="pct"/>
            <w:tcBorders>
              <w:tl2br w:val="nil"/>
              <w:tr2bl w:val="nil"/>
            </w:tcBorders>
            <w:shd w:val="clear" w:color="auto" w:fill="FFFFFF"/>
            <w:vAlign w:val="center"/>
          </w:tcPr>
          <w:p w14:paraId="17C86671">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snapToGrid w:val="0"/>
                <w:color w:val="000000"/>
                <w:kern w:val="0"/>
                <w:sz w:val="22"/>
                <w:szCs w:val="22"/>
                <w:u w:val="none"/>
                <w:lang w:val="en-US" w:eastAsia="zh-CN" w:bidi="ar"/>
              </w:rPr>
              <w:t>套</w:t>
            </w:r>
          </w:p>
        </w:tc>
      </w:tr>
    </w:tbl>
    <w:p w14:paraId="18EBC703">
      <w:pPr>
        <w:spacing w:before="320" w:after="120" w:line="288" w:lineRule="auto"/>
        <w:ind w:left="0"/>
        <w:jc w:val="left"/>
        <w:outlineLvl w:val="1"/>
        <w:rPr>
          <w:rFonts w:hint="eastAsia" w:ascii="仿宋" w:hAnsi="仿宋" w:eastAsia="仿宋" w:cs="仿宋"/>
        </w:rPr>
      </w:pPr>
      <w:r>
        <w:rPr>
          <w:rFonts w:hint="eastAsia" w:ascii="仿宋" w:hAnsi="仿宋" w:eastAsia="仿宋" w:cs="仿宋"/>
          <w:b/>
          <w:sz w:val="32"/>
        </w:rPr>
        <w:t>五、电子白板一体机部分</w:t>
      </w:r>
    </w:p>
    <w:tbl>
      <w:tblPr>
        <w:tblStyle w:val="13"/>
        <w:tblW w:w="4995" w:type="pct"/>
        <w:jc w:val="center"/>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Layout w:type="autofit"/>
        <w:tblCellMar>
          <w:top w:w="0" w:type="dxa"/>
          <w:left w:w="10" w:type="dxa"/>
          <w:bottom w:w="0" w:type="dxa"/>
          <w:right w:w="10" w:type="dxa"/>
        </w:tblCellMar>
      </w:tblPr>
      <w:tblGrid>
        <w:gridCol w:w="760"/>
        <w:gridCol w:w="1845"/>
        <w:gridCol w:w="5161"/>
        <w:gridCol w:w="794"/>
        <w:gridCol w:w="839"/>
      </w:tblGrid>
      <w:tr w14:paraId="3341142A">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tblHeader/>
          <w:jc w:val="center"/>
        </w:trPr>
        <w:tc>
          <w:tcPr>
            <w:tcW w:w="404" w:type="pct"/>
            <w:tcBorders>
              <w:top w:val="single" w:color="auto" w:sz="12" w:space="0"/>
              <w:left w:val="single" w:color="auto" w:sz="12" w:space="0"/>
              <w:bottom w:val="nil"/>
              <w:right w:val="nil"/>
            </w:tcBorders>
            <w:noWrap w:val="0"/>
            <w:tcMar>
              <w:top w:w="60" w:type="dxa"/>
              <w:left w:w="120" w:type="dxa"/>
              <w:bottom w:w="30" w:type="dxa"/>
              <w:right w:w="120" w:type="dxa"/>
            </w:tcMar>
            <w:vAlign w:val="center"/>
          </w:tcPr>
          <w:p w14:paraId="0F8CE4FA">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b/>
                <w:sz w:val="22"/>
                <w:szCs w:val="22"/>
              </w:rPr>
            </w:pPr>
            <w:r>
              <w:rPr>
                <w:rFonts w:hint="eastAsia" w:ascii="仿宋" w:hAnsi="仿宋" w:eastAsia="仿宋" w:cs="仿宋"/>
                <w:b/>
                <w:sz w:val="22"/>
                <w:szCs w:val="22"/>
              </w:rPr>
              <w:t>序号</w:t>
            </w:r>
          </w:p>
        </w:tc>
        <w:tc>
          <w:tcPr>
            <w:tcW w:w="981"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74E52998">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b/>
                <w:sz w:val="22"/>
                <w:szCs w:val="22"/>
              </w:rPr>
            </w:pPr>
            <w:r>
              <w:rPr>
                <w:rFonts w:hint="eastAsia" w:ascii="仿宋" w:hAnsi="仿宋" w:eastAsia="仿宋" w:cs="仿宋"/>
                <w:b/>
                <w:sz w:val="22"/>
                <w:szCs w:val="22"/>
              </w:rPr>
              <w:t>系统/设备名称</w:t>
            </w:r>
          </w:p>
        </w:tc>
        <w:tc>
          <w:tcPr>
            <w:tcW w:w="2744"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72FD3DD4">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b/>
                <w:sz w:val="22"/>
                <w:szCs w:val="22"/>
              </w:rPr>
            </w:pPr>
            <w:r>
              <w:rPr>
                <w:rFonts w:hint="eastAsia" w:ascii="仿宋" w:hAnsi="仿宋" w:eastAsia="仿宋" w:cs="仿宋"/>
                <w:b/>
                <w:sz w:val="22"/>
                <w:szCs w:val="22"/>
              </w:rPr>
              <w:t>技术参数</w:t>
            </w:r>
          </w:p>
        </w:tc>
        <w:tc>
          <w:tcPr>
            <w:tcW w:w="422" w:type="pct"/>
            <w:tcBorders>
              <w:top w:val="single" w:color="auto" w:sz="12" w:space="0"/>
              <w:left w:val="single" w:color="auto" w:sz="4" w:space="0"/>
              <w:bottom w:val="nil"/>
              <w:right w:val="nil"/>
            </w:tcBorders>
            <w:noWrap w:val="0"/>
            <w:tcMar>
              <w:top w:w="60" w:type="dxa"/>
              <w:left w:w="120" w:type="dxa"/>
              <w:bottom w:w="30" w:type="dxa"/>
              <w:right w:w="120" w:type="dxa"/>
            </w:tcMar>
            <w:vAlign w:val="center"/>
          </w:tcPr>
          <w:p w14:paraId="5FB9B2AB">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b/>
                <w:sz w:val="22"/>
                <w:szCs w:val="22"/>
              </w:rPr>
            </w:pPr>
            <w:r>
              <w:rPr>
                <w:rFonts w:hint="eastAsia" w:ascii="仿宋" w:hAnsi="仿宋" w:eastAsia="仿宋" w:cs="仿宋"/>
                <w:b/>
                <w:sz w:val="22"/>
                <w:szCs w:val="22"/>
              </w:rPr>
              <w:t>数量</w:t>
            </w:r>
          </w:p>
        </w:tc>
        <w:tc>
          <w:tcPr>
            <w:tcW w:w="446" w:type="pct"/>
            <w:tcBorders>
              <w:top w:val="single" w:color="auto" w:sz="12" w:space="0"/>
              <w:left w:val="single" w:color="auto" w:sz="4" w:space="0"/>
              <w:bottom w:val="nil"/>
              <w:right w:val="single" w:color="auto" w:sz="12" w:space="0"/>
            </w:tcBorders>
            <w:noWrap w:val="0"/>
            <w:tcMar>
              <w:top w:w="60" w:type="dxa"/>
              <w:left w:w="120" w:type="dxa"/>
              <w:bottom w:w="30" w:type="dxa"/>
              <w:right w:w="120" w:type="dxa"/>
            </w:tcMar>
            <w:vAlign w:val="center"/>
          </w:tcPr>
          <w:p w14:paraId="105A89D0">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b/>
                <w:sz w:val="22"/>
                <w:szCs w:val="22"/>
              </w:rPr>
            </w:pPr>
            <w:r>
              <w:rPr>
                <w:rFonts w:hint="eastAsia" w:ascii="仿宋" w:hAnsi="仿宋" w:eastAsia="仿宋" w:cs="仿宋"/>
                <w:b/>
                <w:sz w:val="22"/>
                <w:szCs w:val="22"/>
              </w:rPr>
              <w:t>单位</w:t>
            </w:r>
          </w:p>
        </w:tc>
      </w:tr>
      <w:tr w14:paraId="6394F7F0">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04"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5FA0A9CF">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1</w:t>
            </w:r>
          </w:p>
        </w:tc>
        <w:tc>
          <w:tcPr>
            <w:tcW w:w="98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44CF9A54">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一体机</w:t>
            </w:r>
          </w:p>
        </w:tc>
        <w:tc>
          <w:tcPr>
            <w:tcW w:w="274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2BDCC26">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both"/>
              <w:textAlignment w:val="baseline"/>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一、整体设计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1.设备采用86寸超高清LED液晶显示屏，显示比例16:9，分辨率3840×2160。整机中间主屏及两侧副屏支持多种媒介进行板书书写。</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2.支持在Windows及Android系统中进行50点或以上触控。</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3.设备内置2.2声道扬声器，前朝向发声，12W高音扬声器2个，上朝向30W中低音扬声器2个，最大功率≥80W。</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4.设备扬声器在100%音量下，可做到1米处声压级≥87db，10米处声压级≥80dB。</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5.设备支持空间感知、标准、听力等音效模式，空间感知音效模式可通过麦克风采集环境声音，生成符合当前环境的音量、音效、频段。</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6.设备内置非独立外扩展的4阵列麦克风，拾音角度≥180°，拾音距离≥12m。</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7.设备背光系统支持多级亮度调节，支持白颜色背景下最暗亮度≤100nit。</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8.可根据屏幕内容自动调节画质参数，当出现人物、建筑等元素时，自动调整对比度、饱和度、高光、色调色相值等。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9.设备采用硬件低蓝光背光技术，在源头减少有害蓝光波段能量，蓝光占比＜50%，低蓝光保护显示不偏色、不泛黄。</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10.设备支持设置类纸质护眼显示，可实现纹理调整，同时画面各像素点灰度不规则，支持纸质的纹理有：素描纸、宣纸、水彩纸、水纹纸；支持透明度调节。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二、整机功能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11.设备内置非独立摄像头，采用一体化集成设计，≥1600万像素。</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12.摄像头支持人脸识别，可识别所有学生，显示标记，然后随机抽选，同时显示标记不少于55人。且支持通过识别教师人脸进行登录账号。</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13.摄像头支持环境色温判断，根据环境调节合适的显示图像效果。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14.整机听力模式下具备AI人声语言增强功能，支持三挡强弱调节，通过AI算法提取视频/音频中的语言进行效果增强。</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15.设备触摸支持动态压力感应，支持非电子书写笔书写或点压时，屏幕能感应压力变化，书写或点压过程的笔迹呈现粗细变化。</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16.设备书写触控延迟≤25ms，支持同一支笔的笔头、笔尾可书写不同的颜色。</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17.设备内置双WiFi6无线网卡，在Android和Windows系统下，可实现Wi-Fi无线上网连接、AP无线热点发射。</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18.设备关机状态下，长按电源键进入菜单，可点击屏幕选择恢复Android系统及Windows操作系统到出厂默认状态。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19.设备全通道侧边栏可以展示学校名称、班级、场地信息等内容。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20.设备教学桌面支持进行壁纸编辑，并支持自定义壁纸。</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四、安卓系统</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21.安卓系统版本不低于Android 15.0，CPU≥8核，存储空间≥32GB。</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22.设备内置朗读工具，通过麦克风检测算法监测教室中学生的朗读情况，以游戏化界面呈现朗读积极性。</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23.设备内置自习工具，通过麦克风检测算法监测教室中学生音量大小，当学生音量大于一定标准时，自动弹窗提醒。</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五、电脑配置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24.采用抽拉内置式模块化电脑，抽拉内置式，PC模块可插入整机，可实现无单独接线的插拔。按压式卡扣方式，无需工具即可快速拆卸电脑模块。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25.搭载Intel酷睿 i5或以上配置CPU。内存：8 GB DDR4笔记本内存或以上配置。硬盘：256 GB SSD固态硬盘或以上配置。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26.设备具备供电保护模块，可检测内置电脑是否插好，如内置电脑未查好情况下，内置电脑无法上电工作。</w:t>
            </w:r>
          </w:p>
        </w:tc>
        <w:tc>
          <w:tcPr>
            <w:tcW w:w="42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97CED2C">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2</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168C2A49">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套</w:t>
            </w:r>
          </w:p>
        </w:tc>
      </w:tr>
      <w:tr w14:paraId="0481721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04"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6602640F">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2</w:t>
            </w:r>
          </w:p>
        </w:tc>
        <w:tc>
          <w:tcPr>
            <w:tcW w:w="98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BBD7941">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白板软件</w:t>
            </w:r>
          </w:p>
        </w:tc>
        <w:tc>
          <w:tcPr>
            <w:tcW w:w="274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165D2EC3">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both"/>
              <w:textAlignment w:val="baseline"/>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一、软件功能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1.备授课一体化，具有备课模式及授课模式，且操作界面根据备课和授课使用场景不同而区别设计，符合用户使用需求。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2.为使用方全体教师配备个人账号，形成一体的信息化教学账号体系；根据教师账号信息将教师云空间匹配至对应学校、学科校本资源库。</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3.支持通过数字账号、微信二维码、硬件密钥方式登录教师个人账号。</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4.为老师提供可扩展，易于学校管理，安全可靠的云存储空间，根据教师使用时长与教学资料制作频率提供可扩展升级至不小于5TB的个人云空间。</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5.可在备课平台直接编写教案，教案为云端存储，支持文本、图片、视频、公式的插入。可将教案关联至教师课件，支持课件同时关联多份教案，关联后教师可在备课界面调用查看教案，便于教研工作开展。</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智能备课助手：在备课场景中支持搜索课件库课件资源，支持整份课件或按照课件页插入课件中。支持按照教学环节筛选对应课件页一键插入课件中，可导入新课、作者简介。支持按照元素类型思维导图、课堂活动选取需要的部分补充课件缺失的部分。支持在查看部分课件的同时查看对应整份课件，了解作者整体教学思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7.具备集体备课功能，支持上传教案、课件等资源发起集体备课研讨，除本校老师可参与外，还可通过手机号邀请外校老师，方便跨校教研场景。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8.集体备课的参备人可发表观点，评论实时提醒，对教案可进行批注，完成研讨后，可生成集体备课报告，参备人可查看并下载报告，支持查看研讨过程全数据。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9.研讨发起人在研讨过程中可发起在线视频在线研讨，构建线上同步研讨，研讨内容自动形成视频记录，可以自动生成视频回放字幕，对研讨的关键词和对话进行提炼。</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10.支持提供在线课堂功能，无需额外安装部署直播软件，可实现语音直播、课件同步、互动工具等远程教学功能。</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11.提供直线、箭头、正方形、圆角四边形、平行四边形、圆形、等腰三角形、直角三角形、菱形、梯形、五边形等基本几何图形。</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12.支持将互动课件导出为pptx、pdf、H5或web链接，在多终端（包含windows、iOS、安卓、国产操作系统等）可再次编辑。</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13.互动教学课件支持定向精准分享：分享者可将互动课件、课件组精准推送至指定接收方账号云空间，接收方可在云空间接收并打开分享课件。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二、学科工具</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14.提供覆盖各学段的古诗词、古文教学资源：包含原文、白话翻译、作者介绍、朗诵音频等。内嵌诗词百科链接，一键跳转展示诗词及作者详细背景介绍；全部古诗词资源按照年级学段、朝代、诗人进行精细分类，支持教师直接搜索诗词、古文名称或作者名称进行查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15.软件内置英文智能语义分析模块，可对英文文本的拼写、句型、语法等进行错误检查，并可一键纠错。</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16.支持浏览和插入国际音标表，可直接点击发音，支持整表和单个音标卡片插入。支持将字母、单词、句子转写为音标，并可插入到课件中形成文本。</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17.提供三维立体星球模型，内含太阳系全览模型、行星模型、卫星模型，支持360°自由旋转、缩放。太阳系全览模型、行星、卫星使用模型嵌套设计，无需切换界面，可从太阳系逐层定位至卫星；提供丰富的地理教学图集，可查看行星的详细数据信息。</w:t>
            </w:r>
          </w:p>
        </w:tc>
        <w:tc>
          <w:tcPr>
            <w:tcW w:w="42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409CA1F">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2696538A">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套</w:t>
            </w:r>
          </w:p>
        </w:tc>
      </w:tr>
      <w:tr w14:paraId="7454E539">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04"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5F52BA91">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3</w:t>
            </w:r>
          </w:p>
        </w:tc>
        <w:tc>
          <w:tcPr>
            <w:tcW w:w="98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8C433C1">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移动授课软件</w:t>
            </w:r>
          </w:p>
        </w:tc>
        <w:tc>
          <w:tcPr>
            <w:tcW w:w="274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57A5A046">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both"/>
              <w:textAlignment w:val="baseline"/>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一、整体设计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1.教学系统为教师提供对应的移动应用平台，实现备授课过程多终端多场景一体化。</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2.移动平台支持识别授课端登录状态，授课端处于登录状态时，移动应用平台自动连接移动端与授课端，无需人为操作。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3.移动端与授课端通过网络实现账号数据对接互通、远程管控、移动授课，无需部署外接设备。</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二、移动授课</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4.无需局域网环境部署，教师可使用移动端进行课件翻页，课件预览、课件跳页、播放视频、播放课堂活动、展开思维导图。支持横竖屏两种模式。</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5.支持移动端对授课端远程实时同步书写擦除，提供不少于3种笔触粗细和5种笔迹颜色，支持一键清除书写内容。</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6.支持调用移动端摄像头拍摄照片并直接插入课件，提供文档、普通和彩图3种拍照模式，适用于不同教学场景。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7.支持上传移动端本地图片，并发上传数量不少于9张。</w:t>
            </w:r>
          </w:p>
        </w:tc>
        <w:tc>
          <w:tcPr>
            <w:tcW w:w="42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272C03F6">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226175C2">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套</w:t>
            </w:r>
          </w:p>
        </w:tc>
      </w:tr>
      <w:tr w14:paraId="4E0FE278">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04"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21C3C887">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4</w:t>
            </w:r>
          </w:p>
        </w:tc>
        <w:tc>
          <w:tcPr>
            <w:tcW w:w="98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EB677B7">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教学数据分析管理平台</w:t>
            </w:r>
          </w:p>
        </w:tc>
        <w:tc>
          <w:tcPr>
            <w:tcW w:w="274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B5C59E3">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both"/>
              <w:textAlignment w:val="baseline"/>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1.后台采用B/S架构设计，支持学校管理者在Windows、Linux、Android、IOS等多种不同的操作系统上通过网页浏览器登陆进行操作，可统计全校教师软件活跃数据、学生点评及课件上传等数据。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2.支持管理员及教师使用网页端、移动端登录，移动端支持查看网页端数据信息，教师榜单，并定期推送数据分析报表，帮助学校检验信息化教学成果。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3.信息化指数：通过多维度分析学校的信息化教学应用情况，综合评估出信息化指数，并与全省均值进行对比，管理者可了解信息化教学进展。</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4.将信息化教学数据分五个维度进行评估，分别为分别为资源建设、校本研修、校影响力、学情分析及班级氛围，并与全省均值对比，学校信息化教学情况一目了然。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5.教研结构：支持管理者按照学段-学科-年级快速创建教师的教研组织结构，方便教师信息的分类管理。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6.信息管理：支持修改管理员、教师的账户信息，支持管理员上传校徽，并对本校内管理者账户都可见。</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7.管理员可自由选定教师发送学校通知，发送后，管理员可登录教研数字化管理平台后台实时查阅教师已读、未读情况。</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8.为学校提供教研全流程管理服务，包含教学目标与计划、教学设计、集体备课、听课评课、班级氛围的流程管理和数据分析。</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9.教案模板管理：支持管理者自定义学校的教案模板，可以设置必填项和选填项，有效规范教师教案的编写。</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10.听评课数据统计导出：支持对不同评课维度得分进行统计，计算平均分并找出评分薄弱项，方便管理者针对性优化教学策略，同时支持查看全校的评课记录和得分详情，并可一键导出Excel表格，方便整理。</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11.电子教案：教师可以在个人空间直接编写教案，编写教案时可以关联课件，支持教师在个人空间、配套备授课工具查看课件以及教案，方便教师进行教学设计。</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12.校本资源管理：支持管理员在教研数字化管理平台后台移动、删除、重命名教师上传至校本库的课件、教案、微课及多媒体等资源。</w:t>
            </w:r>
          </w:p>
        </w:tc>
        <w:tc>
          <w:tcPr>
            <w:tcW w:w="42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61BACD58">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7F30E566">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套</w:t>
            </w:r>
          </w:p>
        </w:tc>
      </w:tr>
      <w:tr w14:paraId="7C4C9F6D">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04" w:type="pct"/>
            <w:tcBorders>
              <w:top w:val="single" w:color="auto" w:sz="4" w:space="0"/>
              <w:left w:val="single" w:color="auto" w:sz="12" w:space="0"/>
              <w:bottom w:val="nil"/>
              <w:right w:val="nil"/>
            </w:tcBorders>
            <w:noWrap w:val="0"/>
            <w:tcMar>
              <w:top w:w="60" w:type="dxa"/>
              <w:left w:w="120" w:type="dxa"/>
              <w:bottom w:w="30" w:type="dxa"/>
              <w:right w:w="120" w:type="dxa"/>
            </w:tcMar>
            <w:vAlign w:val="center"/>
          </w:tcPr>
          <w:p w14:paraId="3D751425">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5</w:t>
            </w:r>
          </w:p>
        </w:tc>
        <w:tc>
          <w:tcPr>
            <w:tcW w:w="981"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73A88C8">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集控管理平台</w:t>
            </w:r>
          </w:p>
        </w:tc>
        <w:tc>
          <w:tcPr>
            <w:tcW w:w="2744"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3ABD94BE">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both"/>
              <w:textAlignment w:val="baseline"/>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1.系统布局：系统基于SaaS布局，应用界面采用B/S架构设计，支持学校管理员在多种不同的操作系统上通过网页浏览器登录进行所有管理指令操作。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专属工作台：支持老师根据管理习惯设置显隐组件来定制专属工作台。支持通过设备总览组件快捷查看学校所有设备实时状态及达标情况，以掌握设备应用于教学过程的流畅状态；支持通过设备巡视组件实时了解教室和设备的情况，满足纪律监管、教研评课等场景；支持通过设备使用情况组件了解设备活跃分布及长时间未使用的设备情况，设置智能策略来达到减缓设备寿命衰减的目的。</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数据中心：支持自定义设备类型及数量，掌握校内设备资产分布情况；支持根据老师、学科、设备三大维度查看设备使用排行，并提供信息化设备利用率提升指南；支持查看本校常用软件、网址访问排行、全校设备画面截图；支持查看设备网络负载、硬件负载情况，并提供网络优化、硬件升级指南。</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设备巡视：支持同时查看15个教室的实时摄像头画面、设备屏幕画面；支持在一个显示界面同时查看单个教室内所有屏幕、所有摄像头的实时画面，以及所有麦克风的声音，其中摄像头画面可直接使用班班通自带摄像头，也支持批量将学校已有网络摄像头导入系统内，同场地下的班班通设备会主动和网络摄像头建立连接，巡视时可调用网络摄像头查看教室实时画面。</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点播巡视：支持根据班级课程表，自动获取正在上课或者即将上课的科目、老师列表，快速定位老师所在教室，实时远程听课；支持听课过程中针对本节课的教学过程进行评价，支持创建和使用多个评课表，并将评价记录于巡视记录，便于回溯。</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支持管理者开启手机看班服务，开启/关闭看班的管控功能；拥有看班权限的老师可在移动端或PC客户端实时巡班，并进行基础远程管控，方便管理班级。支持管理者为普通老师直接分配、普通老师自行申请后由管理者在平台审核开通的2种方式管理看班的班级权限，所有权限调整均配备操作日志，便于出现问题后回溯原因；支持通过教师、设备维度查看拥有看班的权限明细，并支持快速调整权限。提供生产厂家确认的、相应的功能证明材料（包括但不限于测试报告、官网和功能截图等）</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7.设备概览：支持实时查看设备当前在离线状态、监管率、联网率、达标率；支持通过五大维度，科学合理监测评估基建设备的稳定性。支持通过网络达标情况了解设备是否常态化联网，网络速率是否满足教学需要；支持通过硬件达标情况了解设备使用年限、CPU/内存/磁盘等硬件的配置；支持通过流畅度达标情况了解设备CPU占用/温度、内存占用、系统盘容量占用的情况，以判断设备是否可以流畅应用于教学环节。</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8.设备盘点：支持快速筛选全校所有设备网络、硬件、流畅度、安全四大指标的达标状态，快速定位和识别问题设备；支持自定义配置四项指标的达标阈值；支持快速导出全校所有设备的达标明细，方便学校盘点设备使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9.时事转播：支持实时强制转播时事新闻以协助校内思政内容传播，设备执行播放任务过程中可由学校老师扫码验证身份后退出本次转播服务执行；支持新闻网页地址、纯视频文件2种转播方式；支持立即、定时、周循环3种循环模式；支持指定设备定向发布内容；支持查看执行结果和计划列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10.批量磁盘清理：支持远程批量清理设备磁盘，保障设备磁盘可用空间最大化，从而提升设备运行流畅性、桌面整洁性；支持清理指定磁盘的指定文件夹；支持清理系统盘备份、缓存、日志等垃圾文件；支持迁移系统盘视频、图片、音乐、文档等空间占用较大的文件。</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11.冰点还原及穿透：支持远程批量设置设备的冰冻状态，支持实时监测设备冰点存在的风险。支持远程向已冰冻的设备发送指令、安装软件，设备接收到后会立即执行，并在设备正常关机时触发穿透动作，穿透完成后，设备即可使用已安装软件、执行已接收指令，且穿透过程中无需人为解冻。</w:t>
            </w:r>
          </w:p>
        </w:tc>
        <w:tc>
          <w:tcPr>
            <w:tcW w:w="422" w:type="pct"/>
            <w:tcBorders>
              <w:top w:val="single" w:color="auto" w:sz="4" w:space="0"/>
              <w:left w:val="single" w:color="auto" w:sz="4" w:space="0"/>
              <w:bottom w:val="nil"/>
              <w:right w:val="nil"/>
            </w:tcBorders>
            <w:noWrap w:val="0"/>
            <w:tcMar>
              <w:top w:w="60" w:type="dxa"/>
              <w:left w:w="120" w:type="dxa"/>
              <w:bottom w:w="30" w:type="dxa"/>
              <w:right w:w="120" w:type="dxa"/>
            </w:tcMar>
            <w:vAlign w:val="center"/>
          </w:tcPr>
          <w:p w14:paraId="0DD9F5C2">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1</w:t>
            </w:r>
          </w:p>
        </w:tc>
        <w:tc>
          <w:tcPr>
            <w:tcW w:w="446" w:type="pct"/>
            <w:tcBorders>
              <w:top w:val="single" w:color="auto" w:sz="4" w:space="0"/>
              <w:left w:val="single" w:color="auto" w:sz="4" w:space="0"/>
              <w:bottom w:val="nil"/>
              <w:right w:val="single" w:color="auto" w:sz="12" w:space="0"/>
            </w:tcBorders>
            <w:noWrap w:val="0"/>
            <w:tcMar>
              <w:top w:w="60" w:type="dxa"/>
              <w:left w:w="120" w:type="dxa"/>
              <w:bottom w:w="30" w:type="dxa"/>
              <w:right w:w="120" w:type="dxa"/>
            </w:tcMar>
            <w:vAlign w:val="center"/>
          </w:tcPr>
          <w:p w14:paraId="06EB2ECA">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套</w:t>
            </w:r>
          </w:p>
        </w:tc>
      </w:tr>
      <w:tr w14:paraId="5BB043D6">
        <w:tblPrEx>
          <w:tblBorders>
            <w:top w:val="none" w:color="DEE0E3" w:sz="0" w:space="0"/>
            <w:left w:val="none" w:color="DEE0E3" w:sz="0" w:space="0"/>
            <w:bottom w:val="none" w:color="DEE0E3" w:sz="0" w:space="0"/>
            <w:right w:val="none" w:color="DEE0E3" w:sz="0" w:space="0"/>
            <w:insideH w:val="none" w:color="DEE0E3" w:sz="0" w:space="0"/>
            <w:insideV w:val="none" w:color="DEE0E3" w:sz="0" w:space="0"/>
          </w:tblBorders>
          <w:tblCellMar>
            <w:top w:w="0" w:type="dxa"/>
            <w:left w:w="10" w:type="dxa"/>
            <w:bottom w:w="0" w:type="dxa"/>
            <w:right w:w="10" w:type="dxa"/>
          </w:tblCellMar>
        </w:tblPrEx>
        <w:trPr>
          <w:trHeight w:val="567" w:hRule="atLeast"/>
          <w:jc w:val="center"/>
        </w:trPr>
        <w:tc>
          <w:tcPr>
            <w:tcW w:w="404" w:type="pct"/>
            <w:tcBorders>
              <w:top w:val="single" w:color="auto" w:sz="4" w:space="0"/>
              <w:left w:val="single" w:color="auto" w:sz="12" w:space="0"/>
              <w:bottom w:val="single" w:color="auto" w:sz="12" w:space="0"/>
              <w:right w:val="nil"/>
            </w:tcBorders>
            <w:noWrap w:val="0"/>
            <w:tcMar>
              <w:top w:w="60" w:type="dxa"/>
              <w:left w:w="120" w:type="dxa"/>
              <w:bottom w:w="30" w:type="dxa"/>
              <w:right w:w="120" w:type="dxa"/>
            </w:tcMar>
            <w:vAlign w:val="center"/>
          </w:tcPr>
          <w:p w14:paraId="50C49450">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6</w:t>
            </w:r>
          </w:p>
        </w:tc>
        <w:tc>
          <w:tcPr>
            <w:tcW w:w="981"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240ED916">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视频展台</w:t>
            </w:r>
          </w:p>
        </w:tc>
        <w:tc>
          <w:tcPr>
            <w:tcW w:w="2744"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4FCA248E">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both"/>
              <w:textAlignment w:val="baseline"/>
              <w:rPr>
                <w:rFonts w:hint="eastAsia" w:ascii="仿宋" w:hAnsi="仿宋" w:eastAsia="仿宋" w:cs="仿宋"/>
                <w:sz w:val="22"/>
                <w:szCs w:val="22"/>
              </w:rPr>
            </w:pPr>
            <w:r>
              <w:rPr>
                <w:rFonts w:hint="eastAsia" w:ascii="仿宋" w:hAnsi="仿宋" w:eastAsia="仿宋" w:cs="仿宋"/>
                <w:i w:val="0"/>
                <w:iCs w:val="0"/>
                <w:snapToGrid w:val="0"/>
                <w:color w:val="000000"/>
                <w:kern w:val="0"/>
                <w:sz w:val="22"/>
                <w:szCs w:val="22"/>
                <w:u w:val="none"/>
                <w:lang w:val="en-US" w:eastAsia="zh-CN" w:bidi="ar"/>
              </w:rPr>
              <w:t>硬件参数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1.采用≥800万像素摄像头；采用 USB五伏电源直接供电，无需额外配置电源适配器，环保无辐射；箱内USB连线采用隐藏式设计，箱内无可见连线且USB口下出，有效防止积尘，且方便布线和返修；</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2.A4大小拍摄幅面，1080P动态视频预览达到30帧/秒；托板及挂墙部分采用金属加强，托板可承重3kg，整机壁挂式安装；</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3.支持展台成像画面实时批注，预设多种笔划粗细及颜色供选择，且支持对展台成像画面联同批注内容进行同步缩放、移动；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4.展示托板正上方具备LED补光灯，保证展示区域的亮度及展示效果；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软件参数</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5.支持对展台画面进行放大、缩小、旋转、自适应、冻结画面等操作。</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6.支持展台画面实时批注，预设多种笔划粗细及颜色供选择，且支持对展台画面联同批注内容进行同步缩放、移动。</w:t>
            </w:r>
            <w:r>
              <w:rPr>
                <w:rFonts w:hint="eastAsia" w:ascii="仿宋" w:hAnsi="仿宋" w:eastAsia="仿宋" w:cs="仿宋"/>
                <w:i w:val="0"/>
                <w:iCs w:val="0"/>
                <w:snapToGrid w:val="0"/>
                <w:color w:val="000000"/>
                <w:kern w:val="0"/>
                <w:sz w:val="22"/>
                <w:szCs w:val="22"/>
                <w:u w:val="none"/>
                <w:lang w:val="en-US" w:eastAsia="zh-CN" w:bidi="ar"/>
              </w:rPr>
              <w:br w:type="textWrapping"/>
            </w:r>
            <w:r>
              <w:rPr>
                <w:rFonts w:hint="eastAsia" w:ascii="仿宋" w:hAnsi="仿宋" w:eastAsia="仿宋" w:cs="仿宋"/>
                <w:i w:val="0"/>
                <w:iCs w:val="0"/>
                <w:snapToGrid w:val="0"/>
                <w:color w:val="000000"/>
                <w:kern w:val="0"/>
                <w:sz w:val="22"/>
                <w:szCs w:val="22"/>
                <w:u w:val="none"/>
                <w:lang w:val="en-US" w:eastAsia="zh-CN" w:bidi="ar"/>
              </w:rPr>
              <w:t>支持故障自动检测，在软件无法出现展台拍摄画面时，自动出现检测链接，帮助用户检测“无画面”的原因，并给出引导性解决方案。可判断硬件连接、显卡驱动、摄像头占用、软件版本等问题。</w:t>
            </w:r>
          </w:p>
        </w:tc>
        <w:tc>
          <w:tcPr>
            <w:tcW w:w="422" w:type="pct"/>
            <w:tcBorders>
              <w:top w:val="single" w:color="auto" w:sz="4" w:space="0"/>
              <w:left w:val="single" w:color="auto" w:sz="4" w:space="0"/>
              <w:bottom w:val="single" w:color="auto" w:sz="12" w:space="0"/>
              <w:right w:val="nil"/>
            </w:tcBorders>
            <w:noWrap w:val="0"/>
            <w:tcMar>
              <w:top w:w="60" w:type="dxa"/>
              <w:left w:w="120" w:type="dxa"/>
              <w:bottom w:w="30" w:type="dxa"/>
              <w:right w:w="120" w:type="dxa"/>
            </w:tcMar>
            <w:vAlign w:val="center"/>
          </w:tcPr>
          <w:p w14:paraId="6C75A5DD">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2</w:t>
            </w:r>
          </w:p>
        </w:tc>
        <w:tc>
          <w:tcPr>
            <w:tcW w:w="446" w:type="pct"/>
            <w:tcBorders>
              <w:top w:val="single" w:color="auto" w:sz="4" w:space="0"/>
              <w:left w:val="single" w:color="auto" w:sz="4" w:space="0"/>
              <w:bottom w:val="single" w:color="auto" w:sz="12" w:space="0"/>
              <w:right w:val="single" w:color="auto" w:sz="12" w:space="0"/>
            </w:tcBorders>
            <w:noWrap w:val="0"/>
            <w:tcMar>
              <w:top w:w="60" w:type="dxa"/>
              <w:left w:w="120" w:type="dxa"/>
              <w:bottom w:w="30" w:type="dxa"/>
              <w:right w:w="120" w:type="dxa"/>
            </w:tcMar>
            <w:vAlign w:val="center"/>
          </w:tcPr>
          <w:p w14:paraId="46DB45A8">
            <w:pPr>
              <w:keepNext w:val="0"/>
              <w:keepLines w:val="0"/>
              <w:pageBreakBefore w:val="0"/>
              <w:widowControl/>
              <w:kinsoku w:val="0"/>
              <w:wordWrap/>
              <w:overflowPunct/>
              <w:topLinePunct w:val="0"/>
              <w:autoSpaceDE w:val="0"/>
              <w:autoSpaceDN w:val="0"/>
              <w:bidi w:val="0"/>
              <w:adjustRightInd w:val="0"/>
              <w:snapToGrid w:val="0"/>
              <w:spacing w:before="120" w:after="120" w:line="240" w:lineRule="auto"/>
              <w:ind w:left="0" w:leftChars="0" w:right="0" w:rightChars="0" w:firstLine="0" w:firstLineChars="0"/>
              <w:jc w:val="center"/>
              <w:textAlignment w:val="baseline"/>
              <w:rPr>
                <w:rFonts w:hint="eastAsia" w:ascii="仿宋" w:hAnsi="仿宋" w:eastAsia="仿宋" w:cs="仿宋"/>
                <w:sz w:val="22"/>
                <w:szCs w:val="22"/>
              </w:rPr>
            </w:pPr>
            <w:r>
              <w:rPr>
                <w:rFonts w:hint="eastAsia" w:ascii="仿宋" w:hAnsi="仿宋" w:eastAsia="仿宋" w:cs="仿宋"/>
                <w:sz w:val="22"/>
                <w:szCs w:val="22"/>
              </w:rPr>
              <w:t>台</w:t>
            </w:r>
          </w:p>
        </w:tc>
      </w:tr>
    </w:tbl>
    <w:p w14:paraId="3AAAA08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rFonts w:hint="eastAsia" w:ascii="仿宋" w:hAnsi="仿宋" w:eastAsia="仿宋" w:cs="仿宋"/>
          <w:spacing w:val="3"/>
          <w:sz w:val="28"/>
          <w:szCs w:val="28"/>
          <w:lang w:val="en-US" w:eastAsia="zh-CN"/>
        </w:rPr>
        <w:sectPr>
          <w:headerReference r:id="rId11" w:type="default"/>
          <w:footerReference r:id="rId12" w:type="default"/>
          <w:pgSz w:w="11906" w:h="16839"/>
          <w:pgMar w:top="1210" w:right="1321" w:bottom="1233" w:left="1417" w:header="828" w:footer="1019" w:gutter="0"/>
          <w:pgBorders>
            <w:top w:val="none" w:sz="0" w:space="0"/>
            <w:left w:val="none" w:sz="0" w:space="0"/>
            <w:bottom w:val="none" w:sz="0" w:space="0"/>
            <w:right w:val="none" w:sz="0" w:space="0"/>
          </w:pgBorders>
          <w:pgNumType w:fmt="decimal"/>
          <w:cols w:space="720" w:num="1"/>
        </w:sectPr>
      </w:pPr>
    </w:p>
    <w:p w14:paraId="414F666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90C53D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0" w:firstLineChars="200"/>
        <w:jc w:val="center"/>
        <w:outlineLvl w:val="0"/>
        <w:rPr>
          <w:rFonts w:ascii="黑体" w:hAnsi="黑体" w:eastAsia="黑体" w:cs="黑体"/>
          <w:sz w:val="31"/>
          <w:szCs w:val="31"/>
        </w:rPr>
      </w:pPr>
      <w:bookmarkStart w:id="15" w:name="bookmark14"/>
      <w:bookmarkEnd w:id="15"/>
      <w:r>
        <w:rPr>
          <w:rFonts w:ascii="黑体" w:hAnsi="黑体" w:eastAsia="黑体" w:cs="黑体"/>
          <w:spacing w:val="10"/>
          <w:sz w:val="31"/>
          <w:szCs w:val="31"/>
        </w:rPr>
        <w:t>第四章  合同基本条款</w:t>
      </w:r>
    </w:p>
    <w:p w14:paraId="6622B568">
      <w:pPr>
        <w:pStyle w:val="12"/>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bookmarkStart w:id="16" w:name="bookmark15"/>
      <w:bookmarkEnd w:id="16"/>
    </w:p>
    <w:p w14:paraId="157C84FD">
      <w:pPr>
        <w:pStyle w:val="12"/>
        <w:keepNext w:val="0"/>
        <w:keepLines w:val="0"/>
        <w:pageBreakBefore w:val="0"/>
        <w:kinsoku/>
        <w:wordWrap/>
        <w:overflowPunct/>
        <w:topLinePunct w:val="0"/>
        <w:bidi w:val="0"/>
        <w:spacing w:line="324" w:lineRule="auto"/>
        <w:ind w:left="0" w:leftChars="0" w:right="0" w:firstLine="723" w:firstLineChars="200"/>
        <w:rPr>
          <w:rFonts w:hint="eastAsia" w:ascii="仿宋" w:hAnsi="仿宋" w:eastAsia="仿宋" w:cs="仿宋"/>
          <w:b/>
          <w:bCs/>
          <w:sz w:val="36"/>
          <w:szCs w:val="36"/>
        </w:rPr>
      </w:pPr>
      <w:r>
        <w:rPr>
          <w:rFonts w:hint="eastAsia" w:ascii="仿宋" w:hAnsi="仿宋" w:eastAsia="仿宋" w:cs="仿宋"/>
          <w:b/>
          <w:bCs/>
          <w:sz w:val="36"/>
          <w:szCs w:val="36"/>
        </w:rPr>
        <w:t>安康市第二小学智慧校园建设项目</w:t>
      </w:r>
    </w:p>
    <w:p w14:paraId="014F6FED">
      <w:pPr>
        <w:pStyle w:val="12"/>
        <w:keepNext w:val="0"/>
        <w:keepLines w:val="0"/>
        <w:pageBreakBefore w:val="0"/>
        <w:kinsoku/>
        <w:wordWrap/>
        <w:overflowPunct/>
        <w:topLinePunct w:val="0"/>
        <w:bidi w:val="0"/>
        <w:spacing w:line="324" w:lineRule="auto"/>
        <w:ind w:left="0" w:leftChars="0" w:right="0" w:firstLine="723" w:firstLineChars="200"/>
        <w:rPr>
          <w:rFonts w:hint="eastAsia" w:ascii="仿宋" w:hAnsi="仿宋" w:eastAsia="仿宋" w:cs="仿宋"/>
          <w:b/>
          <w:bCs/>
          <w:sz w:val="36"/>
          <w:szCs w:val="36"/>
        </w:rPr>
      </w:pPr>
      <w:r>
        <w:rPr>
          <w:rFonts w:hint="eastAsia" w:ascii="仿宋" w:hAnsi="仿宋" w:eastAsia="仿宋" w:cs="仿宋"/>
          <w:b/>
          <w:bCs/>
          <w:sz w:val="36"/>
          <w:szCs w:val="36"/>
        </w:rPr>
        <w:t>合同主要条款</w:t>
      </w:r>
    </w:p>
    <w:p w14:paraId="3BF0DA4B">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17" w:name="heading_0"/>
      <w:r>
        <w:rPr>
          <w:rFonts w:hint="eastAsia" w:ascii="仿宋" w:hAnsi="仿宋" w:eastAsia="仿宋" w:cs="仿宋"/>
          <w:sz w:val="28"/>
          <w:szCs w:val="28"/>
        </w:rPr>
        <w:t>合同双方</w:t>
      </w:r>
      <w:bookmarkEnd w:id="17"/>
    </w:p>
    <w:p w14:paraId="351CAB49">
      <w:pPr>
        <w:pStyle w:val="7"/>
        <w:keepNext w:val="0"/>
        <w:keepLines w:val="0"/>
        <w:pageBreakBefore w:val="0"/>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甲方（采购人）</w:t>
      </w:r>
      <w:r>
        <w:rPr>
          <w:rFonts w:hint="eastAsia" w:ascii="仿宋" w:hAnsi="仿宋" w:eastAsia="仿宋" w:cs="仿宋"/>
          <w:sz w:val="28"/>
          <w:szCs w:val="28"/>
        </w:rPr>
        <w:t>：安康市第二小学</w:t>
      </w:r>
    </w:p>
    <w:p w14:paraId="698C5BAF">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地址：__________________________</w:t>
      </w:r>
    </w:p>
    <w:p w14:paraId="16084BF0">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联系人：__________________________</w:t>
      </w:r>
    </w:p>
    <w:p w14:paraId="408E3637">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联系电话：__________________________</w:t>
      </w:r>
    </w:p>
    <w:p w14:paraId="05F259B9">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p>
    <w:p w14:paraId="0B504086">
      <w:pPr>
        <w:pStyle w:val="7"/>
        <w:keepNext w:val="0"/>
        <w:keepLines w:val="0"/>
        <w:pageBreakBefore w:val="0"/>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乙方（成交供应商）</w:t>
      </w:r>
      <w:r>
        <w:rPr>
          <w:rFonts w:hint="eastAsia" w:ascii="仿宋" w:hAnsi="仿宋" w:eastAsia="仿宋" w:cs="仿宋"/>
          <w:sz w:val="28"/>
          <w:szCs w:val="28"/>
        </w:rPr>
        <w:t>：__________________________</w:t>
      </w:r>
    </w:p>
    <w:p w14:paraId="1A0ACA22">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统一社会信用代码：__________________________</w:t>
      </w:r>
    </w:p>
    <w:p w14:paraId="46C3E509">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地址：__________________________</w:t>
      </w:r>
    </w:p>
    <w:p w14:paraId="5F19E41F">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法定代表人：__________________________</w:t>
      </w:r>
    </w:p>
    <w:p w14:paraId="083A7B75">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联系电话：__________________________</w:t>
      </w:r>
    </w:p>
    <w:p w14:paraId="19619378">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依据《中华人民共和国民法典》《中华人民共和国政府采购法》等相关法律法规，以及安康市第二小学智慧校园建设项目采购需求、采购实施计划、乙方响应文件及成交通知书，甲乙双方本着平等自愿、公平诚信、权责对等的原则，订立本合同主要条款，作为双方履行合同的核心依据。</w:t>
      </w:r>
    </w:p>
    <w:p w14:paraId="3FCD6C5D">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18" w:name="heading_1"/>
      <w:r>
        <w:rPr>
          <w:rFonts w:hint="eastAsia" w:ascii="仿宋" w:hAnsi="仿宋" w:eastAsia="仿宋" w:cs="仿宋"/>
          <w:sz w:val="28"/>
          <w:szCs w:val="28"/>
        </w:rPr>
        <w:t>项目概况</w:t>
      </w:r>
      <w:bookmarkEnd w:id="18"/>
    </w:p>
    <w:p w14:paraId="300B999D">
      <w:pPr>
        <w:pStyle w:val="7"/>
        <w:keepNext w:val="0"/>
        <w:keepLines w:val="0"/>
        <w:pageBreakBefore w:val="0"/>
        <w:numPr>
          <w:ilvl w:val="0"/>
          <w:numId w:val="5"/>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项目名称</w:t>
      </w:r>
      <w:r>
        <w:rPr>
          <w:rFonts w:hint="eastAsia" w:ascii="仿宋" w:hAnsi="仿宋" w:eastAsia="仿宋" w:cs="仿宋"/>
          <w:sz w:val="28"/>
          <w:szCs w:val="28"/>
        </w:rPr>
        <w:t>：安康市第二小学智慧校园建设项目</w:t>
      </w:r>
    </w:p>
    <w:p w14:paraId="4087ABD3">
      <w:pPr>
        <w:pStyle w:val="7"/>
        <w:keepNext w:val="0"/>
        <w:keepLines w:val="0"/>
        <w:pageBreakBefore w:val="0"/>
        <w:numPr>
          <w:ilvl w:val="0"/>
          <w:numId w:val="5"/>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项目内容</w:t>
      </w:r>
      <w:r>
        <w:rPr>
          <w:rFonts w:hint="eastAsia" w:ascii="仿宋" w:hAnsi="仿宋" w:eastAsia="仿宋" w:cs="仿宋"/>
          <w:sz w:val="28"/>
          <w:szCs w:val="28"/>
        </w:rPr>
        <w:t>：包括但不限于基础设施优化更新（中心机房建设、校园网络千兆升级改造、有线无线全覆盖）、校园行政办公平台搭建、“AI教研+智慧教室”一体化课程评价系统建设、AI智慧体育系统部署及相关设备采购、安装、调试、培训、集成等全部内容（详见采购需求清单及技术要求）。</w:t>
      </w:r>
    </w:p>
    <w:p w14:paraId="1A497B38">
      <w:pPr>
        <w:pStyle w:val="7"/>
        <w:keepNext w:val="0"/>
        <w:keepLines w:val="0"/>
        <w:pageBreakBefore w:val="0"/>
        <w:numPr>
          <w:ilvl w:val="0"/>
          <w:numId w:val="5"/>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合同总价</w:t>
      </w:r>
      <w:r>
        <w:rPr>
          <w:rFonts w:hint="eastAsia" w:ascii="仿宋" w:hAnsi="仿宋" w:eastAsia="仿宋" w:cs="仿宋"/>
          <w:sz w:val="28"/>
          <w:szCs w:val="28"/>
        </w:rPr>
        <w:t>：人民币__________元（大写：________________________），该总价为固定总价，包含设备费、运输费、装卸费、安装调试费、集成费、培训费、税费、质保期内所有服务费及项目实施过程中产生的一切相关费用，甲方无需额外支付其他费用。</w:t>
      </w:r>
    </w:p>
    <w:p w14:paraId="044DF732">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19" w:name="heading_2"/>
      <w:r>
        <w:rPr>
          <w:rFonts w:hint="eastAsia" w:ascii="仿宋" w:hAnsi="仿宋" w:eastAsia="仿宋" w:cs="仿宋"/>
          <w:sz w:val="28"/>
          <w:szCs w:val="28"/>
        </w:rPr>
        <w:t>项目实施与工期</w:t>
      </w:r>
      <w:bookmarkEnd w:id="19"/>
    </w:p>
    <w:p w14:paraId="456CC4CB">
      <w:pPr>
        <w:pStyle w:val="7"/>
        <w:keepNext w:val="0"/>
        <w:keepLines w:val="0"/>
        <w:pageBreakBefore w:val="0"/>
        <w:numPr>
          <w:ilvl w:val="0"/>
          <w:numId w:val="6"/>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实施地点</w:t>
      </w:r>
      <w:r>
        <w:rPr>
          <w:rFonts w:hint="eastAsia" w:ascii="仿宋" w:hAnsi="仿宋" w:eastAsia="仿宋" w:cs="仿宋"/>
          <w:sz w:val="28"/>
          <w:szCs w:val="28"/>
        </w:rPr>
        <w:t>：安康市第二小学指定地点</w:t>
      </w:r>
    </w:p>
    <w:p w14:paraId="13A08813">
      <w:pPr>
        <w:pStyle w:val="7"/>
        <w:keepNext w:val="0"/>
        <w:keepLines w:val="0"/>
        <w:pageBreakBefore w:val="0"/>
        <w:numPr>
          <w:ilvl w:val="0"/>
          <w:numId w:val="6"/>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工期要求</w:t>
      </w:r>
      <w:r>
        <w:rPr>
          <w:rFonts w:hint="eastAsia" w:ascii="仿宋" w:hAnsi="仿宋" w:eastAsia="仿宋" w:cs="仿宋"/>
          <w:sz w:val="28"/>
          <w:szCs w:val="28"/>
        </w:rPr>
        <w:t>：合同生效后______日历天内完成全部项目建设、安装、调试、测试开通，并通过甲方验收后交付使用（具体工期可结合采购实施计划进一步明确）。</w:t>
      </w:r>
    </w:p>
    <w:p w14:paraId="2313D96F">
      <w:pPr>
        <w:pStyle w:val="7"/>
        <w:keepNext w:val="0"/>
        <w:keepLines w:val="0"/>
        <w:pageBreakBefore w:val="0"/>
        <w:numPr>
          <w:ilvl w:val="0"/>
          <w:numId w:val="6"/>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乙方责任</w:t>
      </w:r>
      <w:r>
        <w:rPr>
          <w:rFonts w:hint="eastAsia" w:ascii="仿宋" w:hAnsi="仿宋" w:eastAsia="仿宋" w:cs="仿宋"/>
          <w:sz w:val="28"/>
          <w:szCs w:val="28"/>
        </w:rPr>
        <w:t>：负责项目整体实施，包括设备采购、运输、上架、布线、配置、系统联调、人员培训，承担施工安全责任及实施过程中产生的全部费用；严格按照采购需求及技术标准施工，确保项目质量符合要求。</w:t>
      </w:r>
    </w:p>
    <w:p w14:paraId="23A3D326">
      <w:pPr>
        <w:pStyle w:val="7"/>
        <w:keepNext w:val="0"/>
        <w:keepLines w:val="0"/>
        <w:pageBreakBefore w:val="0"/>
        <w:numPr>
          <w:ilvl w:val="0"/>
          <w:numId w:val="6"/>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甲方责任</w:t>
      </w:r>
      <w:r>
        <w:rPr>
          <w:rFonts w:hint="eastAsia" w:ascii="仿宋" w:hAnsi="仿宋" w:eastAsia="仿宋" w:cs="仿宋"/>
          <w:sz w:val="28"/>
          <w:szCs w:val="28"/>
        </w:rPr>
        <w:t>：提供施工所需场地、电源、网络接入等基础条件，配合乙方完成项目实施、调试及验收工作，及时反馈需求调整意见（需符合采购文件约定，不得擅自变更核心需求）。</w:t>
      </w:r>
    </w:p>
    <w:p w14:paraId="0B5E1324">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0" w:name="heading_3"/>
      <w:r>
        <w:rPr>
          <w:rFonts w:hint="eastAsia" w:ascii="仿宋" w:hAnsi="仿宋" w:eastAsia="仿宋" w:cs="仿宋"/>
          <w:sz w:val="28"/>
          <w:szCs w:val="28"/>
        </w:rPr>
        <w:t>技术标准与质量要求</w:t>
      </w:r>
      <w:bookmarkEnd w:id="20"/>
    </w:p>
    <w:p w14:paraId="2DC4BC01">
      <w:pPr>
        <w:pStyle w:val="7"/>
        <w:keepNext w:val="0"/>
        <w:keepLines w:val="0"/>
        <w:pageBreakBefore w:val="0"/>
        <w:numPr>
          <w:ilvl w:val="0"/>
          <w:numId w:val="7"/>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乙方所供设备、提供的服务需符合国家、行业相关标准，完全响应采购需求中的技术要求，所有设备为全新原厂正品，无假冒伪劣、翻新等情况。</w:t>
      </w:r>
    </w:p>
    <w:p w14:paraId="40883C97">
      <w:pPr>
        <w:pStyle w:val="7"/>
        <w:keepNext w:val="0"/>
        <w:keepLines w:val="0"/>
        <w:pageBreakBefore w:val="0"/>
        <w:numPr>
          <w:ilvl w:val="0"/>
          <w:numId w:val="7"/>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基础设施建设：中心机房主干设备及结构升级优化，实现多批次网络设备兼容，应用层私有云部署并统一管控；校园网实现千兆升级，线路梳理清晰，无线全覆盖，性能良好、安全可控。</w:t>
      </w:r>
    </w:p>
    <w:p w14:paraId="3FA43833">
      <w:pPr>
        <w:pStyle w:val="7"/>
        <w:keepNext w:val="0"/>
        <w:keepLines w:val="0"/>
        <w:pageBreakBefore w:val="0"/>
        <w:numPr>
          <w:ilvl w:val="0"/>
          <w:numId w:val="7"/>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行政办公平台：搭建包含审批工作流、文件管理、通知公告等模块的校园行政办公平台，可实现审批流程自动化、文件管理规范化、数据留存及分析功能，提升校园管理效率。</w:t>
      </w:r>
    </w:p>
    <w:p w14:paraId="44437597">
      <w:pPr>
        <w:pStyle w:val="7"/>
        <w:keepNext w:val="0"/>
        <w:keepLines w:val="0"/>
        <w:pageBreakBefore w:val="0"/>
        <w:numPr>
          <w:ilvl w:val="0"/>
          <w:numId w:val="7"/>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AI教研与智慧教室：建设“AI教研+智慧教室”一体化课程评价系统，配备教研平台、智能终端及学生互动反馈设备，实现课堂数据自动采集、教学行为分析与师生高效互动，构建“共备、共学、共研”三位一体的教育教学模式。</w:t>
      </w:r>
    </w:p>
    <w:p w14:paraId="31FFFE06">
      <w:pPr>
        <w:pStyle w:val="7"/>
        <w:keepNext w:val="0"/>
        <w:keepLines w:val="0"/>
        <w:pageBreakBefore w:val="0"/>
        <w:numPr>
          <w:ilvl w:val="0"/>
          <w:numId w:val="7"/>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AI智慧体育系统：以视觉AI技术为核心，通过前端摄像头实时捕捉学生运动姿态，配合高清电子大屏实现画面实时观测及数据可视化，满足校园日常锻炼、课堂教学、体质测试等全场景应用，构建“教、学、练、赛、评”全场景闭环。</w:t>
      </w:r>
    </w:p>
    <w:p w14:paraId="672F71A3">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1" w:name="heading_4"/>
      <w:r>
        <w:rPr>
          <w:rFonts w:hint="eastAsia" w:ascii="仿宋" w:hAnsi="仿宋" w:eastAsia="仿宋" w:cs="仿宋"/>
          <w:sz w:val="28"/>
          <w:szCs w:val="28"/>
        </w:rPr>
        <w:t>验收</w:t>
      </w:r>
      <w:bookmarkEnd w:id="21"/>
    </w:p>
    <w:p w14:paraId="151E9B3E">
      <w:pPr>
        <w:pStyle w:val="7"/>
        <w:keepNext w:val="0"/>
        <w:keepLines w:val="0"/>
        <w:pageBreakBefore w:val="0"/>
        <w:numPr>
          <w:ilvl w:val="0"/>
          <w:numId w:val="8"/>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乙方完成项目全部实施后，向甲方提交书面验收申请及完整的验收资料（包括设备合格证、技术资料、培训记录等）。</w:t>
      </w:r>
    </w:p>
    <w:p w14:paraId="00C1DE59">
      <w:pPr>
        <w:pStyle w:val="7"/>
        <w:keepNext w:val="0"/>
        <w:keepLines w:val="0"/>
        <w:pageBreakBefore w:val="0"/>
        <w:numPr>
          <w:ilvl w:val="0"/>
          <w:numId w:val="8"/>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甲方在收到验收申请后7个工作日内，组织相关人员依据采购需求、技术标准、合同约定及国家相关规定开展验收工作。</w:t>
      </w:r>
    </w:p>
    <w:p w14:paraId="46C14CF0">
      <w:pPr>
        <w:pStyle w:val="7"/>
        <w:keepNext w:val="0"/>
        <w:keepLines w:val="0"/>
        <w:pageBreakBefore w:val="0"/>
        <w:numPr>
          <w:ilvl w:val="0"/>
          <w:numId w:val="8"/>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验收合格的，双方签署《验收合格单》，项目正式交付使用；验收不合格的，乙方需在甲方指定期限内无条件整改，整改费用由乙方承担，工期不予顺延，整改后仍不合格的，甲方有权解除合同并追究乙方违约责任。</w:t>
      </w:r>
    </w:p>
    <w:p w14:paraId="59FF89E7">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2" w:name="heading_5"/>
      <w:r>
        <w:rPr>
          <w:rFonts w:hint="eastAsia" w:ascii="仿宋" w:hAnsi="仿宋" w:eastAsia="仿宋" w:cs="仿宋"/>
          <w:sz w:val="28"/>
          <w:szCs w:val="28"/>
        </w:rPr>
        <w:t>付款方式</w:t>
      </w:r>
      <w:bookmarkEnd w:id="22"/>
    </w:p>
    <w:p w14:paraId="089EBD46">
      <w:pPr>
        <w:pStyle w:val="7"/>
        <w:keepNext w:val="0"/>
        <w:keepLines w:val="0"/>
        <w:pageBreakBefore w:val="0"/>
        <w:numPr>
          <w:ilvl w:val="0"/>
          <w:numId w:val="0"/>
        </w:numPr>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1. </w:t>
      </w:r>
      <w:r>
        <w:rPr>
          <w:rFonts w:hint="eastAsia" w:ascii="仿宋" w:hAnsi="仿宋" w:eastAsia="仿宋" w:cs="仿宋"/>
          <w:sz w:val="28"/>
          <w:szCs w:val="28"/>
        </w:rPr>
        <w:t>付款方式：双方协商一致，按以下方式支付（可结合采购实施计划调整）：</w:t>
      </w:r>
    </w:p>
    <w:p w14:paraId="453FF015">
      <w:pPr>
        <w:pStyle w:val="7"/>
        <w:keepNext w:val="0"/>
        <w:keepLines w:val="0"/>
        <w:pageBreakBefore w:val="0"/>
        <w:numPr>
          <w:ilvl w:val="0"/>
          <w:numId w:val="0"/>
        </w:numPr>
        <w:tabs>
          <w:tab w:val="left" w:pos="84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合同签订且乙方进场实施后，甲方向乙方支付合同总金额的___%；</w:t>
      </w:r>
    </w:p>
    <w:p w14:paraId="041A7C9D">
      <w:pPr>
        <w:pStyle w:val="7"/>
        <w:keepNext w:val="0"/>
        <w:keepLines w:val="0"/>
        <w:pageBreakBefore w:val="0"/>
        <w:numPr>
          <w:ilvl w:val="0"/>
          <w:numId w:val="0"/>
        </w:numPr>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项目整体验收合格并签署《验收合格单》后，甲方向乙方支付合同总金额的______%；</w:t>
      </w:r>
    </w:p>
    <w:p w14:paraId="0F9FBF09">
      <w:pPr>
        <w:pStyle w:val="7"/>
        <w:keepNext w:val="0"/>
        <w:keepLines w:val="0"/>
        <w:pageBreakBefore w:val="0"/>
        <w:numPr>
          <w:ilvl w:val="0"/>
          <w:numId w:val="0"/>
        </w:numPr>
        <w:tabs>
          <w:tab w:val="left" w:pos="84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 xml:space="preserve">2. </w:t>
      </w:r>
      <w:r>
        <w:rPr>
          <w:rFonts w:hint="eastAsia" w:ascii="仿宋" w:hAnsi="仿宋" w:eastAsia="仿宋" w:cs="仿宋"/>
          <w:sz w:val="28"/>
          <w:szCs w:val="28"/>
        </w:rPr>
        <w:t>乙方需向甲方提供合法有效、符合国家规定的发票，甲方凭发票以银行转账方式支付款项。</w:t>
      </w:r>
    </w:p>
    <w:p w14:paraId="3FBA2A48">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3" w:name="heading_6"/>
      <w:r>
        <w:rPr>
          <w:rFonts w:hint="eastAsia" w:ascii="仿宋" w:hAnsi="仿宋" w:eastAsia="仿宋" w:cs="仿宋"/>
          <w:sz w:val="28"/>
          <w:szCs w:val="28"/>
        </w:rPr>
        <w:t>质保与售后服务</w:t>
      </w:r>
      <w:bookmarkEnd w:id="23"/>
    </w:p>
    <w:p w14:paraId="1662B131">
      <w:pPr>
        <w:pStyle w:val="7"/>
        <w:keepNext w:val="0"/>
        <w:keepLines w:val="0"/>
        <w:pageBreakBefore w:val="0"/>
        <w:numPr>
          <w:ilvl w:val="0"/>
          <w:numId w:val="9"/>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质保期</w:t>
      </w:r>
      <w:r>
        <w:rPr>
          <w:rFonts w:hint="eastAsia" w:ascii="仿宋" w:hAnsi="仿宋" w:eastAsia="仿宋" w:cs="仿宋"/>
          <w:sz w:val="28"/>
          <w:szCs w:val="28"/>
        </w:rPr>
        <w:t>：自项目验收合格并签署《验收合格单》之日起______年（建议不少于3年），质保期内乙方提供免费保修、包换、包维护服务。</w:t>
      </w:r>
    </w:p>
    <w:p w14:paraId="37EA3871">
      <w:pPr>
        <w:pStyle w:val="7"/>
        <w:keepNext w:val="0"/>
        <w:keepLines w:val="0"/>
        <w:pageBreakBefore w:val="0"/>
        <w:numPr>
          <w:ilvl w:val="0"/>
          <w:numId w:val="9"/>
        </w:numPr>
        <w:tabs>
          <w:tab w:val="left" w:pos="783"/>
        </w:tabs>
        <w:kinsoku/>
        <w:wordWrap/>
        <w:overflowPunct/>
        <w:topLinePunct w:val="0"/>
        <w:bidi w:val="0"/>
        <w:spacing w:line="324" w:lineRule="auto"/>
        <w:ind w:left="0" w:leftChars="0" w:right="0" w:firstLine="562" w:firstLineChars="200"/>
        <w:rPr>
          <w:rFonts w:hint="eastAsia" w:ascii="仿宋" w:hAnsi="仿宋" w:eastAsia="仿宋" w:cs="仿宋"/>
          <w:sz w:val="28"/>
          <w:szCs w:val="28"/>
        </w:rPr>
      </w:pPr>
      <w:r>
        <w:rPr>
          <w:rFonts w:hint="eastAsia" w:ascii="仿宋" w:hAnsi="仿宋" w:eastAsia="仿宋" w:cs="仿宋"/>
          <w:b/>
          <w:sz w:val="28"/>
          <w:szCs w:val="28"/>
        </w:rPr>
        <w:t>响应时效</w:t>
      </w:r>
      <w:r>
        <w:rPr>
          <w:rFonts w:hint="eastAsia" w:ascii="仿宋" w:hAnsi="仿宋" w:eastAsia="仿宋" w:cs="仿宋"/>
          <w:sz w:val="28"/>
          <w:szCs w:val="28"/>
        </w:rPr>
        <w:t>：质保期内，乙方接到甲方故障报修通知后，2小时内响应，24小时内上门解决问题；若无法当场解决，需向甲方说明原因并提供临时解决方案，确保不影响校园正常教学及管理秩序。</w:t>
      </w:r>
    </w:p>
    <w:p w14:paraId="48612267">
      <w:pPr>
        <w:pStyle w:val="7"/>
        <w:keepNext w:val="0"/>
        <w:keepLines w:val="0"/>
        <w:pageBreakBefore w:val="0"/>
        <w:numPr>
          <w:ilvl w:val="0"/>
          <w:numId w:val="9"/>
        </w:numPr>
        <w:tabs>
          <w:tab w:val="left" w:pos="783"/>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质保期内，非人为损坏造成的设备故障、系统异常，乙方免费提供维修、更换服务，不收取任何费用；人为损坏的，乙方仅收取成本费用。</w:t>
      </w:r>
    </w:p>
    <w:p w14:paraId="07CB3BBD">
      <w:pPr>
        <w:pStyle w:val="7"/>
        <w:keepNext w:val="0"/>
        <w:keepLines w:val="0"/>
        <w:pageBreakBefore w:val="0"/>
        <w:numPr>
          <w:ilvl w:val="0"/>
          <w:numId w:val="9"/>
        </w:numPr>
        <w:tabs>
          <w:tab w:val="left" w:pos="783"/>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质保期满后，乙方提供终身技术支持，以优惠价格提供设备配件及维修服务。</w:t>
      </w:r>
    </w:p>
    <w:p w14:paraId="02E8A824">
      <w:pPr>
        <w:pStyle w:val="7"/>
        <w:keepNext w:val="0"/>
        <w:keepLines w:val="0"/>
        <w:pageBreakBefore w:val="0"/>
        <w:numPr>
          <w:ilvl w:val="0"/>
          <w:numId w:val="9"/>
        </w:numPr>
        <w:tabs>
          <w:tab w:val="left" w:pos="783"/>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乙方需对甲方相关工作人员进行免费培训，确保工作人员能够熟练操作、维护项目相关系统及设备。</w:t>
      </w:r>
    </w:p>
    <w:p w14:paraId="3203DFBD">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4" w:name="heading_7"/>
      <w:r>
        <w:rPr>
          <w:rFonts w:hint="eastAsia" w:ascii="仿宋" w:hAnsi="仿宋" w:eastAsia="仿宋" w:cs="仿宋"/>
          <w:sz w:val="28"/>
          <w:szCs w:val="28"/>
        </w:rPr>
        <w:t>双方权利与义务</w:t>
      </w:r>
      <w:bookmarkEnd w:id="24"/>
    </w:p>
    <w:p w14:paraId="5A6AECA0">
      <w:pPr>
        <w:pStyle w:val="3"/>
        <w:keepNext w:val="0"/>
        <w:keepLines w:val="0"/>
        <w:pageBreakBefore w:val="0"/>
        <w:numPr>
          <w:ilvl w:val="0"/>
          <w:numId w:val="10"/>
        </w:numPr>
        <w:tabs>
          <w:tab w:val="left" w:pos="1322"/>
        </w:tabs>
        <w:kinsoku/>
        <w:wordWrap/>
        <w:overflowPunct/>
        <w:topLinePunct w:val="0"/>
        <w:bidi w:val="0"/>
        <w:spacing w:before="0" w:after="0" w:line="324" w:lineRule="auto"/>
        <w:ind w:left="0" w:leftChars="0" w:right="0" w:firstLine="562" w:firstLineChars="200"/>
        <w:rPr>
          <w:rFonts w:hint="eastAsia" w:ascii="仿宋" w:hAnsi="仿宋" w:eastAsia="仿宋" w:cs="仿宋"/>
          <w:b/>
          <w:sz w:val="28"/>
          <w:szCs w:val="28"/>
        </w:rPr>
      </w:pPr>
      <w:bookmarkStart w:id="25" w:name="heading_8"/>
      <w:r>
        <w:rPr>
          <w:rFonts w:hint="eastAsia" w:ascii="仿宋" w:hAnsi="仿宋" w:eastAsia="仿宋" w:cs="仿宋"/>
          <w:sz w:val="28"/>
          <w:szCs w:val="28"/>
        </w:rPr>
        <w:t>甲方权利与义务</w:t>
      </w:r>
      <w:bookmarkEnd w:id="25"/>
    </w:p>
    <w:p w14:paraId="745E8A66">
      <w:pPr>
        <w:pStyle w:val="7"/>
        <w:keepNext w:val="0"/>
        <w:keepLines w:val="0"/>
        <w:pageBreakBefore w:val="0"/>
        <w:numPr>
          <w:ilvl w:val="0"/>
          <w:numId w:val="11"/>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有权对乙方的项目实施过程、质量、进度进行监督检查，提出合理整改意见。</w:t>
      </w:r>
    </w:p>
    <w:p w14:paraId="411B6828">
      <w:pPr>
        <w:pStyle w:val="7"/>
        <w:keepNext w:val="0"/>
        <w:keepLines w:val="0"/>
        <w:pageBreakBefore w:val="0"/>
        <w:numPr>
          <w:ilvl w:val="0"/>
          <w:numId w:val="11"/>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按合同约定及时支付款项，配合乙方完成项目实施、调试及验收。</w:t>
      </w:r>
    </w:p>
    <w:p w14:paraId="40A827FD">
      <w:pPr>
        <w:pStyle w:val="7"/>
        <w:keepNext w:val="0"/>
        <w:keepLines w:val="0"/>
        <w:pageBreakBefore w:val="0"/>
        <w:numPr>
          <w:ilvl w:val="0"/>
          <w:numId w:val="11"/>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提供项目实施所需的基础条件，协调校园内相关部门配合乙方工作。</w:t>
      </w:r>
    </w:p>
    <w:p w14:paraId="3C711412">
      <w:pPr>
        <w:pStyle w:val="7"/>
        <w:keepNext w:val="0"/>
        <w:keepLines w:val="0"/>
        <w:pageBreakBefore w:val="0"/>
        <w:numPr>
          <w:ilvl w:val="0"/>
          <w:numId w:val="11"/>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不得擅自变更项目核心需求，若确需变更，需书面通知乙方，双方协商调整合同内容及相关费用。</w:t>
      </w:r>
    </w:p>
    <w:p w14:paraId="5005F645">
      <w:pPr>
        <w:pStyle w:val="3"/>
        <w:keepNext w:val="0"/>
        <w:keepLines w:val="0"/>
        <w:pageBreakBefore w:val="0"/>
        <w:numPr>
          <w:ilvl w:val="0"/>
          <w:numId w:val="10"/>
        </w:numPr>
        <w:tabs>
          <w:tab w:val="left" w:pos="1322"/>
        </w:tabs>
        <w:kinsoku/>
        <w:wordWrap/>
        <w:overflowPunct/>
        <w:topLinePunct w:val="0"/>
        <w:bidi w:val="0"/>
        <w:spacing w:before="0" w:after="0" w:line="324" w:lineRule="auto"/>
        <w:ind w:left="0" w:leftChars="0" w:right="0" w:firstLine="562" w:firstLineChars="200"/>
        <w:rPr>
          <w:rFonts w:hint="eastAsia" w:ascii="仿宋" w:hAnsi="仿宋" w:eastAsia="仿宋" w:cs="仿宋"/>
          <w:b/>
          <w:sz w:val="28"/>
          <w:szCs w:val="28"/>
        </w:rPr>
      </w:pPr>
      <w:bookmarkStart w:id="26" w:name="heading_9"/>
      <w:r>
        <w:rPr>
          <w:rFonts w:hint="eastAsia" w:ascii="仿宋" w:hAnsi="仿宋" w:eastAsia="仿宋" w:cs="仿宋"/>
          <w:sz w:val="28"/>
          <w:szCs w:val="28"/>
        </w:rPr>
        <w:t>乙方权利与义务</w:t>
      </w:r>
      <w:bookmarkEnd w:id="26"/>
    </w:p>
    <w:p w14:paraId="75AD8CEC">
      <w:pPr>
        <w:pStyle w:val="7"/>
        <w:keepNext w:val="0"/>
        <w:keepLines w:val="0"/>
        <w:pageBreakBefore w:val="0"/>
        <w:numPr>
          <w:ilvl w:val="0"/>
          <w:numId w:val="12"/>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有权要求甲方按合同约定及时支付款项，配合项目实施工作。</w:t>
      </w:r>
    </w:p>
    <w:p w14:paraId="420A8E4D">
      <w:pPr>
        <w:pStyle w:val="7"/>
        <w:keepNext w:val="0"/>
        <w:keepLines w:val="0"/>
        <w:pageBreakBefore w:val="0"/>
        <w:numPr>
          <w:ilvl w:val="0"/>
          <w:numId w:val="12"/>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严格按照采购需求、技术标准及合同约定实施项目，确保项目质量、进度符合要求。</w:t>
      </w:r>
    </w:p>
    <w:p w14:paraId="6A666829">
      <w:pPr>
        <w:pStyle w:val="7"/>
        <w:keepNext w:val="0"/>
        <w:keepLines w:val="0"/>
        <w:pageBreakBefore w:val="0"/>
        <w:numPr>
          <w:ilvl w:val="0"/>
          <w:numId w:val="12"/>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提供完整的技术资料、产品合格证、保修卡等相关文件，完成人员培训工作。</w:t>
      </w:r>
    </w:p>
    <w:p w14:paraId="2DC7DB06">
      <w:pPr>
        <w:pStyle w:val="7"/>
        <w:keepNext w:val="0"/>
        <w:keepLines w:val="0"/>
        <w:pageBreakBefore w:val="0"/>
        <w:numPr>
          <w:ilvl w:val="0"/>
          <w:numId w:val="12"/>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承担项目实施过程中的施工安全责任，若发生安全事故，由乙方承担全部责任及损失。</w:t>
      </w:r>
    </w:p>
    <w:p w14:paraId="73FF95B7">
      <w:pPr>
        <w:pStyle w:val="7"/>
        <w:keepNext w:val="0"/>
        <w:keepLines w:val="0"/>
        <w:pageBreakBefore w:val="0"/>
        <w:numPr>
          <w:ilvl w:val="0"/>
          <w:numId w:val="12"/>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保证所供设备、提供的服务不侵犯第三方知识产权，若引发知识产权纠纷，由乙方承担全部责任及损失。</w:t>
      </w:r>
    </w:p>
    <w:p w14:paraId="5CC74697">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7" w:name="heading_10"/>
      <w:r>
        <w:rPr>
          <w:rFonts w:hint="eastAsia" w:ascii="仿宋" w:hAnsi="仿宋" w:eastAsia="仿宋" w:cs="仿宋"/>
          <w:sz w:val="28"/>
          <w:szCs w:val="28"/>
        </w:rPr>
        <w:t>违约责任</w:t>
      </w:r>
      <w:bookmarkEnd w:id="27"/>
    </w:p>
    <w:p w14:paraId="3BAC988C">
      <w:pPr>
        <w:pStyle w:val="7"/>
        <w:keepNext w:val="0"/>
        <w:keepLines w:val="0"/>
        <w:pageBreakBefore w:val="0"/>
        <w:numPr>
          <w:ilvl w:val="0"/>
          <w:numId w:val="13"/>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甲方逾期付款的，每逾期一日，按未付金额的0.5‰向乙方支付违约金；逾期超过30日，乙方有权暂停项目实施，由此造成的损失由甲方承担。</w:t>
      </w:r>
    </w:p>
    <w:p w14:paraId="14929377">
      <w:pPr>
        <w:pStyle w:val="7"/>
        <w:keepNext w:val="0"/>
        <w:keepLines w:val="0"/>
        <w:pageBreakBefore w:val="0"/>
        <w:numPr>
          <w:ilvl w:val="0"/>
          <w:numId w:val="13"/>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乙方逾期交付项目的，每逾期一日，按合同总价的0.5‰向甲方支付违约金；逾期超过30日，甲方有权解除合同，乙方需退还甲方已支付的全部款项，并支付合同总价10%的违约金，赔偿甲方因此造成的损失。</w:t>
      </w:r>
    </w:p>
    <w:p w14:paraId="4DE34771">
      <w:pPr>
        <w:pStyle w:val="7"/>
        <w:keepNext w:val="0"/>
        <w:keepLines w:val="0"/>
        <w:pageBreakBefore w:val="0"/>
        <w:numPr>
          <w:ilvl w:val="0"/>
          <w:numId w:val="13"/>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乙方所供设备、提供的服务不符合合同约定及技术标准的，需在甲方指定期限内整改，逾期未整改或整改后仍不合格的，甲方有权解除合同，乙方退还全部款项并支付合同总价10%的违约金，赔偿甲方损失。</w:t>
      </w:r>
    </w:p>
    <w:p w14:paraId="4C4296BE">
      <w:pPr>
        <w:pStyle w:val="7"/>
        <w:keepNext w:val="0"/>
        <w:keepLines w:val="0"/>
        <w:pageBreakBefore w:val="0"/>
        <w:numPr>
          <w:ilvl w:val="0"/>
          <w:numId w:val="13"/>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乙方提供虚假资料、假冒伪劣产品的，甲方有权解除合同，乙方退还全部款项，支付合同总价20%的违约金，并承担相应的法律责任。</w:t>
      </w:r>
    </w:p>
    <w:p w14:paraId="41C535AD">
      <w:pPr>
        <w:pStyle w:val="7"/>
        <w:keepNext w:val="0"/>
        <w:keepLines w:val="0"/>
        <w:pageBreakBefore w:val="0"/>
        <w:numPr>
          <w:ilvl w:val="0"/>
          <w:numId w:val="13"/>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任何一方违反本合同其他约定，需承担相应的违约责任，赔偿对方因此造成的合理损失。</w:t>
      </w:r>
    </w:p>
    <w:p w14:paraId="2D81D198">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8" w:name="heading_11"/>
      <w:r>
        <w:rPr>
          <w:rFonts w:hint="eastAsia" w:ascii="仿宋" w:hAnsi="仿宋" w:eastAsia="仿宋" w:cs="仿宋"/>
          <w:sz w:val="28"/>
          <w:szCs w:val="28"/>
        </w:rPr>
        <w:t>知识产权与保密</w:t>
      </w:r>
      <w:bookmarkEnd w:id="28"/>
    </w:p>
    <w:p w14:paraId="736248F0">
      <w:pPr>
        <w:pStyle w:val="7"/>
        <w:keepNext w:val="0"/>
        <w:keepLines w:val="0"/>
        <w:pageBreakBefore w:val="0"/>
        <w:numPr>
          <w:ilvl w:val="0"/>
          <w:numId w:val="14"/>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乙方保证所供设备、软件及提供的服务不侵犯任何第三方的知识产权（包括专利、商标、著作权等），若因知识产权问题引发纠纷，由乙方承担全部责任、费用及甲方因此造成的损失。</w:t>
      </w:r>
    </w:p>
    <w:p w14:paraId="099A18A8">
      <w:pPr>
        <w:pStyle w:val="7"/>
        <w:keepNext w:val="0"/>
        <w:keepLines w:val="0"/>
        <w:pageBreakBefore w:val="0"/>
        <w:numPr>
          <w:ilvl w:val="0"/>
          <w:numId w:val="14"/>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双方对本合同内容、项目技术资料、校园相关涉密信息（如学生信息、教学数据等）承担保密义务，不得向任何第三方泄露，保密义务期限为合同终止后5年。</w:t>
      </w:r>
    </w:p>
    <w:p w14:paraId="64B879DB">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29" w:name="heading_12"/>
      <w:r>
        <w:rPr>
          <w:rFonts w:hint="eastAsia" w:ascii="仿宋" w:hAnsi="仿宋" w:eastAsia="仿宋" w:cs="仿宋"/>
          <w:sz w:val="28"/>
          <w:szCs w:val="28"/>
        </w:rPr>
        <w:t>不可抗力</w:t>
      </w:r>
      <w:bookmarkEnd w:id="29"/>
    </w:p>
    <w:p w14:paraId="294324C7">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因不可抗力（包括但不限于地震、洪水、台风、战争、政策调整等不可预见、不可避免且无法克服的事件）不能履行合同的，受影响一方应及时通知对方，并在不可抗力发生后15日内提供相关证明文件，双方可根据不可抗力的影响程度，协商部分履行、延期履行或解除合同，部分或全部免除违约责任。</w:t>
      </w:r>
    </w:p>
    <w:p w14:paraId="65A3A11A">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30" w:name="heading_13"/>
      <w:r>
        <w:rPr>
          <w:rFonts w:hint="eastAsia" w:ascii="仿宋" w:hAnsi="仿宋" w:eastAsia="仿宋" w:cs="仿宋"/>
          <w:sz w:val="28"/>
          <w:szCs w:val="28"/>
        </w:rPr>
        <w:t>争议解决</w:t>
      </w:r>
      <w:bookmarkEnd w:id="30"/>
    </w:p>
    <w:p w14:paraId="75E6BD49">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本合同履行过程中发生的争议，双方应首先友好协商解决；协商不成的，任何一方均有权向安康市汉滨区人民法院提起诉讼（结合学校所在地确定）。</w:t>
      </w:r>
    </w:p>
    <w:p w14:paraId="74B864CA">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31" w:name="heading_14"/>
      <w:r>
        <w:rPr>
          <w:rFonts w:hint="eastAsia" w:ascii="仿宋" w:hAnsi="仿宋" w:eastAsia="仿宋" w:cs="仿宋"/>
          <w:sz w:val="28"/>
          <w:szCs w:val="28"/>
        </w:rPr>
        <w:t>其他</w:t>
      </w:r>
      <w:bookmarkEnd w:id="31"/>
    </w:p>
    <w:p w14:paraId="6D5CF8EF">
      <w:pPr>
        <w:pStyle w:val="7"/>
        <w:keepNext w:val="0"/>
        <w:keepLines w:val="0"/>
        <w:pageBreakBefore w:val="0"/>
        <w:numPr>
          <w:ilvl w:val="0"/>
          <w:numId w:val="15"/>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本合同主要条款未尽事宜，双方可签订补充协议，补充协议与本合同具有同等法律效力。</w:t>
      </w:r>
    </w:p>
    <w:p w14:paraId="2DFE533C">
      <w:pPr>
        <w:pStyle w:val="7"/>
        <w:keepNext w:val="0"/>
        <w:keepLines w:val="0"/>
        <w:pageBreakBefore w:val="0"/>
        <w:numPr>
          <w:ilvl w:val="0"/>
          <w:numId w:val="15"/>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采购需求、采购实施计划、乙方响应文件、报价表、技术偏离表、成交通知书均为本合同的组成部分，与本合同具有同等法律效力。</w:t>
      </w:r>
    </w:p>
    <w:p w14:paraId="21BD13BF">
      <w:pPr>
        <w:pStyle w:val="7"/>
        <w:keepNext w:val="0"/>
        <w:keepLines w:val="0"/>
        <w:pageBreakBefore w:val="0"/>
        <w:numPr>
          <w:ilvl w:val="0"/>
          <w:numId w:val="15"/>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本合同一式肆份，甲方执贰份，乙方执贰份，自双方签字盖章之日起生效，具有同等法律效力。</w:t>
      </w:r>
    </w:p>
    <w:p w14:paraId="6A21E83A">
      <w:pPr>
        <w:pStyle w:val="7"/>
        <w:keepNext w:val="0"/>
        <w:keepLines w:val="0"/>
        <w:pageBreakBefore w:val="0"/>
        <w:numPr>
          <w:ilvl w:val="0"/>
          <w:numId w:val="15"/>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本项目不收取保证金，乙方无需向甲方缴纳任何形式的履约保证金。</w:t>
      </w:r>
    </w:p>
    <w:p w14:paraId="580BAD94">
      <w:pPr>
        <w:pStyle w:val="7"/>
        <w:keepNext w:val="0"/>
        <w:keepLines w:val="0"/>
        <w:pageBreakBefore w:val="0"/>
        <w:numPr>
          <w:ilvl w:val="0"/>
          <w:numId w:val="15"/>
        </w:numPr>
        <w:tabs>
          <w:tab w:val="left" w:pos="780"/>
        </w:tabs>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本项目不得分包，乙方不得将本项目全部或部分转包给第三方，否则甲方有权解除合同，乙方承担相应违约责任。</w:t>
      </w:r>
    </w:p>
    <w:p w14:paraId="2D6FBC98">
      <w:pPr>
        <w:pStyle w:val="2"/>
        <w:keepNext w:val="0"/>
        <w:keepLines w:val="0"/>
        <w:pageBreakBefore w:val="0"/>
        <w:numPr>
          <w:ilvl w:val="0"/>
          <w:numId w:val="4"/>
        </w:numPr>
        <w:tabs>
          <w:tab w:val="left" w:pos="1121"/>
        </w:tabs>
        <w:kinsoku/>
        <w:wordWrap/>
        <w:overflowPunct/>
        <w:topLinePunct w:val="0"/>
        <w:bidi w:val="0"/>
        <w:spacing w:before="0" w:beforeLines="0" w:after="0" w:afterLines="0" w:line="324" w:lineRule="auto"/>
        <w:ind w:left="0" w:leftChars="0" w:right="0" w:firstLine="562" w:firstLineChars="200"/>
        <w:rPr>
          <w:rFonts w:hint="eastAsia" w:ascii="仿宋" w:hAnsi="仿宋" w:eastAsia="仿宋" w:cs="仿宋"/>
          <w:b/>
          <w:sz w:val="28"/>
          <w:szCs w:val="28"/>
        </w:rPr>
      </w:pPr>
      <w:bookmarkStart w:id="32" w:name="heading_15"/>
      <w:r>
        <w:rPr>
          <w:rFonts w:hint="eastAsia" w:ascii="仿宋" w:hAnsi="仿宋" w:eastAsia="仿宋" w:cs="仿宋"/>
          <w:sz w:val="28"/>
          <w:szCs w:val="28"/>
        </w:rPr>
        <w:t>合同生效与终止</w:t>
      </w:r>
      <w:bookmarkEnd w:id="32"/>
    </w:p>
    <w:p w14:paraId="61B72C45">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本合同自双方法定代表人或授权代表签字并加盖双方公章之日起生效，项目质保期届满、双方履行完合同全部义务后自动终止。</w:t>
      </w:r>
    </w:p>
    <w:p w14:paraId="75DBEAAD">
      <w:pPr>
        <w:pStyle w:val="7"/>
        <w:keepNext w:val="0"/>
        <w:keepLines w:val="0"/>
        <w:pageBreakBefore w:val="0"/>
        <w:kinsoku/>
        <w:wordWrap/>
        <w:overflowPunct/>
        <w:topLinePunct w:val="0"/>
        <w:bidi w:val="0"/>
        <w:spacing w:line="324" w:lineRule="auto"/>
        <w:ind w:left="0" w:leftChars="0" w:right="0" w:firstLine="560" w:firstLineChars="200"/>
        <w:rPr>
          <w:rFonts w:hint="eastAsia" w:ascii="仿宋" w:hAnsi="仿宋" w:eastAsia="仿宋" w:cs="仿宋"/>
          <w:sz w:val="28"/>
          <w:szCs w:val="28"/>
        </w:rPr>
      </w:pPr>
      <w:r>
        <w:rPr>
          <w:rFonts w:hint="eastAsia" w:ascii="仿宋" w:hAnsi="仿宋" w:eastAsia="仿宋" w:cs="仿宋"/>
          <w:sz w:val="28"/>
          <w:szCs w:val="28"/>
        </w:rPr>
        <w:t>（以下为签字页，无正文）</w:t>
      </w:r>
    </w:p>
    <w:p w14:paraId="1C0AAA07">
      <w:pPr>
        <w:keepNext w:val="0"/>
        <w:keepLines w:val="0"/>
        <w:pageBreakBefore w:val="0"/>
        <w:kinsoku/>
        <w:wordWrap/>
        <w:overflowPunct/>
        <w:topLinePunct w:val="0"/>
        <w:bidi w:val="0"/>
        <w:spacing w:afterAutospacing="0" w:line="324" w:lineRule="auto"/>
        <w:ind w:left="0" w:leftChars="0" w:right="0" w:firstLine="560" w:firstLineChars="200"/>
        <w:jc w:val="left"/>
        <w:rPr>
          <w:rFonts w:hint="eastAsia" w:ascii="仿宋" w:hAnsi="仿宋" w:eastAsia="仿宋" w:cs="仿宋"/>
          <w:sz w:val="28"/>
          <w:szCs w:val="28"/>
        </w:rPr>
      </w:pPr>
      <w:r>
        <w:rPr>
          <w:rFonts w:hint="eastAsia" w:ascii="仿宋" w:hAnsi="仿宋" w:eastAsia="仿宋" w:cs="仿宋"/>
          <w:sz w:val="28"/>
          <w:szCs w:val="28"/>
        </w:rPr>
        <w:t>甲方（盖章）：__________________________</w:t>
      </w:r>
    </w:p>
    <w:p w14:paraId="5C9F7CEE">
      <w:pPr>
        <w:keepNext w:val="0"/>
        <w:keepLines w:val="0"/>
        <w:pageBreakBefore w:val="0"/>
        <w:kinsoku/>
        <w:wordWrap/>
        <w:overflowPunct/>
        <w:topLinePunct w:val="0"/>
        <w:bidi w:val="0"/>
        <w:spacing w:afterAutospacing="0" w:line="324" w:lineRule="auto"/>
        <w:ind w:left="0" w:leftChars="0" w:right="0" w:firstLine="560" w:firstLineChars="200"/>
        <w:jc w:val="left"/>
        <w:rPr>
          <w:rFonts w:hint="eastAsia" w:ascii="仿宋" w:hAnsi="仿宋" w:eastAsia="仿宋" w:cs="仿宋"/>
          <w:sz w:val="28"/>
          <w:szCs w:val="28"/>
        </w:rPr>
      </w:pPr>
      <w:r>
        <w:rPr>
          <w:rFonts w:hint="eastAsia" w:ascii="仿宋" w:hAnsi="仿宋" w:eastAsia="仿宋" w:cs="仿宋"/>
          <w:sz w:val="28"/>
          <w:szCs w:val="28"/>
        </w:rPr>
        <w:t>法定代表人/授权代表（签字）：__________________________</w:t>
      </w:r>
    </w:p>
    <w:p w14:paraId="718C4214">
      <w:pPr>
        <w:keepNext w:val="0"/>
        <w:keepLines w:val="0"/>
        <w:pageBreakBefore w:val="0"/>
        <w:kinsoku/>
        <w:wordWrap/>
        <w:overflowPunct/>
        <w:topLinePunct w:val="0"/>
        <w:bidi w:val="0"/>
        <w:spacing w:afterAutospacing="0" w:line="324" w:lineRule="auto"/>
        <w:ind w:left="0" w:leftChars="0" w:right="0" w:firstLine="560" w:firstLineChars="200"/>
        <w:jc w:val="left"/>
        <w:rPr>
          <w:rFonts w:hint="eastAsia" w:ascii="仿宋" w:hAnsi="仿宋" w:eastAsia="仿宋" w:cs="仿宋"/>
          <w:sz w:val="28"/>
          <w:szCs w:val="28"/>
        </w:rPr>
      </w:pPr>
      <w:r>
        <w:rPr>
          <w:rFonts w:hint="eastAsia" w:ascii="仿宋" w:hAnsi="仿宋" w:eastAsia="仿宋" w:cs="仿宋"/>
          <w:sz w:val="28"/>
          <w:szCs w:val="28"/>
        </w:rPr>
        <w:t>日期：______年____月____日</w:t>
      </w:r>
    </w:p>
    <w:p w14:paraId="62A3E414">
      <w:pPr>
        <w:keepNext w:val="0"/>
        <w:keepLines w:val="0"/>
        <w:pageBreakBefore w:val="0"/>
        <w:kinsoku/>
        <w:wordWrap/>
        <w:overflowPunct/>
        <w:topLinePunct w:val="0"/>
        <w:bidi w:val="0"/>
        <w:spacing w:afterAutospacing="0" w:line="324" w:lineRule="auto"/>
        <w:ind w:left="0" w:leftChars="0" w:right="0" w:firstLine="560" w:firstLineChars="200"/>
        <w:jc w:val="left"/>
        <w:rPr>
          <w:rFonts w:hint="eastAsia" w:ascii="仿宋" w:hAnsi="仿宋" w:eastAsia="仿宋" w:cs="仿宋"/>
          <w:sz w:val="28"/>
          <w:szCs w:val="28"/>
        </w:rPr>
      </w:pPr>
      <w:r>
        <w:rPr>
          <w:rFonts w:hint="eastAsia" w:ascii="仿宋" w:hAnsi="仿宋" w:eastAsia="仿宋" w:cs="仿宋"/>
          <w:sz w:val="28"/>
          <w:szCs w:val="28"/>
        </w:rPr>
        <w:t>乙方（盖章）：__________________________</w:t>
      </w:r>
    </w:p>
    <w:p w14:paraId="69B07230">
      <w:pPr>
        <w:keepNext w:val="0"/>
        <w:keepLines w:val="0"/>
        <w:pageBreakBefore w:val="0"/>
        <w:kinsoku/>
        <w:wordWrap/>
        <w:overflowPunct/>
        <w:topLinePunct w:val="0"/>
        <w:bidi w:val="0"/>
        <w:spacing w:afterAutospacing="0" w:line="324" w:lineRule="auto"/>
        <w:ind w:left="0" w:leftChars="0" w:right="0" w:firstLine="560" w:firstLineChars="200"/>
        <w:jc w:val="left"/>
        <w:rPr>
          <w:rFonts w:hint="eastAsia" w:ascii="仿宋" w:hAnsi="仿宋" w:eastAsia="仿宋" w:cs="仿宋"/>
          <w:sz w:val="28"/>
          <w:szCs w:val="28"/>
        </w:rPr>
      </w:pPr>
      <w:r>
        <w:rPr>
          <w:rFonts w:hint="eastAsia" w:ascii="仿宋" w:hAnsi="仿宋" w:eastAsia="仿宋" w:cs="仿宋"/>
          <w:sz w:val="28"/>
          <w:szCs w:val="28"/>
        </w:rPr>
        <w:t>法定代表人/授权代表（签字）：__________________________</w:t>
      </w:r>
    </w:p>
    <w:p w14:paraId="5BB27296">
      <w:pPr>
        <w:keepNext w:val="0"/>
        <w:keepLines w:val="0"/>
        <w:pageBreakBefore w:val="0"/>
        <w:kinsoku/>
        <w:wordWrap/>
        <w:overflowPunct/>
        <w:topLinePunct w:val="0"/>
        <w:bidi w:val="0"/>
        <w:spacing w:afterAutospacing="0" w:line="324" w:lineRule="auto"/>
        <w:ind w:left="0" w:leftChars="0" w:right="0" w:firstLine="560" w:firstLineChars="200"/>
        <w:jc w:val="left"/>
        <w:rPr>
          <w:rFonts w:hint="eastAsia" w:ascii="仿宋" w:hAnsi="仿宋" w:eastAsia="仿宋" w:cs="仿宋"/>
          <w:sz w:val="28"/>
          <w:szCs w:val="28"/>
        </w:rPr>
      </w:pPr>
      <w:r>
        <w:rPr>
          <w:rFonts w:hint="eastAsia" w:ascii="仿宋" w:hAnsi="仿宋" w:eastAsia="仿宋" w:cs="仿宋"/>
          <w:sz w:val="28"/>
          <w:szCs w:val="28"/>
        </w:rPr>
        <w:t>日期：______年____月____日</w:t>
      </w:r>
    </w:p>
    <w:p w14:paraId="165BFBA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04" w:firstLineChars="200"/>
        <w:outlineLvl w:val="0"/>
        <w:rPr>
          <w:rFonts w:hint="eastAsia" w:ascii="仿宋" w:hAnsi="仿宋" w:eastAsia="仿宋" w:cs="仿宋"/>
          <w:spacing w:val="11"/>
          <w:sz w:val="28"/>
          <w:szCs w:val="28"/>
        </w:rPr>
      </w:pPr>
    </w:p>
    <w:p w14:paraId="627965E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58DE82C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6C5D22D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4EB0197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690F3EC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039ACE5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2C6EA0E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36892C9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outlineLvl w:val="0"/>
        <w:rPr>
          <w:rFonts w:ascii="黑体" w:hAnsi="黑体" w:eastAsia="黑体" w:cs="黑体"/>
          <w:spacing w:val="11"/>
          <w:sz w:val="31"/>
          <w:szCs w:val="31"/>
        </w:rPr>
      </w:pPr>
    </w:p>
    <w:p w14:paraId="64BDF13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jc w:val="center"/>
        <w:outlineLvl w:val="0"/>
        <w:rPr>
          <w:rFonts w:ascii="黑体" w:hAnsi="黑体" w:eastAsia="黑体" w:cs="黑体"/>
          <w:spacing w:val="11"/>
          <w:sz w:val="31"/>
          <w:szCs w:val="31"/>
        </w:rPr>
      </w:pPr>
      <w:r>
        <w:rPr>
          <w:rFonts w:ascii="黑体" w:hAnsi="黑体" w:eastAsia="黑体" w:cs="黑体"/>
          <w:spacing w:val="11"/>
          <w:sz w:val="31"/>
          <w:szCs w:val="31"/>
        </w:rPr>
        <w:t>第五章  响应文件构成及格式</w:t>
      </w:r>
    </w:p>
    <w:p w14:paraId="46A1209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B87C73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E01BC4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项目编号：</w:t>
      </w:r>
    </w:p>
    <w:p w14:paraId="22B67FA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eastAsia="宋体"/>
          <w:sz w:val="21"/>
          <w:lang w:val="en-US" w:eastAsia="zh-CN"/>
        </w:rPr>
      </w:pPr>
    </w:p>
    <w:p w14:paraId="1C89454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hint="eastAsia" w:eastAsia="宋体"/>
          <w:sz w:val="21"/>
          <w:lang w:val="en-US" w:eastAsia="zh-CN"/>
        </w:rPr>
      </w:pPr>
    </w:p>
    <w:p w14:paraId="178A39A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1000" w:firstLineChars="200"/>
        <w:jc w:val="center"/>
        <w:rPr>
          <w:rFonts w:ascii="Arial"/>
          <w:sz w:val="21"/>
        </w:rPr>
      </w:pPr>
      <w:bookmarkStart w:id="33" w:name="bookmark24"/>
      <w:bookmarkEnd w:id="33"/>
      <w:r>
        <w:rPr>
          <w:rFonts w:hint="eastAsia" w:ascii="宋体" w:hAnsi="宋体" w:eastAsia="宋体" w:cs="宋体"/>
          <w:b/>
          <w:color w:val="auto"/>
          <w:spacing w:val="-11"/>
          <w:sz w:val="52"/>
          <w:szCs w:val="24"/>
          <w:shd w:val="clear" w:color="auto" w:fill="auto"/>
          <w:lang w:eastAsia="zh-CN"/>
        </w:rPr>
        <w:t>安康市第二小学智慧校园建设项目</w:t>
      </w:r>
    </w:p>
    <w:p w14:paraId="14CC5109">
      <w:pPr>
        <w:keepNext w:val="0"/>
        <w:keepLines w:val="0"/>
        <w:pageBreakBefore w:val="0"/>
        <w:widowControl/>
        <w:kinsoku/>
        <w:wordWrap/>
        <w:overflowPunct/>
        <w:topLinePunct w:val="0"/>
        <w:autoSpaceDE/>
        <w:autoSpaceDN/>
        <w:bidi w:val="0"/>
        <w:adjustRightInd w:val="0"/>
        <w:snapToGrid w:val="0"/>
        <w:spacing w:line="324" w:lineRule="auto"/>
        <w:ind w:right="0"/>
        <w:rPr>
          <w:rFonts w:ascii="宋体" w:hAnsi="宋体" w:eastAsia="宋体" w:cs="宋体"/>
          <w:spacing w:val="-29"/>
          <w:sz w:val="95"/>
          <w:szCs w:val="95"/>
        </w:rPr>
      </w:pPr>
    </w:p>
    <w:p w14:paraId="3677D52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1784" w:firstLineChars="200"/>
        <w:rPr>
          <w:rFonts w:ascii="宋体" w:hAnsi="宋体" w:eastAsia="宋体" w:cs="宋体"/>
          <w:spacing w:val="-29"/>
          <w:sz w:val="95"/>
          <w:szCs w:val="95"/>
        </w:rPr>
      </w:pPr>
    </w:p>
    <w:p w14:paraId="1DD09AA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1084" w:firstLineChars="200"/>
        <w:jc w:val="center"/>
        <w:rPr>
          <w:rFonts w:ascii="宋体" w:hAnsi="宋体" w:eastAsia="宋体" w:cs="宋体"/>
          <w:sz w:val="60"/>
          <w:szCs w:val="60"/>
        </w:rPr>
      </w:pPr>
      <w:r>
        <w:rPr>
          <w:rFonts w:hint="eastAsia" w:ascii="宋体" w:hAnsi="宋体" w:eastAsia="宋体" w:cs="宋体"/>
          <w:spacing w:val="-29"/>
          <w:sz w:val="60"/>
          <w:szCs w:val="60"/>
          <w:lang w:val="en-US" w:eastAsia="zh-CN"/>
        </w:rPr>
        <w:t>磋商</w:t>
      </w:r>
      <w:r>
        <w:rPr>
          <w:rFonts w:ascii="宋体" w:hAnsi="宋体" w:eastAsia="宋体" w:cs="宋体"/>
          <w:spacing w:val="-29"/>
          <w:sz w:val="60"/>
          <w:szCs w:val="60"/>
        </w:rPr>
        <w:t>响应文件</w:t>
      </w:r>
    </w:p>
    <w:p w14:paraId="7040DE4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030706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F67B30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E00153D">
      <w:pPr>
        <w:keepNext w:val="0"/>
        <w:keepLines w:val="0"/>
        <w:pageBreakBefore w:val="0"/>
        <w:widowControl/>
        <w:kinsoku/>
        <w:wordWrap/>
        <w:overflowPunct/>
        <w:topLinePunct w:val="0"/>
        <w:autoSpaceDE/>
        <w:autoSpaceDN/>
        <w:bidi w:val="0"/>
        <w:adjustRightInd w:val="0"/>
        <w:snapToGrid w:val="0"/>
        <w:spacing w:line="324" w:lineRule="auto"/>
        <w:ind w:right="0"/>
        <w:rPr>
          <w:rFonts w:ascii="Arial"/>
          <w:sz w:val="21"/>
        </w:rPr>
      </w:pPr>
    </w:p>
    <w:p w14:paraId="196BE8C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F6A016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57525D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5D4DAF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03F34C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732" w:firstLineChars="200"/>
      </w:pPr>
      <w:r>
        <w:rPr>
          <w:spacing w:val="8"/>
        </w:rPr>
        <w:t>项目名称：</w:t>
      </w:r>
      <w:r>
        <w:rPr>
          <w:u w:val="single" w:color="auto"/>
        </w:rPr>
        <w:t xml:space="preserve">              </w:t>
      </w:r>
    </w:p>
    <w:p w14:paraId="41D1935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732" w:firstLineChars="200"/>
        <w:rPr>
          <w:u w:val="single" w:color="auto"/>
        </w:rPr>
      </w:pPr>
      <w:r>
        <w:rPr>
          <w:spacing w:val="8"/>
        </w:rPr>
        <w:t>项目编号：</w:t>
      </w:r>
      <w:r>
        <w:rPr>
          <w:u w:val="single" w:color="auto"/>
        </w:rPr>
        <w:t xml:space="preserve">              </w:t>
      </w:r>
    </w:p>
    <w:p w14:paraId="32AF803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748" w:firstLineChars="200"/>
        <w:rPr>
          <w:spacing w:val="12"/>
        </w:rPr>
      </w:pPr>
      <w:r>
        <w:rPr>
          <w:spacing w:val="12"/>
        </w:rPr>
        <w:t>供</w:t>
      </w:r>
      <w:r>
        <w:rPr>
          <w:spacing w:val="34"/>
        </w:rPr>
        <w:t xml:space="preserve"> </w:t>
      </w:r>
      <w:r>
        <w:rPr>
          <w:spacing w:val="12"/>
        </w:rPr>
        <w:t>应</w:t>
      </w:r>
      <w:r>
        <w:rPr>
          <w:spacing w:val="47"/>
        </w:rPr>
        <w:t xml:space="preserve"> </w:t>
      </w:r>
      <w:r>
        <w:rPr>
          <w:spacing w:val="12"/>
        </w:rPr>
        <w:t>商</w:t>
      </w:r>
      <w:r>
        <w:rPr>
          <w:spacing w:val="-38"/>
        </w:rPr>
        <w:t>：</w:t>
      </w:r>
      <w:r>
        <w:rPr>
          <w:spacing w:val="6"/>
          <w:u w:val="single" w:color="auto"/>
        </w:rPr>
        <w:t xml:space="preserve">             </w:t>
      </w:r>
      <w:r>
        <w:rPr>
          <w:spacing w:val="-38"/>
        </w:rPr>
        <w:t>（</w:t>
      </w:r>
      <w:r>
        <w:rPr>
          <w:spacing w:val="12"/>
        </w:rPr>
        <w:t>公章）</w:t>
      </w:r>
    </w:p>
    <w:p w14:paraId="6BE4309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888" w:firstLineChars="300"/>
      </w:pPr>
      <w:r>
        <w:rPr>
          <w:spacing w:val="-27"/>
        </w:rPr>
        <w:t>时     间</w:t>
      </w:r>
      <w:r>
        <w:rPr>
          <w:spacing w:val="-118"/>
        </w:rPr>
        <w:t xml:space="preserve"> </w:t>
      </w:r>
      <w:r>
        <w:rPr>
          <w:spacing w:val="-27"/>
        </w:rPr>
        <w:t>：</w:t>
      </w:r>
      <w:r>
        <w:rPr>
          <w:u w:val="single" w:color="auto"/>
        </w:rPr>
        <w:t xml:space="preserve">              </w:t>
      </w:r>
    </w:p>
    <w:p w14:paraId="16F7EBF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sectPr>
          <w:headerReference r:id="rId13" w:type="default"/>
          <w:footerReference r:id="rId14"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sdt>
      <w:sdtPr>
        <w:rPr>
          <w:rFonts w:ascii="Arial" w:hAnsi="Arial" w:eastAsia="Arial" w:cs="Arial"/>
          <w:sz w:val="21"/>
          <w:szCs w:val="21"/>
        </w:rPr>
        <w:id w:val="147459234"/>
        <w:docPartObj>
          <w:docPartGallery w:val="Table of Contents"/>
          <w:docPartUnique/>
        </w:docPartObj>
      </w:sdtPr>
      <w:sdtEndPr>
        <w:rPr>
          <w:rFonts w:ascii="仿宋" w:hAnsi="仿宋" w:eastAsia="仿宋" w:cs="仿宋"/>
          <w:sz w:val="28"/>
          <w:szCs w:val="28"/>
        </w:rPr>
      </w:sdtEndPr>
      <w:sdtContent>
        <w:p w14:paraId="5A67DDF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jc w:val="center"/>
            <w:rPr>
              <w:rFonts w:ascii="黑体" w:hAnsi="黑体" w:eastAsia="黑体" w:cs="黑体"/>
              <w:sz w:val="35"/>
              <w:szCs w:val="35"/>
            </w:rPr>
          </w:pPr>
          <w:r>
            <w:rPr>
              <w:rFonts w:ascii="黑体" w:hAnsi="黑体" w:eastAsia="黑体" w:cs="黑体"/>
              <w:spacing w:val="-25"/>
              <w:sz w:val="35"/>
              <w:szCs w:val="35"/>
            </w:rPr>
            <w:t>目</w:t>
          </w:r>
          <w:r>
            <w:rPr>
              <w:rFonts w:ascii="黑体" w:hAnsi="黑体" w:eastAsia="黑体" w:cs="黑体"/>
              <w:spacing w:val="17"/>
              <w:sz w:val="35"/>
              <w:szCs w:val="35"/>
            </w:rPr>
            <w:t xml:space="preserve">  </w:t>
          </w:r>
          <w:r>
            <w:rPr>
              <w:rFonts w:ascii="黑体" w:hAnsi="黑体" w:eastAsia="黑体" w:cs="黑体"/>
              <w:spacing w:val="-25"/>
              <w:sz w:val="35"/>
              <w:szCs w:val="35"/>
            </w:rPr>
            <w:t>录</w:t>
          </w:r>
        </w:p>
        <w:p w14:paraId="4EC615B6">
          <w:pPr>
            <w:pStyle w:val="7"/>
            <w:keepNext w:val="0"/>
            <w:keepLines w:val="0"/>
            <w:pageBreakBefore w:val="0"/>
            <w:widowControl/>
            <w:tabs>
              <w:tab w:val="right" w:leader="hyphen" w:pos="8500"/>
            </w:tabs>
            <w:kinsoku/>
            <w:wordWrap/>
            <w:overflowPunct/>
            <w:topLinePunct w:val="0"/>
            <w:autoSpaceDE/>
            <w:autoSpaceDN/>
            <w:bidi w:val="0"/>
            <w:adjustRightInd w:val="0"/>
            <w:snapToGrid w:val="0"/>
            <w:spacing w:line="324" w:lineRule="auto"/>
            <w:ind w:left="0" w:leftChars="0" w:right="0" w:firstLine="538" w:firstLineChars="200"/>
            <w:rPr>
              <w:sz w:val="28"/>
              <w:szCs w:val="28"/>
            </w:rPr>
          </w:pPr>
          <w:r>
            <w:rPr>
              <w:b/>
              <w:bCs/>
              <w:spacing w:val="-6"/>
              <w:sz w:val="28"/>
              <w:szCs w:val="28"/>
            </w:rPr>
            <w:t>第一部分</w:t>
          </w:r>
          <w:r>
            <w:rPr>
              <w:spacing w:val="23"/>
              <w:sz w:val="28"/>
              <w:szCs w:val="28"/>
            </w:rPr>
            <w:t xml:space="preserve">  </w:t>
          </w:r>
          <w:r>
            <w:rPr>
              <w:b/>
              <w:bCs/>
              <w:spacing w:val="-6"/>
              <w:sz w:val="28"/>
              <w:szCs w:val="28"/>
            </w:rPr>
            <w:t>资格证明文件</w:t>
          </w:r>
          <w:r>
            <w:rPr>
              <w:b/>
              <w:bCs/>
              <w:sz w:val="28"/>
              <w:szCs w:val="28"/>
            </w:rPr>
            <w:tab/>
          </w:r>
          <w:r>
            <w:rPr>
              <w:b/>
              <w:bCs/>
              <w:spacing w:val="13"/>
              <w:sz w:val="28"/>
              <w:szCs w:val="28"/>
            </w:rPr>
            <w:t>X</w:t>
          </w:r>
        </w:p>
        <w:p w14:paraId="267D891B">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一、营业执照等主体资格证明文件</w:t>
          </w:r>
          <w:r>
            <w:rPr>
              <w:spacing w:val="-115"/>
              <w:sz w:val="28"/>
              <w:szCs w:val="28"/>
            </w:rPr>
            <w:t xml:space="preserve"> </w:t>
          </w:r>
          <w:r>
            <w:rPr>
              <w:sz w:val="28"/>
              <w:szCs w:val="28"/>
            </w:rPr>
            <w:tab/>
          </w:r>
          <w:r>
            <w:rPr>
              <w:spacing w:val="-43"/>
              <w:sz w:val="28"/>
              <w:szCs w:val="28"/>
            </w:rPr>
            <w:t xml:space="preserve"> </w:t>
          </w:r>
          <w:r>
            <w:rPr>
              <w:sz w:val="28"/>
              <w:szCs w:val="28"/>
            </w:rPr>
            <w:t>X</w:t>
          </w:r>
        </w:p>
        <w:p w14:paraId="65912ED6">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二、财务状况报告</w:t>
          </w:r>
          <w:r>
            <w:rPr>
              <w:sz w:val="28"/>
              <w:szCs w:val="28"/>
            </w:rPr>
            <w:tab/>
          </w:r>
          <w:r>
            <w:rPr>
              <w:spacing w:val="25"/>
              <w:sz w:val="28"/>
              <w:szCs w:val="28"/>
            </w:rPr>
            <w:t>X</w:t>
          </w:r>
        </w:p>
        <w:p w14:paraId="1DD40CEE">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三、社保缴纳证明</w:t>
          </w:r>
          <w:r>
            <w:rPr>
              <w:sz w:val="28"/>
              <w:szCs w:val="28"/>
            </w:rPr>
            <w:tab/>
          </w:r>
          <w:r>
            <w:rPr>
              <w:spacing w:val="25"/>
              <w:sz w:val="28"/>
              <w:szCs w:val="28"/>
            </w:rPr>
            <w:t>X</w:t>
          </w:r>
        </w:p>
        <w:p w14:paraId="6BD2E4B5">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四、税收缴纳证明</w:t>
          </w:r>
          <w:r>
            <w:rPr>
              <w:sz w:val="28"/>
              <w:szCs w:val="28"/>
            </w:rPr>
            <w:tab/>
          </w:r>
          <w:r>
            <w:rPr>
              <w:spacing w:val="25"/>
              <w:sz w:val="28"/>
              <w:szCs w:val="28"/>
            </w:rPr>
            <w:t>X</w:t>
          </w:r>
        </w:p>
        <w:p w14:paraId="57840918">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五、信用记录</w:t>
          </w:r>
          <w:r>
            <w:rPr>
              <w:sz w:val="28"/>
              <w:szCs w:val="28"/>
            </w:rPr>
            <w:tab/>
          </w:r>
          <w:r>
            <w:rPr>
              <w:spacing w:val="-98"/>
              <w:sz w:val="28"/>
              <w:szCs w:val="28"/>
            </w:rPr>
            <w:t xml:space="preserve"> </w:t>
          </w:r>
          <w:r>
            <w:rPr>
              <w:sz w:val="28"/>
              <w:szCs w:val="28"/>
            </w:rPr>
            <w:t>X</w:t>
          </w:r>
        </w:p>
        <w:p w14:paraId="78303F4F">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六、控股管理关系</w:t>
          </w:r>
          <w:r>
            <w:rPr>
              <w:sz w:val="28"/>
              <w:szCs w:val="28"/>
            </w:rPr>
            <w:tab/>
          </w:r>
          <w:r>
            <w:rPr>
              <w:spacing w:val="25"/>
              <w:sz w:val="28"/>
              <w:szCs w:val="28"/>
            </w:rPr>
            <w:t>X</w:t>
          </w:r>
        </w:p>
        <w:p w14:paraId="2EEA2F31">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七、书面声明</w:t>
          </w:r>
          <w:r>
            <w:rPr>
              <w:sz w:val="28"/>
              <w:szCs w:val="28"/>
            </w:rPr>
            <w:tab/>
          </w:r>
          <w:r>
            <w:rPr>
              <w:spacing w:val="-98"/>
              <w:sz w:val="28"/>
              <w:szCs w:val="28"/>
            </w:rPr>
            <w:t xml:space="preserve"> </w:t>
          </w:r>
          <w:r>
            <w:rPr>
              <w:sz w:val="28"/>
              <w:szCs w:val="28"/>
            </w:rPr>
            <w:t>X</w:t>
          </w:r>
        </w:p>
        <w:p w14:paraId="2F159A3C">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八、法定代表人授权委托书</w:t>
          </w:r>
          <w:r>
            <w:rPr>
              <w:sz w:val="28"/>
              <w:szCs w:val="28"/>
            </w:rPr>
            <w:tab/>
          </w:r>
          <w:r>
            <w:rPr>
              <w:spacing w:val="13"/>
              <w:sz w:val="28"/>
              <w:szCs w:val="28"/>
            </w:rPr>
            <w:t>X</w:t>
          </w:r>
        </w:p>
        <w:p w14:paraId="5C544E31">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九、落实政府采购政策须满足的资格要求</w:t>
          </w:r>
          <w:r>
            <w:rPr>
              <w:sz w:val="28"/>
              <w:szCs w:val="28"/>
            </w:rPr>
            <w:tab/>
          </w:r>
          <w:r>
            <w:rPr>
              <w:spacing w:val="-91"/>
              <w:sz w:val="28"/>
              <w:szCs w:val="28"/>
            </w:rPr>
            <w:t xml:space="preserve"> </w:t>
          </w:r>
          <w:r>
            <w:rPr>
              <w:sz w:val="28"/>
              <w:szCs w:val="28"/>
            </w:rPr>
            <w:t>X</w:t>
          </w:r>
        </w:p>
        <w:p w14:paraId="074CA455">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十、</w:t>
          </w:r>
          <w:r>
            <w:rPr>
              <w:spacing w:val="2"/>
              <w:sz w:val="28"/>
              <w:szCs w:val="28"/>
            </w:rPr>
            <w:t>本项目不接受联合体响应，不允许分包</w:t>
          </w:r>
          <w:r>
            <w:rPr>
              <w:sz w:val="28"/>
              <w:szCs w:val="28"/>
            </w:rPr>
            <w:tab/>
          </w:r>
          <w:r>
            <w:rPr>
              <w:spacing w:val="-100"/>
              <w:sz w:val="28"/>
              <w:szCs w:val="28"/>
            </w:rPr>
            <w:t xml:space="preserve"> </w:t>
          </w:r>
          <w:r>
            <w:rPr>
              <w:sz w:val="28"/>
              <w:szCs w:val="28"/>
            </w:rPr>
            <w:t>X</w:t>
          </w:r>
        </w:p>
        <w:p w14:paraId="45C513F5">
          <w:pPr>
            <w:pStyle w:val="7"/>
            <w:keepNext w:val="0"/>
            <w:keepLines w:val="0"/>
            <w:pageBreakBefore w:val="0"/>
            <w:widowControl/>
            <w:tabs>
              <w:tab w:val="right" w:leader="hyphen" w:pos="8500"/>
            </w:tabs>
            <w:kinsoku/>
            <w:wordWrap/>
            <w:overflowPunct/>
            <w:topLinePunct w:val="0"/>
            <w:autoSpaceDE/>
            <w:autoSpaceDN/>
            <w:bidi w:val="0"/>
            <w:adjustRightInd w:val="0"/>
            <w:snapToGrid w:val="0"/>
            <w:spacing w:line="324" w:lineRule="auto"/>
            <w:ind w:left="0" w:leftChars="0" w:right="0" w:firstLine="542" w:firstLineChars="200"/>
            <w:rPr>
              <w:sz w:val="28"/>
              <w:szCs w:val="28"/>
            </w:rPr>
          </w:pPr>
          <w:r>
            <w:rPr>
              <w:b/>
              <w:bCs/>
              <w:spacing w:val="-5"/>
              <w:sz w:val="28"/>
              <w:szCs w:val="28"/>
            </w:rPr>
            <w:t>第二部分</w:t>
          </w:r>
          <w:r>
            <w:rPr>
              <w:spacing w:val="20"/>
              <w:sz w:val="28"/>
              <w:szCs w:val="28"/>
            </w:rPr>
            <w:t xml:space="preserve">  </w:t>
          </w:r>
          <w:r>
            <w:rPr>
              <w:b/>
              <w:bCs/>
              <w:spacing w:val="-5"/>
              <w:sz w:val="28"/>
              <w:szCs w:val="28"/>
            </w:rPr>
            <w:t>符合性证明文件</w:t>
          </w:r>
          <w:r>
            <w:rPr>
              <w:b/>
              <w:bCs/>
              <w:sz w:val="28"/>
              <w:szCs w:val="28"/>
            </w:rPr>
            <w:tab/>
          </w:r>
          <w:r>
            <w:rPr>
              <w:b/>
              <w:bCs/>
              <w:spacing w:val="6"/>
              <w:sz w:val="28"/>
              <w:szCs w:val="28"/>
            </w:rPr>
            <w:t>X</w:t>
          </w:r>
        </w:p>
        <w:p w14:paraId="7FEE633C">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一、响应函格式</w:t>
          </w:r>
          <w:r>
            <w:rPr>
              <w:sz w:val="28"/>
              <w:szCs w:val="28"/>
            </w:rPr>
            <w:tab/>
          </w:r>
          <w:r>
            <w:rPr>
              <w:spacing w:val="29"/>
              <w:sz w:val="28"/>
              <w:szCs w:val="28"/>
            </w:rPr>
            <w:t>X</w:t>
          </w:r>
        </w:p>
        <w:p w14:paraId="7E608EEB">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二、第一次磋商报价表</w:t>
          </w:r>
          <w:r>
            <w:rPr>
              <w:sz w:val="28"/>
              <w:szCs w:val="28"/>
            </w:rPr>
            <w:tab/>
          </w:r>
          <w:r>
            <w:rPr>
              <w:spacing w:val="22"/>
              <w:sz w:val="28"/>
              <w:szCs w:val="28"/>
            </w:rPr>
            <w:t>X</w:t>
          </w:r>
        </w:p>
        <w:p w14:paraId="3F9C9E75">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分项报价表</w:t>
          </w:r>
          <w:r>
            <w:rPr>
              <w:sz w:val="28"/>
              <w:szCs w:val="28"/>
            </w:rPr>
            <w:tab/>
          </w:r>
          <w:r>
            <w:rPr>
              <w:spacing w:val="-100"/>
              <w:sz w:val="28"/>
              <w:szCs w:val="28"/>
            </w:rPr>
            <w:t xml:space="preserve"> </w:t>
          </w:r>
          <w:r>
            <w:rPr>
              <w:sz w:val="28"/>
              <w:szCs w:val="28"/>
            </w:rPr>
            <w:t>X</w:t>
          </w:r>
        </w:p>
        <w:p w14:paraId="27D72600">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三、供应商承诺书</w:t>
          </w:r>
          <w:r>
            <w:rPr>
              <w:sz w:val="28"/>
              <w:szCs w:val="28"/>
            </w:rPr>
            <w:tab/>
          </w:r>
          <w:r>
            <w:rPr>
              <w:spacing w:val="30"/>
              <w:sz w:val="28"/>
              <w:szCs w:val="28"/>
            </w:rPr>
            <w:t>X</w:t>
          </w:r>
        </w:p>
        <w:p w14:paraId="7D33569C">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（一）质量安全责任承诺书</w:t>
          </w:r>
          <w:r>
            <w:rPr>
              <w:spacing w:val="-120"/>
              <w:sz w:val="28"/>
              <w:szCs w:val="28"/>
            </w:rPr>
            <w:t xml:space="preserve"> </w:t>
          </w:r>
          <w:r>
            <w:rPr>
              <w:sz w:val="28"/>
              <w:szCs w:val="28"/>
            </w:rPr>
            <w:tab/>
          </w:r>
          <w:r>
            <w:rPr>
              <w:spacing w:val="-43"/>
              <w:sz w:val="28"/>
              <w:szCs w:val="28"/>
            </w:rPr>
            <w:t xml:space="preserve"> </w:t>
          </w:r>
          <w:r>
            <w:rPr>
              <w:sz w:val="28"/>
              <w:szCs w:val="28"/>
            </w:rPr>
            <w:t>X</w:t>
          </w:r>
        </w:p>
        <w:p w14:paraId="6AE8A141">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（二）拒绝政府采购领域商业贿赂承诺书</w:t>
          </w:r>
          <w:r>
            <w:rPr>
              <w:spacing w:val="-125"/>
              <w:sz w:val="28"/>
              <w:szCs w:val="28"/>
            </w:rPr>
            <w:t xml:space="preserve"> </w:t>
          </w:r>
          <w:r>
            <w:rPr>
              <w:sz w:val="28"/>
              <w:szCs w:val="28"/>
            </w:rPr>
            <w:tab/>
          </w:r>
          <w:r>
            <w:rPr>
              <w:spacing w:val="-69"/>
              <w:sz w:val="28"/>
              <w:szCs w:val="28"/>
            </w:rPr>
            <w:t xml:space="preserve"> </w:t>
          </w:r>
          <w:r>
            <w:rPr>
              <w:sz w:val="28"/>
              <w:szCs w:val="28"/>
            </w:rPr>
            <w:t>X</w:t>
          </w:r>
        </w:p>
        <w:p w14:paraId="35EDDCD7">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四、实质性条款响应</w:t>
          </w:r>
          <w:r>
            <w:rPr>
              <w:sz w:val="28"/>
              <w:szCs w:val="28"/>
            </w:rPr>
            <w:tab/>
          </w:r>
          <w:r>
            <w:rPr>
              <w:spacing w:val="21"/>
              <w:sz w:val="28"/>
              <w:szCs w:val="28"/>
            </w:rPr>
            <w:t>X</w:t>
          </w:r>
        </w:p>
        <w:p w14:paraId="70180B32">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五、合同草案条款响应</w:t>
          </w:r>
          <w:r>
            <w:rPr>
              <w:sz w:val="28"/>
              <w:szCs w:val="28"/>
            </w:rPr>
            <w:tab/>
          </w:r>
          <w:r>
            <w:rPr>
              <w:spacing w:val="22"/>
              <w:sz w:val="28"/>
              <w:szCs w:val="28"/>
            </w:rPr>
            <w:t>X</w:t>
          </w:r>
        </w:p>
        <w:p w14:paraId="24111056">
          <w:pPr>
            <w:pStyle w:val="7"/>
            <w:keepNext w:val="0"/>
            <w:keepLines w:val="0"/>
            <w:pageBreakBefore w:val="0"/>
            <w:widowControl/>
            <w:tabs>
              <w:tab w:val="right" w:leader="hyphen" w:pos="8500"/>
            </w:tabs>
            <w:kinsoku/>
            <w:wordWrap/>
            <w:overflowPunct/>
            <w:topLinePunct w:val="0"/>
            <w:autoSpaceDE/>
            <w:autoSpaceDN/>
            <w:bidi w:val="0"/>
            <w:adjustRightInd w:val="0"/>
            <w:snapToGrid w:val="0"/>
            <w:spacing w:line="324" w:lineRule="auto"/>
            <w:ind w:left="0" w:leftChars="0" w:right="0" w:firstLine="538" w:firstLineChars="200"/>
            <w:rPr>
              <w:sz w:val="28"/>
              <w:szCs w:val="28"/>
            </w:rPr>
          </w:pPr>
          <w:r>
            <w:rPr>
              <w:b/>
              <w:bCs/>
              <w:spacing w:val="-6"/>
              <w:sz w:val="28"/>
              <w:szCs w:val="28"/>
            </w:rPr>
            <w:t>第三部分</w:t>
          </w:r>
          <w:r>
            <w:rPr>
              <w:spacing w:val="15"/>
              <w:sz w:val="28"/>
              <w:szCs w:val="28"/>
            </w:rPr>
            <w:t xml:space="preserve">  </w:t>
          </w:r>
          <w:r>
            <w:rPr>
              <w:b/>
              <w:bCs/>
              <w:spacing w:val="-6"/>
              <w:sz w:val="28"/>
              <w:szCs w:val="28"/>
            </w:rPr>
            <w:t>磋商方案</w:t>
          </w:r>
          <w:r>
            <w:rPr>
              <w:b/>
              <w:bCs/>
              <w:sz w:val="28"/>
              <w:szCs w:val="28"/>
            </w:rPr>
            <w:tab/>
          </w:r>
          <w:r>
            <w:rPr>
              <w:b/>
              <w:bCs/>
              <w:spacing w:val="21"/>
              <w:sz w:val="28"/>
              <w:szCs w:val="28"/>
            </w:rPr>
            <w:t>X</w:t>
          </w:r>
        </w:p>
        <w:p w14:paraId="11D4EA64">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一、供应商概况</w:t>
          </w:r>
          <w:r>
            <w:rPr>
              <w:sz w:val="28"/>
              <w:szCs w:val="28"/>
            </w:rPr>
            <w:tab/>
          </w:r>
          <w:r>
            <w:rPr>
              <w:spacing w:val="29"/>
              <w:sz w:val="28"/>
              <w:szCs w:val="28"/>
            </w:rPr>
            <w:t>X</w:t>
          </w:r>
        </w:p>
        <w:p w14:paraId="2AC073E7">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二、响应方案</w:t>
          </w:r>
          <w:r>
            <w:rPr>
              <w:sz w:val="28"/>
              <w:szCs w:val="28"/>
            </w:rPr>
            <w:tab/>
          </w:r>
          <w:r>
            <w:rPr>
              <w:spacing w:val="-98"/>
              <w:sz w:val="28"/>
              <w:szCs w:val="28"/>
            </w:rPr>
            <w:t xml:space="preserve"> </w:t>
          </w:r>
          <w:r>
            <w:rPr>
              <w:sz w:val="28"/>
              <w:szCs w:val="28"/>
            </w:rPr>
            <w:t>X</w:t>
          </w:r>
        </w:p>
        <w:p w14:paraId="6C964B6F">
          <w:pPr>
            <w:pStyle w:val="7"/>
            <w:keepNext w:val="0"/>
            <w:keepLines w:val="0"/>
            <w:pageBreakBefore w:val="0"/>
            <w:widowControl/>
            <w:tabs>
              <w:tab w:val="right" w:leader="hyphen" w:pos="8502"/>
            </w:tabs>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三、参考样表</w:t>
          </w:r>
          <w:r>
            <w:rPr>
              <w:sz w:val="28"/>
              <w:szCs w:val="28"/>
            </w:rPr>
            <w:tab/>
          </w:r>
          <w:r>
            <w:rPr>
              <w:spacing w:val="-98"/>
              <w:sz w:val="28"/>
              <w:szCs w:val="28"/>
            </w:rPr>
            <w:t xml:space="preserve"> </w:t>
          </w:r>
          <w:r>
            <w:rPr>
              <w:sz w:val="28"/>
              <w:szCs w:val="28"/>
            </w:rPr>
            <w:t>X</w:t>
          </w:r>
        </w:p>
      </w:sdtContent>
    </w:sdt>
    <w:p w14:paraId="4E2443D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footerReference r:id="rId15"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4A415AF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52" w:firstLineChars="200"/>
        <w:jc w:val="center"/>
        <w:outlineLvl w:val="1"/>
        <w:rPr>
          <w:rFonts w:ascii="黑体" w:hAnsi="黑体" w:eastAsia="黑体" w:cs="黑体"/>
          <w:sz w:val="31"/>
          <w:szCs w:val="31"/>
        </w:rPr>
      </w:pPr>
      <w:bookmarkStart w:id="34" w:name="bookmark16"/>
      <w:bookmarkEnd w:id="34"/>
      <w:r>
        <w:rPr>
          <w:rFonts w:ascii="黑体" w:hAnsi="黑体" w:eastAsia="黑体" w:cs="黑体"/>
          <w:spacing w:val="8"/>
          <w:sz w:val="31"/>
          <w:szCs w:val="31"/>
        </w:rPr>
        <w:t>第一部分</w:t>
      </w:r>
      <w:r>
        <w:rPr>
          <w:rFonts w:ascii="黑体" w:hAnsi="黑体" w:eastAsia="黑体" w:cs="黑体"/>
          <w:spacing w:val="24"/>
          <w:sz w:val="31"/>
          <w:szCs w:val="31"/>
        </w:rPr>
        <w:t xml:space="preserve">  </w:t>
      </w:r>
      <w:r>
        <w:rPr>
          <w:rFonts w:ascii="黑体" w:hAnsi="黑体" w:eastAsia="黑体" w:cs="黑体"/>
          <w:spacing w:val="8"/>
          <w:sz w:val="31"/>
          <w:szCs w:val="31"/>
        </w:rPr>
        <w:t>资格证明文件</w:t>
      </w:r>
    </w:p>
    <w:p w14:paraId="5AE10C8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jc w:val="both"/>
        <w:rPr>
          <w:sz w:val="28"/>
          <w:szCs w:val="28"/>
        </w:rPr>
      </w:pPr>
      <w:r>
        <w:rPr>
          <w:spacing w:val="1"/>
          <w:sz w:val="28"/>
          <w:szCs w:val="28"/>
        </w:rPr>
        <w:t>供应商应按照磋商文件第一章第十项所列“供应商资格要求</w:t>
      </w:r>
      <w:r>
        <w:rPr>
          <w:spacing w:val="-93"/>
          <w:sz w:val="28"/>
          <w:szCs w:val="28"/>
        </w:rPr>
        <w:t xml:space="preserve"> </w:t>
      </w:r>
      <w:r>
        <w:rPr>
          <w:spacing w:val="1"/>
          <w:sz w:val="28"/>
          <w:szCs w:val="28"/>
        </w:rPr>
        <w:t>”逐一提</w:t>
      </w:r>
      <w:r>
        <w:rPr>
          <w:spacing w:val="-3"/>
          <w:sz w:val="28"/>
          <w:szCs w:val="28"/>
        </w:rPr>
        <w:t>供全部资格证明文件。缺少其中任何一项，其响应文件将被视为无效文件。</w:t>
      </w:r>
      <w:r>
        <w:rPr>
          <w:spacing w:val="-14"/>
          <w:sz w:val="28"/>
          <w:szCs w:val="28"/>
        </w:rPr>
        <w:t>其中，《供应商信用记录书面声明函》《控股管理关系》《书面声明》《法定</w:t>
      </w:r>
      <w:r>
        <w:rPr>
          <w:spacing w:val="-6"/>
          <w:sz w:val="28"/>
          <w:szCs w:val="28"/>
        </w:rPr>
        <w:t>代表人授权委托书》《残疾人福利性单位声明函》《非联合体不分包投标声</w:t>
      </w:r>
      <w:r>
        <w:rPr>
          <w:spacing w:val="3"/>
          <w:sz w:val="28"/>
          <w:szCs w:val="28"/>
        </w:rPr>
        <w:t>明》须按下文给定格式填写。特别说明，法定代表</w:t>
      </w:r>
      <w:r>
        <w:rPr>
          <w:spacing w:val="2"/>
          <w:sz w:val="28"/>
          <w:szCs w:val="28"/>
        </w:rPr>
        <w:t>人亲自参加磋商的，可</w:t>
      </w:r>
      <w:r>
        <w:rPr>
          <w:spacing w:val="-3"/>
          <w:sz w:val="28"/>
          <w:szCs w:val="28"/>
        </w:rPr>
        <w:t>不提供法定代表人授权委托书，但须提供其本人身份证（正反面）复印件。</w:t>
      </w:r>
    </w:p>
    <w:p w14:paraId="1608825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一、营业执照等主体资格证明文件</w:t>
      </w:r>
    </w:p>
    <w:p w14:paraId="6BA9ACB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0" w:firstLineChars="200"/>
        <w:rPr>
          <w:sz w:val="28"/>
          <w:szCs w:val="28"/>
        </w:rPr>
      </w:pPr>
      <w:r>
        <w:rPr>
          <w:b/>
          <w:bCs/>
          <w:spacing w:val="-3"/>
          <w:sz w:val="28"/>
          <w:szCs w:val="28"/>
        </w:rPr>
        <w:t>二、财务状况报告</w:t>
      </w:r>
    </w:p>
    <w:p w14:paraId="3C3E97D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0" w:firstLineChars="200"/>
        <w:rPr>
          <w:sz w:val="28"/>
          <w:szCs w:val="28"/>
        </w:rPr>
      </w:pPr>
      <w:r>
        <w:rPr>
          <w:b/>
          <w:bCs/>
          <w:spacing w:val="-3"/>
          <w:sz w:val="28"/>
          <w:szCs w:val="28"/>
        </w:rPr>
        <w:t>三、社保缴纳证明</w:t>
      </w:r>
    </w:p>
    <w:p w14:paraId="6026793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8" w:firstLineChars="200"/>
        <w:rPr>
          <w:sz w:val="28"/>
          <w:szCs w:val="28"/>
        </w:rPr>
      </w:pPr>
      <w:r>
        <w:rPr>
          <w:b/>
          <w:bCs/>
          <w:spacing w:val="-6"/>
          <w:sz w:val="28"/>
          <w:szCs w:val="28"/>
        </w:rPr>
        <w:t>四、税收缴纳证明</w:t>
      </w:r>
    </w:p>
    <w:p w14:paraId="20AD520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0" w:firstLineChars="200"/>
        <w:rPr>
          <w:sz w:val="28"/>
          <w:szCs w:val="28"/>
        </w:rPr>
      </w:pPr>
      <w:r>
        <w:rPr>
          <w:b/>
          <w:bCs/>
          <w:spacing w:val="-3"/>
          <w:sz w:val="28"/>
          <w:szCs w:val="28"/>
        </w:rPr>
        <w:t>五、信用记录</w:t>
      </w:r>
    </w:p>
    <w:p w14:paraId="643B746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1A7F2C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4D21F3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C8B944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8" w:firstLineChars="200"/>
        <w:outlineLvl w:val="1"/>
        <w:rPr>
          <w:sz w:val="30"/>
          <w:szCs w:val="30"/>
        </w:rPr>
      </w:pPr>
      <w:r>
        <w:rPr>
          <w:b/>
          <w:bCs/>
          <w:spacing w:val="-1"/>
          <w:sz w:val="30"/>
          <w:szCs w:val="30"/>
        </w:rPr>
        <w:t>供应商信用记录书面声明函（格式）</w:t>
      </w:r>
    </w:p>
    <w:p w14:paraId="1D2FD08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rFonts w:hint="eastAsia"/>
          <w:sz w:val="28"/>
          <w:szCs w:val="28"/>
          <w:lang w:eastAsia="zh-CN"/>
        </w:rPr>
        <w:t>陕西中源项目管理有限公司</w:t>
      </w:r>
      <w:r>
        <w:rPr>
          <w:sz w:val="28"/>
          <w:szCs w:val="28"/>
        </w:rPr>
        <w:t>：</w:t>
      </w:r>
    </w:p>
    <w:p w14:paraId="7B5F766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0" w:firstLineChars="200"/>
        <w:rPr>
          <w:sz w:val="28"/>
          <w:szCs w:val="28"/>
        </w:rPr>
      </w:pPr>
      <w:r>
        <w:rPr>
          <w:spacing w:val="-5"/>
          <w:sz w:val="28"/>
          <w:szCs w:val="28"/>
        </w:rPr>
        <w:t>我方作为《</w:t>
      </w:r>
      <w:r>
        <w:rPr>
          <w:spacing w:val="-105"/>
          <w:sz w:val="28"/>
          <w:szCs w:val="28"/>
        </w:rPr>
        <w:t xml:space="preserve"> </w:t>
      </w:r>
      <w:r>
        <w:rPr>
          <w:spacing w:val="-120"/>
          <w:sz w:val="28"/>
          <w:szCs w:val="28"/>
          <w:u w:val="single" w:color="auto"/>
        </w:rPr>
        <w:t xml:space="preserve"> </w:t>
      </w:r>
      <w:r>
        <w:rPr>
          <w:spacing w:val="-5"/>
          <w:sz w:val="28"/>
          <w:szCs w:val="28"/>
          <w:u w:val="single" w:color="auto"/>
        </w:rPr>
        <w:t>项目名称</w:t>
      </w:r>
      <w:r>
        <w:rPr>
          <w:spacing w:val="-5"/>
          <w:sz w:val="28"/>
          <w:szCs w:val="28"/>
        </w:rPr>
        <w:t>》（项目编号</w:t>
      </w:r>
      <w:r>
        <w:rPr>
          <w:spacing w:val="7"/>
          <w:sz w:val="28"/>
          <w:szCs w:val="28"/>
        </w:rPr>
        <w:t>：</w:t>
      </w:r>
      <w:r>
        <w:rPr>
          <w:spacing w:val="5"/>
          <w:sz w:val="28"/>
          <w:szCs w:val="28"/>
          <w:u w:val="single" w:color="auto"/>
        </w:rPr>
        <w:t xml:space="preserve">     </w:t>
      </w:r>
      <w:r>
        <w:rPr>
          <w:spacing w:val="-97"/>
          <w:sz w:val="28"/>
          <w:szCs w:val="28"/>
        </w:rPr>
        <w:t xml:space="preserve"> </w:t>
      </w:r>
      <w:r>
        <w:rPr>
          <w:spacing w:val="7"/>
          <w:sz w:val="28"/>
          <w:szCs w:val="28"/>
        </w:rPr>
        <w:t>）</w:t>
      </w:r>
      <w:r>
        <w:rPr>
          <w:spacing w:val="-5"/>
          <w:sz w:val="28"/>
          <w:szCs w:val="28"/>
        </w:rPr>
        <w:t>第</w:t>
      </w:r>
      <w:r>
        <w:rPr>
          <w:spacing w:val="-133"/>
          <w:sz w:val="28"/>
          <w:szCs w:val="28"/>
        </w:rPr>
        <w:t xml:space="preserve"> </w:t>
      </w:r>
      <w:r>
        <w:rPr>
          <w:spacing w:val="5"/>
          <w:sz w:val="28"/>
          <w:szCs w:val="28"/>
          <w:u w:val="single" w:color="auto"/>
        </w:rPr>
        <w:t xml:space="preserve">   </w:t>
      </w:r>
      <w:r>
        <w:rPr>
          <w:spacing w:val="-120"/>
          <w:sz w:val="28"/>
          <w:szCs w:val="28"/>
        </w:rPr>
        <w:t xml:space="preserve"> </w:t>
      </w:r>
      <w:r>
        <w:rPr>
          <w:spacing w:val="-5"/>
          <w:sz w:val="28"/>
          <w:szCs w:val="28"/>
        </w:rPr>
        <w:t>标段的供应商，在</w:t>
      </w:r>
      <w:r>
        <w:rPr>
          <w:spacing w:val="-2"/>
          <w:sz w:val="28"/>
          <w:szCs w:val="28"/>
        </w:rPr>
        <w:t>此郑重声明：</w:t>
      </w:r>
    </w:p>
    <w:p w14:paraId="1DB8624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6" w:firstLineChars="200"/>
        <w:rPr>
          <w:sz w:val="28"/>
          <w:szCs w:val="28"/>
        </w:rPr>
      </w:pPr>
      <w:r>
        <w:rPr>
          <w:spacing w:val="4"/>
          <w:sz w:val="28"/>
          <w:szCs w:val="28"/>
        </w:rPr>
        <w:t>1、在参加本次政府采购活动前</w:t>
      </w:r>
      <w:r>
        <w:rPr>
          <w:spacing w:val="-48"/>
          <w:sz w:val="28"/>
          <w:szCs w:val="28"/>
        </w:rPr>
        <w:t xml:space="preserve"> </w:t>
      </w:r>
      <w:r>
        <w:rPr>
          <w:spacing w:val="4"/>
          <w:sz w:val="28"/>
          <w:szCs w:val="28"/>
        </w:rPr>
        <w:t>3</w:t>
      </w:r>
      <w:r>
        <w:rPr>
          <w:spacing w:val="-45"/>
          <w:sz w:val="28"/>
          <w:szCs w:val="28"/>
        </w:rPr>
        <w:t xml:space="preserve"> </w:t>
      </w:r>
      <w:r>
        <w:rPr>
          <w:spacing w:val="4"/>
          <w:sz w:val="28"/>
          <w:szCs w:val="28"/>
        </w:rPr>
        <w:t>年内的经营活动中</w:t>
      </w:r>
      <w:r>
        <w:rPr>
          <w:spacing w:val="-137"/>
          <w:sz w:val="28"/>
          <w:szCs w:val="28"/>
        </w:rPr>
        <w:t xml:space="preserve"> </w:t>
      </w:r>
      <w:r>
        <w:rPr>
          <w:spacing w:val="1"/>
          <w:sz w:val="28"/>
          <w:szCs w:val="28"/>
          <w:u w:val="single" w:color="auto"/>
        </w:rPr>
        <w:t xml:space="preserve">    </w:t>
      </w:r>
      <w:r>
        <w:rPr>
          <w:spacing w:val="4"/>
          <w:sz w:val="28"/>
          <w:szCs w:val="28"/>
        </w:rPr>
        <w:t>（填“没有</w:t>
      </w:r>
      <w:r>
        <w:rPr>
          <w:spacing w:val="-102"/>
          <w:sz w:val="28"/>
          <w:szCs w:val="28"/>
        </w:rPr>
        <w:t xml:space="preserve"> </w:t>
      </w:r>
      <w:r>
        <w:rPr>
          <w:spacing w:val="4"/>
          <w:sz w:val="28"/>
          <w:szCs w:val="28"/>
        </w:rPr>
        <w:t>”</w:t>
      </w:r>
      <w:r>
        <w:rPr>
          <w:spacing w:val="-2"/>
          <w:sz w:val="28"/>
          <w:szCs w:val="28"/>
        </w:rPr>
        <w:t>或“有</w:t>
      </w:r>
      <w:r>
        <w:rPr>
          <w:spacing w:val="-96"/>
          <w:sz w:val="28"/>
          <w:szCs w:val="28"/>
        </w:rPr>
        <w:t xml:space="preserve"> </w:t>
      </w:r>
      <w:r>
        <w:rPr>
          <w:spacing w:val="-2"/>
          <w:sz w:val="28"/>
          <w:szCs w:val="28"/>
        </w:rPr>
        <w:t>”）重大违法记录。</w:t>
      </w:r>
      <w:r>
        <w:rPr>
          <w:b/>
          <w:bCs/>
          <w:spacing w:val="-2"/>
          <w:sz w:val="28"/>
          <w:szCs w:val="28"/>
        </w:rPr>
        <w:t>供应商在参加政府采购活动前</w:t>
      </w:r>
      <w:r>
        <w:rPr>
          <w:spacing w:val="-45"/>
          <w:sz w:val="28"/>
          <w:szCs w:val="28"/>
        </w:rPr>
        <w:t xml:space="preserve"> </w:t>
      </w:r>
      <w:r>
        <w:rPr>
          <w:b/>
          <w:bCs/>
          <w:spacing w:val="-2"/>
          <w:sz w:val="28"/>
          <w:szCs w:val="28"/>
        </w:rPr>
        <w:t>3</w:t>
      </w:r>
      <w:r>
        <w:rPr>
          <w:spacing w:val="-40"/>
          <w:sz w:val="28"/>
          <w:szCs w:val="28"/>
        </w:rPr>
        <w:t xml:space="preserve"> </w:t>
      </w:r>
      <w:r>
        <w:rPr>
          <w:b/>
          <w:bCs/>
          <w:spacing w:val="-3"/>
          <w:sz w:val="28"/>
          <w:szCs w:val="28"/>
        </w:rPr>
        <w:t>年内因违法经</w:t>
      </w:r>
      <w:r>
        <w:rPr>
          <w:b/>
          <w:bCs/>
          <w:sz w:val="28"/>
          <w:szCs w:val="28"/>
        </w:rPr>
        <w:t>营被禁止在一定期限内参加政府采购活动，期限届满的，</w:t>
      </w:r>
      <w:r>
        <w:rPr>
          <w:b/>
          <w:bCs/>
          <w:spacing w:val="-1"/>
          <w:sz w:val="28"/>
          <w:szCs w:val="28"/>
        </w:rPr>
        <w:t>可以参加政府采</w:t>
      </w:r>
      <w:r>
        <w:rPr>
          <w:sz w:val="28"/>
          <w:szCs w:val="28"/>
        </w:rPr>
        <w:t xml:space="preserve"> </w:t>
      </w:r>
      <w:r>
        <w:rPr>
          <w:b/>
          <w:bCs/>
          <w:sz w:val="28"/>
          <w:szCs w:val="28"/>
        </w:rPr>
        <w:t>购活动，但应提供期限届满的证明材料。</w:t>
      </w:r>
    </w:p>
    <w:p w14:paraId="41A1324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2、我方</w:t>
      </w:r>
      <w:r>
        <w:rPr>
          <w:spacing w:val="-135"/>
          <w:sz w:val="28"/>
          <w:szCs w:val="28"/>
        </w:rPr>
        <w:t xml:space="preserve"> </w:t>
      </w:r>
      <w:r>
        <w:rPr>
          <w:spacing w:val="-3"/>
          <w:sz w:val="28"/>
          <w:szCs w:val="28"/>
          <w:u w:val="single" w:color="auto"/>
        </w:rPr>
        <w:t xml:space="preserve">      </w:t>
      </w:r>
      <w:r>
        <w:rPr>
          <w:spacing w:val="-3"/>
          <w:sz w:val="28"/>
          <w:szCs w:val="28"/>
        </w:rPr>
        <w:t>（填“未被列入”或“被列入”）失信被执行人名单。</w:t>
      </w:r>
    </w:p>
    <w:p w14:paraId="13C4F92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3、我方</w:t>
      </w:r>
      <w:r>
        <w:rPr>
          <w:spacing w:val="-134"/>
          <w:sz w:val="28"/>
          <w:szCs w:val="28"/>
        </w:rPr>
        <w:t xml:space="preserve"> </w:t>
      </w:r>
      <w:r>
        <w:rPr>
          <w:spacing w:val="-3"/>
          <w:sz w:val="28"/>
          <w:szCs w:val="28"/>
          <w:u w:val="single" w:color="auto"/>
        </w:rPr>
        <w:t xml:space="preserve">      </w:t>
      </w:r>
      <w:r>
        <w:rPr>
          <w:spacing w:val="-3"/>
          <w:sz w:val="28"/>
          <w:szCs w:val="28"/>
        </w:rPr>
        <w:t>（填“未被列入”或“被列入”）重大税收违法案件当</w:t>
      </w:r>
      <w:r>
        <w:rPr>
          <w:spacing w:val="-2"/>
          <w:sz w:val="28"/>
          <w:szCs w:val="28"/>
        </w:rPr>
        <w:t>事人名单。</w:t>
      </w:r>
    </w:p>
    <w:p w14:paraId="6606301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4、我方</w:t>
      </w:r>
      <w:r>
        <w:rPr>
          <w:spacing w:val="-127"/>
          <w:sz w:val="28"/>
          <w:szCs w:val="28"/>
        </w:rPr>
        <w:t xml:space="preserve"> </w:t>
      </w:r>
      <w:r>
        <w:rPr>
          <w:spacing w:val="-3"/>
          <w:sz w:val="28"/>
          <w:szCs w:val="28"/>
          <w:u w:val="single" w:color="auto"/>
        </w:rPr>
        <w:t xml:space="preserve">      </w:t>
      </w:r>
      <w:r>
        <w:rPr>
          <w:spacing w:val="-3"/>
          <w:sz w:val="28"/>
          <w:szCs w:val="28"/>
        </w:rPr>
        <w:t>（填“未被列入”或“被列入”）政府采购严重违法失</w:t>
      </w:r>
      <w:r>
        <w:rPr>
          <w:sz w:val="28"/>
          <w:szCs w:val="28"/>
        </w:rPr>
        <w:t>信行为记录名单。</w:t>
      </w:r>
    </w:p>
    <w:p w14:paraId="06F3A80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headerReference r:id="rId16" w:type="default"/>
          <w:footerReference r:id="rId17" w:type="default"/>
          <w:pgSz w:w="11906" w:h="16839"/>
          <w:pgMar w:top="1210" w:right="1140" w:bottom="1233" w:left="1417" w:header="828" w:footer="1019" w:gutter="0"/>
          <w:pgBorders>
            <w:top w:val="none" w:sz="0" w:space="0"/>
            <w:left w:val="none" w:sz="0" w:space="0"/>
            <w:bottom w:val="none" w:sz="0" w:space="0"/>
            <w:right w:val="none" w:sz="0" w:space="0"/>
          </w:pgBorders>
          <w:pgNumType w:fmt="decimal"/>
          <w:cols w:space="720" w:num="1"/>
        </w:sectPr>
      </w:pPr>
    </w:p>
    <w:p w14:paraId="641917B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7F1433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如有不实，我方将无条件地退出本项目的采购活动，并遵照《政府采</w:t>
      </w:r>
      <w:r>
        <w:rPr>
          <w:sz w:val="28"/>
          <w:szCs w:val="28"/>
        </w:rPr>
        <w:t>购法》有关“提供虚假材料的规定</w:t>
      </w:r>
      <w:r>
        <w:rPr>
          <w:spacing w:val="-93"/>
          <w:sz w:val="28"/>
          <w:szCs w:val="28"/>
        </w:rPr>
        <w:t xml:space="preserve"> </w:t>
      </w:r>
      <w:r>
        <w:rPr>
          <w:sz w:val="28"/>
          <w:szCs w:val="28"/>
        </w:rPr>
        <w:t>”接受处罚。</w:t>
      </w:r>
    </w:p>
    <w:p w14:paraId="6B03D25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特此声明。</w:t>
      </w:r>
    </w:p>
    <w:p w14:paraId="525B6A4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42C984F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10"/>
          <w:sz w:val="28"/>
          <w:szCs w:val="28"/>
        </w:rPr>
        <w:t xml:space="preserve">    </w:t>
      </w:r>
      <w:r>
        <w:rPr>
          <w:spacing w:val="-22"/>
          <w:sz w:val="28"/>
          <w:szCs w:val="28"/>
        </w:rPr>
        <w:t>年</w:t>
      </w:r>
      <w:r>
        <w:rPr>
          <w:spacing w:val="19"/>
          <w:sz w:val="28"/>
          <w:szCs w:val="28"/>
        </w:rPr>
        <w:t xml:space="preserve">  </w:t>
      </w:r>
      <w:r>
        <w:rPr>
          <w:spacing w:val="-22"/>
          <w:sz w:val="28"/>
          <w:szCs w:val="28"/>
        </w:rPr>
        <w:t>月</w:t>
      </w:r>
      <w:r>
        <w:rPr>
          <w:spacing w:val="42"/>
          <w:sz w:val="28"/>
          <w:szCs w:val="28"/>
        </w:rPr>
        <w:t xml:space="preserve">  </w:t>
      </w:r>
      <w:r>
        <w:rPr>
          <w:spacing w:val="-22"/>
          <w:sz w:val="28"/>
          <w:szCs w:val="28"/>
        </w:rPr>
        <w:t>日</w:t>
      </w:r>
    </w:p>
    <w:p w14:paraId="5212593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5FC424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929398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0" w:firstLineChars="200"/>
        <w:rPr>
          <w:rFonts w:ascii="宋体" w:hAnsi="宋体" w:eastAsia="宋体" w:cs="宋体"/>
          <w:sz w:val="20"/>
          <w:szCs w:val="20"/>
        </w:rPr>
      </w:pPr>
      <w:r>
        <w:rPr>
          <w:rFonts w:ascii="宋体" w:hAnsi="宋体" w:eastAsia="宋体" w:cs="宋体"/>
          <w:spacing w:val="10"/>
          <w:sz w:val="20"/>
          <w:szCs w:val="20"/>
        </w:rPr>
        <w:t>备注：项目不分标段的，第</w:t>
      </w:r>
      <w:r>
        <w:rPr>
          <w:rFonts w:ascii="宋体" w:hAnsi="宋体" w:eastAsia="宋体" w:cs="宋体"/>
          <w:spacing w:val="-9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10"/>
          <w:sz w:val="20"/>
          <w:szCs w:val="20"/>
        </w:rPr>
        <w:t>标段空白处填写“</w:t>
      </w:r>
      <w:r>
        <w:rPr>
          <w:rFonts w:ascii="宋体" w:hAnsi="宋体" w:eastAsia="宋体" w:cs="宋体"/>
          <w:spacing w:val="9"/>
          <w:sz w:val="20"/>
          <w:szCs w:val="20"/>
        </w:rPr>
        <w:t>/</w:t>
      </w:r>
      <w:r>
        <w:rPr>
          <w:rFonts w:ascii="宋体" w:hAnsi="宋体" w:eastAsia="宋体" w:cs="宋体"/>
          <w:spacing w:val="-69"/>
          <w:sz w:val="20"/>
          <w:szCs w:val="20"/>
        </w:rPr>
        <w:t xml:space="preserve"> </w:t>
      </w:r>
      <w:r>
        <w:rPr>
          <w:rFonts w:ascii="宋体" w:hAnsi="宋体" w:eastAsia="宋体" w:cs="宋体"/>
          <w:spacing w:val="9"/>
          <w:sz w:val="20"/>
          <w:szCs w:val="20"/>
        </w:rPr>
        <w:t>”。</w:t>
      </w:r>
    </w:p>
    <w:p w14:paraId="7E45E4F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sectPr>
          <w:footerReference r:id="rId18"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645803F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1533BA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0" w:firstLineChars="200"/>
        <w:outlineLvl w:val="1"/>
        <w:rPr>
          <w:sz w:val="30"/>
          <w:szCs w:val="30"/>
        </w:rPr>
      </w:pPr>
      <w:r>
        <w:rPr>
          <w:b/>
          <w:bCs/>
          <w:spacing w:val="-3"/>
          <w:sz w:val="30"/>
          <w:szCs w:val="30"/>
        </w:rPr>
        <w:t>六、控股管理关系</w:t>
      </w:r>
    </w:p>
    <w:p w14:paraId="21594D3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4" w:firstLineChars="200"/>
        <w:outlineLvl w:val="1"/>
        <w:rPr>
          <w:sz w:val="30"/>
          <w:szCs w:val="30"/>
        </w:rPr>
      </w:pPr>
      <w:r>
        <w:rPr>
          <w:b/>
          <w:bCs/>
          <w:spacing w:val="-2"/>
          <w:sz w:val="30"/>
          <w:szCs w:val="30"/>
        </w:rPr>
        <w:t>控股管理关系（格式）</w:t>
      </w:r>
    </w:p>
    <w:p w14:paraId="7E62CD2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rFonts w:hint="eastAsia"/>
          <w:sz w:val="28"/>
          <w:szCs w:val="28"/>
          <w:lang w:eastAsia="zh-CN"/>
        </w:rPr>
        <w:t>陕西中源项目管理有限公司</w:t>
      </w:r>
      <w:r>
        <w:rPr>
          <w:sz w:val="28"/>
          <w:szCs w:val="28"/>
        </w:rPr>
        <w:t>：</w:t>
      </w:r>
    </w:p>
    <w:p w14:paraId="196ECC8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我方与以下供应商存在直接控股、管理关系：</w:t>
      </w:r>
    </w:p>
    <w:p w14:paraId="1FC4823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 w:firstLineChars="200"/>
        <w:rPr>
          <w:rFonts w:ascii="Arial"/>
          <w:sz w:val="2"/>
        </w:rPr>
      </w:pPr>
    </w:p>
    <w:tbl>
      <w:tblPr>
        <w:tblStyle w:val="15"/>
        <w:tblW w:w="918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61"/>
        <w:gridCol w:w="3181"/>
        <w:gridCol w:w="2639"/>
        <w:gridCol w:w="2002"/>
      </w:tblGrid>
      <w:tr w14:paraId="278D7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9183" w:type="dxa"/>
            <w:gridSpan w:val="4"/>
            <w:tcBorders>
              <w:top w:val="single" w:color="000000" w:sz="2" w:space="0"/>
              <w:left w:val="single" w:color="000000" w:sz="10" w:space="0"/>
              <w:right w:val="single" w:color="000000" w:sz="10" w:space="0"/>
            </w:tcBorders>
            <w:shd w:val="clear" w:color="auto" w:fill="F7CAAC"/>
            <w:vAlign w:val="top"/>
          </w:tcPr>
          <w:p w14:paraId="672B63F8">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8" w:firstLineChars="200"/>
            </w:pPr>
            <w:r>
              <w:rPr>
                <w:spacing w:val="2"/>
              </w:rPr>
              <w:t>存在直接控股、管理关系的相关供应商</w:t>
            </w:r>
          </w:p>
        </w:tc>
      </w:tr>
      <w:tr w14:paraId="635D4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1361" w:type="dxa"/>
            <w:tcBorders>
              <w:left w:val="single" w:color="000000" w:sz="10" w:space="0"/>
            </w:tcBorders>
            <w:vAlign w:val="top"/>
          </w:tcPr>
          <w:p w14:paraId="2C0F8495">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46" w:firstLineChars="200"/>
            </w:pPr>
            <w:r>
              <w:rPr>
                <w:b/>
                <w:bCs/>
                <w:spacing w:val="-9"/>
              </w:rPr>
              <w:t>序号</w:t>
            </w:r>
          </w:p>
        </w:tc>
        <w:tc>
          <w:tcPr>
            <w:tcW w:w="3181" w:type="dxa"/>
            <w:tcBorders>
              <w:right w:val="single" w:color="000000" w:sz="2" w:space="0"/>
            </w:tcBorders>
            <w:vAlign w:val="top"/>
          </w:tcPr>
          <w:p w14:paraId="513528A8">
            <w:pPr>
              <w:pStyle w:val="16"/>
              <w:keepNext w:val="0"/>
              <w:keepLines w:val="0"/>
              <w:pageBreakBefore w:val="0"/>
              <w:widowControl/>
              <w:kinsoku/>
              <w:wordWrap/>
              <w:overflowPunct/>
              <w:topLinePunct w:val="0"/>
              <w:autoSpaceDE/>
              <w:autoSpaceDN/>
              <w:bidi w:val="0"/>
              <w:adjustRightInd w:val="0"/>
              <w:snapToGrid w:val="0"/>
              <w:spacing w:line="324" w:lineRule="auto"/>
              <w:ind w:right="0"/>
              <w:rPr>
                <w:rFonts w:hint="eastAsia" w:eastAsia="仿宋"/>
                <w:lang w:eastAsia="zh-CN"/>
              </w:rPr>
            </w:pPr>
            <w:r>
              <w:rPr>
                <w:b/>
                <w:bCs/>
                <w:spacing w:val="-1"/>
              </w:rPr>
              <w:t>直接控股股东名称及出</w:t>
            </w:r>
            <w:r>
              <w:rPr>
                <w:rFonts w:hint="eastAsia"/>
                <w:b/>
                <w:bCs/>
                <w:spacing w:val="-9"/>
                <w:lang w:eastAsia="zh-CN"/>
              </w:rPr>
              <w:t>法定</w:t>
            </w:r>
          </w:p>
        </w:tc>
        <w:tc>
          <w:tcPr>
            <w:tcW w:w="2639" w:type="dxa"/>
            <w:tcBorders>
              <w:left w:val="single" w:color="000000" w:sz="2" w:space="0"/>
              <w:right w:val="single" w:color="000000" w:sz="2" w:space="0"/>
            </w:tcBorders>
            <w:vAlign w:val="top"/>
          </w:tcPr>
          <w:p w14:paraId="2D29B27C">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b/>
                <w:bCs/>
                <w:spacing w:val="-1"/>
              </w:rPr>
              <w:t>直接管理关系单位</w:t>
            </w:r>
            <w:r>
              <w:rPr>
                <w:b/>
                <w:bCs/>
                <w:spacing w:val="-9"/>
              </w:rPr>
              <w:t>名称</w:t>
            </w:r>
          </w:p>
        </w:tc>
        <w:tc>
          <w:tcPr>
            <w:tcW w:w="2002" w:type="dxa"/>
            <w:tcBorders>
              <w:left w:val="single" w:color="000000" w:sz="2" w:space="0"/>
              <w:right w:val="single" w:color="000000" w:sz="10" w:space="0"/>
            </w:tcBorders>
            <w:vAlign w:val="top"/>
          </w:tcPr>
          <w:p w14:paraId="1127CE0C">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42" w:firstLineChars="200"/>
            </w:pPr>
            <w:r>
              <w:rPr>
                <w:b/>
                <w:bCs/>
                <w:spacing w:val="-10"/>
              </w:rPr>
              <w:t>备注</w:t>
            </w:r>
          </w:p>
        </w:tc>
      </w:tr>
      <w:tr w14:paraId="46884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361" w:type="dxa"/>
            <w:tcBorders>
              <w:left w:val="single" w:color="000000" w:sz="10" w:space="0"/>
            </w:tcBorders>
            <w:vAlign w:val="top"/>
          </w:tcPr>
          <w:p w14:paraId="38E1AC0E">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rPr>
                <w:position w:val="1"/>
              </w:rPr>
              <w:t>1</w:t>
            </w:r>
          </w:p>
        </w:tc>
        <w:tc>
          <w:tcPr>
            <w:tcW w:w="3181" w:type="dxa"/>
            <w:tcBorders>
              <w:right w:val="single" w:color="000000" w:sz="2" w:space="0"/>
            </w:tcBorders>
            <w:vAlign w:val="top"/>
          </w:tcPr>
          <w:p w14:paraId="48CF9DF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639" w:type="dxa"/>
            <w:tcBorders>
              <w:left w:val="single" w:color="000000" w:sz="2" w:space="0"/>
              <w:right w:val="single" w:color="000000" w:sz="2" w:space="0"/>
            </w:tcBorders>
            <w:vAlign w:val="top"/>
          </w:tcPr>
          <w:p w14:paraId="49B065E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002" w:type="dxa"/>
            <w:tcBorders>
              <w:left w:val="single" w:color="000000" w:sz="2" w:space="0"/>
              <w:right w:val="single" w:color="000000" w:sz="10" w:space="0"/>
            </w:tcBorders>
            <w:vAlign w:val="top"/>
          </w:tcPr>
          <w:p w14:paraId="605489D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67D61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361" w:type="dxa"/>
            <w:tcBorders>
              <w:left w:val="single" w:color="000000" w:sz="10" w:space="0"/>
            </w:tcBorders>
            <w:vAlign w:val="top"/>
          </w:tcPr>
          <w:p w14:paraId="7F5C7ED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rPr>
                <w:position w:val="1"/>
              </w:rPr>
              <w:t>2</w:t>
            </w:r>
          </w:p>
        </w:tc>
        <w:tc>
          <w:tcPr>
            <w:tcW w:w="3181" w:type="dxa"/>
            <w:tcBorders>
              <w:right w:val="single" w:color="000000" w:sz="2" w:space="0"/>
            </w:tcBorders>
            <w:vAlign w:val="top"/>
          </w:tcPr>
          <w:p w14:paraId="65C8021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639" w:type="dxa"/>
            <w:tcBorders>
              <w:left w:val="single" w:color="000000" w:sz="2" w:space="0"/>
              <w:right w:val="single" w:color="000000" w:sz="2" w:space="0"/>
            </w:tcBorders>
            <w:vAlign w:val="top"/>
          </w:tcPr>
          <w:p w14:paraId="3A7DDBD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002" w:type="dxa"/>
            <w:tcBorders>
              <w:left w:val="single" w:color="000000" w:sz="2" w:space="0"/>
              <w:right w:val="single" w:color="000000" w:sz="10" w:space="0"/>
            </w:tcBorders>
            <w:vAlign w:val="top"/>
          </w:tcPr>
          <w:p w14:paraId="5E17306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5421F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361" w:type="dxa"/>
            <w:tcBorders>
              <w:left w:val="single" w:color="000000" w:sz="10" w:space="0"/>
            </w:tcBorders>
            <w:vAlign w:val="top"/>
          </w:tcPr>
          <w:p w14:paraId="6BA9CA33">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3</w:t>
            </w:r>
          </w:p>
        </w:tc>
        <w:tc>
          <w:tcPr>
            <w:tcW w:w="3181" w:type="dxa"/>
            <w:tcBorders>
              <w:right w:val="single" w:color="000000" w:sz="2" w:space="0"/>
            </w:tcBorders>
            <w:vAlign w:val="top"/>
          </w:tcPr>
          <w:p w14:paraId="09BC52C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639" w:type="dxa"/>
            <w:tcBorders>
              <w:left w:val="single" w:color="000000" w:sz="2" w:space="0"/>
              <w:right w:val="single" w:color="000000" w:sz="2" w:space="0"/>
            </w:tcBorders>
            <w:vAlign w:val="top"/>
          </w:tcPr>
          <w:p w14:paraId="68C2D35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002" w:type="dxa"/>
            <w:tcBorders>
              <w:left w:val="single" w:color="000000" w:sz="2" w:space="0"/>
              <w:right w:val="single" w:color="000000" w:sz="10" w:space="0"/>
            </w:tcBorders>
            <w:vAlign w:val="top"/>
          </w:tcPr>
          <w:p w14:paraId="10445AD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21FB9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1361" w:type="dxa"/>
            <w:tcBorders>
              <w:left w:val="single" w:color="000000" w:sz="10" w:space="0"/>
              <w:bottom w:val="single" w:color="000000" w:sz="2" w:space="0"/>
            </w:tcBorders>
            <w:vAlign w:val="top"/>
          </w:tcPr>
          <w:p w14:paraId="434BD536">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pPr>
            <w:r>
              <w:rPr>
                <w:spacing w:val="1"/>
                <w:position w:val="-10"/>
              </w:rPr>
              <w:t>……</w:t>
            </w:r>
          </w:p>
        </w:tc>
        <w:tc>
          <w:tcPr>
            <w:tcW w:w="3181" w:type="dxa"/>
            <w:tcBorders>
              <w:bottom w:val="single" w:color="000000" w:sz="2" w:space="0"/>
              <w:right w:val="single" w:color="000000" w:sz="2" w:space="0"/>
            </w:tcBorders>
            <w:vAlign w:val="top"/>
          </w:tcPr>
          <w:p w14:paraId="3F6ED2C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639" w:type="dxa"/>
            <w:tcBorders>
              <w:left w:val="single" w:color="000000" w:sz="2" w:space="0"/>
              <w:bottom w:val="single" w:color="000000" w:sz="2" w:space="0"/>
              <w:right w:val="single" w:color="000000" w:sz="2" w:space="0"/>
            </w:tcBorders>
            <w:vAlign w:val="top"/>
          </w:tcPr>
          <w:p w14:paraId="66B0CFA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002" w:type="dxa"/>
            <w:tcBorders>
              <w:left w:val="single" w:color="000000" w:sz="2" w:space="0"/>
              <w:bottom w:val="single" w:color="000000" w:sz="2" w:space="0"/>
              <w:right w:val="single" w:color="000000" w:sz="10" w:space="0"/>
            </w:tcBorders>
            <w:vAlign w:val="top"/>
          </w:tcPr>
          <w:p w14:paraId="0DF0A47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bl>
    <w:p w14:paraId="010FF29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4746B7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3288C4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 xml:space="preserve">供应商： </w:t>
      </w:r>
      <w:r>
        <w:rPr>
          <w:spacing w:val="-114"/>
          <w:sz w:val="28"/>
          <w:szCs w:val="28"/>
          <w:u w:val="single" w:color="auto"/>
        </w:rPr>
        <w:t xml:space="preserve"> </w:t>
      </w:r>
      <w:r>
        <w:rPr>
          <w:spacing w:val="-1"/>
          <w:sz w:val="28"/>
          <w:szCs w:val="28"/>
          <w:u w:val="single" w:color="auto"/>
        </w:rPr>
        <w:t>名称</w:t>
      </w:r>
      <w:r>
        <w:rPr>
          <w:spacing w:val="-1"/>
          <w:sz w:val="28"/>
          <w:szCs w:val="28"/>
        </w:rPr>
        <w:t>（加盖公章）</w:t>
      </w:r>
    </w:p>
    <w:p w14:paraId="31F1859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18"/>
          <w:sz w:val="28"/>
          <w:szCs w:val="28"/>
        </w:rPr>
        <w:t xml:space="preserve">  </w:t>
      </w:r>
      <w:r>
        <w:rPr>
          <w:spacing w:val="-22"/>
          <w:sz w:val="28"/>
          <w:szCs w:val="28"/>
        </w:rPr>
        <w:t>年</w:t>
      </w:r>
      <w:r>
        <w:rPr>
          <w:spacing w:val="18"/>
          <w:sz w:val="28"/>
          <w:szCs w:val="28"/>
        </w:rPr>
        <w:t xml:space="preserve">  </w:t>
      </w:r>
      <w:r>
        <w:rPr>
          <w:spacing w:val="-22"/>
          <w:sz w:val="28"/>
          <w:szCs w:val="28"/>
        </w:rPr>
        <w:t>月</w:t>
      </w:r>
      <w:r>
        <w:rPr>
          <w:spacing w:val="42"/>
          <w:sz w:val="28"/>
          <w:szCs w:val="28"/>
        </w:rPr>
        <w:t xml:space="preserve">  </w:t>
      </w:r>
      <w:r>
        <w:rPr>
          <w:spacing w:val="-22"/>
          <w:sz w:val="28"/>
          <w:szCs w:val="28"/>
        </w:rPr>
        <w:t>日</w:t>
      </w:r>
    </w:p>
    <w:p w14:paraId="684A28C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12" w:firstLineChars="200"/>
        <w:rPr>
          <w:rFonts w:ascii="宋体" w:hAnsi="宋体" w:eastAsia="宋体" w:cs="宋体"/>
          <w:sz w:val="20"/>
          <w:szCs w:val="20"/>
        </w:rPr>
      </w:pPr>
      <w:r>
        <w:rPr>
          <w:rFonts w:ascii="宋体" w:hAnsi="宋体" w:eastAsia="宋体" w:cs="宋体"/>
          <w:spacing w:val="3"/>
          <w:sz w:val="20"/>
          <w:szCs w:val="20"/>
        </w:rPr>
        <w:t>备注：</w:t>
      </w:r>
    </w:p>
    <w:p w14:paraId="3551EFA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jc w:val="both"/>
        <w:rPr>
          <w:rFonts w:ascii="宋体" w:hAnsi="宋体" w:eastAsia="宋体" w:cs="宋体"/>
          <w:sz w:val="20"/>
          <w:szCs w:val="20"/>
        </w:rPr>
      </w:pPr>
      <w:r>
        <w:rPr>
          <w:rFonts w:ascii="宋体" w:hAnsi="宋体" w:eastAsia="宋体" w:cs="宋体"/>
          <w:spacing w:val="13"/>
          <w:sz w:val="20"/>
          <w:szCs w:val="20"/>
        </w:rPr>
        <w:t>1、直接控股股东：是指其出资额占有限责任</w:t>
      </w:r>
      <w:r>
        <w:rPr>
          <w:rFonts w:ascii="宋体" w:hAnsi="宋体" w:eastAsia="宋体" w:cs="宋体"/>
          <w:spacing w:val="12"/>
          <w:sz w:val="20"/>
          <w:szCs w:val="20"/>
        </w:rPr>
        <w:t>公司资本总额百分之五十以上或者其持有的股份</w:t>
      </w:r>
      <w:r>
        <w:rPr>
          <w:rFonts w:ascii="宋体" w:hAnsi="宋体" w:eastAsia="宋体" w:cs="宋体"/>
          <w:spacing w:val="15"/>
          <w:sz w:val="20"/>
          <w:szCs w:val="20"/>
        </w:rPr>
        <w:t>占股份有限公司股份总额百分之五十以上的股</w:t>
      </w:r>
      <w:r>
        <w:rPr>
          <w:rFonts w:ascii="宋体" w:hAnsi="宋体" w:eastAsia="宋体" w:cs="宋体"/>
          <w:spacing w:val="14"/>
          <w:sz w:val="20"/>
          <w:szCs w:val="20"/>
        </w:rPr>
        <w:t>东；</w:t>
      </w:r>
      <w:r>
        <w:rPr>
          <w:rFonts w:ascii="宋体" w:hAnsi="宋体" w:eastAsia="宋体" w:cs="宋体"/>
          <w:spacing w:val="-51"/>
          <w:sz w:val="20"/>
          <w:szCs w:val="20"/>
        </w:rPr>
        <w:t xml:space="preserve"> </w:t>
      </w:r>
      <w:r>
        <w:rPr>
          <w:rFonts w:ascii="宋体" w:hAnsi="宋体" w:eastAsia="宋体" w:cs="宋体"/>
          <w:spacing w:val="14"/>
          <w:sz w:val="20"/>
          <w:szCs w:val="20"/>
        </w:rPr>
        <w:t>出资额或者持有股份的比例虽然不足百分之五</w:t>
      </w:r>
      <w:r>
        <w:rPr>
          <w:rFonts w:ascii="宋体" w:hAnsi="宋体" w:eastAsia="宋体" w:cs="宋体"/>
          <w:spacing w:val="11"/>
          <w:sz w:val="20"/>
          <w:szCs w:val="20"/>
        </w:rPr>
        <w:t>十，但依其出资额或者持有的股份所享有的表决权已足以对股</w:t>
      </w:r>
      <w:r>
        <w:rPr>
          <w:rFonts w:ascii="宋体" w:hAnsi="宋体" w:eastAsia="宋体" w:cs="宋体"/>
          <w:spacing w:val="10"/>
          <w:sz w:val="20"/>
          <w:szCs w:val="20"/>
        </w:rPr>
        <w:t>东会、股东大会的决议产生重大影响</w:t>
      </w:r>
      <w:r>
        <w:rPr>
          <w:rFonts w:ascii="宋体" w:hAnsi="宋体" w:eastAsia="宋体" w:cs="宋体"/>
          <w:spacing w:val="6"/>
          <w:sz w:val="20"/>
          <w:szCs w:val="20"/>
        </w:rPr>
        <w:t>的股东。</w:t>
      </w:r>
    </w:p>
    <w:p w14:paraId="00E9C49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2、管理关系：是指不具有出资持股关系的其他单位之间存在的管理与被管理</w:t>
      </w:r>
      <w:r>
        <w:rPr>
          <w:rFonts w:ascii="宋体" w:hAnsi="宋体" w:eastAsia="宋体" w:cs="宋体"/>
          <w:spacing w:val="12"/>
          <w:sz w:val="20"/>
          <w:szCs w:val="20"/>
        </w:rPr>
        <w:t>关系，如一些上</w:t>
      </w:r>
      <w:r>
        <w:rPr>
          <w:rFonts w:ascii="宋体" w:hAnsi="宋体" w:eastAsia="宋体" w:cs="宋体"/>
          <w:spacing w:val="11"/>
          <w:sz w:val="20"/>
          <w:szCs w:val="20"/>
        </w:rPr>
        <w:t>下级关系的事业单位和团体组织。</w:t>
      </w:r>
    </w:p>
    <w:p w14:paraId="2F2B8BE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3、本表所指的控股、管理关系仅限于直接控股、直接管理关系，</w:t>
      </w:r>
      <w:r>
        <w:rPr>
          <w:rFonts w:ascii="宋体" w:hAnsi="宋体" w:eastAsia="宋体" w:cs="宋体"/>
          <w:spacing w:val="12"/>
          <w:sz w:val="20"/>
          <w:szCs w:val="20"/>
        </w:rPr>
        <w:t>不包括间接的控股或管理关系。公司实际控制人与公司之间的关系不属于本表所指的直接控股关系。</w:t>
      </w:r>
    </w:p>
    <w:p w14:paraId="59E4308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4" w:firstLineChars="200"/>
        <w:rPr>
          <w:rFonts w:ascii="宋体" w:hAnsi="宋体" w:eastAsia="宋体" w:cs="宋体"/>
          <w:sz w:val="20"/>
          <w:szCs w:val="20"/>
        </w:rPr>
      </w:pPr>
      <w:r>
        <w:rPr>
          <w:rFonts w:ascii="宋体" w:hAnsi="宋体" w:eastAsia="宋体" w:cs="宋体"/>
          <w:spacing w:val="11"/>
          <w:sz w:val="20"/>
          <w:szCs w:val="20"/>
        </w:rPr>
        <w:t>4、供应商如不存在直接控股股东的，则在“直接控股股东名称及出</w:t>
      </w:r>
      <w:r>
        <w:rPr>
          <w:rFonts w:hint="eastAsia" w:ascii="宋体" w:hAnsi="宋体" w:eastAsia="宋体" w:cs="宋体"/>
          <w:spacing w:val="11"/>
          <w:sz w:val="20"/>
          <w:szCs w:val="20"/>
          <w:lang w:eastAsia="zh-CN"/>
        </w:rPr>
        <w:t>法定</w:t>
      </w:r>
      <w:r>
        <w:rPr>
          <w:rFonts w:ascii="宋体" w:hAnsi="宋体" w:eastAsia="宋体" w:cs="宋体"/>
          <w:spacing w:val="-54"/>
          <w:sz w:val="20"/>
          <w:szCs w:val="20"/>
        </w:rPr>
        <w:t xml:space="preserve"> </w:t>
      </w:r>
      <w:r>
        <w:rPr>
          <w:rFonts w:ascii="宋体" w:hAnsi="宋体" w:eastAsia="宋体" w:cs="宋体"/>
          <w:spacing w:val="11"/>
          <w:sz w:val="20"/>
          <w:szCs w:val="20"/>
        </w:rPr>
        <w:t>”处填写“无</w:t>
      </w:r>
      <w:r>
        <w:rPr>
          <w:rFonts w:ascii="宋体" w:hAnsi="宋体" w:eastAsia="宋体" w:cs="宋体"/>
          <w:spacing w:val="-68"/>
          <w:sz w:val="20"/>
          <w:szCs w:val="20"/>
        </w:rPr>
        <w:t xml:space="preserve"> </w:t>
      </w:r>
      <w:r>
        <w:rPr>
          <w:rFonts w:ascii="宋体" w:hAnsi="宋体" w:eastAsia="宋体" w:cs="宋体"/>
          <w:spacing w:val="11"/>
          <w:sz w:val="20"/>
          <w:szCs w:val="20"/>
        </w:rPr>
        <w:t>”或</w:t>
      </w:r>
      <w:r>
        <w:rPr>
          <w:rFonts w:ascii="宋体" w:hAnsi="宋体" w:eastAsia="宋体" w:cs="宋体"/>
          <w:spacing w:val="7"/>
          <w:sz w:val="20"/>
          <w:szCs w:val="20"/>
        </w:rPr>
        <w:t>“/</w:t>
      </w:r>
      <w:r>
        <w:rPr>
          <w:rFonts w:ascii="宋体" w:hAnsi="宋体" w:eastAsia="宋体" w:cs="宋体"/>
          <w:spacing w:val="-61"/>
          <w:sz w:val="20"/>
          <w:szCs w:val="20"/>
        </w:rPr>
        <w:t xml:space="preserve"> </w:t>
      </w:r>
      <w:r>
        <w:rPr>
          <w:rFonts w:ascii="宋体" w:hAnsi="宋体" w:eastAsia="宋体" w:cs="宋体"/>
          <w:spacing w:val="7"/>
          <w:sz w:val="20"/>
          <w:szCs w:val="20"/>
        </w:rPr>
        <w:t>”。供应商不存在直接管理关系的，则在“直接管理关系单位名称</w:t>
      </w:r>
      <w:r>
        <w:rPr>
          <w:rFonts w:ascii="宋体" w:hAnsi="宋体" w:eastAsia="宋体" w:cs="宋体"/>
          <w:spacing w:val="-67"/>
          <w:sz w:val="20"/>
          <w:szCs w:val="20"/>
        </w:rPr>
        <w:t xml:space="preserve"> </w:t>
      </w:r>
      <w:r>
        <w:rPr>
          <w:rFonts w:ascii="宋体" w:hAnsi="宋体" w:eastAsia="宋体" w:cs="宋体"/>
          <w:spacing w:val="7"/>
          <w:sz w:val="20"/>
          <w:szCs w:val="20"/>
        </w:rPr>
        <w:t>”中填“无</w:t>
      </w:r>
      <w:r>
        <w:rPr>
          <w:rFonts w:ascii="宋体" w:hAnsi="宋体" w:eastAsia="宋体" w:cs="宋体"/>
          <w:spacing w:val="-68"/>
          <w:sz w:val="20"/>
          <w:szCs w:val="20"/>
        </w:rPr>
        <w:t xml:space="preserve"> </w:t>
      </w:r>
      <w:r>
        <w:rPr>
          <w:rFonts w:ascii="宋体" w:hAnsi="宋体" w:eastAsia="宋体" w:cs="宋体"/>
          <w:spacing w:val="7"/>
          <w:sz w:val="20"/>
          <w:szCs w:val="20"/>
        </w:rPr>
        <w:t>”或“/</w:t>
      </w:r>
      <w:r>
        <w:rPr>
          <w:rFonts w:ascii="宋体" w:hAnsi="宋体" w:eastAsia="宋体" w:cs="宋体"/>
          <w:spacing w:val="-71"/>
          <w:sz w:val="20"/>
          <w:szCs w:val="20"/>
        </w:rPr>
        <w:t xml:space="preserve"> </w:t>
      </w:r>
      <w:r>
        <w:rPr>
          <w:rFonts w:ascii="宋体" w:hAnsi="宋体" w:eastAsia="宋体" w:cs="宋体"/>
          <w:spacing w:val="7"/>
          <w:sz w:val="20"/>
          <w:szCs w:val="20"/>
        </w:rPr>
        <w:t>”。</w:t>
      </w:r>
    </w:p>
    <w:p w14:paraId="264C829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sectPr>
          <w:headerReference r:id="rId19" w:type="default"/>
          <w:footerReference r:id="rId20" w:type="default"/>
          <w:pgSz w:w="11906" w:h="16839"/>
          <w:pgMar w:top="1210" w:right="1348" w:bottom="1233" w:left="1348" w:header="828" w:footer="1019" w:gutter="0"/>
          <w:pgBorders>
            <w:top w:val="none" w:sz="0" w:space="0"/>
            <w:left w:val="none" w:sz="0" w:space="0"/>
            <w:bottom w:val="none" w:sz="0" w:space="0"/>
            <w:right w:val="none" w:sz="0" w:space="0"/>
          </w:pgBorders>
          <w:pgNumType w:fmt="decimal"/>
          <w:cols w:space="720" w:num="1"/>
        </w:sectPr>
      </w:pPr>
    </w:p>
    <w:p w14:paraId="429E04A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2CA364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6" w:firstLineChars="200"/>
        <w:rPr>
          <w:sz w:val="30"/>
          <w:szCs w:val="30"/>
        </w:rPr>
      </w:pPr>
      <w:r>
        <w:rPr>
          <w:b/>
          <w:bCs/>
          <w:spacing w:val="-4"/>
          <w:sz w:val="30"/>
          <w:szCs w:val="30"/>
        </w:rPr>
        <w:t>七、书面声明</w:t>
      </w:r>
    </w:p>
    <w:p w14:paraId="1DA610E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2" w:firstLineChars="200"/>
        <w:rPr>
          <w:sz w:val="30"/>
          <w:szCs w:val="30"/>
        </w:rPr>
      </w:pPr>
      <w:r>
        <w:rPr>
          <w:b/>
          <w:bCs/>
          <w:spacing w:val="-5"/>
          <w:position w:val="3"/>
          <w:sz w:val="30"/>
          <w:szCs w:val="30"/>
        </w:rPr>
        <w:t>书面声明（</w:t>
      </w:r>
      <w:r>
        <w:rPr>
          <w:rFonts w:hint="eastAsia"/>
          <w:b/>
          <w:bCs/>
          <w:spacing w:val="-5"/>
          <w:position w:val="3"/>
          <w:sz w:val="30"/>
          <w:szCs w:val="30"/>
          <w:lang w:eastAsia="zh-CN"/>
        </w:rPr>
        <w:t>格式</w:t>
      </w:r>
      <w:r>
        <w:rPr>
          <w:b/>
          <w:bCs/>
          <w:spacing w:val="-5"/>
          <w:position w:val="3"/>
          <w:sz w:val="30"/>
          <w:szCs w:val="30"/>
        </w:rPr>
        <w:t>）</w:t>
      </w:r>
    </w:p>
    <w:p w14:paraId="3AE8CBB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rFonts w:hint="eastAsia"/>
          <w:sz w:val="28"/>
          <w:szCs w:val="28"/>
          <w:lang w:eastAsia="zh-CN"/>
        </w:rPr>
        <w:t>陕西中源项目管理有限公司</w:t>
      </w:r>
      <w:r>
        <w:rPr>
          <w:sz w:val="28"/>
          <w:szCs w:val="28"/>
        </w:rPr>
        <w:t>：</w:t>
      </w:r>
    </w:p>
    <w:p w14:paraId="24F8090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我方作为</w:t>
      </w:r>
      <w:r>
        <w:rPr>
          <w:spacing w:val="-3"/>
          <w:sz w:val="28"/>
          <w:szCs w:val="28"/>
          <w:u w:val="single" w:color="auto"/>
        </w:rPr>
        <w:t>项目名称</w:t>
      </w:r>
      <w:r>
        <w:rPr>
          <w:spacing w:val="-3"/>
          <w:sz w:val="28"/>
          <w:szCs w:val="28"/>
        </w:rPr>
        <w:t>（项目编号</w:t>
      </w:r>
      <w:r>
        <w:rPr>
          <w:spacing w:val="-14"/>
          <w:sz w:val="28"/>
          <w:szCs w:val="28"/>
        </w:rPr>
        <w:t>：</w:t>
      </w:r>
      <w:r>
        <w:rPr>
          <w:spacing w:val="1"/>
          <w:sz w:val="28"/>
          <w:szCs w:val="28"/>
          <w:u w:val="single" w:color="auto"/>
        </w:rPr>
        <w:t xml:space="preserve">     </w:t>
      </w:r>
      <w:r>
        <w:rPr>
          <w:spacing w:val="-14"/>
          <w:sz w:val="28"/>
          <w:szCs w:val="28"/>
        </w:rPr>
        <w:t>）</w:t>
      </w:r>
      <w:r>
        <w:rPr>
          <w:spacing w:val="-3"/>
          <w:sz w:val="28"/>
          <w:szCs w:val="28"/>
        </w:rPr>
        <w:t>第</w:t>
      </w:r>
      <w:r>
        <w:rPr>
          <w:spacing w:val="-135"/>
          <w:sz w:val="28"/>
          <w:szCs w:val="28"/>
        </w:rPr>
        <w:t xml:space="preserve"> </w:t>
      </w:r>
      <w:r>
        <w:rPr>
          <w:spacing w:val="2"/>
          <w:sz w:val="28"/>
          <w:szCs w:val="28"/>
          <w:u w:val="single" w:color="auto"/>
        </w:rPr>
        <w:t xml:space="preserve">  </w:t>
      </w:r>
      <w:r>
        <w:rPr>
          <w:spacing w:val="-123"/>
          <w:sz w:val="28"/>
          <w:szCs w:val="28"/>
        </w:rPr>
        <w:t xml:space="preserve"> </w:t>
      </w:r>
      <w:r>
        <w:rPr>
          <w:spacing w:val="-3"/>
          <w:sz w:val="28"/>
          <w:szCs w:val="28"/>
        </w:rPr>
        <w:t>标段的供应商，在此郑重</w:t>
      </w:r>
      <w:r>
        <w:rPr>
          <w:spacing w:val="-5"/>
          <w:sz w:val="28"/>
          <w:szCs w:val="28"/>
        </w:rPr>
        <w:t>声明：</w:t>
      </w:r>
    </w:p>
    <w:p w14:paraId="7CABBE0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1、我方具备履行合同所必须的设备和专业技术能力。</w:t>
      </w:r>
    </w:p>
    <w:p w14:paraId="0B61C5B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2、我方未为本项目提供整体设计、规范编制或者项目管理、监理、检测等服务。</w:t>
      </w:r>
    </w:p>
    <w:p w14:paraId="7F31C94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如有不实，我方将无条件地退出本项目的采购活动，并遵照《政府采</w:t>
      </w:r>
      <w:r>
        <w:rPr>
          <w:sz w:val="28"/>
          <w:szCs w:val="28"/>
        </w:rPr>
        <w:t>购法》有关“提供虚假材料的规定</w:t>
      </w:r>
      <w:r>
        <w:rPr>
          <w:spacing w:val="-93"/>
          <w:sz w:val="28"/>
          <w:szCs w:val="28"/>
        </w:rPr>
        <w:t xml:space="preserve"> </w:t>
      </w:r>
      <w:r>
        <w:rPr>
          <w:sz w:val="28"/>
          <w:szCs w:val="28"/>
        </w:rPr>
        <w:t>”接受处罚。</w:t>
      </w:r>
    </w:p>
    <w:p w14:paraId="67BDB35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特此声明。</w:t>
      </w:r>
    </w:p>
    <w:p w14:paraId="4F9CCDE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outlineLvl w:val="1"/>
        <w:rPr>
          <w:sz w:val="28"/>
          <w:szCs w:val="28"/>
        </w:rPr>
      </w:pPr>
      <w:r>
        <w:rPr>
          <w:spacing w:val="-1"/>
          <w:sz w:val="28"/>
          <w:szCs w:val="28"/>
        </w:rPr>
        <w:t xml:space="preserve">供应商： </w:t>
      </w:r>
      <w:r>
        <w:rPr>
          <w:spacing w:val="-114"/>
          <w:sz w:val="28"/>
          <w:szCs w:val="28"/>
          <w:u w:val="single" w:color="auto"/>
        </w:rPr>
        <w:t xml:space="preserve"> </w:t>
      </w:r>
      <w:r>
        <w:rPr>
          <w:spacing w:val="-1"/>
          <w:sz w:val="28"/>
          <w:szCs w:val="28"/>
          <w:u w:val="single" w:color="auto"/>
        </w:rPr>
        <w:t>名称</w:t>
      </w:r>
      <w:r>
        <w:rPr>
          <w:spacing w:val="-1"/>
          <w:sz w:val="28"/>
          <w:szCs w:val="28"/>
        </w:rPr>
        <w:t>（加盖公章）</w:t>
      </w:r>
    </w:p>
    <w:p w14:paraId="48276CF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18"/>
          <w:sz w:val="28"/>
          <w:szCs w:val="28"/>
        </w:rPr>
        <w:t xml:space="preserve">  </w:t>
      </w:r>
      <w:r>
        <w:rPr>
          <w:spacing w:val="-22"/>
          <w:sz w:val="28"/>
          <w:szCs w:val="28"/>
        </w:rPr>
        <w:t>年</w:t>
      </w:r>
      <w:r>
        <w:rPr>
          <w:spacing w:val="18"/>
          <w:sz w:val="28"/>
          <w:szCs w:val="28"/>
        </w:rPr>
        <w:t xml:space="preserve">  </w:t>
      </w:r>
      <w:r>
        <w:rPr>
          <w:spacing w:val="-22"/>
          <w:sz w:val="28"/>
          <w:szCs w:val="28"/>
        </w:rPr>
        <w:t>月</w:t>
      </w:r>
      <w:r>
        <w:rPr>
          <w:spacing w:val="42"/>
          <w:sz w:val="28"/>
          <w:szCs w:val="28"/>
        </w:rPr>
        <w:t xml:space="preserve">  </w:t>
      </w:r>
      <w:r>
        <w:rPr>
          <w:spacing w:val="-22"/>
          <w:sz w:val="28"/>
          <w:szCs w:val="28"/>
        </w:rPr>
        <w:t>日</w:t>
      </w:r>
    </w:p>
    <w:p w14:paraId="5A1E475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2B8766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2A41A4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3DFC9C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0" w:firstLineChars="200"/>
        <w:rPr>
          <w:rFonts w:ascii="宋体" w:hAnsi="宋体" w:eastAsia="宋体" w:cs="宋体"/>
          <w:sz w:val="20"/>
          <w:szCs w:val="20"/>
        </w:rPr>
      </w:pPr>
      <w:r>
        <w:rPr>
          <w:rFonts w:ascii="宋体" w:hAnsi="宋体" w:eastAsia="宋体" w:cs="宋体"/>
          <w:spacing w:val="10"/>
          <w:sz w:val="20"/>
          <w:szCs w:val="20"/>
        </w:rPr>
        <w:t>备注：项目不分标段的，第</w:t>
      </w:r>
      <w:r>
        <w:rPr>
          <w:rFonts w:ascii="宋体" w:hAnsi="宋体" w:eastAsia="宋体" w:cs="宋体"/>
          <w:spacing w:val="-9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5"/>
          <w:sz w:val="20"/>
          <w:szCs w:val="20"/>
        </w:rPr>
        <w:t xml:space="preserve"> </w:t>
      </w:r>
      <w:r>
        <w:rPr>
          <w:rFonts w:ascii="宋体" w:hAnsi="宋体" w:eastAsia="宋体" w:cs="宋体"/>
          <w:spacing w:val="10"/>
          <w:sz w:val="20"/>
          <w:szCs w:val="20"/>
        </w:rPr>
        <w:t>标段空白处填写“</w:t>
      </w:r>
      <w:r>
        <w:rPr>
          <w:rFonts w:ascii="宋体" w:hAnsi="宋体" w:eastAsia="宋体" w:cs="宋体"/>
          <w:spacing w:val="9"/>
          <w:sz w:val="20"/>
          <w:szCs w:val="20"/>
        </w:rPr>
        <w:t>/</w:t>
      </w:r>
      <w:r>
        <w:rPr>
          <w:rFonts w:ascii="宋体" w:hAnsi="宋体" w:eastAsia="宋体" w:cs="宋体"/>
          <w:spacing w:val="-68"/>
          <w:sz w:val="20"/>
          <w:szCs w:val="20"/>
        </w:rPr>
        <w:t xml:space="preserve"> </w:t>
      </w:r>
      <w:r>
        <w:rPr>
          <w:rFonts w:ascii="宋体" w:hAnsi="宋体" w:eastAsia="宋体" w:cs="宋体"/>
          <w:spacing w:val="9"/>
          <w:sz w:val="20"/>
          <w:szCs w:val="20"/>
        </w:rPr>
        <w:t>”。</w:t>
      </w:r>
    </w:p>
    <w:p w14:paraId="51C24D1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sectPr>
          <w:footerReference r:id="rId21"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56F973C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DB5FC3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4" w:firstLineChars="200"/>
        <w:rPr>
          <w:sz w:val="30"/>
          <w:szCs w:val="30"/>
        </w:rPr>
      </w:pPr>
      <w:r>
        <w:rPr>
          <w:b/>
          <w:bCs/>
          <w:spacing w:val="-2"/>
          <w:sz w:val="30"/>
          <w:szCs w:val="30"/>
        </w:rPr>
        <w:t>八、法定代表人授权委托书</w:t>
      </w:r>
    </w:p>
    <w:p w14:paraId="5F333A9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4" w:firstLineChars="200"/>
        <w:outlineLvl w:val="1"/>
        <w:rPr>
          <w:sz w:val="30"/>
          <w:szCs w:val="30"/>
        </w:rPr>
      </w:pPr>
      <w:r>
        <w:rPr>
          <w:b/>
          <w:bCs/>
          <w:spacing w:val="-2"/>
          <w:sz w:val="30"/>
          <w:szCs w:val="30"/>
        </w:rPr>
        <w:t>法定代表人授权委托书（格式）</w:t>
      </w:r>
    </w:p>
    <w:p w14:paraId="59CCBAA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rFonts w:hint="eastAsia"/>
          <w:sz w:val="28"/>
          <w:szCs w:val="28"/>
          <w:lang w:eastAsia="zh-CN"/>
        </w:rPr>
        <w:t>陕西中源项目管理有限公司</w:t>
      </w:r>
      <w:r>
        <w:rPr>
          <w:sz w:val="28"/>
          <w:szCs w:val="28"/>
        </w:rPr>
        <w:t>：</w:t>
      </w:r>
    </w:p>
    <w:p w14:paraId="23C3662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现委派（</w:t>
      </w:r>
      <w:r>
        <w:rPr>
          <w:spacing w:val="-71"/>
          <w:sz w:val="28"/>
          <w:szCs w:val="28"/>
        </w:rPr>
        <w:t xml:space="preserve"> </w:t>
      </w:r>
      <w:r>
        <w:rPr>
          <w:spacing w:val="3"/>
          <w:sz w:val="28"/>
          <w:szCs w:val="28"/>
          <w:u w:val="single" w:color="auto"/>
        </w:rPr>
        <w:t>被授权代表姓名</w:t>
      </w:r>
      <w:r>
        <w:rPr>
          <w:spacing w:val="-43"/>
          <w:sz w:val="28"/>
          <w:szCs w:val="28"/>
        </w:rPr>
        <w:t>）（</w:t>
      </w:r>
      <w:r>
        <w:rPr>
          <w:spacing w:val="3"/>
          <w:sz w:val="28"/>
          <w:szCs w:val="28"/>
        </w:rPr>
        <w:t>身份证号</w:t>
      </w:r>
      <w:r>
        <w:rPr>
          <w:spacing w:val="-43"/>
          <w:sz w:val="28"/>
          <w:szCs w:val="28"/>
          <w:u w:val="single" w:color="auto"/>
        </w:rPr>
        <w:t>：</w:t>
      </w:r>
      <w:r>
        <w:rPr>
          <w:spacing w:val="6"/>
          <w:sz w:val="28"/>
          <w:szCs w:val="28"/>
          <w:u w:val="single" w:color="auto"/>
        </w:rPr>
        <w:t xml:space="preserve">          </w:t>
      </w:r>
      <w:r>
        <w:rPr>
          <w:spacing w:val="-90"/>
          <w:sz w:val="28"/>
          <w:szCs w:val="28"/>
        </w:rPr>
        <w:t xml:space="preserve"> </w:t>
      </w:r>
      <w:r>
        <w:rPr>
          <w:spacing w:val="-43"/>
          <w:sz w:val="28"/>
          <w:szCs w:val="28"/>
        </w:rPr>
        <w:t>）</w:t>
      </w:r>
      <w:r>
        <w:rPr>
          <w:spacing w:val="3"/>
          <w:sz w:val="28"/>
          <w:szCs w:val="28"/>
        </w:rPr>
        <w:t>为本公司的被</w:t>
      </w:r>
      <w:r>
        <w:rPr>
          <w:sz w:val="28"/>
          <w:szCs w:val="28"/>
        </w:rPr>
        <w:t>授权代表，参加贵中心组织的</w:t>
      </w:r>
      <w:r>
        <w:rPr>
          <w:sz w:val="28"/>
          <w:szCs w:val="28"/>
          <w:u w:val="single" w:color="auto"/>
        </w:rPr>
        <w:t>《项目名称》</w:t>
      </w:r>
      <w:r>
        <w:rPr>
          <w:sz w:val="28"/>
          <w:szCs w:val="28"/>
        </w:rPr>
        <w:t>（项目编号</w:t>
      </w:r>
      <w:r>
        <w:rPr>
          <w:spacing w:val="-13"/>
          <w:sz w:val="28"/>
          <w:szCs w:val="28"/>
        </w:rPr>
        <w:t>：</w:t>
      </w:r>
      <w:r>
        <w:rPr>
          <w:spacing w:val="5"/>
          <w:sz w:val="28"/>
          <w:szCs w:val="28"/>
          <w:u w:val="single" w:color="auto"/>
        </w:rPr>
        <w:t xml:space="preserve">            </w:t>
      </w:r>
      <w:r>
        <w:rPr>
          <w:spacing w:val="-96"/>
          <w:sz w:val="28"/>
          <w:szCs w:val="28"/>
        </w:rPr>
        <w:t xml:space="preserve"> </w:t>
      </w:r>
      <w:r>
        <w:rPr>
          <w:spacing w:val="-13"/>
          <w:sz w:val="28"/>
          <w:szCs w:val="28"/>
        </w:rPr>
        <w:t>）</w:t>
      </w:r>
      <w:r>
        <w:rPr>
          <w:spacing w:val="2"/>
          <w:sz w:val="28"/>
          <w:szCs w:val="28"/>
        </w:rPr>
        <w:t>第</w:t>
      </w:r>
      <w:r>
        <w:rPr>
          <w:spacing w:val="-138"/>
          <w:sz w:val="28"/>
          <w:szCs w:val="28"/>
        </w:rPr>
        <w:t xml:space="preserve"> </w:t>
      </w:r>
      <w:r>
        <w:rPr>
          <w:spacing w:val="1"/>
          <w:sz w:val="28"/>
          <w:szCs w:val="28"/>
          <w:u w:val="single" w:color="auto"/>
        </w:rPr>
        <w:t xml:space="preserve">  </w:t>
      </w:r>
      <w:r>
        <w:rPr>
          <w:spacing w:val="-121"/>
          <w:sz w:val="28"/>
          <w:szCs w:val="28"/>
        </w:rPr>
        <w:t xml:space="preserve"> </w:t>
      </w:r>
      <w:r>
        <w:rPr>
          <w:spacing w:val="2"/>
          <w:sz w:val="28"/>
          <w:szCs w:val="28"/>
        </w:rPr>
        <w:t>标段政府采购活动，就该项目的投标及合同的执行和</w:t>
      </w:r>
      <w:r>
        <w:rPr>
          <w:spacing w:val="1"/>
          <w:sz w:val="28"/>
          <w:szCs w:val="28"/>
        </w:rPr>
        <w:t>完成，以本公司</w:t>
      </w:r>
      <w:r>
        <w:rPr>
          <w:spacing w:val="2"/>
          <w:sz w:val="28"/>
          <w:szCs w:val="28"/>
        </w:rPr>
        <w:t>的名义处理一切与之有关的事宜。本授权自开标之日起生效，有效期与响</w:t>
      </w:r>
      <w:r>
        <w:rPr>
          <w:sz w:val="28"/>
          <w:szCs w:val="28"/>
        </w:rPr>
        <w:t>应文件有效期一致。</w:t>
      </w:r>
    </w:p>
    <w:p w14:paraId="31724A0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被授权代表姓名：</w:t>
      </w:r>
      <w:r>
        <w:rPr>
          <w:sz w:val="28"/>
          <w:szCs w:val="28"/>
          <w:u w:val="single" w:color="auto"/>
        </w:rPr>
        <w:t xml:space="preserve">      </w:t>
      </w:r>
      <w:r>
        <w:rPr>
          <w:spacing w:val="5"/>
          <w:sz w:val="28"/>
          <w:szCs w:val="28"/>
        </w:rPr>
        <w:t xml:space="preserve">       </w:t>
      </w:r>
      <w:r>
        <w:rPr>
          <w:sz w:val="28"/>
          <w:szCs w:val="28"/>
        </w:rPr>
        <w:t>性别：</w:t>
      </w:r>
      <w:r>
        <w:rPr>
          <w:sz w:val="28"/>
          <w:szCs w:val="28"/>
          <w:u w:val="single" w:color="auto"/>
        </w:rPr>
        <w:t xml:space="preserve">                 </w:t>
      </w:r>
    </w:p>
    <w:p w14:paraId="3E094CF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2" w:firstLineChars="200"/>
        <w:rPr>
          <w:sz w:val="28"/>
          <w:szCs w:val="28"/>
        </w:rPr>
      </w:pPr>
      <w:r>
        <w:rPr>
          <w:spacing w:val="-7"/>
          <w:sz w:val="28"/>
          <w:szCs w:val="28"/>
        </w:rPr>
        <w:t>电话：</w:t>
      </w:r>
      <w:r>
        <w:rPr>
          <w:spacing w:val="2"/>
          <w:sz w:val="28"/>
          <w:szCs w:val="28"/>
          <w:u w:val="single" w:color="auto"/>
        </w:rPr>
        <w:t xml:space="preserve">          </w:t>
      </w:r>
      <w:r>
        <w:rPr>
          <w:spacing w:val="-111"/>
          <w:sz w:val="28"/>
          <w:szCs w:val="28"/>
        </w:rPr>
        <w:t xml:space="preserve"> </w:t>
      </w:r>
      <w:r>
        <w:rPr>
          <w:spacing w:val="-7"/>
          <w:sz w:val="28"/>
          <w:szCs w:val="28"/>
        </w:rPr>
        <w:t>通讯地址：</w:t>
      </w:r>
      <w:r>
        <w:rPr>
          <w:sz w:val="28"/>
          <w:szCs w:val="28"/>
          <w:u w:val="single" w:color="auto"/>
        </w:rPr>
        <w:t xml:space="preserve">               </w:t>
      </w:r>
    </w:p>
    <w:tbl>
      <w:tblPr>
        <w:tblStyle w:val="15"/>
        <w:tblW w:w="8174" w:type="dxa"/>
        <w:tblInd w:w="4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074"/>
        <w:gridCol w:w="4100"/>
      </w:tblGrid>
      <w:tr w14:paraId="03C45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4" w:hRule="atLeast"/>
        </w:trPr>
        <w:tc>
          <w:tcPr>
            <w:tcW w:w="4074" w:type="dxa"/>
            <w:vAlign w:val="top"/>
          </w:tcPr>
          <w:p w14:paraId="029AA5E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DCFC7D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6F28F8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E97F914">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法定代表人身份证复印件</w:t>
            </w:r>
          </w:p>
          <w:p w14:paraId="0A54AAB4">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（有人像面）</w:t>
            </w:r>
          </w:p>
        </w:tc>
        <w:tc>
          <w:tcPr>
            <w:tcW w:w="4100" w:type="dxa"/>
            <w:vAlign w:val="top"/>
          </w:tcPr>
          <w:p w14:paraId="00A073B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F9C59E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2FE892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F7634B5">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被授权代表身份证复印件</w:t>
            </w:r>
          </w:p>
          <w:p w14:paraId="0957E7EE">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（有人像面）</w:t>
            </w:r>
          </w:p>
        </w:tc>
      </w:tr>
      <w:tr w14:paraId="34D12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4" w:hRule="atLeast"/>
        </w:trPr>
        <w:tc>
          <w:tcPr>
            <w:tcW w:w="4074" w:type="dxa"/>
            <w:vAlign w:val="top"/>
          </w:tcPr>
          <w:p w14:paraId="010B778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BD1F8E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4626C6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2C2A51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BABD608">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法定代表人身份证复印件</w:t>
            </w:r>
          </w:p>
          <w:p w14:paraId="4B89D390">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（有国徽面）</w:t>
            </w:r>
          </w:p>
        </w:tc>
        <w:tc>
          <w:tcPr>
            <w:tcW w:w="4100" w:type="dxa"/>
            <w:vAlign w:val="top"/>
          </w:tcPr>
          <w:p w14:paraId="3DE2BEE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18BBD4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3A158D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A8E002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A62AF17">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被授权代表身份证复印件</w:t>
            </w:r>
          </w:p>
          <w:p w14:paraId="4A1A7E4C">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（有国徽面）</w:t>
            </w:r>
          </w:p>
        </w:tc>
      </w:tr>
    </w:tbl>
    <w:p w14:paraId="788D1A6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供应商：</w:t>
      </w:r>
      <w:r>
        <w:rPr>
          <w:spacing w:val="3"/>
          <w:sz w:val="28"/>
          <w:szCs w:val="28"/>
          <w:u w:val="single" w:color="auto"/>
        </w:rPr>
        <w:t>名称</w:t>
      </w:r>
      <w:r>
        <w:rPr>
          <w:spacing w:val="3"/>
          <w:sz w:val="28"/>
          <w:szCs w:val="28"/>
        </w:rPr>
        <w:t>（加盖公章）       法定代表人</w:t>
      </w:r>
      <w:r>
        <w:rPr>
          <w:spacing w:val="-80"/>
          <w:w w:val="99"/>
          <w:sz w:val="28"/>
          <w:szCs w:val="28"/>
        </w:rPr>
        <w:t>：（</w:t>
      </w:r>
      <w:r>
        <w:rPr>
          <w:spacing w:val="3"/>
          <w:sz w:val="28"/>
          <w:szCs w:val="28"/>
        </w:rPr>
        <w:t>签字或盖章）</w:t>
      </w:r>
    </w:p>
    <w:p w14:paraId="7815C6A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18"/>
          <w:sz w:val="28"/>
          <w:szCs w:val="28"/>
        </w:rPr>
        <w:t xml:space="preserve">  </w:t>
      </w:r>
      <w:r>
        <w:rPr>
          <w:spacing w:val="-22"/>
          <w:sz w:val="28"/>
          <w:szCs w:val="28"/>
        </w:rPr>
        <w:t>年</w:t>
      </w:r>
      <w:r>
        <w:rPr>
          <w:spacing w:val="18"/>
          <w:sz w:val="28"/>
          <w:szCs w:val="28"/>
        </w:rPr>
        <w:t xml:space="preserve">  </w:t>
      </w:r>
      <w:r>
        <w:rPr>
          <w:spacing w:val="-22"/>
          <w:sz w:val="28"/>
          <w:szCs w:val="28"/>
        </w:rPr>
        <w:t>月</w:t>
      </w:r>
      <w:r>
        <w:rPr>
          <w:spacing w:val="42"/>
          <w:sz w:val="28"/>
          <w:szCs w:val="28"/>
        </w:rPr>
        <w:t xml:space="preserve">  </w:t>
      </w:r>
      <w:r>
        <w:rPr>
          <w:spacing w:val="-22"/>
          <w:sz w:val="28"/>
          <w:szCs w:val="28"/>
        </w:rPr>
        <w:t>日</w:t>
      </w:r>
    </w:p>
    <w:p w14:paraId="615823F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32" w:firstLineChars="200"/>
        <w:rPr>
          <w:rFonts w:ascii="宋体" w:hAnsi="宋体" w:eastAsia="宋体" w:cs="宋体"/>
          <w:sz w:val="20"/>
          <w:szCs w:val="20"/>
        </w:rPr>
      </w:pPr>
      <w:r>
        <w:rPr>
          <w:rFonts w:ascii="宋体" w:hAnsi="宋体" w:eastAsia="宋体" w:cs="宋体"/>
          <w:spacing w:val="8"/>
          <w:sz w:val="20"/>
          <w:szCs w:val="20"/>
        </w:rPr>
        <w:t>备注：</w:t>
      </w:r>
      <w:r>
        <w:rPr>
          <w:rFonts w:ascii="宋体" w:hAnsi="宋体" w:eastAsia="宋体" w:cs="宋体"/>
          <w:spacing w:val="-49"/>
          <w:sz w:val="20"/>
          <w:szCs w:val="20"/>
        </w:rPr>
        <w:t xml:space="preserve"> </w:t>
      </w:r>
      <w:r>
        <w:rPr>
          <w:rFonts w:ascii="宋体" w:hAnsi="宋体" w:eastAsia="宋体" w:cs="宋体"/>
          <w:spacing w:val="8"/>
          <w:sz w:val="20"/>
          <w:szCs w:val="20"/>
        </w:rPr>
        <w:t>1、项目不分标段的，第</w:t>
      </w:r>
      <w:r>
        <w:rPr>
          <w:rFonts w:ascii="宋体" w:hAnsi="宋体" w:eastAsia="宋体" w:cs="宋体"/>
          <w:spacing w:val="-9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8"/>
          <w:sz w:val="20"/>
          <w:szCs w:val="20"/>
        </w:rPr>
        <w:t>标段空白处填写“/</w:t>
      </w:r>
      <w:r>
        <w:rPr>
          <w:rFonts w:ascii="宋体" w:hAnsi="宋体" w:eastAsia="宋体" w:cs="宋体"/>
          <w:spacing w:val="-71"/>
          <w:sz w:val="20"/>
          <w:szCs w:val="20"/>
        </w:rPr>
        <w:t xml:space="preserve"> </w:t>
      </w:r>
      <w:r>
        <w:rPr>
          <w:rFonts w:ascii="宋体" w:hAnsi="宋体" w:eastAsia="宋体" w:cs="宋体"/>
          <w:spacing w:val="8"/>
          <w:sz w:val="20"/>
          <w:szCs w:val="20"/>
        </w:rPr>
        <w:t>”。</w:t>
      </w:r>
    </w:p>
    <w:p w14:paraId="131A75D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6" w:firstLineChars="200"/>
        <w:rPr>
          <w:rFonts w:ascii="宋体" w:hAnsi="宋体" w:eastAsia="宋体" w:cs="宋体"/>
          <w:sz w:val="20"/>
          <w:szCs w:val="20"/>
        </w:rPr>
      </w:pPr>
      <w:r>
        <w:rPr>
          <w:rFonts w:ascii="宋体" w:hAnsi="宋体" w:eastAsia="宋体" w:cs="宋体"/>
          <w:b/>
          <w:bCs/>
          <w:spacing w:val="11"/>
          <w:sz w:val="20"/>
          <w:szCs w:val="20"/>
        </w:rPr>
        <w:t>2、法定代表人亲自参加磋商的，无需提供该委托授权书，但须</w:t>
      </w:r>
      <w:r>
        <w:rPr>
          <w:rFonts w:ascii="宋体" w:hAnsi="宋体" w:eastAsia="宋体" w:cs="宋体"/>
          <w:b/>
          <w:bCs/>
          <w:spacing w:val="10"/>
          <w:sz w:val="20"/>
          <w:szCs w:val="20"/>
        </w:rPr>
        <w:t>提供法定代表人本人身份证（正反面）复印件，并在复印件中注明联系方式。</w:t>
      </w:r>
    </w:p>
    <w:p w14:paraId="1884826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3、法定代表人签字或盖章可采用纸质签字或盖章后，上传至电子响</w:t>
      </w:r>
      <w:r>
        <w:rPr>
          <w:rFonts w:ascii="宋体" w:hAnsi="宋体" w:eastAsia="宋体" w:cs="宋体"/>
          <w:spacing w:val="12"/>
          <w:sz w:val="20"/>
          <w:szCs w:val="20"/>
        </w:rPr>
        <w:t>应文件，也可使用法定</w:t>
      </w:r>
      <w:r>
        <w:rPr>
          <w:rFonts w:ascii="宋体" w:hAnsi="宋体" w:eastAsia="宋体" w:cs="宋体"/>
          <w:spacing w:val="11"/>
          <w:sz w:val="20"/>
          <w:szCs w:val="20"/>
        </w:rPr>
        <w:t>代表人</w:t>
      </w:r>
      <w:r>
        <w:rPr>
          <w:rFonts w:ascii="宋体" w:hAnsi="宋体" w:eastAsia="宋体" w:cs="宋体"/>
          <w:spacing w:val="-25"/>
          <w:sz w:val="20"/>
          <w:szCs w:val="20"/>
        </w:rPr>
        <w:t xml:space="preserve"> </w:t>
      </w:r>
      <w:r>
        <w:rPr>
          <w:rFonts w:ascii="宋体" w:hAnsi="宋体" w:eastAsia="宋体" w:cs="宋体"/>
          <w:sz w:val="20"/>
          <w:szCs w:val="20"/>
        </w:rPr>
        <w:t>CA</w:t>
      </w:r>
      <w:r>
        <w:rPr>
          <w:rFonts w:ascii="宋体" w:hAnsi="宋体" w:eastAsia="宋体" w:cs="宋体"/>
          <w:spacing w:val="-36"/>
          <w:sz w:val="20"/>
          <w:szCs w:val="20"/>
        </w:rPr>
        <w:t xml:space="preserve"> </w:t>
      </w:r>
      <w:r>
        <w:rPr>
          <w:rFonts w:ascii="宋体" w:hAnsi="宋体" w:eastAsia="宋体" w:cs="宋体"/>
          <w:spacing w:val="11"/>
          <w:sz w:val="20"/>
          <w:szCs w:val="20"/>
        </w:rPr>
        <w:t>锁在电子响应文件制作软件中签章。</w:t>
      </w:r>
    </w:p>
    <w:p w14:paraId="50EEE0F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4、法人的分支机构参与磋商时，除提供《法定代表人授权委托书》外，还须同</w:t>
      </w:r>
      <w:r>
        <w:rPr>
          <w:rFonts w:ascii="宋体" w:hAnsi="宋体" w:eastAsia="宋体" w:cs="宋体"/>
          <w:spacing w:val="12"/>
          <w:sz w:val="20"/>
          <w:szCs w:val="20"/>
        </w:rPr>
        <w:t>时提供法人给分支机构出具的授权书。授权书附此处。</w:t>
      </w:r>
    </w:p>
    <w:p w14:paraId="4DED5BE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sectPr>
          <w:footerReference r:id="rId22"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13DCE63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8" w:firstLineChars="200"/>
        <w:rPr>
          <w:sz w:val="30"/>
          <w:szCs w:val="30"/>
        </w:rPr>
      </w:pPr>
      <w:r>
        <w:rPr>
          <w:b/>
          <w:bCs/>
          <w:spacing w:val="-1"/>
          <w:sz w:val="30"/>
          <w:szCs w:val="30"/>
        </w:rPr>
        <w:t>九、落实政府采购政策须满足的资格要求</w:t>
      </w:r>
    </w:p>
    <w:p w14:paraId="18243F4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6" w:firstLineChars="200"/>
        <w:rPr>
          <w:sz w:val="28"/>
          <w:szCs w:val="28"/>
        </w:rPr>
      </w:pPr>
      <w:r>
        <w:rPr>
          <w:spacing w:val="-6"/>
          <w:sz w:val="28"/>
          <w:szCs w:val="28"/>
        </w:rPr>
        <w:t>供应商为中小企业的，提供《中</w:t>
      </w:r>
      <w:r>
        <w:rPr>
          <w:spacing w:val="2"/>
          <w:sz w:val="28"/>
          <w:szCs w:val="28"/>
        </w:rPr>
        <w:t>小企业声明函》，且中小企业的划分标准所属行业为</w:t>
      </w:r>
      <w:r>
        <w:rPr>
          <w:b/>
          <w:bCs/>
          <w:spacing w:val="2"/>
          <w:sz w:val="28"/>
          <w:szCs w:val="28"/>
        </w:rPr>
        <w:t>租赁和商务服务业</w:t>
      </w:r>
      <w:r>
        <w:rPr>
          <w:spacing w:val="2"/>
          <w:sz w:val="28"/>
          <w:szCs w:val="28"/>
        </w:rPr>
        <w:t>；</w:t>
      </w:r>
      <w:r>
        <w:rPr>
          <w:spacing w:val="3"/>
          <w:sz w:val="28"/>
          <w:szCs w:val="28"/>
        </w:rPr>
        <w:t>供应商为监狱企业的，应提供监狱企业的证明文件；供</w:t>
      </w:r>
      <w:r>
        <w:rPr>
          <w:spacing w:val="2"/>
          <w:sz w:val="28"/>
          <w:szCs w:val="28"/>
        </w:rPr>
        <w:t>应商为残疾人福利</w:t>
      </w:r>
      <w:r>
        <w:rPr>
          <w:spacing w:val="-6"/>
          <w:sz w:val="28"/>
          <w:szCs w:val="28"/>
        </w:rPr>
        <w:t>性单位的，应提供《残疾人福利性单位声明函》（监狱企业或残疾人福利性</w:t>
      </w:r>
      <w:r>
        <w:rPr>
          <w:spacing w:val="-7"/>
          <w:sz w:val="28"/>
          <w:szCs w:val="28"/>
        </w:rPr>
        <w:t>单位视同小型、微型企业）。</w:t>
      </w:r>
    </w:p>
    <w:p w14:paraId="43E4CA1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特别提醒：成交供应商的《中小企业声明函》或</w:t>
      </w:r>
      <w:r>
        <w:rPr>
          <w:b/>
          <w:bCs/>
          <w:spacing w:val="-1"/>
          <w:sz w:val="28"/>
          <w:szCs w:val="28"/>
        </w:rPr>
        <w:t>《残疾人福利性单位</w:t>
      </w:r>
      <w:r>
        <w:rPr>
          <w:b/>
          <w:bCs/>
          <w:spacing w:val="-6"/>
          <w:sz w:val="28"/>
          <w:szCs w:val="28"/>
        </w:rPr>
        <w:t>声明函》或监狱企业证明文件将随成交结果公告一同公布，接受社会监督。</w:t>
      </w:r>
    </w:p>
    <w:p w14:paraId="3E1C8B1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4" w:firstLineChars="200"/>
        <w:jc w:val="both"/>
        <w:rPr>
          <w:rFonts w:ascii="宋体" w:hAnsi="宋体" w:eastAsia="宋体" w:cs="宋体"/>
          <w:sz w:val="22"/>
          <w:szCs w:val="22"/>
        </w:rPr>
      </w:pPr>
      <w:r>
        <w:rPr>
          <w:rFonts w:ascii="宋体" w:hAnsi="宋体" w:eastAsia="宋体" w:cs="宋体"/>
          <w:spacing w:val="1"/>
          <w:sz w:val="22"/>
          <w:szCs w:val="22"/>
        </w:rPr>
        <w:t>备注：各供应商可根据企业从业人员、营业收入、资产总额等指</w:t>
      </w:r>
      <w:r>
        <w:rPr>
          <w:rFonts w:ascii="宋体" w:hAnsi="宋体" w:eastAsia="宋体" w:cs="宋体"/>
          <w:sz w:val="22"/>
          <w:szCs w:val="22"/>
        </w:rPr>
        <w:t>标，按照磋商文件约定的</w:t>
      </w:r>
      <w:r>
        <w:rPr>
          <w:rFonts w:ascii="宋体" w:hAnsi="宋体" w:eastAsia="宋体" w:cs="宋体"/>
          <w:spacing w:val="-7"/>
          <w:sz w:val="22"/>
          <w:szCs w:val="22"/>
        </w:rPr>
        <w:t>采购标的对应的中小企业划分标准所属行业和《中小企业划型标准规定》（工</w:t>
      </w:r>
      <w:r>
        <w:rPr>
          <w:rFonts w:ascii="宋体" w:hAnsi="宋体" w:eastAsia="宋体" w:cs="宋体"/>
          <w:spacing w:val="-8"/>
          <w:sz w:val="22"/>
          <w:szCs w:val="22"/>
        </w:rPr>
        <w:t>信部联企业〔2011〕</w:t>
      </w:r>
      <w:r>
        <w:rPr>
          <w:rFonts w:ascii="宋体" w:hAnsi="宋体" w:eastAsia="宋体" w:cs="宋体"/>
          <w:sz w:val="22"/>
          <w:szCs w:val="22"/>
        </w:rPr>
        <w:t xml:space="preserve"> </w:t>
      </w:r>
      <w:r>
        <w:rPr>
          <w:rFonts w:ascii="宋体" w:hAnsi="宋体" w:eastAsia="宋体" w:cs="宋体"/>
          <w:spacing w:val="2"/>
          <w:sz w:val="22"/>
          <w:szCs w:val="22"/>
        </w:rPr>
        <w:t>300</w:t>
      </w:r>
      <w:r>
        <w:rPr>
          <w:rFonts w:ascii="宋体" w:hAnsi="宋体" w:eastAsia="宋体" w:cs="宋体"/>
          <w:spacing w:val="-39"/>
          <w:sz w:val="22"/>
          <w:szCs w:val="22"/>
        </w:rPr>
        <w:t xml:space="preserve"> </w:t>
      </w:r>
      <w:r>
        <w:rPr>
          <w:rFonts w:ascii="宋体" w:hAnsi="宋体" w:eastAsia="宋体" w:cs="宋体"/>
          <w:spacing w:val="2"/>
          <w:sz w:val="22"/>
          <w:szCs w:val="22"/>
        </w:rPr>
        <w:t>号）进行自测，判断属于中型、小型还是微型企业。也可在微信小程序中</w:t>
      </w:r>
      <w:r>
        <w:rPr>
          <w:rFonts w:ascii="宋体" w:hAnsi="宋体" w:eastAsia="宋体" w:cs="宋体"/>
          <w:spacing w:val="1"/>
          <w:sz w:val="22"/>
          <w:szCs w:val="22"/>
        </w:rPr>
        <w:t>搜索中小企业规</w:t>
      </w:r>
      <w:r>
        <w:rPr>
          <w:rFonts w:ascii="宋体" w:hAnsi="宋体" w:eastAsia="宋体" w:cs="宋体"/>
          <w:spacing w:val="2"/>
          <w:sz w:val="22"/>
          <w:szCs w:val="22"/>
        </w:rPr>
        <w:t>模类型自测小程序进行测算。</w:t>
      </w:r>
    </w:p>
    <w:p w14:paraId="5734DDB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0" w:firstLineChars="200"/>
        <w:rPr>
          <w:rFonts w:ascii="宋体" w:hAnsi="宋体" w:eastAsia="宋体" w:cs="宋体"/>
          <w:sz w:val="22"/>
          <w:szCs w:val="22"/>
        </w:rPr>
        <w:sectPr>
          <w:headerReference r:id="rId23" w:type="default"/>
          <w:footerReference r:id="rId24" w:type="default"/>
          <w:pgSz w:w="11906" w:h="16839"/>
          <w:pgMar w:top="1210" w:right="1318" w:bottom="1233" w:left="1417" w:header="828" w:footer="1019" w:gutter="0"/>
          <w:pgBorders>
            <w:top w:val="none" w:sz="0" w:space="0"/>
            <w:left w:val="none" w:sz="0" w:space="0"/>
            <w:bottom w:val="none" w:sz="0" w:space="0"/>
            <w:right w:val="none" w:sz="0" w:space="0"/>
          </w:pgBorders>
          <w:pgNumType w:fmt="decimal"/>
          <w:cols w:space="720" w:num="1"/>
        </w:sectPr>
      </w:pPr>
    </w:p>
    <w:p w14:paraId="6FCEA5E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4" w:firstLineChars="200"/>
        <w:jc w:val="center"/>
        <w:rPr>
          <w:sz w:val="28"/>
          <w:szCs w:val="28"/>
        </w:rPr>
      </w:pPr>
      <w:r>
        <w:rPr>
          <w:b/>
          <w:bCs/>
          <w:spacing w:val="-7"/>
          <w:sz w:val="28"/>
          <w:szCs w:val="28"/>
        </w:rPr>
        <w:t>中小企业声明函</w:t>
      </w:r>
    </w:p>
    <w:p w14:paraId="726CA96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本公司郑重声明，根据《政府采购促进中小企</w:t>
      </w:r>
      <w:r>
        <w:rPr>
          <w:spacing w:val="2"/>
          <w:sz w:val="28"/>
          <w:szCs w:val="28"/>
        </w:rPr>
        <w:t>业发展管理办法》（财</w:t>
      </w:r>
      <w:r>
        <w:rPr>
          <w:sz w:val="28"/>
          <w:szCs w:val="28"/>
        </w:rPr>
        <w:t>库﹝2020﹞46</w:t>
      </w:r>
      <w:r>
        <w:rPr>
          <w:spacing w:val="-44"/>
          <w:sz w:val="28"/>
          <w:szCs w:val="28"/>
        </w:rPr>
        <w:t xml:space="preserve"> </w:t>
      </w:r>
      <w:r>
        <w:rPr>
          <w:sz w:val="28"/>
          <w:szCs w:val="28"/>
        </w:rPr>
        <w:t>号）的规定，本公司参加</w:t>
      </w:r>
      <w:r>
        <w:rPr>
          <w:rFonts w:hint="eastAsia"/>
          <w:sz w:val="28"/>
          <w:szCs w:val="28"/>
          <w:lang w:eastAsia="zh-CN"/>
        </w:rPr>
        <w:t>陕西中源项目管理有限公司</w:t>
      </w:r>
      <w:r>
        <w:rPr>
          <w:spacing w:val="-1"/>
          <w:sz w:val="28"/>
          <w:szCs w:val="28"/>
        </w:rPr>
        <w:t>组织</w:t>
      </w:r>
      <w:r>
        <w:rPr>
          <w:spacing w:val="3"/>
          <w:sz w:val="28"/>
          <w:szCs w:val="28"/>
        </w:rPr>
        <w:t>的</w:t>
      </w:r>
      <w:r>
        <w:rPr>
          <w:spacing w:val="3"/>
          <w:sz w:val="28"/>
          <w:szCs w:val="28"/>
          <w:u w:val="single" w:color="auto"/>
        </w:rPr>
        <w:t>（项目名称）</w:t>
      </w:r>
      <w:r>
        <w:rPr>
          <w:spacing w:val="3"/>
          <w:sz w:val="28"/>
          <w:szCs w:val="28"/>
        </w:rPr>
        <w:t>采购活动，服务全部由符合</w:t>
      </w:r>
      <w:r>
        <w:rPr>
          <w:spacing w:val="2"/>
          <w:sz w:val="28"/>
          <w:szCs w:val="28"/>
        </w:rPr>
        <w:t>政策要求的中小企业承接。相</w:t>
      </w:r>
      <w:r>
        <w:rPr>
          <w:sz w:val="28"/>
          <w:szCs w:val="28"/>
        </w:rPr>
        <w:t>关企业的具体情况如下：</w:t>
      </w:r>
    </w:p>
    <w:p w14:paraId="2E42F67B">
      <w:pPr>
        <w:pStyle w:val="7"/>
        <w:keepNext w:val="0"/>
        <w:keepLines w:val="0"/>
        <w:pageBreakBefore w:val="0"/>
        <w:widowControl/>
        <w:tabs>
          <w:tab w:val="left" w:pos="725"/>
        </w:tabs>
        <w:kinsoku/>
        <w:wordWrap/>
        <w:overflowPunct/>
        <w:topLinePunct w:val="0"/>
        <w:autoSpaceDE/>
        <w:autoSpaceDN/>
        <w:bidi w:val="0"/>
        <w:adjustRightInd w:val="0"/>
        <w:snapToGrid w:val="0"/>
        <w:spacing w:line="324" w:lineRule="auto"/>
        <w:ind w:left="0" w:leftChars="0" w:right="0" w:firstLine="560" w:firstLineChars="200"/>
        <w:jc w:val="both"/>
        <w:rPr>
          <w:sz w:val="28"/>
          <w:szCs w:val="28"/>
        </w:rPr>
      </w:pPr>
      <w:r>
        <w:rPr>
          <w:sz w:val="28"/>
          <w:szCs w:val="28"/>
          <w:u w:val="single" w:color="auto"/>
        </w:rPr>
        <w:tab/>
      </w:r>
      <w:r>
        <w:rPr>
          <w:spacing w:val="-5"/>
          <w:sz w:val="28"/>
          <w:szCs w:val="28"/>
          <w:u w:val="single" w:color="auto"/>
        </w:rPr>
        <w:t>（项目名称</w:t>
      </w:r>
      <w:r>
        <w:rPr>
          <w:spacing w:val="-11"/>
          <w:sz w:val="28"/>
          <w:szCs w:val="28"/>
          <w:u w:val="single" w:color="auto"/>
        </w:rPr>
        <w:t>）</w:t>
      </w:r>
      <w:r>
        <w:rPr>
          <w:spacing w:val="-11"/>
          <w:sz w:val="28"/>
          <w:szCs w:val="28"/>
        </w:rPr>
        <w:t>，</w:t>
      </w:r>
      <w:r>
        <w:rPr>
          <w:spacing w:val="-5"/>
          <w:sz w:val="28"/>
          <w:szCs w:val="28"/>
        </w:rPr>
        <w:t>属于</w:t>
      </w:r>
      <w:r>
        <w:rPr>
          <w:spacing w:val="-135"/>
          <w:sz w:val="28"/>
          <w:szCs w:val="28"/>
        </w:rPr>
        <w:t xml:space="preserve"> </w:t>
      </w:r>
      <w:r>
        <w:rPr>
          <w:spacing w:val="-5"/>
          <w:sz w:val="28"/>
          <w:szCs w:val="28"/>
          <w:u w:val="single" w:color="auto"/>
        </w:rPr>
        <w:t xml:space="preserve">           </w:t>
      </w:r>
      <w:r>
        <w:rPr>
          <w:spacing w:val="-5"/>
          <w:sz w:val="28"/>
          <w:szCs w:val="28"/>
        </w:rPr>
        <w:t>（磋商文件中明确的所属行业</w:t>
      </w:r>
      <w:r>
        <w:rPr>
          <w:spacing w:val="-11"/>
          <w:sz w:val="28"/>
          <w:szCs w:val="28"/>
        </w:rPr>
        <w:t>）；</w:t>
      </w:r>
      <w:r>
        <w:rPr>
          <w:spacing w:val="-5"/>
          <w:sz w:val="28"/>
          <w:szCs w:val="28"/>
        </w:rPr>
        <w:t>承</w:t>
      </w:r>
      <w:r>
        <w:rPr>
          <w:spacing w:val="-1"/>
          <w:sz w:val="28"/>
          <w:szCs w:val="28"/>
        </w:rPr>
        <w:t>接企业为</w:t>
      </w:r>
      <w:r>
        <w:rPr>
          <w:spacing w:val="-1"/>
          <w:sz w:val="28"/>
          <w:szCs w:val="28"/>
          <w:u w:val="single" w:color="auto"/>
        </w:rPr>
        <w:t>（企业名称</w:t>
      </w:r>
      <w:r>
        <w:rPr>
          <w:spacing w:val="22"/>
          <w:sz w:val="28"/>
          <w:szCs w:val="28"/>
          <w:u w:val="single" w:color="auto"/>
        </w:rPr>
        <w:t>）</w:t>
      </w:r>
      <w:r>
        <w:rPr>
          <w:spacing w:val="22"/>
          <w:sz w:val="28"/>
          <w:szCs w:val="28"/>
        </w:rPr>
        <w:t>，</w:t>
      </w:r>
      <w:r>
        <w:rPr>
          <w:spacing w:val="-1"/>
          <w:sz w:val="28"/>
          <w:szCs w:val="28"/>
        </w:rPr>
        <w:t>从业人员</w:t>
      </w:r>
      <w:r>
        <w:rPr>
          <w:spacing w:val="-136"/>
          <w:sz w:val="28"/>
          <w:szCs w:val="28"/>
        </w:rPr>
        <w:t xml:space="preserve"> </w:t>
      </w:r>
      <w:r>
        <w:rPr>
          <w:spacing w:val="1"/>
          <w:sz w:val="28"/>
          <w:szCs w:val="28"/>
          <w:u w:val="single" w:color="auto"/>
        </w:rPr>
        <w:t xml:space="preserve">     </w:t>
      </w:r>
      <w:r>
        <w:rPr>
          <w:spacing w:val="-113"/>
          <w:sz w:val="28"/>
          <w:szCs w:val="28"/>
        </w:rPr>
        <w:t xml:space="preserve"> </w:t>
      </w:r>
      <w:r>
        <w:rPr>
          <w:spacing w:val="-1"/>
          <w:sz w:val="28"/>
          <w:szCs w:val="28"/>
        </w:rPr>
        <w:t>人，营业收入为</w:t>
      </w:r>
      <w:r>
        <w:rPr>
          <w:spacing w:val="-138"/>
          <w:sz w:val="28"/>
          <w:szCs w:val="28"/>
        </w:rPr>
        <w:t xml:space="preserve"> </w:t>
      </w:r>
      <w:r>
        <w:rPr>
          <w:spacing w:val="1"/>
          <w:sz w:val="28"/>
          <w:szCs w:val="28"/>
          <w:u w:val="single" w:color="auto"/>
        </w:rPr>
        <w:t xml:space="preserve">     </w:t>
      </w:r>
      <w:r>
        <w:rPr>
          <w:spacing w:val="-116"/>
          <w:sz w:val="28"/>
          <w:szCs w:val="28"/>
        </w:rPr>
        <w:t xml:space="preserve"> </w:t>
      </w:r>
      <w:r>
        <w:rPr>
          <w:spacing w:val="-1"/>
          <w:sz w:val="28"/>
          <w:szCs w:val="28"/>
        </w:rPr>
        <w:t>万元，资产</w:t>
      </w:r>
      <w:r>
        <w:rPr>
          <w:sz w:val="28"/>
          <w:szCs w:val="28"/>
        </w:rPr>
        <w:t>总额为</w:t>
      </w:r>
      <w:r>
        <w:rPr>
          <w:spacing w:val="-122"/>
          <w:sz w:val="28"/>
          <w:szCs w:val="28"/>
        </w:rPr>
        <w:t xml:space="preserve"> </w:t>
      </w:r>
      <w:r>
        <w:rPr>
          <w:spacing w:val="1"/>
          <w:sz w:val="28"/>
          <w:szCs w:val="28"/>
          <w:u w:val="single" w:color="auto"/>
        </w:rPr>
        <w:t xml:space="preserve">      </w:t>
      </w:r>
      <w:r>
        <w:rPr>
          <w:spacing w:val="-116"/>
          <w:sz w:val="28"/>
          <w:szCs w:val="28"/>
        </w:rPr>
        <w:t xml:space="preserve"> </w:t>
      </w:r>
      <w:r>
        <w:rPr>
          <w:sz w:val="28"/>
          <w:szCs w:val="28"/>
        </w:rPr>
        <w:t>万元，属于</w:t>
      </w:r>
      <w:r>
        <w:rPr>
          <w:spacing w:val="-138"/>
          <w:sz w:val="28"/>
          <w:szCs w:val="28"/>
        </w:rPr>
        <w:t xml:space="preserve"> </w:t>
      </w:r>
      <w:r>
        <w:rPr>
          <w:sz w:val="28"/>
          <w:szCs w:val="28"/>
          <w:u w:val="single" w:color="auto"/>
        </w:rPr>
        <w:t xml:space="preserve">         </w:t>
      </w:r>
      <w:r>
        <w:rPr>
          <w:sz w:val="28"/>
          <w:szCs w:val="28"/>
        </w:rPr>
        <w:t>（中型企业、小型企业、微型企业）。</w:t>
      </w:r>
    </w:p>
    <w:p w14:paraId="239629D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以上企业，不属于大企业的分支机构，不存在控股</w:t>
      </w:r>
      <w:r>
        <w:rPr>
          <w:spacing w:val="1"/>
          <w:sz w:val="28"/>
          <w:szCs w:val="28"/>
        </w:rPr>
        <w:t>股东为大企业的情</w:t>
      </w:r>
      <w:r>
        <w:rPr>
          <w:spacing w:val="2"/>
          <w:sz w:val="28"/>
          <w:szCs w:val="28"/>
        </w:rPr>
        <w:t>形，也不存在与大企业的负责人为同一人的情形。</w:t>
      </w:r>
    </w:p>
    <w:p w14:paraId="5311D50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本企业对上述声明内容的真实性负责。如有虚</w:t>
      </w:r>
      <w:r>
        <w:rPr>
          <w:spacing w:val="2"/>
          <w:sz w:val="28"/>
          <w:szCs w:val="28"/>
        </w:rPr>
        <w:t>假，将依法承担相应责</w:t>
      </w:r>
      <w:r>
        <w:rPr>
          <w:spacing w:val="-9"/>
          <w:sz w:val="28"/>
          <w:szCs w:val="28"/>
        </w:rPr>
        <w:t>任。</w:t>
      </w:r>
    </w:p>
    <w:p w14:paraId="29D2A80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C8ED40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69F17DC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88" w:firstLineChars="200"/>
        <w:rPr>
          <w:sz w:val="28"/>
          <w:szCs w:val="28"/>
        </w:rPr>
      </w:pPr>
      <w:r>
        <w:rPr>
          <w:spacing w:val="-18"/>
          <w:sz w:val="28"/>
          <w:szCs w:val="28"/>
        </w:rPr>
        <w:t>日期：</w:t>
      </w:r>
      <w:r>
        <w:rPr>
          <w:spacing w:val="5"/>
          <w:sz w:val="28"/>
          <w:szCs w:val="28"/>
        </w:rPr>
        <w:t xml:space="preserve">    </w:t>
      </w:r>
      <w:r>
        <w:rPr>
          <w:spacing w:val="-18"/>
          <w:sz w:val="28"/>
          <w:szCs w:val="28"/>
        </w:rPr>
        <w:t>年</w:t>
      </w:r>
      <w:r>
        <w:rPr>
          <w:spacing w:val="18"/>
          <w:sz w:val="28"/>
          <w:szCs w:val="28"/>
        </w:rPr>
        <w:t xml:space="preserve">  </w:t>
      </w:r>
      <w:r>
        <w:rPr>
          <w:spacing w:val="-18"/>
          <w:sz w:val="28"/>
          <w:szCs w:val="28"/>
        </w:rPr>
        <w:t>月</w:t>
      </w:r>
      <w:r>
        <w:rPr>
          <w:spacing w:val="41"/>
          <w:sz w:val="28"/>
          <w:szCs w:val="28"/>
        </w:rPr>
        <w:t xml:space="preserve">  </w:t>
      </w:r>
      <w:r>
        <w:rPr>
          <w:spacing w:val="-18"/>
          <w:sz w:val="28"/>
          <w:szCs w:val="28"/>
        </w:rPr>
        <w:t>日</w:t>
      </w:r>
    </w:p>
    <w:p w14:paraId="01DFD62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5BFFB9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12" w:firstLineChars="200"/>
        <w:rPr>
          <w:rFonts w:ascii="宋体" w:hAnsi="宋体" w:eastAsia="宋体" w:cs="宋体"/>
          <w:sz w:val="20"/>
          <w:szCs w:val="20"/>
        </w:rPr>
      </w:pPr>
      <w:r>
        <w:rPr>
          <w:rFonts w:ascii="宋体" w:hAnsi="宋体" w:eastAsia="宋体" w:cs="宋体"/>
          <w:spacing w:val="3"/>
          <w:sz w:val="20"/>
          <w:szCs w:val="20"/>
        </w:rPr>
        <w:t>备注：</w:t>
      </w:r>
    </w:p>
    <w:p w14:paraId="4395F03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1、填写前请认真阅读《工业和信息化部、国家</w:t>
      </w:r>
      <w:r>
        <w:rPr>
          <w:rFonts w:ascii="宋体" w:hAnsi="宋体" w:eastAsia="宋体" w:cs="宋体"/>
          <w:spacing w:val="12"/>
          <w:sz w:val="20"/>
          <w:szCs w:val="20"/>
        </w:rPr>
        <w:t>统计局、国家发展和改革委员会、财政部关于</w:t>
      </w:r>
      <w:r>
        <w:rPr>
          <w:rFonts w:ascii="宋体" w:hAnsi="宋体" w:eastAsia="宋体" w:cs="宋体"/>
          <w:spacing w:val="10"/>
          <w:sz w:val="20"/>
          <w:szCs w:val="20"/>
        </w:rPr>
        <w:t>印发中小企业划型标准规定的通知》（工信部联企业[</w:t>
      </w:r>
      <w:r>
        <w:fldChar w:fldCharType="begin"/>
      </w:r>
      <w:r>
        <w:instrText xml:space="preserve"> HYPERLINK \l "bookmark25" </w:instrText>
      </w:r>
      <w:r>
        <w:fldChar w:fldCharType="separate"/>
      </w:r>
      <w:r>
        <w:rPr>
          <w:rFonts w:ascii="宋体" w:hAnsi="宋体" w:eastAsia="宋体" w:cs="宋体"/>
          <w:spacing w:val="10"/>
          <w:sz w:val="20"/>
          <w:szCs w:val="20"/>
        </w:rPr>
        <w:t>2011</w:t>
      </w:r>
      <w:r>
        <w:rPr>
          <w:rFonts w:ascii="宋体" w:hAnsi="宋体" w:eastAsia="宋体" w:cs="宋体"/>
          <w:spacing w:val="10"/>
          <w:sz w:val="20"/>
          <w:szCs w:val="20"/>
        </w:rPr>
        <w:fldChar w:fldCharType="end"/>
      </w:r>
      <w:r>
        <w:rPr>
          <w:rFonts w:ascii="宋体" w:hAnsi="宋体" w:eastAsia="宋体" w:cs="宋体"/>
          <w:spacing w:val="10"/>
          <w:sz w:val="20"/>
          <w:szCs w:val="20"/>
        </w:rPr>
        <w:t>]300</w:t>
      </w:r>
      <w:r>
        <w:rPr>
          <w:rFonts w:ascii="宋体" w:hAnsi="宋体" w:eastAsia="宋体" w:cs="宋体"/>
          <w:spacing w:val="-16"/>
          <w:sz w:val="20"/>
          <w:szCs w:val="20"/>
        </w:rPr>
        <w:t xml:space="preserve"> </w:t>
      </w:r>
      <w:r>
        <w:rPr>
          <w:rFonts w:ascii="宋体" w:hAnsi="宋体" w:eastAsia="宋体" w:cs="宋体"/>
          <w:spacing w:val="10"/>
          <w:sz w:val="20"/>
          <w:szCs w:val="20"/>
        </w:rPr>
        <w:t>号）和财政部、工业和信息化部关于印发《政府采购促进中小企业发展管理办法》</w:t>
      </w:r>
      <w:r>
        <w:rPr>
          <w:rFonts w:ascii="宋体" w:hAnsi="宋体" w:eastAsia="宋体" w:cs="宋体"/>
          <w:spacing w:val="-57"/>
          <w:sz w:val="20"/>
          <w:szCs w:val="20"/>
        </w:rPr>
        <w:t xml:space="preserve"> </w:t>
      </w:r>
      <w:r>
        <w:rPr>
          <w:rFonts w:ascii="宋体" w:hAnsi="宋体" w:eastAsia="宋体" w:cs="宋体"/>
          <w:spacing w:val="10"/>
          <w:sz w:val="20"/>
          <w:szCs w:val="20"/>
        </w:rPr>
        <w:t>的通知(财库[</w:t>
      </w:r>
      <w:r>
        <w:fldChar w:fldCharType="begin"/>
      </w:r>
      <w:r>
        <w:instrText xml:space="preserve"> HYPERLINK \l "bookmark26" </w:instrText>
      </w:r>
      <w:r>
        <w:fldChar w:fldCharType="separate"/>
      </w:r>
      <w:r>
        <w:rPr>
          <w:rFonts w:ascii="宋体" w:hAnsi="宋体" w:eastAsia="宋体" w:cs="宋体"/>
          <w:spacing w:val="10"/>
          <w:sz w:val="20"/>
          <w:szCs w:val="20"/>
        </w:rPr>
        <w:t>2</w:t>
      </w:r>
      <w:r>
        <w:rPr>
          <w:rFonts w:ascii="宋体" w:hAnsi="宋体" w:eastAsia="宋体" w:cs="宋体"/>
          <w:spacing w:val="9"/>
          <w:sz w:val="20"/>
          <w:szCs w:val="20"/>
        </w:rPr>
        <w:t>020</w:t>
      </w:r>
      <w:r>
        <w:rPr>
          <w:rFonts w:ascii="宋体" w:hAnsi="宋体" w:eastAsia="宋体" w:cs="宋体"/>
          <w:spacing w:val="9"/>
          <w:sz w:val="20"/>
          <w:szCs w:val="20"/>
        </w:rPr>
        <w:fldChar w:fldCharType="end"/>
      </w:r>
      <w:r>
        <w:rPr>
          <w:rFonts w:ascii="宋体" w:hAnsi="宋体" w:eastAsia="宋体" w:cs="宋体"/>
          <w:spacing w:val="9"/>
          <w:sz w:val="20"/>
          <w:szCs w:val="20"/>
        </w:rPr>
        <w:t>]46</w:t>
      </w:r>
      <w:r>
        <w:rPr>
          <w:rFonts w:ascii="宋体" w:hAnsi="宋体" w:eastAsia="宋体" w:cs="宋体"/>
          <w:spacing w:val="-30"/>
          <w:sz w:val="20"/>
          <w:szCs w:val="20"/>
        </w:rPr>
        <w:t xml:space="preserve"> </w:t>
      </w:r>
      <w:r>
        <w:rPr>
          <w:rFonts w:ascii="宋体" w:hAnsi="宋体" w:eastAsia="宋体" w:cs="宋体"/>
          <w:spacing w:val="9"/>
          <w:sz w:val="20"/>
          <w:szCs w:val="20"/>
        </w:rPr>
        <w:t>号)相关规定。</w:t>
      </w:r>
    </w:p>
    <w:p w14:paraId="585FB18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2、从业人员、营业收入、资产总额填报上一年度数据，无上一年度数据的新</w:t>
      </w:r>
      <w:r>
        <w:rPr>
          <w:rFonts w:ascii="宋体" w:hAnsi="宋体" w:eastAsia="宋体" w:cs="宋体"/>
          <w:spacing w:val="12"/>
          <w:sz w:val="20"/>
          <w:szCs w:val="20"/>
        </w:rPr>
        <w:t>成立企业可不填</w:t>
      </w:r>
      <w:r>
        <w:rPr>
          <w:rFonts w:ascii="宋体" w:hAnsi="宋体" w:eastAsia="宋体" w:cs="宋体"/>
          <w:spacing w:val="1"/>
          <w:sz w:val="20"/>
          <w:szCs w:val="20"/>
        </w:rPr>
        <w:t>报。</w:t>
      </w:r>
    </w:p>
    <w:p w14:paraId="177C447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3、根据《工业和信息化部、国家统计局、国家发展和改革委员会、财政</w:t>
      </w:r>
      <w:r>
        <w:rPr>
          <w:rFonts w:ascii="宋体" w:hAnsi="宋体" w:eastAsia="宋体" w:cs="宋体"/>
          <w:spacing w:val="12"/>
          <w:sz w:val="20"/>
          <w:szCs w:val="20"/>
        </w:rPr>
        <w:t>部关于印发中小企业</w:t>
      </w:r>
      <w:r>
        <w:rPr>
          <w:rFonts w:ascii="宋体" w:hAnsi="宋体" w:eastAsia="宋体" w:cs="宋体"/>
          <w:spacing w:val="11"/>
          <w:sz w:val="20"/>
          <w:szCs w:val="20"/>
        </w:rPr>
        <w:t>划型标准规定的通知》（工信部联企业[</w:t>
      </w:r>
      <w:r>
        <w:fldChar w:fldCharType="begin"/>
      </w:r>
      <w:r>
        <w:instrText xml:space="preserve"> HYPERLINK \l "bookmark27" </w:instrText>
      </w:r>
      <w:r>
        <w:fldChar w:fldCharType="separate"/>
      </w:r>
      <w:r>
        <w:rPr>
          <w:rFonts w:ascii="宋体" w:hAnsi="宋体" w:eastAsia="宋体" w:cs="宋体"/>
          <w:spacing w:val="11"/>
          <w:sz w:val="20"/>
          <w:szCs w:val="20"/>
        </w:rPr>
        <w:t>2011</w:t>
      </w:r>
      <w:r>
        <w:rPr>
          <w:rFonts w:ascii="宋体" w:hAnsi="宋体" w:eastAsia="宋体" w:cs="宋体"/>
          <w:spacing w:val="11"/>
          <w:sz w:val="20"/>
          <w:szCs w:val="20"/>
        </w:rPr>
        <w:fldChar w:fldCharType="end"/>
      </w:r>
      <w:r>
        <w:rPr>
          <w:rFonts w:ascii="宋体" w:hAnsi="宋体" w:eastAsia="宋体" w:cs="宋体"/>
          <w:spacing w:val="11"/>
          <w:sz w:val="20"/>
          <w:szCs w:val="20"/>
        </w:rPr>
        <w:t>]30</w:t>
      </w:r>
      <w:r>
        <w:rPr>
          <w:rFonts w:ascii="宋体" w:hAnsi="宋体" w:eastAsia="宋体" w:cs="宋体"/>
          <w:spacing w:val="10"/>
          <w:sz w:val="20"/>
          <w:szCs w:val="20"/>
        </w:rPr>
        <w:t>0</w:t>
      </w:r>
      <w:r>
        <w:rPr>
          <w:rFonts w:ascii="宋体" w:hAnsi="宋体" w:eastAsia="宋体" w:cs="宋体"/>
          <w:spacing w:val="-31"/>
          <w:sz w:val="20"/>
          <w:szCs w:val="20"/>
        </w:rPr>
        <w:t xml:space="preserve"> </w:t>
      </w:r>
      <w:r>
        <w:rPr>
          <w:rFonts w:ascii="宋体" w:hAnsi="宋体" w:eastAsia="宋体" w:cs="宋体"/>
          <w:spacing w:val="10"/>
          <w:sz w:val="20"/>
          <w:szCs w:val="20"/>
        </w:rPr>
        <w:t>号</w:t>
      </w:r>
      <w:r>
        <w:rPr>
          <w:rFonts w:ascii="宋体" w:hAnsi="宋体" w:eastAsia="宋体" w:cs="宋体"/>
          <w:spacing w:val="7"/>
          <w:sz w:val="20"/>
          <w:szCs w:val="20"/>
        </w:rPr>
        <w:t>），</w:t>
      </w:r>
      <w:r>
        <w:rPr>
          <w:rFonts w:ascii="宋体" w:hAnsi="宋体" w:eastAsia="宋体" w:cs="宋体"/>
          <w:spacing w:val="10"/>
          <w:sz w:val="20"/>
          <w:szCs w:val="20"/>
        </w:rPr>
        <w:t>本项目所属行业中小企业划型标准具体如下：租赁和商务服务业。从业人员</w:t>
      </w:r>
      <w:r>
        <w:rPr>
          <w:rFonts w:ascii="宋体" w:hAnsi="宋体" w:eastAsia="宋体" w:cs="宋体"/>
          <w:spacing w:val="-18"/>
          <w:sz w:val="20"/>
          <w:szCs w:val="20"/>
        </w:rPr>
        <w:t xml:space="preserve"> </w:t>
      </w:r>
      <w:r>
        <w:rPr>
          <w:rFonts w:ascii="宋体" w:hAnsi="宋体" w:eastAsia="宋体" w:cs="宋体"/>
          <w:spacing w:val="10"/>
          <w:sz w:val="20"/>
          <w:szCs w:val="20"/>
        </w:rPr>
        <w:t>300</w:t>
      </w:r>
      <w:r>
        <w:rPr>
          <w:rFonts w:ascii="宋体" w:hAnsi="宋体" w:eastAsia="宋体" w:cs="宋体"/>
          <w:spacing w:val="-34"/>
          <w:sz w:val="20"/>
          <w:szCs w:val="20"/>
        </w:rPr>
        <w:t xml:space="preserve"> </w:t>
      </w:r>
      <w:r>
        <w:rPr>
          <w:rFonts w:ascii="宋体" w:hAnsi="宋体" w:eastAsia="宋体" w:cs="宋体"/>
          <w:spacing w:val="10"/>
          <w:sz w:val="20"/>
          <w:szCs w:val="20"/>
        </w:rPr>
        <w:t>人以下或资产总额</w:t>
      </w:r>
      <w:r>
        <w:rPr>
          <w:rFonts w:ascii="宋体" w:hAnsi="宋体" w:eastAsia="宋体" w:cs="宋体"/>
          <w:spacing w:val="-19"/>
          <w:sz w:val="20"/>
          <w:szCs w:val="20"/>
        </w:rPr>
        <w:t xml:space="preserve"> </w:t>
      </w:r>
      <w:r>
        <w:rPr>
          <w:rFonts w:ascii="宋体" w:hAnsi="宋体" w:eastAsia="宋体" w:cs="宋体"/>
          <w:spacing w:val="10"/>
          <w:sz w:val="20"/>
          <w:szCs w:val="20"/>
        </w:rPr>
        <w:t>120000</w:t>
      </w:r>
      <w:r>
        <w:rPr>
          <w:rFonts w:ascii="宋体" w:hAnsi="宋体" w:eastAsia="宋体" w:cs="宋体"/>
          <w:spacing w:val="-30"/>
          <w:sz w:val="20"/>
          <w:szCs w:val="20"/>
        </w:rPr>
        <w:t xml:space="preserve"> </w:t>
      </w:r>
      <w:r>
        <w:rPr>
          <w:rFonts w:ascii="宋体" w:hAnsi="宋体" w:eastAsia="宋体" w:cs="宋体"/>
          <w:spacing w:val="10"/>
          <w:sz w:val="20"/>
          <w:szCs w:val="20"/>
        </w:rPr>
        <w:t>万元以下的为中小微型企业。其</w:t>
      </w:r>
      <w:r>
        <w:rPr>
          <w:rFonts w:ascii="宋体" w:hAnsi="宋体" w:eastAsia="宋体" w:cs="宋体"/>
          <w:spacing w:val="8"/>
          <w:sz w:val="20"/>
          <w:szCs w:val="20"/>
        </w:rPr>
        <w:t>中，从业人员</w:t>
      </w:r>
      <w:r>
        <w:rPr>
          <w:rFonts w:ascii="宋体" w:hAnsi="宋体" w:eastAsia="宋体" w:cs="宋体"/>
          <w:spacing w:val="-7"/>
          <w:sz w:val="20"/>
          <w:szCs w:val="20"/>
        </w:rPr>
        <w:t xml:space="preserve"> </w:t>
      </w:r>
      <w:r>
        <w:rPr>
          <w:rFonts w:ascii="宋体" w:hAnsi="宋体" w:eastAsia="宋体" w:cs="宋体"/>
          <w:spacing w:val="8"/>
          <w:sz w:val="20"/>
          <w:szCs w:val="20"/>
        </w:rPr>
        <w:t>100</w:t>
      </w:r>
      <w:r>
        <w:rPr>
          <w:rFonts w:ascii="宋体" w:hAnsi="宋体" w:eastAsia="宋体" w:cs="宋体"/>
          <w:spacing w:val="-31"/>
          <w:sz w:val="20"/>
          <w:szCs w:val="20"/>
        </w:rPr>
        <w:t xml:space="preserve"> </w:t>
      </w:r>
      <w:r>
        <w:rPr>
          <w:rFonts w:ascii="宋体" w:hAnsi="宋体" w:eastAsia="宋体" w:cs="宋体"/>
          <w:spacing w:val="8"/>
          <w:sz w:val="20"/>
          <w:szCs w:val="20"/>
        </w:rPr>
        <w:t>人及以上，且资产总额</w:t>
      </w:r>
      <w:r>
        <w:rPr>
          <w:rFonts w:ascii="宋体" w:hAnsi="宋体" w:eastAsia="宋体" w:cs="宋体"/>
          <w:spacing w:val="-34"/>
          <w:sz w:val="20"/>
          <w:szCs w:val="20"/>
        </w:rPr>
        <w:t xml:space="preserve"> </w:t>
      </w:r>
      <w:r>
        <w:rPr>
          <w:rFonts w:ascii="宋体" w:hAnsi="宋体" w:eastAsia="宋体" w:cs="宋体"/>
          <w:spacing w:val="8"/>
          <w:sz w:val="20"/>
          <w:szCs w:val="20"/>
        </w:rPr>
        <w:t>8000</w:t>
      </w:r>
      <w:r>
        <w:rPr>
          <w:rFonts w:ascii="宋体" w:hAnsi="宋体" w:eastAsia="宋体" w:cs="宋体"/>
          <w:spacing w:val="-30"/>
          <w:sz w:val="20"/>
          <w:szCs w:val="20"/>
        </w:rPr>
        <w:t xml:space="preserve"> </w:t>
      </w:r>
      <w:r>
        <w:rPr>
          <w:rFonts w:ascii="宋体" w:hAnsi="宋体" w:eastAsia="宋体" w:cs="宋体"/>
          <w:spacing w:val="8"/>
          <w:sz w:val="20"/>
          <w:szCs w:val="20"/>
        </w:rPr>
        <w:t>万元及以上的为中型企业；从业人员</w:t>
      </w:r>
      <w:r>
        <w:rPr>
          <w:rFonts w:ascii="宋体" w:hAnsi="宋体" w:eastAsia="宋体" w:cs="宋体"/>
          <w:spacing w:val="-19"/>
          <w:sz w:val="20"/>
          <w:szCs w:val="20"/>
        </w:rPr>
        <w:t xml:space="preserve"> </w:t>
      </w:r>
      <w:r>
        <w:rPr>
          <w:rFonts w:ascii="宋体" w:hAnsi="宋体" w:eastAsia="宋体" w:cs="宋体"/>
          <w:spacing w:val="8"/>
          <w:sz w:val="20"/>
          <w:szCs w:val="20"/>
        </w:rPr>
        <w:t>10</w:t>
      </w:r>
      <w:r>
        <w:rPr>
          <w:rFonts w:ascii="宋体" w:hAnsi="宋体" w:eastAsia="宋体" w:cs="宋体"/>
          <w:spacing w:val="-34"/>
          <w:sz w:val="20"/>
          <w:szCs w:val="20"/>
        </w:rPr>
        <w:t xml:space="preserve"> </w:t>
      </w:r>
      <w:r>
        <w:rPr>
          <w:rFonts w:ascii="宋体" w:hAnsi="宋体" w:eastAsia="宋体" w:cs="宋体"/>
          <w:spacing w:val="8"/>
          <w:sz w:val="20"/>
          <w:szCs w:val="20"/>
        </w:rPr>
        <w:t>人及以上，</w:t>
      </w:r>
      <w:r>
        <w:rPr>
          <w:rFonts w:ascii="宋体" w:hAnsi="宋体" w:eastAsia="宋体" w:cs="宋体"/>
          <w:spacing w:val="9"/>
          <w:sz w:val="20"/>
          <w:szCs w:val="20"/>
        </w:rPr>
        <w:t>且资产总额</w:t>
      </w:r>
      <w:r>
        <w:rPr>
          <w:rFonts w:ascii="宋体" w:hAnsi="宋体" w:eastAsia="宋体" w:cs="宋体"/>
          <w:spacing w:val="-16"/>
          <w:sz w:val="20"/>
          <w:szCs w:val="20"/>
        </w:rPr>
        <w:t xml:space="preserve"> </w:t>
      </w:r>
      <w:r>
        <w:rPr>
          <w:rFonts w:ascii="宋体" w:hAnsi="宋体" w:eastAsia="宋体" w:cs="宋体"/>
          <w:spacing w:val="9"/>
          <w:sz w:val="20"/>
          <w:szCs w:val="20"/>
        </w:rPr>
        <w:t>100</w:t>
      </w:r>
      <w:r>
        <w:rPr>
          <w:rFonts w:ascii="宋体" w:hAnsi="宋体" w:eastAsia="宋体" w:cs="宋体"/>
          <w:spacing w:val="-31"/>
          <w:sz w:val="20"/>
          <w:szCs w:val="20"/>
        </w:rPr>
        <w:t xml:space="preserve"> </w:t>
      </w:r>
      <w:r>
        <w:rPr>
          <w:rFonts w:ascii="宋体" w:hAnsi="宋体" w:eastAsia="宋体" w:cs="宋体"/>
          <w:spacing w:val="9"/>
          <w:sz w:val="20"/>
          <w:szCs w:val="20"/>
        </w:rPr>
        <w:t>万元及以上的为小型企业；从业人员</w:t>
      </w:r>
      <w:r>
        <w:rPr>
          <w:rFonts w:ascii="宋体" w:hAnsi="宋体" w:eastAsia="宋体" w:cs="宋体"/>
          <w:spacing w:val="-16"/>
          <w:sz w:val="20"/>
          <w:szCs w:val="20"/>
        </w:rPr>
        <w:t xml:space="preserve"> </w:t>
      </w:r>
      <w:r>
        <w:rPr>
          <w:rFonts w:ascii="宋体" w:hAnsi="宋体" w:eastAsia="宋体" w:cs="宋体"/>
          <w:spacing w:val="9"/>
          <w:sz w:val="20"/>
          <w:szCs w:val="20"/>
        </w:rPr>
        <w:t>10</w:t>
      </w:r>
      <w:r>
        <w:rPr>
          <w:rFonts w:ascii="宋体" w:hAnsi="宋体" w:eastAsia="宋体" w:cs="宋体"/>
          <w:spacing w:val="-34"/>
          <w:sz w:val="20"/>
          <w:szCs w:val="20"/>
        </w:rPr>
        <w:t xml:space="preserve"> </w:t>
      </w:r>
      <w:r>
        <w:rPr>
          <w:rFonts w:ascii="宋体" w:hAnsi="宋体" w:eastAsia="宋体" w:cs="宋体"/>
          <w:spacing w:val="9"/>
          <w:sz w:val="20"/>
          <w:szCs w:val="20"/>
        </w:rPr>
        <w:t>人以下或资产总额</w:t>
      </w:r>
      <w:r>
        <w:rPr>
          <w:rFonts w:ascii="宋体" w:hAnsi="宋体" w:eastAsia="宋体" w:cs="宋体"/>
          <w:spacing w:val="-19"/>
          <w:sz w:val="20"/>
          <w:szCs w:val="20"/>
        </w:rPr>
        <w:t xml:space="preserve"> </w:t>
      </w:r>
      <w:r>
        <w:rPr>
          <w:rFonts w:ascii="宋体" w:hAnsi="宋体" w:eastAsia="宋体" w:cs="宋体"/>
          <w:spacing w:val="9"/>
          <w:sz w:val="20"/>
          <w:szCs w:val="20"/>
        </w:rPr>
        <w:t>100</w:t>
      </w:r>
      <w:r>
        <w:rPr>
          <w:rFonts w:ascii="宋体" w:hAnsi="宋体" w:eastAsia="宋体" w:cs="宋体"/>
          <w:spacing w:val="-30"/>
          <w:sz w:val="20"/>
          <w:szCs w:val="20"/>
        </w:rPr>
        <w:t xml:space="preserve"> </w:t>
      </w:r>
      <w:r>
        <w:rPr>
          <w:rFonts w:ascii="宋体" w:hAnsi="宋体" w:eastAsia="宋体" w:cs="宋体"/>
          <w:spacing w:val="9"/>
          <w:sz w:val="20"/>
          <w:szCs w:val="20"/>
        </w:rPr>
        <w:t>万元以下的为微型</w:t>
      </w:r>
      <w:r>
        <w:rPr>
          <w:rFonts w:ascii="宋体" w:hAnsi="宋体" w:eastAsia="宋体" w:cs="宋体"/>
          <w:spacing w:val="5"/>
          <w:sz w:val="20"/>
          <w:szCs w:val="20"/>
        </w:rPr>
        <w:t>企业。</w:t>
      </w:r>
    </w:p>
    <w:p w14:paraId="52BF0C0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sectPr>
          <w:footerReference r:id="rId25" w:type="default"/>
          <w:pgSz w:w="11906" w:h="16839"/>
          <w:pgMar w:top="1210" w:right="1318" w:bottom="1233" w:left="1417" w:header="828" w:footer="1019" w:gutter="0"/>
          <w:pgBorders>
            <w:top w:val="none" w:sz="0" w:space="0"/>
            <w:left w:val="none" w:sz="0" w:space="0"/>
            <w:bottom w:val="none" w:sz="0" w:space="0"/>
            <w:right w:val="none" w:sz="0" w:space="0"/>
          </w:pgBorders>
          <w:pgNumType w:fmt="decimal"/>
          <w:cols w:space="720" w:num="1"/>
        </w:sectPr>
      </w:pPr>
    </w:p>
    <w:p w14:paraId="096A702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8F1E5A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4" w:firstLineChars="200"/>
        <w:rPr>
          <w:sz w:val="28"/>
          <w:szCs w:val="28"/>
        </w:rPr>
      </w:pPr>
      <w:r>
        <w:rPr>
          <w:b/>
          <w:bCs/>
          <w:spacing w:val="-2"/>
          <w:sz w:val="28"/>
          <w:szCs w:val="28"/>
        </w:rPr>
        <w:t>关于监狱企业的证明文件</w:t>
      </w:r>
    </w:p>
    <w:p w14:paraId="37FE8B0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9ABD66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outlineLvl w:val="1"/>
        <w:rPr>
          <w:sz w:val="28"/>
          <w:szCs w:val="28"/>
        </w:rPr>
      </w:pPr>
      <w:r>
        <w:rPr>
          <w:spacing w:val="3"/>
          <w:sz w:val="28"/>
          <w:szCs w:val="28"/>
        </w:rPr>
        <w:t>根据财政部、司法部《关于政府采购支持监狱</w:t>
      </w:r>
      <w:r>
        <w:rPr>
          <w:spacing w:val="2"/>
          <w:sz w:val="28"/>
          <w:szCs w:val="28"/>
        </w:rPr>
        <w:t>企业发展有关问题的通</w:t>
      </w:r>
    </w:p>
    <w:p w14:paraId="2A520A71">
      <w:pPr>
        <w:pStyle w:val="7"/>
        <w:keepNext w:val="0"/>
        <w:keepLines w:val="0"/>
        <w:pageBreakBefore w:val="0"/>
        <w:widowControl/>
        <w:kinsoku/>
        <w:wordWrap/>
        <w:overflowPunct/>
        <w:topLinePunct w:val="0"/>
        <w:autoSpaceDE/>
        <w:autoSpaceDN/>
        <w:bidi w:val="0"/>
        <w:adjustRightInd w:val="0"/>
        <w:snapToGrid w:val="0"/>
        <w:spacing w:line="324" w:lineRule="auto"/>
        <w:ind w:right="0"/>
        <w:rPr>
          <w:sz w:val="28"/>
          <w:szCs w:val="28"/>
        </w:rPr>
      </w:pPr>
      <w:r>
        <w:rPr>
          <w:spacing w:val="-5"/>
          <w:sz w:val="28"/>
          <w:szCs w:val="28"/>
        </w:rPr>
        <w:t>知》（财库〔2014〕68</w:t>
      </w:r>
      <w:r>
        <w:rPr>
          <w:spacing w:val="-44"/>
          <w:sz w:val="28"/>
          <w:szCs w:val="28"/>
        </w:rPr>
        <w:t xml:space="preserve"> </w:t>
      </w:r>
      <w:r>
        <w:rPr>
          <w:spacing w:val="-5"/>
          <w:sz w:val="28"/>
          <w:szCs w:val="28"/>
        </w:rPr>
        <w:t>号）的规定，监狱企业是</w:t>
      </w:r>
      <w:r>
        <w:rPr>
          <w:spacing w:val="-6"/>
          <w:sz w:val="28"/>
          <w:szCs w:val="28"/>
        </w:rPr>
        <w:t>指由司法部认定的为罪犯、</w:t>
      </w:r>
      <w:r>
        <w:rPr>
          <w:spacing w:val="4"/>
          <w:sz w:val="28"/>
          <w:szCs w:val="28"/>
        </w:rPr>
        <w:t>戒毒人员提供生产项目和劳动对象，且全部产权属于司法部监狱管理</w:t>
      </w:r>
      <w:r>
        <w:rPr>
          <w:spacing w:val="3"/>
          <w:sz w:val="28"/>
          <w:szCs w:val="28"/>
        </w:rPr>
        <w:t>局、</w:t>
      </w:r>
      <w:r>
        <w:rPr>
          <w:sz w:val="28"/>
          <w:szCs w:val="28"/>
        </w:rPr>
        <w:t>戒毒管理局、直属煤矿管理局，各省、</w:t>
      </w:r>
      <w:r>
        <w:rPr>
          <w:spacing w:val="-52"/>
          <w:sz w:val="28"/>
          <w:szCs w:val="28"/>
        </w:rPr>
        <w:t xml:space="preserve"> </w:t>
      </w:r>
      <w:r>
        <w:rPr>
          <w:sz w:val="28"/>
          <w:szCs w:val="28"/>
        </w:rPr>
        <w:t>自治区、直辖市监狱管理局、戒毒</w:t>
      </w:r>
      <w:r>
        <w:rPr>
          <w:spacing w:val="3"/>
          <w:sz w:val="28"/>
          <w:szCs w:val="28"/>
        </w:rPr>
        <w:t>管理局，各地（设区的市）监狱、强制隔离戒毒所、戒</w:t>
      </w:r>
      <w:r>
        <w:rPr>
          <w:spacing w:val="2"/>
          <w:sz w:val="28"/>
          <w:szCs w:val="28"/>
        </w:rPr>
        <w:t>毒康复所，以及新疆生产建设兵团监狱管理局、戒毒管理局的企业。</w:t>
      </w:r>
    </w:p>
    <w:p w14:paraId="653B947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监狱企业参加政府采购活动时，应当提供由省级以上监狱管理局、戒毒管理局（含新疆生产建设兵团）出具的属于监狱企业的证明文件。</w:t>
      </w:r>
    </w:p>
    <w:p w14:paraId="7016011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footerReference r:id="rId26" w:type="default"/>
          <w:pgSz w:w="11906" w:h="16839"/>
          <w:pgMar w:top="1210" w:right="1324" w:bottom="1233" w:left="1417" w:header="828" w:footer="1019" w:gutter="0"/>
          <w:pgBorders>
            <w:top w:val="none" w:sz="0" w:space="0"/>
            <w:left w:val="none" w:sz="0" w:space="0"/>
            <w:bottom w:val="none" w:sz="0" w:space="0"/>
            <w:right w:val="none" w:sz="0" w:space="0"/>
          </w:pgBorders>
          <w:pgNumType w:fmt="decimal"/>
          <w:cols w:space="720" w:num="1"/>
        </w:sectPr>
      </w:pPr>
    </w:p>
    <w:p w14:paraId="5152899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6241E5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8" w:firstLineChars="200"/>
        <w:rPr>
          <w:sz w:val="30"/>
          <w:szCs w:val="30"/>
        </w:rPr>
      </w:pPr>
      <w:r>
        <w:rPr>
          <w:b/>
          <w:bCs/>
          <w:spacing w:val="-1"/>
          <w:sz w:val="30"/>
          <w:szCs w:val="30"/>
        </w:rPr>
        <w:t>残疾人福利性单位声明函（格式）</w:t>
      </w:r>
    </w:p>
    <w:p w14:paraId="1950824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本单位郑重声明，根据《财政部</w:t>
      </w:r>
      <w:r>
        <w:rPr>
          <w:spacing w:val="77"/>
          <w:sz w:val="28"/>
          <w:szCs w:val="28"/>
        </w:rPr>
        <w:t xml:space="preserve"> </w:t>
      </w:r>
      <w:r>
        <w:rPr>
          <w:spacing w:val="-2"/>
          <w:sz w:val="28"/>
          <w:szCs w:val="28"/>
        </w:rPr>
        <w:t>民政部</w:t>
      </w:r>
      <w:r>
        <w:rPr>
          <w:spacing w:val="58"/>
          <w:sz w:val="28"/>
          <w:szCs w:val="28"/>
        </w:rPr>
        <w:t xml:space="preserve"> </w:t>
      </w:r>
      <w:r>
        <w:rPr>
          <w:spacing w:val="-2"/>
          <w:sz w:val="28"/>
          <w:szCs w:val="28"/>
        </w:rPr>
        <w:t>中国残疾人联合会关于促进</w:t>
      </w:r>
      <w:r>
        <w:rPr>
          <w:spacing w:val="-4"/>
          <w:sz w:val="28"/>
          <w:szCs w:val="28"/>
        </w:rPr>
        <w:t>残疾人就业政府采购政策的通知》（财库〔2017〕141</w:t>
      </w:r>
      <w:r>
        <w:rPr>
          <w:spacing w:val="-44"/>
          <w:sz w:val="28"/>
          <w:szCs w:val="28"/>
        </w:rPr>
        <w:t xml:space="preserve"> </w:t>
      </w:r>
      <w:r>
        <w:rPr>
          <w:spacing w:val="-4"/>
          <w:sz w:val="28"/>
          <w:szCs w:val="28"/>
        </w:rPr>
        <w:t>号）的</w:t>
      </w:r>
      <w:r>
        <w:rPr>
          <w:spacing w:val="-5"/>
          <w:sz w:val="28"/>
          <w:szCs w:val="28"/>
        </w:rPr>
        <w:t>规定，本单位</w:t>
      </w:r>
      <w:r>
        <w:rPr>
          <w:spacing w:val="4"/>
          <w:sz w:val="28"/>
          <w:szCs w:val="28"/>
        </w:rPr>
        <w:t>为符合条件的残疾人福利性单位，且本单位参加</w:t>
      </w:r>
      <w:r>
        <w:rPr>
          <w:spacing w:val="4"/>
          <w:sz w:val="28"/>
          <w:szCs w:val="28"/>
          <w:u w:val="single" w:color="auto"/>
        </w:rPr>
        <w:t>（项目名称</w:t>
      </w:r>
      <w:r>
        <w:rPr>
          <w:spacing w:val="-78"/>
          <w:w w:val="96"/>
          <w:sz w:val="28"/>
          <w:szCs w:val="28"/>
          <w:u w:val="single" w:color="auto"/>
        </w:rPr>
        <w:t>）</w:t>
      </w:r>
      <w:r>
        <w:rPr>
          <w:spacing w:val="-78"/>
          <w:w w:val="96"/>
          <w:sz w:val="28"/>
          <w:szCs w:val="28"/>
        </w:rPr>
        <w:t>（</w:t>
      </w:r>
      <w:r>
        <w:rPr>
          <w:spacing w:val="4"/>
          <w:sz w:val="28"/>
          <w:szCs w:val="28"/>
        </w:rPr>
        <w:t>项目编</w:t>
      </w:r>
    </w:p>
    <w:p w14:paraId="58717487">
      <w:pPr>
        <w:pStyle w:val="7"/>
        <w:keepNext w:val="0"/>
        <w:keepLines w:val="0"/>
        <w:pageBreakBefore w:val="0"/>
        <w:widowControl/>
        <w:kinsoku/>
        <w:wordWrap/>
        <w:overflowPunct/>
        <w:topLinePunct w:val="0"/>
        <w:autoSpaceDE/>
        <w:autoSpaceDN/>
        <w:bidi w:val="0"/>
        <w:adjustRightInd w:val="0"/>
        <w:snapToGrid w:val="0"/>
        <w:spacing w:line="324" w:lineRule="auto"/>
        <w:ind w:right="0"/>
        <w:rPr>
          <w:sz w:val="28"/>
          <w:szCs w:val="28"/>
        </w:rPr>
      </w:pPr>
      <w:r>
        <w:rPr>
          <w:spacing w:val="-2"/>
          <w:sz w:val="28"/>
          <w:szCs w:val="28"/>
        </w:rPr>
        <w:t>号</w:t>
      </w:r>
      <w:r>
        <w:rPr>
          <w:spacing w:val="-24"/>
          <w:sz w:val="28"/>
          <w:szCs w:val="28"/>
        </w:rPr>
        <w:t>：</w:t>
      </w:r>
      <w:r>
        <w:rPr>
          <w:spacing w:val="1"/>
          <w:sz w:val="28"/>
          <w:szCs w:val="28"/>
          <w:u w:val="single" w:color="auto"/>
        </w:rPr>
        <w:t xml:space="preserve">        </w:t>
      </w:r>
      <w:r>
        <w:rPr>
          <w:spacing w:val="-24"/>
          <w:sz w:val="28"/>
          <w:szCs w:val="28"/>
        </w:rPr>
        <w:t>）</w:t>
      </w:r>
      <w:r>
        <w:rPr>
          <w:spacing w:val="-2"/>
          <w:sz w:val="28"/>
          <w:szCs w:val="28"/>
        </w:rPr>
        <w:t>第</w:t>
      </w:r>
      <w:r>
        <w:rPr>
          <w:spacing w:val="-132"/>
          <w:sz w:val="28"/>
          <w:szCs w:val="28"/>
        </w:rPr>
        <w:t xml:space="preserve"> </w:t>
      </w:r>
      <w:r>
        <w:rPr>
          <w:spacing w:val="1"/>
          <w:sz w:val="28"/>
          <w:szCs w:val="28"/>
          <w:u w:val="single" w:color="auto"/>
        </w:rPr>
        <w:t xml:space="preserve">   </w:t>
      </w:r>
      <w:r>
        <w:rPr>
          <w:spacing w:val="-120"/>
          <w:sz w:val="28"/>
          <w:szCs w:val="28"/>
        </w:rPr>
        <w:t xml:space="preserve"> </w:t>
      </w:r>
      <w:r>
        <w:rPr>
          <w:spacing w:val="-2"/>
          <w:sz w:val="28"/>
          <w:szCs w:val="28"/>
        </w:rPr>
        <w:t>标段采购活动提供本单位制造的货物（由本单位承担</w:t>
      </w:r>
      <w:r>
        <w:rPr>
          <w:spacing w:val="2"/>
          <w:sz w:val="28"/>
          <w:szCs w:val="28"/>
        </w:rPr>
        <w:t>工程/提供服务</w:t>
      </w:r>
      <w:r>
        <w:rPr>
          <w:spacing w:val="-54"/>
          <w:sz w:val="28"/>
          <w:szCs w:val="28"/>
        </w:rPr>
        <w:t>），</w:t>
      </w:r>
      <w:r>
        <w:rPr>
          <w:spacing w:val="2"/>
          <w:sz w:val="28"/>
          <w:szCs w:val="28"/>
        </w:rPr>
        <w:t>或者提供其他残疾人福利性单位制造的</w:t>
      </w:r>
      <w:r>
        <w:rPr>
          <w:spacing w:val="1"/>
          <w:sz w:val="28"/>
          <w:szCs w:val="28"/>
        </w:rPr>
        <w:t>货物（不包括使</w:t>
      </w:r>
      <w:r>
        <w:rPr>
          <w:spacing w:val="-4"/>
          <w:sz w:val="28"/>
          <w:szCs w:val="28"/>
        </w:rPr>
        <w:t>用非残疾人福利性单位注册商标的货物）。</w:t>
      </w:r>
    </w:p>
    <w:p w14:paraId="20F19CE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right"/>
        <w:rPr>
          <w:sz w:val="28"/>
          <w:szCs w:val="28"/>
        </w:rPr>
      </w:pPr>
      <w:r>
        <w:rPr>
          <w:spacing w:val="2"/>
          <w:sz w:val="28"/>
          <w:szCs w:val="28"/>
        </w:rPr>
        <w:t>本单位对上述声明的真实性负责。如有虚假，将依法承担相应责任。</w:t>
      </w:r>
    </w:p>
    <w:p w14:paraId="0BE400F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43845A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FD7213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588AA33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9"/>
          <w:sz w:val="28"/>
          <w:szCs w:val="28"/>
        </w:rPr>
        <w:t xml:space="preserve">    </w:t>
      </w:r>
      <w:r>
        <w:rPr>
          <w:spacing w:val="-22"/>
          <w:sz w:val="28"/>
          <w:szCs w:val="28"/>
        </w:rPr>
        <w:t>年</w:t>
      </w:r>
      <w:r>
        <w:rPr>
          <w:spacing w:val="20"/>
          <w:sz w:val="28"/>
          <w:szCs w:val="28"/>
        </w:rPr>
        <w:t xml:space="preserve">  </w:t>
      </w:r>
      <w:r>
        <w:rPr>
          <w:spacing w:val="-22"/>
          <w:sz w:val="28"/>
          <w:szCs w:val="28"/>
        </w:rPr>
        <w:t>月</w:t>
      </w:r>
      <w:r>
        <w:rPr>
          <w:spacing w:val="41"/>
          <w:sz w:val="28"/>
          <w:szCs w:val="28"/>
        </w:rPr>
        <w:t xml:space="preserve">  </w:t>
      </w:r>
      <w:r>
        <w:rPr>
          <w:spacing w:val="-22"/>
          <w:sz w:val="28"/>
          <w:szCs w:val="28"/>
        </w:rPr>
        <w:t>日</w:t>
      </w:r>
    </w:p>
    <w:p w14:paraId="46358CB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037917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A1953D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779242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2" w:firstLineChars="200"/>
        <w:rPr>
          <w:rFonts w:ascii="宋体" w:hAnsi="宋体" w:eastAsia="宋体" w:cs="宋体"/>
          <w:sz w:val="20"/>
          <w:szCs w:val="20"/>
        </w:rPr>
      </w:pPr>
      <w:r>
        <w:rPr>
          <w:rFonts w:ascii="宋体" w:hAnsi="宋体" w:eastAsia="宋体" w:cs="宋体"/>
          <w:b/>
          <w:bCs/>
          <w:spacing w:val="10"/>
          <w:sz w:val="20"/>
          <w:szCs w:val="20"/>
        </w:rPr>
        <w:t>备注：供应商非残疾人福利性单位不用填写此表。</w:t>
      </w:r>
    </w:p>
    <w:p w14:paraId="50A679E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36" w:firstLineChars="200"/>
        <w:rPr>
          <w:rFonts w:ascii="宋体" w:hAnsi="宋体" w:eastAsia="宋体" w:cs="宋体"/>
          <w:sz w:val="20"/>
          <w:szCs w:val="20"/>
        </w:rPr>
      </w:pPr>
      <w:r>
        <w:rPr>
          <w:rFonts w:ascii="宋体" w:hAnsi="宋体" w:eastAsia="宋体" w:cs="宋体"/>
          <w:spacing w:val="9"/>
          <w:sz w:val="20"/>
          <w:szCs w:val="20"/>
        </w:rPr>
        <w:t>项目不分标段的，第</w:t>
      </w:r>
      <w:r>
        <w:rPr>
          <w:rFonts w:ascii="宋体" w:hAnsi="宋体" w:eastAsia="宋体" w:cs="宋体"/>
          <w:spacing w:val="-90"/>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9"/>
          <w:sz w:val="20"/>
          <w:szCs w:val="20"/>
        </w:rPr>
        <w:t>标段空白处填写“/</w:t>
      </w:r>
      <w:r>
        <w:rPr>
          <w:rFonts w:ascii="宋体" w:hAnsi="宋体" w:eastAsia="宋体" w:cs="宋体"/>
          <w:spacing w:val="-69"/>
          <w:sz w:val="20"/>
          <w:szCs w:val="20"/>
        </w:rPr>
        <w:t xml:space="preserve"> </w:t>
      </w:r>
      <w:r>
        <w:rPr>
          <w:rFonts w:ascii="宋体" w:hAnsi="宋体" w:eastAsia="宋体" w:cs="宋体"/>
          <w:spacing w:val="9"/>
          <w:sz w:val="20"/>
          <w:szCs w:val="20"/>
        </w:rPr>
        <w:t>”。</w:t>
      </w:r>
    </w:p>
    <w:p w14:paraId="1253DBA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36" w:firstLineChars="200"/>
        <w:rPr>
          <w:rFonts w:ascii="宋体" w:hAnsi="宋体" w:eastAsia="宋体" w:cs="宋体"/>
          <w:sz w:val="20"/>
          <w:szCs w:val="20"/>
        </w:rPr>
      </w:pPr>
      <w:r>
        <w:rPr>
          <w:rFonts w:ascii="宋体" w:hAnsi="宋体" w:eastAsia="宋体" w:cs="宋体"/>
          <w:spacing w:val="9"/>
          <w:sz w:val="20"/>
          <w:szCs w:val="20"/>
        </w:rPr>
        <w:t>根据《财政部</w:t>
      </w:r>
      <w:r>
        <w:rPr>
          <w:rFonts w:ascii="宋体" w:hAnsi="宋体" w:eastAsia="宋体" w:cs="宋体"/>
          <w:spacing w:val="39"/>
          <w:sz w:val="20"/>
          <w:szCs w:val="20"/>
        </w:rPr>
        <w:t xml:space="preserve"> </w:t>
      </w:r>
      <w:r>
        <w:rPr>
          <w:rFonts w:ascii="宋体" w:hAnsi="宋体" w:eastAsia="宋体" w:cs="宋体"/>
          <w:spacing w:val="9"/>
          <w:sz w:val="20"/>
          <w:szCs w:val="20"/>
        </w:rPr>
        <w:t>民政部</w:t>
      </w:r>
      <w:r>
        <w:rPr>
          <w:rFonts w:ascii="宋体" w:hAnsi="宋体" w:eastAsia="宋体" w:cs="宋体"/>
          <w:spacing w:val="38"/>
          <w:sz w:val="20"/>
          <w:szCs w:val="20"/>
        </w:rPr>
        <w:t xml:space="preserve"> </w:t>
      </w:r>
      <w:r>
        <w:rPr>
          <w:rFonts w:ascii="宋体" w:hAnsi="宋体" w:eastAsia="宋体" w:cs="宋体"/>
          <w:spacing w:val="9"/>
          <w:sz w:val="20"/>
          <w:szCs w:val="20"/>
        </w:rPr>
        <w:t>中国残疾人联合会关于促进残疾人就业政府</w:t>
      </w:r>
      <w:r>
        <w:rPr>
          <w:rFonts w:ascii="宋体" w:hAnsi="宋体" w:eastAsia="宋体" w:cs="宋体"/>
          <w:spacing w:val="8"/>
          <w:sz w:val="20"/>
          <w:szCs w:val="20"/>
        </w:rPr>
        <w:t>采购政策的通知》（财库</w:t>
      </w:r>
      <w:r>
        <w:rPr>
          <w:rFonts w:ascii="宋体" w:hAnsi="宋体" w:eastAsia="宋体" w:cs="宋体"/>
          <w:spacing w:val="-1"/>
          <w:sz w:val="20"/>
          <w:szCs w:val="20"/>
        </w:rPr>
        <w:t>〔2017〕</w:t>
      </w:r>
      <w:r>
        <w:rPr>
          <w:rFonts w:ascii="宋体" w:hAnsi="宋体" w:eastAsia="宋体" w:cs="宋体"/>
          <w:spacing w:val="-46"/>
          <w:sz w:val="20"/>
          <w:szCs w:val="20"/>
        </w:rPr>
        <w:t xml:space="preserve"> </w:t>
      </w:r>
      <w:r>
        <w:rPr>
          <w:rFonts w:ascii="宋体" w:hAnsi="宋体" w:eastAsia="宋体" w:cs="宋体"/>
          <w:spacing w:val="-1"/>
          <w:sz w:val="20"/>
          <w:szCs w:val="20"/>
        </w:rPr>
        <w:t>141</w:t>
      </w:r>
      <w:r>
        <w:rPr>
          <w:rFonts w:ascii="宋体" w:hAnsi="宋体" w:eastAsia="宋体" w:cs="宋体"/>
          <w:spacing w:val="-30"/>
          <w:sz w:val="20"/>
          <w:szCs w:val="20"/>
        </w:rPr>
        <w:t xml:space="preserve"> </w:t>
      </w:r>
      <w:r>
        <w:rPr>
          <w:rFonts w:ascii="宋体" w:hAnsi="宋体" w:eastAsia="宋体" w:cs="宋体"/>
          <w:spacing w:val="-1"/>
          <w:sz w:val="20"/>
          <w:szCs w:val="20"/>
        </w:rPr>
        <w:t>号）</w:t>
      </w:r>
      <w:r>
        <w:rPr>
          <w:rFonts w:ascii="宋体" w:hAnsi="宋体" w:eastAsia="宋体" w:cs="宋体"/>
          <w:spacing w:val="-57"/>
          <w:sz w:val="20"/>
          <w:szCs w:val="20"/>
        </w:rPr>
        <w:t xml:space="preserve"> </w:t>
      </w:r>
      <w:r>
        <w:rPr>
          <w:rFonts w:ascii="宋体" w:hAnsi="宋体" w:eastAsia="宋体" w:cs="宋体"/>
          <w:spacing w:val="-1"/>
          <w:sz w:val="20"/>
          <w:szCs w:val="20"/>
        </w:rPr>
        <w:t>的规定：</w:t>
      </w:r>
    </w:p>
    <w:p w14:paraId="78EAB11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8" w:firstLineChars="200"/>
        <w:rPr>
          <w:rFonts w:ascii="宋体" w:hAnsi="宋体" w:eastAsia="宋体" w:cs="宋体"/>
          <w:sz w:val="20"/>
          <w:szCs w:val="20"/>
        </w:rPr>
      </w:pPr>
      <w:r>
        <w:rPr>
          <w:rFonts w:ascii="宋体" w:hAnsi="宋体" w:eastAsia="宋体" w:cs="宋体"/>
          <w:spacing w:val="12"/>
          <w:sz w:val="20"/>
          <w:szCs w:val="20"/>
        </w:rPr>
        <w:t>一、享受政府采购支持政策的残疾人福利性单位应当同时满足以下条件：</w:t>
      </w:r>
    </w:p>
    <w:p w14:paraId="5C39017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44" w:firstLineChars="200"/>
        <w:rPr>
          <w:rFonts w:ascii="宋体" w:hAnsi="宋体" w:eastAsia="宋体" w:cs="宋体"/>
          <w:sz w:val="20"/>
          <w:szCs w:val="20"/>
        </w:rPr>
      </w:pPr>
      <w:r>
        <w:rPr>
          <w:rFonts w:ascii="宋体" w:hAnsi="宋体" w:eastAsia="宋体" w:cs="宋体"/>
          <w:spacing w:val="11"/>
          <w:sz w:val="20"/>
          <w:szCs w:val="20"/>
        </w:rPr>
        <w:t>（一）安置的残疾人占本单位在职职工人数的比例不低于</w:t>
      </w:r>
      <w:r>
        <w:rPr>
          <w:rFonts w:ascii="宋体" w:hAnsi="宋体" w:eastAsia="宋体" w:cs="宋体"/>
          <w:spacing w:val="-31"/>
          <w:sz w:val="20"/>
          <w:szCs w:val="20"/>
        </w:rPr>
        <w:t xml:space="preserve"> </w:t>
      </w:r>
      <w:r>
        <w:rPr>
          <w:spacing w:val="11"/>
          <w:sz w:val="20"/>
          <w:szCs w:val="20"/>
        </w:rPr>
        <w:t>25</w:t>
      </w:r>
      <w:r>
        <w:rPr>
          <w:rFonts w:ascii="宋体" w:hAnsi="宋体" w:eastAsia="宋体" w:cs="宋体"/>
          <w:spacing w:val="11"/>
          <w:sz w:val="20"/>
          <w:szCs w:val="20"/>
        </w:rPr>
        <w:t>%（含</w:t>
      </w:r>
      <w:r>
        <w:rPr>
          <w:rFonts w:ascii="宋体" w:hAnsi="宋体" w:eastAsia="宋体" w:cs="宋体"/>
          <w:spacing w:val="-33"/>
          <w:sz w:val="20"/>
          <w:szCs w:val="20"/>
        </w:rPr>
        <w:t xml:space="preserve"> </w:t>
      </w:r>
      <w:r>
        <w:rPr>
          <w:spacing w:val="11"/>
          <w:sz w:val="20"/>
          <w:szCs w:val="20"/>
        </w:rPr>
        <w:t>25</w:t>
      </w:r>
      <w:r>
        <w:rPr>
          <w:rFonts w:ascii="宋体" w:hAnsi="宋体" w:eastAsia="宋体" w:cs="宋体"/>
          <w:spacing w:val="10"/>
          <w:sz w:val="20"/>
          <w:szCs w:val="20"/>
        </w:rPr>
        <w:t>%</w:t>
      </w:r>
      <w:r>
        <w:rPr>
          <w:rFonts w:ascii="宋体" w:hAnsi="宋体" w:eastAsia="宋体" w:cs="宋体"/>
          <w:spacing w:val="-34"/>
          <w:sz w:val="20"/>
          <w:szCs w:val="20"/>
        </w:rPr>
        <w:t>），</w:t>
      </w:r>
      <w:r>
        <w:rPr>
          <w:rFonts w:ascii="宋体" w:hAnsi="宋体" w:eastAsia="宋体" w:cs="宋体"/>
          <w:spacing w:val="10"/>
          <w:sz w:val="20"/>
          <w:szCs w:val="20"/>
        </w:rPr>
        <w:t>并且安置的残疾人</w:t>
      </w:r>
      <w:r>
        <w:rPr>
          <w:rFonts w:ascii="宋体" w:hAnsi="宋体" w:eastAsia="宋体" w:cs="宋体"/>
          <w:spacing w:val="4"/>
          <w:sz w:val="20"/>
          <w:szCs w:val="20"/>
        </w:rPr>
        <w:t>人数不少于</w:t>
      </w:r>
      <w:r>
        <w:rPr>
          <w:rFonts w:ascii="宋体" w:hAnsi="宋体" w:eastAsia="宋体" w:cs="宋体"/>
          <w:spacing w:val="-19"/>
          <w:sz w:val="20"/>
          <w:szCs w:val="20"/>
        </w:rPr>
        <w:t xml:space="preserve"> </w:t>
      </w:r>
      <w:r>
        <w:rPr>
          <w:rFonts w:ascii="宋体" w:hAnsi="宋体" w:eastAsia="宋体" w:cs="宋体"/>
          <w:spacing w:val="4"/>
          <w:sz w:val="20"/>
          <w:szCs w:val="20"/>
        </w:rPr>
        <w:t>10</w:t>
      </w:r>
      <w:r>
        <w:rPr>
          <w:rFonts w:ascii="宋体" w:hAnsi="宋体" w:eastAsia="宋体" w:cs="宋体"/>
          <w:spacing w:val="-34"/>
          <w:sz w:val="20"/>
          <w:szCs w:val="20"/>
        </w:rPr>
        <w:t xml:space="preserve"> </w:t>
      </w:r>
      <w:r>
        <w:rPr>
          <w:rFonts w:ascii="宋体" w:hAnsi="宋体" w:eastAsia="宋体" w:cs="宋体"/>
          <w:spacing w:val="4"/>
          <w:sz w:val="20"/>
          <w:szCs w:val="20"/>
        </w:rPr>
        <w:t>人（含</w:t>
      </w:r>
      <w:r>
        <w:rPr>
          <w:rFonts w:ascii="宋体" w:hAnsi="宋体" w:eastAsia="宋体" w:cs="宋体"/>
          <w:spacing w:val="-19"/>
          <w:sz w:val="20"/>
          <w:szCs w:val="20"/>
        </w:rPr>
        <w:t xml:space="preserve"> </w:t>
      </w:r>
      <w:r>
        <w:rPr>
          <w:rFonts w:ascii="宋体" w:hAnsi="宋体" w:eastAsia="宋体" w:cs="宋体"/>
          <w:spacing w:val="4"/>
          <w:sz w:val="20"/>
          <w:szCs w:val="20"/>
        </w:rPr>
        <w:t>10</w:t>
      </w:r>
      <w:r>
        <w:rPr>
          <w:rFonts w:ascii="宋体" w:hAnsi="宋体" w:eastAsia="宋体" w:cs="宋体"/>
          <w:spacing w:val="-34"/>
          <w:sz w:val="20"/>
          <w:szCs w:val="20"/>
        </w:rPr>
        <w:t xml:space="preserve"> </w:t>
      </w:r>
      <w:r>
        <w:rPr>
          <w:rFonts w:ascii="宋体" w:hAnsi="宋体" w:eastAsia="宋体" w:cs="宋体"/>
          <w:spacing w:val="4"/>
          <w:sz w:val="20"/>
          <w:szCs w:val="20"/>
        </w:rPr>
        <w:t>人</w:t>
      </w:r>
      <w:r>
        <w:rPr>
          <w:rFonts w:ascii="宋体" w:hAnsi="宋体" w:eastAsia="宋体" w:cs="宋体"/>
          <w:spacing w:val="-53"/>
          <w:sz w:val="20"/>
          <w:szCs w:val="20"/>
        </w:rPr>
        <w:t>）；</w:t>
      </w:r>
    </w:p>
    <w:p w14:paraId="17DBE1C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4" w:firstLineChars="200"/>
        <w:rPr>
          <w:rFonts w:ascii="宋体" w:hAnsi="宋体" w:eastAsia="宋体" w:cs="宋体"/>
          <w:sz w:val="20"/>
          <w:szCs w:val="20"/>
        </w:rPr>
      </w:pPr>
      <w:r>
        <w:rPr>
          <w:rFonts w:ascii="宋体" w:hAnsi="宋体" w:eastAsia="宋体" w:cs="宋体"/>
          <w:spacing w:val="11"/>
          <w:sz w:val="20"/>
          <w:szCs w:val="20"/>
        </w:rPr>
        <w:t>（二）依法与安置的每位残疾人签订了一年以上（含一年）</w:t>
      </w:r>
      <w:r>
        <w:rPr>
          <w:rFonts w:ascii="宋体" w:hAnsi="宋体" w:eastAsia="宋体" w:cs="宋体"/>
          <w:spacing w:val="-47"/>
          <w:sz w:val="20"/>
          <w:szCs w:val="20"/>
        </w:rPr>
        <w:t xml:space="preserve"> </w:t>
      </w:r>
      <w:r>
        <w:rPr>
          <w:rFonts w:ascii="宋体" w:hAnsi="宋体" w:eastAsia="宋体" w:cs="宋体"/>
          <w:spacing w:val="11"/>
          <w:sz w:val="20"/>
          <w:szCs w:val="20"/>
        </w:rPr>
        <w:t>的劳动合同或服务协议；</w:t>
      </w:r>
    </w:p>
    <w:p w14:paraId="364C116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（三）为安置的每位残疾人按月足额缴纳了基本养老保险、基本医疗保险</w:t>
      </w:r>
      <w:r>
        <w:rPr>
          <w:rFonts w:ascii="宋体" w:hAnsi="宋体" w:eastAsia="宋体" w:cs="宋体"/>
          <w:spacing w:val="12"/>
          <w:sz w:val="20"/>
          <w:szCs w:val="20"/>
        </w:rPr>
        <w:t>、失业保险、工伤</w:t>
      </w:r>
      <w:r>
        <w:rPr>
          <w:rFonts w:ascii="宋体" w:hAnsi="宋体" w:eastAsia="宋体" w:cs="宋体"/>
          <w:spacing w:val="11"/>
          <w:sz w:val="20"/>
          <w:szCs w:val="20"/>
        </w:rPr>
        <w:t>保险和生育保险等社会保险费；</w:t>
      </w:r>
    </w:p>
    <w:p w14:paraId="0B6DEC1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（四）通过银行等金融机构向安置的每位残疾人，按月支付了不低于单位</w:t>
      </w:r>
      <w:r>
        <w:rPr>
          <w:rFonts w:ascii="宋体" w:hAnsi="宋体" w:eastAsia="宋体" w:cs="宋体"/>
          <w:spacing w:val="12"/>
          <w:sz w:val="20"/>
          <w:szCs w:val="20"/>
        </w:rPr>
        <w:t>所在区县适用的经</w:t>
      </w:r>
      <w:r>
        <w:rPr>
          <w:rFonts w:ascii="宋体" w:hAnsi="宋体" w:eastAsia="宋体" w:cs="宋体"/>
          <w:spacing w:val="11"/>
          <w:sz w:val="20"/>
          <w:szCs w:val="20"/>
        </w:rPr>
        <w:t>省级人民政府批准的月最低工资标准的工资；</w:t>
      </w:r>
    </w:p>
    <w:p w14:paraId="03BAAC5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8" w:firstLineChars="200"/>
        <w:rPr>
          <w:rFonts w:ascii="宋体" w:hAnsi="宋体" w:eastAsia="宋体" w:cs="宋体"/>
          <w:sz w:val="20"/>
          <w:szCs w:val="20"/>
        </w:rPr>
      </w:pPr>
      <w:r>
        <w:rPr>
          <w:rFonts w:ascii="宋体" w:hAnsi="宋体" w:eastAsia="宋体" w:cs="宋体"/>
          <w:spacing w:val="12"/>
          <w:sz w:val="20"/>
          <w:szCs w:val="20"/>
        </w:rPr>
        <w:t>（五）提供本单位制造的货物、承担的工程或者服务（以下简称产品</w:t>
      </w:r>
      <w:r>
        <w:rPr>
          <w:rFonts w:ascii="宋体" w:hAnsi="宋体" w:eastAsia="宋体" w:cs="宋体"/>
          <w:spacing w:val="-25"/>
          <w:sz w:val="20"/>
          <w:szCs w:val="20"/>
        </w:rPr>
        <w:t>），</w:t>
      </w:r>
      <w:r>
        <w:rPr>
          <w:rFonts w:ascii="宋体" w:hAnsi="宋体" w:eastAsia="宋体" w:cs="宋体"/>
          <w:spacing w:val="12"/>
          <w:sz w:val="20"/>
          <w:szCs w:val="20"/>
        </w:rPr>
        <w:t>或者提供其他残疾人</w:t>
      </w:r>
      <w:r>
        <w:rPr>
          <w:rFonts w:ascii="宋体" w:hAnsi="宋体" w:eastAsia="宋体" w:cs="宋体"/>
          <w:spacing w:val="10"/>
          <w:sz w:val="20"/>
          <w:szCs w:val="20"/>
        </w:rPr>
        <w:t>福利性单位制造的货物（不包括使用非残疾人福利性单位注册商标的货物）。</w:t>
      </w:r>
    </w:p>
    <w:p w14:paraId="63B0431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jc w:val="both"/>
        <w:rPr>
          <w:rFonts w:ascii="宋体" w:hAnsi="宋体" w:eastAsia="宋体" w:cs="宋体"/>
          <w:sz w:val="20"/>
          <w:szCs w:val="20"/>
        </w:rPr>
      </w:pPr>
      <w:r>
        <w:rPr>
          <w:rFonts w:ascii="宋体" w:hAnsi="宋体" w:eastAsia="宋体" w:cs="宋体"/>
          <w:spacing w:val="13"/>
          <w:sz w:val="20"/>
          <w:szCs w:val="20"/>
        </w:rPr>
        <w:t>前款所称残疾人是指法定劳动年龄内，持有《中华人民共和国残疾人证》或者《中华人民共</w:t>
      </w:r>
      <w:r>
        <w:rPr>
          <w:rFonts w:ascii="宋体" w:hAnsi="宋体" w:eastAsia="宋体" w:cs="宋体"/>
          <w:spacing w:val="7"/>
          <w:sz w:val="20"/>
          <w:szCs w:val="20"/>
        </w:rPr>
        <w:t>和国残疾军人证（</w:t>
      </w:r>
      <w:r>
        <w:rPr>
          <w:rFonts w:ascii="宋体" w:hAnsi="宋体" w:eastAsia="宋体" w:cs="宋体"/>
          <w:spacing w:val="-41"/>
          <w:sz w:val="20"/>
          <w:szCs w:val="20"/>
        </w:rPr>
        <w:t xml:space="preserve"> </w:t>
      </w:r>
      <w:r>
        <w:rPr>
          <w:rFonts w:ascii="宋体" w:hAnsi="宋体" w:eastAsia="宋体" w:cs="宋体"/>
          <w:spacing w:val="7"/>
          <w:sz w:val="20"/>
          <w:szCs w:val="20"/>
        </w:rPr>
        <w:t>1</w:t>
      </w:r>
      <w:r>
        <w:rPr>
          <w:rFonts w:ascii="宋体" w:hAnsi="宋体" w:eastAsia="宋体" w:cs="宋体"/>
          <w:spacing w:val="-36"/>
          <w:sz w:val="20"/>
          <w:szCs w:val="20"/>
        </w:rPr>
        <w:t xml:space="preserve"> </w:t>
      </w:r>
      <w:r>
        <w:rPr>
          <w:rFonts w:ascii="宋体" w:hAnsi="宋体" w:eastAsia="宋体" w:cs="宋体"/>
          <w:spacing w:val="7"/>
          <w:sz w:val="20"/>
          <w:szCs w:val="20"/>
        </w:rPr>
        <w:t>至</w:t>
      </w:r>
      <w:r>
        <w:rPr>
          <w:rFonts w:ascii="宋体" w:hAnsi="宋体" w:eastAsia="宋体" w:cs="宋体"/>
          <w:spacing w:val="-34"/>
          <w:sz w:val="20"/>
          <w:szCs w:val="20"/>
        </w:rPr>
        <w:t xml:space="preserve"> </w:t>
      </w:r>
      <w:r>
        <w:rPr>
          <w:rFonts w:ascii="宋体" w:hAnsi="宋体" w:eastAsia="宋体" w:cs="宋体"/>
          <w:spacing w:val="7"/>
          <w:sz w:val="20"/>
          <w:szCs w:val="20"/>
        </w:rPr>
        <w:t>8</w:t>
      </w:r>
      <w:r>
        <w:rPr>
          <w:rFonts w:ascii="宋体" w:hAnsi="宋体" w:eastAsia="宋体" w:cs="宋体"/>
          <w:spacing w:val="-32"/>
          <w:sz w:val="20"/>
          <w:szCs w:val="20"/>
        </w:rPr>
        <w:t xml:space="preserve"> </w:t>
      </w:r>
      <w:r>
        <w:rPr>
          <w:rFonts w:ascii="宋体" w:hAnsi="宋体" w:eastAsia="宋体" w:cs="宋体"/>
          <w:spacing w:val="7"/>
          <w:sz w:val="20"/>
          <w:szCs w:val="20"/>
        </w:rPr>
        <w:t>级）》</w:t>
      </w:r>
      <w:r>
        <w:rPr>
          <w:rFonts w:ascii="宋体" w:hAnsi="宋体" w:eastAsia="宋体" w:cs="宋体"/>
          <w:spacing w:val="-46"/>
          <w:sz w:val="20"/>
          <w:szCs w:val="20"/>
        </w:rPr>
        <w:t xml:space="preserve"> </w:t>
      </w:r>
      <w:r>
        <w:rPr>
          <w:rFonts w:ascii="宋体" w:hAnsi="宋体" w:eastAsia="宋体" w:cs="宋体"/>
          <w:spacing w:val="7"/>
          <w:sz w:val="20"/>
          <w:szCs w:val="20"/>
        </w:rPr>
        <w:t>的自然人，包括具有劳动条件和劳动意愿的</w:t>
      </w:r>
      <w:r>
        <w:rPr>
          <w:rFonts w:ascii="宋体" w:hAnsi="宋体" w:eastAsia="宋体" w:cs="宋体"/>
          <w:spacing w:val="6"/>
          <w:sz w:val="20"/>
          <w:szCs w:val="20"/>
        </w:rPr>
        <w:t>精神残疾人。在职职工</w:t>
      </w:r>
      <w:r>
        <w:rPr>
          <w:rFonts w:ascii="宋体" w:hAnsi="宋体" w:eastAsia="宋体" w:cs="宋体"/>
          <w:spacing w:val="13"/>
          <w:sz w:val="20"/>
          <w:szCs w:val="20"/>
        </w:rPr>
        <w:t>人数是指与残疾人福利性单位建立劳动关系并依法签订劳动合同</w:t>
      </w:r>
      <w:r>
        <w:rPr>
          <w:rFonts w:ascii="宋体" w:hAnsi="宋体" w:eastAsia="宋体" w:cs="宋体"/>
          <w:spacing w:val="12"/>
          <w:sz w:val="20"/>
          <w:szCs w:val="20"/>
        </w:rPr>
        <w:t>或者服务协议的雇员人数。</w:t>
      </w:r>
    </w:p>
    <w:p w14:paraId="3989042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64" w:firstLineChars="200"/>
        <w:rPr>
          <w:sz w:val="28"/>
          <w:szCs w:val="28"/>
        </w:rPr>
        <w:sectPr>
          <w:footerReference r:id="rId27"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r>
        <w:rPr>
          <w:rFonts w:ascii="宋体" w:hAnsi="宋体" w:eastAsia="宋体" w:cs="宋体"/>
          <w:spacing w:val="16"/>
          <w:sz w:val="20"/>
          <w:szCs w:val="20"/>
        </w:rPr>
        <w:t>二、成交供应商为残疾人福利性单位的，采购人或者其委</w:t>
      </w:r>
      <w:r>
        <w:rPr>
          <w:rFonts w:ascii="宋体" w:hAnsi="宋体" w:eastAsia="宋体" w:cs="宋体"/>
          <w:spacing w:val="15"/>
          <w:sz w:val="20"/>
          <w:szCs w:val="20"/>
        </w:rPr>
        <w:t>托的采购代理机构应当随成交结果</w:t>
      </w:r>
      <w:r>
        <w:rPr>
          <w:rFonts w:ascii="宋体" w:hAnsi="宋体" w:eastAsia="宋体" w:cs="宋体"/>
          <w:spacing w:val="7"/>
          <w:sz w:val="20"/>
          <w:szCs w:val="20"/>
        </w:rPr>
        <w:t>同时公告其《残疾人福利性单位声明函》，接受社会监督。</w:t>
      </w:r>
      <w:bookmarkStart w:id="35" w:name="bookmark28"/>
      <w:bookmarkEnd w:id="35"/>
    </w:p>
    <w:p w14:paraId="49FAD369">
      <w:pPr>
        <w:keepNext w:val="0"/>
        <w:keepLines w:val="0"/>
        <w:pageBreakBefore w:val="0"/>
        <w:widowControl/>
        <w:kinsoku/>
        <w:wordWrap/>
        <w:overflowPunct/>
        <w:topLinePunct w:val="0"/>
        <w:autoSpaceDE/>
        <w:autoSpaceDN/>
        <w:bidi w:val="0"/>
        <w:adjustRightInd w:val="0"/>
        <w:snapToGrid w:val="0"/>
        <w:spacing w:line="324" w:lineRule="auto"/>
        <w:ind w:right="0"/>
        <w:rPr>
          <w:rFonts w:ascii="Arial"/>
          <w:sz w:val="21"/>
        </w:rPr>
      </w:pPr>
    </w:p>
    <w:p w14:paraId="502A205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8" w:firstLineChars="200"/>
        <w:rPr>
          <w:b/>
          <w:bCs/>
          <w:spacing w:val="-1"/>
          <w:sz w:val="30"/>
          <w:szCs w:val="30"/>
        </w:rPr>
      </w:pPr>
      <w:r>
        <w:rPr>
          <w:b/>
          <w:bCs/>
          <w:spacing w:val="-1"/>
          <w:sz w:val="30"/>
          <w:szCs w:val="30"/>
        </w:rPr>
        <w:t>十、本项目不接受联合体响应</w:t>
      </w:r>
    </w:p>
    <w:p w14:paraId="59AEEF2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b/>
          <w:bCs/>
          <w:spacing w:val="-1"/>
          <w:sz w:val="28"/>
          <w:szCs w:val="28"/>
        </w:rPr>
      </w:pPr>
    </w:p>
    <w:p w14:paraId="0703A53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jc w:val="center"/>
        <w:rPr>
          <w:sz w:val="28"/>
          <w:szCs w:val="28"/>
        </w:rPr>
      </w:pPr>
      <w:r>
        <w:rPr>
          <w:b/>
          <w:bCs/>
          <w:spacing w:val="-1"/>
          <w:sz w:val="28"/>
          <w:szCs w:val="28"/>
        </w:rPr>
        <w:t>非联合体投标声明（格式）</w:t>
      </w:r>
    </w:p>
    <w:p w14:paraId="636FBA5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744A9B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A26FA3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jc w:val="both"/>
        <w:rPr>
          <w:sz w:val="28"/>
          <w:szCs w:val="28"/>
        </w:rPr>
      </w:pPr>
      <w:r>
        <w:rPr>
          <w:spacing w:val="3"/>
          <w:sz w:val="28"/>
          <w:szCs w:val="28"/>
        </w:rPr>
        <w:t>本单位郑重声明，参加</w:t>
      </w:r>
      <w:r>
        <w:rPr>
          <w:rFonts w:hint="eastAsia"/>
          <w:spacing w:val="3"/>
          <w:sz w:val="28"/>
          <w:szCs w:val="28"/>
          <w:lang w:eastAsia="zh-CN"/>
        </w:rPr>
        <w:t>陕西中源项目管理有限公司</w:t>
      </w:r>
      <w:r>
        <w:rPr>
          <w:spacing w:val="2"/>
          <w:sz w:val="28"/>
          <w:szCs w:val="28"/>
        </w:rPr>
        <w:t>的</w:t>
      </w:r>
      <w:r>
        <w:rPr>
          <w:spacing w:val="2"/>
          <w:sz w:val="28"/>
          <w:szCs w:val="28"/>
          <w:u w:val="single" w:color="auto"/>
        </w:rPr>
        <w:t>项目名称</w:t>
      </w:r>
      <w:r>
        <w:rPr>
          <w:spacing w:val="2"/>
          <w:sz w:val="28"/>
          <w:szCs w:val="28"/>
        </w:rPr>
        <w:t>（项</w:t>
      </w:r>
      <w:r>
        <w:rPr>
          <w:spacing w:val="-3"/>
          <w:sz w:val="28"/>
          <w:szCs w:val="28"/>
        </w:rPr>
        <w:t>目编号</w:t>
      </w:r>
      <w:r>
        <w:rPr>
          <w:spacing w:val="-29"/>
          <w:sz w:val="28"/>
          <w:szCs w:val="28"/>
        </w:rPr>
        <w:t>：</w:t>
      </w:r>
      <w:r>
        <w:rPr>
          <w:spacing w:val="1"/>
          <w:sz w:val="28"/>
          <w:szCs w:val="28"/>
          <w:u w:val="single" w:color="auto"/>
        </w:rPr>
        <w:t xml:space="preserve">        </w:t>
      </w:r>
      <w:r>
        <w:rPr>
          <w:spacing w:val="-95"/>
          <w:sz w:val="28"/>
          <w:szCs w:val="28"/>
        </w:rPr>
        <w:t xml:space="preserve"> </w:t>
      </w:r>
      <w:r>
        <w:rPr>
          <w:spacing w:val="-29"/>
          <w:sz w:val="28"/>
          <w:szCs w:val="28"/>
        </w:rPr>
        <w:t>）</w:t>
      </w:r>
      <w:r>
        <w:rPr>
          <w:spacing w:val="-3"/>
          <w:sz w:val="28"/>
          <w:szCs w:val="28"/>
        </w:rPr>
        <w:t>采购活动，为非联合体投标，本项目实施过</w:t>
      </w:r>
      <w:r>
        <w:rPr>
          <w:sz w:val="28"/>
          <w:szCs w:val="28"/>
        </w:rPr>
        <w:t>程由本单位独立承担。</w:t>
      </w:r>
    </w:p>
    <w:p w14:paraId="1D755AB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right"/>
        <w:rPr>
          <w:sz w:val="28"/>
          <w:szCs w:val="28"/>
        </w:rPr>
      </w:pPr>
      <w:r>
        <w:rPr>
          <w:spacing w:val="2"/>
          <w:sz w:val="28"/>
          <w:szCs w:val="28"/>
        </w:rPr>
        <w:t>本单位对上述声明的真实性负责。如有虚假，将依法承担相应责任。</w:t>
      </w:r>
    </w:p>
    <w:p w14:paraId="2ECB567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733638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BD3C33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5AC28B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570C64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59E60CE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9"/>
          <w:sz w:val="28"/>
          <w:szCs w:val="28"/>
        </w:rPr>
        <w:t xml:space="preserve">    </w:t>
      </w:r>
      <w:r>
        <w:rPr>
          <w:spacing w:val="-22"/>
          <w:sz w:val="28"/>
          <w:szCs w:val="28"/>
        </w:rPr>
        <w:t>年</w:t>
      </w:r>
      <w:r>
        <w:rPr>
          <w:spacing w:val="20"/>
          <w:sz w:val="28"/>
          <w:szCs w:val="28"/>
        </w:rPr>
        <w:t xml:space="preserve">  </w:t>
      </w:r>
      <w:r>
        <w:rPr>
          <w:spacing w:val="-22"/>
          <w:sz w:val="28"/>
          <w:szCs w:val="28"/>
        </w:rPr>
        <w:t>月</w:t>
      </w:r>
      <w:r>
        <w:rPr>
          <w:spacing w:val="41"/>
          <w:sz w:val="28"/>
          <w:szCs w:val="28"/>
        </w:rPr>
        <w:t xml:space="preserve">  </w:t>
      </w:r>
      <w:r>
        <w:rPr>
          <w:spacing w:val="-22"/>
          <w:sz w:val="28"/>
          <w:szCs w:val="28"/>
        </w:rPr>
        <w:t>日</w:t>
      </w:r>
    </w:p>
    <w:p w14:paraId="14F4FC6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7D450C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85259E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0" w:firstLineChars="200"/>
        <w:rPr>
          <w:rFonts w:ascii="宋体" w:hAnsi="宋体" w:eastAsia="宋体" w:cs="宋体"/>
          <w:sz w:val="20"/>
          <w:szCs w:val="20"/>
        </w:rPr>
      </w:pPr>
      <w:r>
        <w:rPr>
          <w:rFonts w:ascii="宋体" w:hAnsi="宋体" w:eastAsia="宋体" w:cs="宋体"/>
          <w:spacing w:val="10"/>
          <w:sz w:val="20"/>
          <w:szCs w:val="20"/>
        </w:rPr>
        <w:t>备注：项目不分标段的，第</w:t>
      </w:r>
      <w:r>
        <w:rPr>
          <w:rFonts w:ascii="宋体" w:hAnsi="宋体" w:eastAsia="宋体" w:cs="宋体"/>
          <w:spacing w:val="-95"/>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7"/>
          <w:sz w:val="20"/>
          <w:szCs w:val="20"/>
        </w:rPr>
        <w:t xml:space="preserve"> </w:t>
      </w:r>
      <w:r>
        <w:rPr>
          <w:rFonts w:ascii="宋体" w:hAnsi="宋体" w:eastAsia="宋体" w:cs="宋体"/>
          <w:spacing w:val="10"/>
          <w:sz w:val="20"/>
          <w:szCs w:val="20"/>
        </w:rPr>
        <w:t>标段空白处填写“</w:t>
      </w:r>
      <w:r>
        <w:rPr>
          <w:rFonts w:ascii="宋体" w:hAnsi="宋体" w:eastAsia="宋体" w:cs="宋体"/>
          <w:spacing w:val="9"/>
          <w:sz w:val="20"/>
          <w:szCs w:val="20"/>
        </w:rPr>
        <w:t>/</w:t>
      </w:r>
      <w:r>
        <w:rPr>
          <w:rFonts w:ascii="宋体" w:hAnsi="宋体" w:eastAsia="宋体" w:cs="宋体"/>
          <w:spacing w:val="-69"/>
          <w:sz w:val="20"/>
          <w:szCs w:val="20"/>
        </w:rPr>
        <w:t xml:space="preserve"> </w:t>
      </w:r>
      <w:r>
        <w:rPr>
          <w:rFonts w:ascii="宋体" w:hAnsi="宋体" w:eastAsia="宋体" w:cs="宋体"/>
          <w:spacing w:val="9"/>
          <w:sz w:val="20"/>
          <w:szCs w:val="20"/>
        </w:rPr>
        <w:t>”。</w:t>
      </w:r>
    </w:p>
    <w:p w14:paraId="5DDA2E1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sectPr>
          <w:footerReference r:id="rId28"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27885D4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64" w:firstLineChars="200"/>
        <w:jc w:val="center"/>
        <w:outlineLvl w:val="1"/>
        <w:rPr>
          <w:rFonts w:ascii="黑体" w:hAnsi="黑体" w:eastAsia="黑体" w:cs="黑体"/>
          <w:sz w:val="31"/>
          <w:szCs w:val="31"/>
        </w:rPr>
      </w:pPr>
      <w:bookmarkStart w:id="36" w:name="bookmark17"/>
      <w:bookmarkEnd w:id="36"/>
      <w:r>
        <w:rPr>
          <w:rFonts w:ascii="黑体" w:hAnsi="黑体" w:eastAsia="黑体" w:cs="黑体"/>
          <w:spacing w:val="11"/>
          <w:sz w:val="31"/>
          <w:szCs w:val="31"/>
        </w:rPr>
        <w:t>第二部分  符合性证明文件</w:t>
      </w:r>
    </w:p>
    <w:p w14:paraId="1E1FD2A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0" w:firstLineChars="200"/>
        <w:outlineLvl w:val="1"/>
        <w:rPr>
          <w:sz w:val="30"/>
          <w:szCs w:val="30"/>
        </w:rPr>
      </w:pPr>
      <w:r>
        <w:rPr>
          <w:b/>
          <w:bCs/>
          <w:spacing w:val="-3"/>
          <w:sz w:val="30"/>
          <w:szCs w:val="30"/>
        </w:rPr>
        <w:t>一、响应函格式</w:t>
      </w:r>
    </w:p>
    <w:p w14:paraId="76318E6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36" w:firstLineChars="200"/>
        <w:rPr>
          <w:rFonts w:ascii="黑体" w:hAnsi="黑体" w:eastAsia="黑体" w:cs="黑体"/>
          <w:sz w:val="31"/>
          <w:szCs w:val="31"/>
        </w:rPr>
      </w:pPr>
      <w:r>
        <w:rPr>
          <w:rFonts w:ascii="黑体" w:hAnsi="黑体" w:eastAsia="黑体" w:cs="黑体"/>
          <w:spacing w:val="4"/>
          <w:sz w:val="31"/>
          <w:szCs w:val="31"/>
        </w:rPr>
        <w:t>响应函</w:t>
      </w:r>
    </w:p>
    <w:p w14:paraId="638942E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rFonts w:hint="eastAsia"/>
          <w:sz w:val="28"/>
          <w:szCs w:val="28"/>
          <w:lang w:eastAsia="zh-CN"/>
        </w:rPr>
        <w:t>陕西中源项目管理有限公司</w:t>
      </w:r>
      <w:r>
        <w:rPr>
          <w:sz w:val="28"/>
          <w:szCs w:val="28"/>
        </w:rPr>
        <w:t>：</w:t>
      </w:r>
    </w:p>
    <w:p w14:paraId="66E7F7F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24" w:firstLineChars="200"/>
        <w:jc w:val="both"/>
        <w:rPr>
          <w:sz w:val="28"/>
          <w:szCs w:val="28"/>
        </w:rPr>
      </w:pPr>
      <w:r>
        <w:rPr>
          <w:spacing w:val="-9"/>
          <w:sz w:val="28"/>
          <w:szCs w:val="28"/>
        </w:rPr>
        <w:t>我方收到贵中心发布的《</w:t>
      </w:r>
      <w:r>
        <w:rPr>
          <w:spacing w:val="-109"/>
          <w:sz w:val="28"/>
          <w:szCs w:val="28"/>
        </w:rPr>
        <w:t xml:space="preserve"> </w:t>
      </w:r>
      <w:r>
        <w:rPr>
          <w:spacing w:val="-121"/>
          <w:sz w:val="28"/>
          <w:szCs w:val="28"/>
          <w:u w:val="single" w:color="auto"/>
        </w:rPr>
        <w:t xml:space="preserve"> </w:t>
      </w:r>
      <w:r>
        <w:rPr>
          <w:spacing w:val="-9"/>
          <w:sz w:val="28"/>
          <w:szCs w:val="28"/>
          <w:u w:val="single" w:color="auto"/>
        </w:rPr>
        <w:t>项目名称</w:t>
      </w:r>
      <w:r>
        <w:rPr>
          <w:spacing w:val="-9"/>
          <w:sz w:val="28"/>
          <w:szCs w:val="28"/>
        </w:rPr>
        <w:t>》（项目编号</w:t>
      </w:r>
      <w:r>
        <w:rPr>
          <w:spacing w:val="-3"/>
          <w:sz w:val="28"/>
          <w:szCs w:val="28"/>
        </w:rPr>
        <w:t>：</w:t>
      </w:r>
      <w:r>
        <w:rPr>
          <w:spacing w:val="1"/>
          <w:sz w:val="28"/>
          <w:szCs w:val="28"/>
          <w:u w:val="single" w:color="auto"/>
        </w:rPr>
        <w:t xml:space="preserve">         </w:t>
      </w:r>
      <w:r>
        <w:rPr>
          <w:spacing w:val="-90"/>
          <w:sz w:val="28"/>
          <w:szCs w:val="28"/>
        </w:rPr>
        <w:t xml:space="preserve"> </w:t>
      </w:r>
      <w:r>
        <w:rPr>
          <w:spacing w:val="-3"/>
          <w:sz w:val="28"/>
          <w:szCs w:val="28"/>
        </w:rPr>
        <w:t>）</w:t>
      </w:r>
      <w:r>
        <w:rPr>
          <w:spacing w:val="-5"/>
          <w:sz w:val="28"/>
          <w:szCs w:val="28"/>
        </w:rPr>
        <w:t>磋商文件，经详细研究，我方决定参加该项目</w:t>
      </w:r>
      <w:r>
        <w:rPr>
          <w:rFonts w:hint="eastAsia"/>
          <w:spacing w:val="-5"/>
          <w:sz w:val="28"/>
          <w:szCs w:val="28"/>
          <w:lang w:val="en-US" w:eastAsia="zh-CN"/>
        </w:rPr>
        <w:t>的</w:t>
      </w:r>
      <w:r>
        <w:rPr>
          <w:spacing w:val="-5"/>
          <w:sz w:val="28"/>
          <w:szCs w:val="28"/>
        </w:rPr>
        <w:t>磋商活动。为此，</w:t>
      </w:r>
      <w:r>
        <w:rPr>
          <w:spacing w:val="2"/>
          <w:sz w:val="28"/>
          <w:szCs w:val="28"/>
        </w:rPr>
        <w:t>我方郑重声明以下诸点，并负法律责任。</w:t>
      </w:r>
    </w:p>
    <w:p w14:paraId="7BC8603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一、我方已详细阅读了磋商文件，完全理解并同意磋商文件的所有事</w:t>
      </w:r>
      <w:r>
        <w:rPr>
          <w:spacing w:val="-2"/>
          <w:sz w:val="28"/>
          <w:szCs w:val="28"/>
        </w:rPr>
        <w:t>项及内容。</w:t>
      </w:r>
    </w:p>
    <w:p w14:paraId="16C32FE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二、我方已悉知并关注了贵方在政府采购信息发布媒体（详见磋商文</w:t>
      </w:r>
      <w:r>
        <w:rPr>
          <w:spacing w:val="-6"/>
          <w:sz w:val="28"/>
          <w:szCs w:val="28"/>
        </w:rPr>
        <w:t>件第二章第三条中的“磋商文件的修改、澄清”）上发布的关于本项目的有</w:t>
      </w:r>
      <w:r>
        <w:rPr>
          <w:spacing w:val="3"/>
          <w:sz w:val="28"/>
          <w:szCs w:val="28"/>
        </w:rPr>
        <w:t>关变更公告（包括但不限于对磋商文件做出的修改或</w:t>
      </w:r>
      <w:r>
        <w:rPr>
          <w:spacing w:val="2"/>
          <w:sz w:val="28"/>
          <w:szCs w:val="28"/>
        </w:rPr>
        <w:t>澄清、答疑纪要，以</w:t>
      </w:r>
      <w:r>
        <w:rPr>
          <w:spacing w:val="-4"/>
          <w:sz w:val="28"/>
          <w:szCs w:val="28"/>
        </w:rPr>
        <w:t>及项目暂停、重启、延期、终止等）。</w:t>
      </w:r>
    </w:p>
    <w:p w14:paraId="2D687EA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三、我方同意向贵方提供与本磋商有关的任何证明材料，保证所提交的证明材料真实、合法、有效。我方理解最低价不是中标的唯一条件，并</w:t>
      </w:r>
      <w:r>
        <w:rPr>
          <w:sz w:val="28"/>
          <w:szCs w:val="28"/>
        </w:rPr>
        <w:t>尊重磋商小组的评审结果。</w:t>
      </w:r>
    </w:p>
    <w:p w14:paraId="4D1DBE4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四、我方愿意按照磋商文件中的一切要求，完成本项目合同责任和义</w:t>
      </w:r>
      <w:r>
        <w:rPr>
          <w:spacing w:val="-13"/>
          <w:sz w:val="28"/>
          <w:szCs w:val="28"/>
        </w:rPr>
        <w:t>务。</w:t>
      </w:r>
    </w:p>
    <w:p w14:paraId="0470075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五、我方提交的</w:t>
      </w:r>
      <w:r>
        <w:rPr>
          <w:b/>
          <w:bCs/>
          <w:spacing w:val="-3"/>
          <w:sz w:val="28"/>
          <w:szCs w:val="28"/>
        </w:rPr>
        <w:t>电子响应文件</w:t>
      </w:r>
      <w:r>
        <w:rPr>
          <w:spacing w:val="-34"/>
          <w:sz w:val="28"/>
          <w:szCs w:val="28"/>
        </w:rPr>
        <w:t xml:space="preserve"> </w:t>
      </w:r>
      <w:r>
        <w:rPr>
          <w:b/>
          <w:bCs/>
          <w:spacing w:val="-3"/>
          <w:sz w:val="28"/>
          <w:szCs w:val="28"/>
          <w:u w:val="single" w:color="auto"/>
        </w:rPr>
        <w:t>1</w:t>
      </w:r>
      <w:r>
        <w:rPr>
          <w:spacing w:val="-51"/>
          <w:sz w:val="28"/>
          <w:szCs w:val="28"/>
          <w:u w:val="single" w:color="auto"/>
        </w:rPr>
        <w:t xml:space="preserve"> </w:t>
      </w:r>
      <w:r>
        <w:rPr>
          <w:b/>
          <w:bCs/>
          <w:spacing w:val="-3"/>
          <w:sz w:val="28"/>
          <w:szCs w:val="28"/>
        </w:rPr>
        <w:t>份</w:t>
      </w:r>
      <w:r>
        <w:rPr>
          <w:spacing w:val="-3"/>
          <w:sz w:val="28"/>
          <w:szCs w:val="28"/>
        </w:rPr>
        <w:t>。</w:t>
      </w:r>
    </w:p>
    <w:p w14:paraId="0A63BBD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72" w:firstLineChars="200"/>
        <w:rPr>
          <w:sz w:val="28"/>
          <w:szCs w:val="28"/>
        </w:rPr>
      </w:pPr>
      <w:r>
        <w:rPr>
          <w:spacing w:val="3"/>
          <w:sz w:val="28"/>
          <w:szCs w:val="28"/>
        </w:rPr>
        <w:t>六、开标后在规定的投标有效期内撤回投标</w:t>
      </w:r>
      <w:r>
        <w:rPr>
          <w:spacing w:val="2"/>
          <w:sz w:val="28"/>
          <w:szCs w:val="28"/>
        </w:rPr>
        <w:t>，我们愿接受政府采购的</w:t>
      </w:r>
      <w:r>
        <w:rPr>
          <w:sz w:val="28"/>
          <w:szCs w:val="28"/>
        </w:rPr>
        <w:t>有关处罚决定。</w:t>
      </w:r>
    </w:p>
    <w:p w14:paraId="4F68CDE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七、我方的响应文件在开标之日起</w:t>
      </w:r>
      <w:r>
        <w:rPr>
          <w:b/>
          <w:bCs/>
          <w:sz w:val="28"/>
          <w:szCs w:val="28"/>
          <w:u w:val="single" w:color="auto"/>
        </w:rPr>
        <w:t>90</w:t>
      </w:r>
      <w:r>
        <w:rPr>
          <w:sz w:val="28"/>
          <w:szCs w:val="28"/>
        </w:rPr>
        <w:t>个</w:t>
      </w:r>
      <w:r>
        <w:rPr>
          <w:spacing w:val="-60"/>
          <w:sz w:val="28"/>
          <w:szCs w:val="28"/>
        </w:rPr>
        <w:t xml:space="preserve"> </w:t>
      </w:r>
      <w:r>
        <w:rPr>
          <w:sz w:val="28"/>
          <w:szCs w:val="28"/>
        </w:rPr>
        <w:t>日历</w:t>
      </w:r>
      <w:r>
        <w:rPr>
          <w:spacing w:val="-1"/>
          <w:sz w:val="28"/>
          <w:szCs w:val="28"/>
        </w:rPr>
        <w:t>日内有效，如成交，延长</w:t>
      </w:r>
      <w:r>
        <w:rPr>
          <w:sz w:val="28"/>
          <w:szCs w:val="28"/>
        </w:rPr>
        <w:t>至合同执行完毕时止。</w:t>
      </w:r>
    </w:p>
    <w:p w14:paraId="436D930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八、所有关于此次磋商活动的函电，请按下列地址联系：</w:t>
      </w:r>
    </w:p>
    <w:p w14:paraId="40CAE8C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10D17A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2D3BB9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2BAD05C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6" w:firstLineChars="200"/>
        <w:rPr>
          <w:sz w:val="28"/>
          <w:szCs w:val="28"/>
        </w:rPr>
      </w:pPr>
      <w:r>
        <w:rPr>
          <w:spacing w:val="-6"/>
          <w:sz w:val="28"/>
          <w:szCs w:val="28"/>
        </w:rPr>
        <w:t>地址：</w:t>
      </w:r>
    </w:p>
    <w:p w14:paraId="31BEFAA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headerReference r:id="rId29" w:type="default"/>
          <w:footerReference r:id="rId30" w:type="default"/>
          <w:pgSz w:w="11906" w:h="16839"/>
          <w:pgMar w:top="1210" w:right="1349" w:bottom="1233" w:left="1417" w:header="828" w:footer="1019" w:gutter="0"/>
          <w:pgBorders>
            <w:top w:val="none" w:sz="0" w:space="0"/>
            <w:left w:val="none" w:sz="0" w:space="0"/>
            <w:bottom w:val="none" w:sz="0" w:space="0"/>
            <w:right w:val="none" w:sz="0" w:space="0"/>
          </w:pgBorders>
          <w:pgNumType w:fmt="decimal"/>
          <w:cols w:space="720" w:num="1"/>
        </w:sectPr>
      </w:pPr>
    </w:p>
    <w:p w14:paraId="13C105E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742567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开户银行：</w:t>
      </w:r>
    </w:p>
    <w:p w14:paraId="5DD75F5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账号：</w:t>
      </w:r>
    </w:p>
    <w:p w14:paraId="14093E0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96" w:firstLineChars="200"/>
        <w:rPr>
          <w:sz w:val="28"/>
          <w:szCs w:val="28"/>
        </w:rPr>
      </w:pPr>
      <w:r>
        <w:rPr>
          <w:spacing w:val="-16"/>
          <w:sz w:val="28"/>
          <w:szCs w:val="28"/>
        </w:rPr>
        <w:t>电话：</w:t>
      </w:r>
    </w:p>
    <w:p w14:paraId="54C4B8F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36" w:firstLineChars="200"/>
        <w:rPr>
          <w:sz w:val="28"/>
          <w:szCs w:val="28"/>
        </w:rPr>
      </w:pPr>
      <w:r>
        <w:rPr>
          <w:spacing w:val="-6"/>
          <w:sz w:val="28"/>
          <w:szCs w:val="28"/>
        </w:rPr>
        <w:t>传真：</w:t>
      </w:r>
    </w:p>
    <w:p w14:paraId="4DDD45C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12" w:firstLineChars="200"/>
        <w:rPr>
          <w:sz w:val="28"/>
          <w:szCs w:val="28"/>
        </w:rPr>
      </w:pPr>
      <w:r>
        <w:rPr>
          <w:spacing w:val="-12"/>
          <w:sz w:val="28"/>
          <w:szCs w:val="28"/>
        </w:rPr>
        <w:t>邮编：</w:t>
      </w:r>
    </w:p>
    <w:p w14:paraId="0AA4176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28" w:firstLineChars="200"/>
        <w:rPr>
          <w:sz w:val="28"/>
          <w:szCs w:val="28"/>
        </w:rPr>
      </w:pPr>
      <w:r>
        <w:rPr>
          <w:spacing w:val="-8"/>
          <w:sz w:val="28"/>
          <w:szCs w:val="28"/>
        </w:rPr>
        <w:t>电子邮箱：</w:t>
      </w:r>
    </w:p>
    <w:p w14:paraId="08D2522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9"/>
          <w:sz w:val="28"/>
          <w:szCs w:val="28"/>
        </w:rPr>
        <w:t xml:space="preserve">    </w:t>
      </w:r>
      <w:r>
        <w:rPr>
          <w:spacing w:val="-22"/>
          <w:sz w:val="28"/>
          <w:szCs w:val="28"/>
        </w:rPr>
        <w:t>年</w:t>
      </w:r>
      <w:r>
        <w:rPr>
          <w:spacing w:val="21"/>
          <w:sz w:val="28"/>
          <w:szCs w:val="28"/>
        </w:rPr>
        <w:t xml:space="preserve">  </w:t>
      </w:r>
      <w:r>
        <w:rPr>
          <w:spacing w:val="-22"/>
          <w:sz w:val="28"/>
          <w:szCs w:val="28"/>
        </w:rPr>
        <w:t>月</w:t>
      </w:r>
      <w:r>
        <w:rPr>
          <w:spacing w:val="42"/>
          <w:sz w:val="28"/>
          <w:szCs w:val="28"/>
        </w:rPr>
        <w:t xml:space="preserve">  </w:t>
      </w:r>
      <w:r>
        <w:rPr>
          <w:spacing w:val="-22"/>
          <w:sz w:val="28"/>
          <w:szCs w:val="28"/>
        </w:rPr>
        <w:t>日</w:t>
      </w:r>
    </w:p>
    <w:p w14:paraId="79B4D91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7D991B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FF72A4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174975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7E318C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C0C9D2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12" w:firstLineChars="200"/>
        <w:rPr>
          <w:rFonts w:ascii="宋体" w:hAnsi="宋体" w:eastAsia="宋体" w:cs="宋体"/>
          <w:sz w:val="20"/>
          <w:szCs w:val="20"/>
        </w:rPr>
      </w:pPr>
      <w:r>
        <w:rPr>
          <w:rFonts w:ascii="宋体" w:hAnsi="宋体" w:eastAsia="宋体" w:cs="宋体"/>
          <w:spacing w:val="3"/>
          <w:sz w:val="20"/>
          <w:szCs w:val="20"/>
        </w:rPr>
        <w:t>备注：</w:t>
      </w:r>
    </w:p>
    <w:p w14:paraId="38603BA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32" w:firstLineChars="200"/>
        <w:rPr>
          <w:rFonts w:ascii="宋体" w:hAnsi="宋体" w:eastAsia="宋体" w:cs="宋体"/>
          <w:sz w:val="20"/>
          <w:szCs w:val="20"/>
        </w:rPr>
      </w:pPr>
      <w:r>
        <w:rPr>
          <w:rFonts w:ascii="宋体" w:hAnsi="宋体" w:eastAsia="宋体" w:cs="宋体"/>
          <w:spacing w:val="8"/>
          <w:sz w:val="20"/>
          <w:szCs w:val="20"/>
        </w:rPr>
        <w:t>1、项目不分标段的，第</w:t>
      </w:r>
      <w:r>
        <w:rPr>
          <w:rFonts w:ascii="宋体" w:hAnsi="宋体" w:eastAsia="宋体" w:cs="宋体"/>
          <w:spacing w:val="-79"/>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4"/>
          <w:sz w:val="20"/>
          <w:szCs w:val="20"/>
        </w:rPr>
        <w:t xml:space="preserve"> </w:t>
      </w:r>
      <w:r>
        <w:rPr>
          <w:rFonts w:ascii="宋体" w:hAnsi="宋体" w:eastAsia="宋体" w:cs="宋体"/>
          <w:spacing w:val="8"/>
          <w:sz w:val="20"/>
          <w:szCs w:val="20"/>
        </w:rPr>
        <w:t>标段空白处填写“/</w:t>
      </w:r>
      <w:r>
        <w:rPr>
          <w:rFonts w:ascii="宋体" w:hAnsi="宋体" w:eastAsia="宋体" w:cs="宋体"/>
          <w:spacing w:val="-69"/>
          <w:sz w:val="20"/>
          <w:szCs w:val="20"/>
        </w:rPr>
        <w:t xml:space="preserve"> </w:t>
      </w:r>
      <w:r>
        <w:rPr>
          <w:rFonts w:ascii="宋体" w:hAnsi="宋体" w:eastAsia="宋体" w:cs="宋体"/>
          <w:spacing w:val="8"/>
          <w:sz w:val="20"/>
          <w:szCs w:val="20"/>
        </w:rPr>
        <w:t>”。</w:t>
      </w:r>
    </w:p>
    <w:p w14:paraId="59E38E5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52" w:firstLineChars="200"/>
        <w:rPr>
          <w:rFonts w:ascii="宋体" w:hAnsi="宋体" w:eastAsia="宋体" w:cs="宋体"/>
          <w:sz w:val="20"/>
          <w:szCs w:val="20"/>
        </w:rPr>
      </w:pPr>
      <w:r>
        <w:rPr>
          <w:rFonts w:ascii="宋体" w:hAnsi="宋体" w:eastAsia="宋体" w:cs="宋体"/>
          <w:spacing w:val="13"/>
          <w:sz w:val="20"/>
          <w:szCs w:val="20"/>
        </w:rPr>
        <w:t>2、除可填报项目外，对本响应函的任何实质性内容修改将被视为非实质性响</w:t>
      </w:r>
      <w:r>
        <w:rPr>
          <w:rFonts w:ascii="宋体" w:hAnsi="宋体" w:eastAsia="宋体" w:cs="宋体"/>
          <w:spacing w:val="12"/>
          <w:sz w:val="20"/>
          <w:szCs w:val="20"/>
        </w:rPr>
        <w:t>应，在评审时将</w:t>
      </w:r>
      <w:r>
        <w:rPr>
          <w:rFonts w:ascii="宋体" w:hAnsi="宋体" w:eastAsia="宋体" w:cs="宋体"/>
          <w:spacing w:val="10"/>
          <w:sz w:val="20"/>
          <w:szCs w:val="20"/>
        </w:rPr>
        <w:t>其视为无效响应。</w:t>
      </w:r>
    </w:p>
    <w:p w14:paraId="16CA7C8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rFonts w:ascii="宋体" w:hAnsi="宋体" w:eastAsia="宋体" w:cs="宋体"/>
          <w:sz w:val="20"/>
          <w:szCs w:val="20"/>
        </w:rPr>
        <w:sectPr>
          <w:footerReference r:id="rId31"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14F8A9B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0" w:firstLineChars="200"/>
        <w:rPr>
          <w:sz w:val="30"/>
          <w:szCs w:val="30"/>
        </w:rPr>
      </w:pPr>
      <w:r>
        <w:rPr>
          <w:b/>
          <w:bCs/>
          <w:spacing w:val="-3"/>
          <w:sz w:val="30"/>
          <w:szCs w:val="30"/>
        </w:rPr>
        <w:t>二、第一次磋商报价表</w:t>
      </w:r>
    </w:p>
    <w:p w14:paraId="0EF84C1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项目编号：</w:t>
      </w:r>
    </w:p>
    <w:p w14:paraId="573F3CE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项目名称：</w:t>
      </w:r>
    </w:p>
    <w:p w14:paraId="2D9C712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pPr>
    </w:p>
    <w:tbl>
      <w:tblPr>
        <w:tblStyle w:val="15"/>
        <w:tblW w:w="8815" w:type="dxa"/>
        <w:tblInd w:w="1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62"/>
        <w:gridCol w:w="5753"/>
      </w:tblGrid>
      <w:tr w14:paraId="5343C9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062" w:type="dxa"/>
            <w:vMerge w:val="restart"/>
            <w:tcBorders>
              <w:bottom w:val="nil"/>
            </w:tcBorders>
            <w:vAlign w:val="top"/>
          </w:tcPr>
          <w:p w14:paraId="5FF3CB6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F9BDCC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F70C82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CA54C8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A13A548">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磋商报价</w:t>
            </w:r>
          </w:p>
        </w:tc>
        <w:tc>
          <w:tcPr>
            <w:tcW w:w="5753" w:type="dxa"/>
            <w:vAlign w:val="top"/>
          </w:tcPr>
          <w:p w14:paraId="4EB4F18B">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60" w:firstLineChars="200"/>
              <w:rPr>
                <w:sz w:val="28"/>
                <w:szCs w:val="28"/>
              </w:rPr>
            </w:pPr>
            <w:r>
              <w:rPr>
                <w:spacing w:val="-25"/>
                <w:sz w:val="28"/>
                <w:szCs w:val="28"/>
              </w:rPr>
              <w:t>内容</w:t>
            </w:r>
          </w:p>
        </w:tc>
      </w:tr>
      <w:tr w14:paraId="5994E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2" w:hRule="atLeast"/>
        </w:trPr>
        <w:tc>
          <w:tcPr>
            <w:tcW w:w="3062" w:type="dxa"/>
            <w:vMerge w:val="continue"/>
            <w:tcBorders>
              <w:top w:val="nil"/>
            </w:tcBorders>
            <w:vAlign w:val="top"/>
          </w:tcPr>
          <w:p w14:paraId="7FC6F96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5753" w:type="dxa"/>
            <w:vAlign w:val="top"/>
          </w:tcPr>
          <w:p w14:paraId="7E50B986">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40" w:firstLineChars="200"/>
              <w:rPr>
                <w:sz w:val="28"/>
                <w:szCs w:val="28"/>
              </w:rPr>
            </w:pPr>
            <w:r>
              <w:rPr>
                <w:spacing w:val="-5"/>
                <w:sz w:val="28"/>
                <w:szCs w:val="28"/>
              </w:rPr>
              <w:t>小写：</w:t>
            </w:r>
          </w:p>
          <w:p w14:paraId="213DEA2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0637D4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50C7614">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536" w:firstLineChars="200"/>
              <w:rPr>
                <w:sz w:val="28"/>
                <w:szCs w:val="28"/>
              </w:rPr>
            </w:pPr>
            <w:r>
              <w:rPr>
                <w:spacing w:val="-6"/>
                <w:sz w:val="28"/>
                <w:szCs w:val="28"/>
              </w:rPr>
              <w:t>大写：</w:t>
            </w:r>
          </w:p>
          <w:p w14:paraId="3235973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8F165B9">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32" w:firstLineChars="200"/>
              <w:jc w:val="right"/>
            </w:pPr>
            <w:r>
              <w:rPr>
                <w:spacing w:val="-12"/>
              </w:rPr>
              <w:t>单位：元（报价最多保留到小数点后两位）</w:t>
            </w:r>
          </w:p>
        </w:tc>
      </w:tr>
    </w:tbl>
    <w:p w14:paraId="37F8581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32" w:firstLineChars="200"/>
        <w:rPr>
          <w:rFonts w:ascii="宋体" w:hAnsi="宋体" w:eastAsia="宋体" w:cs="宋体"/>
          <w:sz w:val="20"/>
          <w:szCs w:val="20"/>
        </w:rPr>
      </w:pPr>
      <w:r>
        <w:rPr>
          <w:rFonts w:ascii="宋体" w:hAnsi="宋体" w:eastAsia="宋体" w:cs="宋体"/>
          <w:spacing w:val="8"/>
          <w:sz w:val="20"/>
          <w:szCs w:val="20"/>
        </w:rPr>
        <w:t>备注：“磋商报价</w:t>
      </w:r>
      <w:r>
        <w:rPr>
          <w:rFonts w:ascii="宋体" w:hAnsi="宋体" w:eastAsia="宋体" w:cs="宋体"/>
          <w:spacing w:val="-58"/>
          <w:sz w:val="20"/>
          <w:szCs w:val="20"/>
        </w:rPr>
        <w:t xml:space="preserve"> </w:t>
      </w:r>
      <w:r>
        <w:rPr>
          <w:rFonts w:ascii="宋体" w:hAnsi="宋体" w:eastAsia="宋体" w:cs="宋体"/>
          <w:spacing w:val="8"/>
          <w:sz w:val="20"/>
          <w:szCs w:val="20"/>
        </w:rPr>
        <w:t>”为磋商总价。磋商报价必须包括本项目所需全部费用。</w:t>
      </w:r>
    </w:p>
    <w:p w14:paraId="158B31D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B74BD0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F2A6A7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D241AC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6D7EB96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88" w:firstLineChars="200"/>
        <w:rPr>
          <w:sz w:val="28"/>
          <w:szCs w:val="28"/>
        </w:rPr>
      </w:pPr>
      <w:r>
        <w:rPr>
          <w:spacing w:val="-18"/>
          <w:sz w:val="28"/>
          <w:szCs w:val="28"/>
        </w:rPr>
        <w:t>日期：</w:t>
      </w:r>
      <w:r>
        <w:rPr>
          <w:spacing w:val="7"/>
          <w:sz w:val="28"/>
          <w:szCs w:val="28"/>
        </w:rPr>
        <w:t xml:space="preserve">  </w:t>
      </w:r>
      <w:r>
        <w:rPr>
          <w:spacing w:val="-18"/>
          <w:sz w:val="28"/>
          <w:szCs w:val="28"/>
        </w:rPr>
        <w:t>年</w:t>
      </w:r>
      <w:r>
        <w:rPr>
          <w:spacing w:val="18"/>
          <w:sz w:val="28"/>
          <w:szCs w:val="28"/>
        </w:rPr>
        <w:t xml:space="preserve">  </w:t>
      </w:r>
      <w:r>
        <w:rPr>
          <w:spacing w:val="-18"/>
          <w:sz w:val="28"/>
          <w:szCs w:val="28"/>
        </w:rPr>
        <w:t>月</w:t>
      </w:r>
      <w:r>
        <w:rPr>
          <w:spacing w:val="42"/>
          <w:sz w:val="28"/>
          <w:szCs w:val="28"/>
        </w:rPr>
        <w:t xml:space="preserve">  </w:t>
      </w:r>
      <w:r>
        <w:rPr>
          <w:spacing w:val="-18"/>
          <w:sz w:val="28"/>
          <w:szCs w:val="28"/>
        </w:rPr>
        <w:t>日</w:t>
      </w:r>
    </w:p>
    <w:p w14:paraId="722C0B7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footerReference r:id="rId32" w:type="default"/>
          <w:pgSz w:w="11906" w:h="16839"/>
          <w:pgMar w:top="1210" w:right="1416" w:bottom="1233" w:left="1417" w:header="828" w:footer="1019" w:gutter="0"/>
          <w:pgBorders>
            <w:top w:val="none" w:sz="0" w:space="0"/>
            <w:left w:val="none" w:sz="0" w:space="0"/>
            <w:bottom w:val="none" w:sz="0" w:space="0"/>
            <w:right w:val="none" w:sz="0" w:space="0"/>
          </w:pgBorders>
          <w:pgNumType w:fmt="decimal"/>
          <w:cols w:space="720" w:num="1"/>
        </w:sectPr>
      </w:pPr>
    </w:p>
    <w:p w14:paraId="1806D450">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0" w:firstLineChars="200"/>
        <w:rPr>
          <w:sz w:val="28"/>
          <w:szCs w:val="28"/>
        </w:rPr>
      </w:pPr>
      <w:r>
        <w:rPr>
          <w:b/>
          <w:bCs/>
          <w:spacing w:val="-3"/>
          <w:sz w:val="28"/>
          <w:szCs w:val="28"/>
        </w:rPr>
        <w:t>分项报价表</w:t>
      </w:r>
    </w:p>
    <w:p w14:paraId="3D7655A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pPr>
    </w:p>
    <w:tbl>
      <w:tblPr>
        <w:tblStyle w:val="15"/>
        <w:tblW w:w="885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1"/>
        <w:gridCol w:w="1248"/>
        <w:gridCol w:w="1160"/>
        <w:gridCol w:w="1766"/>
        <w:gridCol w:w="1033"/>
        <w:gridCol w:w="824"/>
        <w:gridCol w:w="1332"/>
        <w:gridCol w:w="774"/>
      </w:tblGrid>
      <w:tr w14:paraId="01722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4" w:hRule="atLeast"/>
        </w:trPr>
        <w:tc>
          <w:tcPr>
            <w:tcW w:w="721" w:type="dxa"/>
            <w:tcBorders>
              <w:top w:val="single" w:color="000000" w:sz="6" w:space="0"/>
              <w:left w:val="single" w:color="000000" w:sz="6" w:space="0"/>
            </w:tcBorders>
            <w:vAlign w:val="top"/>
          </w:tcPr>
          <w:p w14:paraId="4E8E54C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BBAA708">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b/>
                <w:bCs/>
                <w:spacing w:val="-9"/>
              </w:rPr>
              <w:t>序号</w:t>
            </w:r>
          </w:p>
        </w:tc>
        <w:tc>
          <w:tcPr>
            <w:tcW w:w="1248" w:type="dxa"/>
            <w:tcBorders>
              <w:top w:val="single" w:color="000000" w:sz="6" w:space="0"/>
            </w:tcBorders>
            <w:vAlign w:val="top"/>
          </w:tcPr>
          <w:p w14:paraId="7794B6F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8CCD547">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b/>
                <w:bCs/>
                <w:spacing w:val="-4"/>
              </w:rPr>
              <w:t>服务名称</w:t>
            </w:r>
          </w:p>
        </w:tc>
        <w:tc>
          <w:tcPr>
            <w:tcW w:w="1160" w:type="dxa"/>
            <w:tcBorders>
              <w:top w:val="single" w:color="000000" w:sz="6" w:space="0"/>
            </w:tcBorders>
            <w:vAlign w:val="top"/>
          </w:tcPr>
          <w:p w14:paraId="0A42EF0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E893BE5">
            <w:pPr>
              <w:pStyle w:val="16"/>
              <w:keepNext w:val="0"/>
              <w:keepLines w:val="0"/>
              <w:pageBreakBefore w:val="0"/>
              <w:widowControl/>
              <w:kinsoku/>
              <w:wordWrap/>
              <w:overflowPunct/>
              <w:topLinePunct w:val="0"/>
              <w:autoSpaceDE/>
              <w:autoSpaceDN/>
              <w:bidi w:val="0"/>
              <w:adjustRightInd w:val="0"/>
              <w:snapToGrid w:val="0"/>
              <w:spacing w:line="324" w:lineRule="auto"/>
              <w:ind w:right="0"/>
              <w:outlineLvl w:val="1"/>
            </w:pPr>
            <w:r>
              <w:rPr>
                <w:b/>
                <w:bCs/>
                <w:spacing w:val="-4"/>
              </w:rPr>
              <w:t>计量单位</w:t>
            </w:r>
          </w:p>
        </w:tc>
        <w:tc>
          <w:tcPr>
            <w:tcW w:w="1766" w:type="dxa"/>
            <w:tcBorders>
              <w:top w:val="single" w:color="000000" w:sz="6" w:space="0"/>
            </w:tcBorders>
            <w:vAlign w:val="top"/>
          </w:tcPr>
          <w:p w14:paraId="3C3C924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2915CEF">
            <w:pPr>
              <w:pStyle w:val="16"/>
              <w:keepNext w:val="0"/>
              <w:keepLines w:val="0"/>
              <w:pageBreakBefore w:val="0"/>
              <w:widowControl/>
              <w:kinsoku/>
              <w:wordWrap/>
              <w:overflowPunct/>
              <w:topLinePunct w:val="0"/>
              <w:autoSpaceDE/>
              <w:autoSpaceDN/>
              <w:bidi w:val="0"/>
              <w:adjustRightInd w:val="0"/>
              <w:snapToGrid w:val="0"/>
              <w:spacing w:line="324" w:lineRule="auto"/>
              <w:ind w:right="0"/>
              <w:outlineLvl w:val="1"/>
            </w:pPr>
            <w:r>
              <w:rPr>
                <w:b/>
                <w:bCs/>
                <w:spacing w:val="-3"/>
              </w:rPr>
              <w:t>具体要求说明</w:t>
            </w:r>
          </w:p>
        </w:tc>
        <w:tc>
          <w:tcPr>
            <w:tcW w:w="1033" w:type="dxa"/>
            <w:tcBorders>
              <w:top w:val="single" w:color="000000" w:sz="6" w:space="0"/>
              <w:right w:val="single" w:color="000000" w:sz="2" w:space="0"/>
            </w:tcBorders>
            <w:vAlign w:val="top"/>
          </w:tcPr>
          <w:p w14:paraId="0A5C06A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89347C5">
            <w:pPr>
              <w:pStyle w:val="16"/>
              <w:keepNext w:val="0"/>
              <w:keepLines w:val="0"/>
              <w:pageBreakBefore w:val="0"/>
              <w:widowControl/>
              <w:kinsoku/>
              <w:wordWrap/>
              <w:overflowPunct/>
              <w:topLinePunct w:val="0"/>
              <w:autoSpaceDE/>
              <w:autoSpaceDN/>
              <w:bidi w:val="0"/>
              <w:adjustRightInd w:val="0"/>
              <w:snapToGrid w:val="0"/>
              <w:spacing w:line="324" w:lineRule="auto"/>
              <w:ind w:right="0"/>
              <w:outlineLvl w:val="1"/>
            </w:pPr>
            <w:r>
              <w:rPr>
                <w:b/>
                <w:bCs/>
                <w:spacing w:val="-11"/>
              </w:rPr>
              <w:t>单价</w:t>
            </w:r>
          </w:p>
        </w:tc>
        <w:tc>
          <w:tcPr>
            <w:tcW w:w="824" w:type="dxa"/>
            <w:tcBorders>
              <w:top w:val="single" w:color="000000" w:sz="6" w:space="0"/>
              <w:left w:val="single" w:color="000000" w:sz="2" w:space="0"/>
              <w:right w:val="single" w:color="000000" w:sz="2" w:space="0"/>
            </w:tcBorders>
            <w:vAlign w:val="top"/>
          </w:tcPr>
          <w:p w14:paraId="1754E85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65D12CC">
            <w:pPr>
              <w:pStyle w:val="16"/>
              <w:keepNext w:val="0"/>
              <w:keepLines w:val="0"/>
              <w:pageBreakBefore w:val="0"/>
              <w:widowControl/>
              <w:kinsoku/>
              <w:wordWrap/>
              <w:overflowPunct/>
              <w:topLinePunct w:val="0"/>
              <w:autoSpaceDE/>
              <w:autoSpaceDN/>
              <w:bidi w:val="0"/>
              <w:adjustRightInd w:val="0"/>
              <w:snapToGrid w:val="0"/>
              <w:spacing w:line="324" w:lineRule="auto"/>
              <w:ind w:right="0"/>
              <w:outlineLvl w:val="1"/>
            </w:pPr>
            <w:r>
              <w:rPr>
                <w:b/>
                <w:bCs/>
                <w:spacing w:val="-8"/>
              </w:rPr>
              <w:t>数量</w:t>
            </w:r>
          </w:p>
        </w:tc>
        <w:tc>
          <w:tcPr>
            <w:tcW w:w="1332" w:type="dxa"/>
            <w:tcBorders>
              <w:top w:val="single" w:color="000000" w:sz="6" w:space="0"/>
              <w:left w:val="single" w:color="000000" w:sz="2" w:space="0"/>
            </w:tcBorders>
            <w:vAlign w:val="top"/>
          </w:tcPr>
          <w:p w14:paraId="314BA78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3274BE5">
            <w:pPr>
              <w:pStyle w:val="16"/>
              <w:keepNext w:val="0"/>
              <w:keepLines w:val="0"/>
              <w:pageBreakBefore w:val="0"/>
              <w:widowControl/>
              <w:kinsoku/>
              <w:wordWrap/>
              <w:overflowPunct/>
              <w:topLinePunct w:val="0"/>
              <w:autoSpaceDE/>
              <w:autoSpaceDN/>
              <w:bidi w:val="0"/>
              <w:adjustRightInd w:val="0"/>
              <w:snapToGrid w:val="0"/>
              <w:spacing w:line="324" w:lineRule="auto"/>
              <w:ind w:right="0" w:firstLine="223" w:firstLineChars="100"/>
              <w:outlineLvl w:val="1"/>
            </w:pPr>
            <w:r>
              <w:rPr>
                <w:b/>
                <w:bCs/>
                <w:spacing w:val="-9"/>
              </w:rPr>
              <w:t>金额</w:t>
            </w:r>
          </w:p>
        </w:tc>
        <w:tc>
          <w:tcPr>
            <w:tcW w:w="774" w:type="dxa"/>
            <w:tcBorders>
              <w:top w:val="single" w:color="000000" w:sz="6" w:space="0"/>
              <w:right w:val="single" w:color="000000" w:sz="6" w:space="0"/>
            </w:tcBorders>
            <w:vAlign w:val="top"/>
          </w:tcPr>
          <w:p w14:paraId="2AC279B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6242A47B">
            <w:pPr>
              <w:pStyle w:val="16"/>
              <w:keepNext w:val="0"/>
              <w:keepLines w:val="0"/>
              <w:pageBreakBefore w:val="0"/>
              <w:widowControl/>
              <w:kinsoku/>
              <w:wordWrap/>
              <w:overflowPunct/>
              <w:topLinePunct w:val="0"/>
              <w:autoSpaceDE/>
              <w:autoSpaceDN/>
              <w:bidi w:val="0"/>
              <w:adjustRightInd w:val="0"/>
              <w:snapToGrid w:val="0"/>
              <w:spacing w:line="324" w:lineRule="auto"/>
              <w:ind w:right="0"/>
              <w:outlineLvl w:val="1"/>
            </w:pPr>
            <w:r>
              <w:rPr>
                <w:b/>
                <w:bCs/>
                <w:spacing w:val="-10"/>
              </w:rPr>
              <w:t>备注</w:t>
            </w:r>
          </w:p>
        </w:tc>
      </w:tr>
      <w:tr w14:paraId="1C741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721" w:type="dxa"/>
            <w:tcBorders>
              <w:left w:val="single" w:color="000000" w:sz="6" w:space="0"/>
            </w:tcBorders>
            <w:vAlign w:val="top"/>
          </w:tcPr>
          <w:p w14:paraId="248F64C9">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1</w:t>
            </w:r>
          </w:p>
        </w:tc>
        <w:tc>
          <w:tcPr>
            <w:tcW w:w="1248" w:type="dxa"/>
            <w:vAlign w:val="top"/>
          </w:tcPr>
          <w:p w14:paraId="1982918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160" w:type="dxa"/>
            <w:vAlign w:val="top"/>
          </w:tcPr>
          <w:p w14:paraId="4EAC236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766" w:type="dxa"/>
            <w:vAlign w:val="top"/>
          </w:tcPr>
          <w:p w14:paraId="14037C1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033" w:type="dxa"/>
            <w:tcBorders>
              <w:right w:val="single" w:color="000000" w:sz="2" w:space="0"/>
            </w:tcBorders>
            <w:vAlign w:val="top"/>
          </w:tcPr>
          <w:p w14:paraId="05ED1D6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824" w:type="dxa"/>
            <w:tcBorders>
              <w:left w:val="single" w:color="000000" w:sz="2" w:space="0"/>
              <w:right w:val="single" w:color="000000" w:sz="2" w:space="0"/>
            </w:tcBorders>
            <w:vAlign w:val="top"/>
          </w:tcPr>
          <w:p w14:paraId="756BDF4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332" w:type="dxa"/>
            <w:tcBorders>
              <w:left w:val="single" w:color="000000" w:sz="2" w:space="0"/>
            </w:tcBorders>
            <w:vAlign w:val="top"/>
          </w:tcPr>
          <w:p w14:paraId="3331750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774" w:type="dxa"/>
            <w:tcBorders>
              <w:right w:val="single" w:color="000000" w:sz="6" w:space="0"/>
            </w:tcBorders>
            <w:vAlign w:val="top"/>
          </w:tcPr>
          <w:p w14:paraId="6E55A0C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7A2F1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721" w:type="dxa"/>
            <w:tcBorders>
              <w:left w:val="single" w:color="000000" w:sz="6" w:space="0"/>
            </w:tcBorders>
            <w:vAlign w:val="top"/>
          </w:tcPr>
          <w:p w14:paraId="136BCCC4">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0" w:firstLineChars="200"/>
            </w:pPr>
            <w:r>
              <w:t>2</w:t>
            </w:r>
          </w:p>
        </w:tc>
        <w:tc>
          <w:tcPr>
            <w:tcW w:w="1248" w:type="dxa"/>
            <w:vAlign w:val="top"/>
          </w:tcPr>
          <w:p w14:paraId="251426F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160" w:type="dxa"/>
            <w:vAlign w:val="top"/>
          </w:tcPr>
          <w:p w14:paraId="5574EB1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766" w:type="dxa"/>
            <w:vAlign w:val="top"/>
          </w:tcPr>
          <w:p w14:paraId="75735B24">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033" w:type="dxa"/>
            <w:tcBorders>
              <w:right w:val="single" w:color="000000" w:sz="2" w:space="0"/>
            </w:tcBorders>
            <w:vAlign w:val="top"/>
          </w:tcPr>
          <w:p w14:paraId="1CEE95D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824" w:type="dxa"/>
            <w:tcBorders>
              <w:left w:val="single" w:color="000000" w:sz="2" w:space="0"/>
              <w:right w:val="single" w:color="000000" w:sz="2" w:space="0"/>
            </w:tcBorders>
            <w:vAlign w:val="top"/>
          </w:tcPr>
          <w:p w14:paraId="49E0539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332" w:type="dxa"/>
            <w:tcBorders>
              <w:left w:val="single" w:color="000000" w:sz="2" w:space="0"/>
            </w:tcBorders>
            <w:vAlign w:val="top"/>
          </w:tcPr>
          <w:p w14:paraId="79291C8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774" w:type="dxa"/>
            <w:tcBorders>
              <w:right w:val="single" w:color="000000" w:sz="6" w:space="0"/>
            </w:tcBorders>
            <w:vAlign w:val="top"/>
          </w:tcPr>
          <w:p w14:paraId="0A4A695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3B071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721" w:type="dxa"/>
            <w:tcBorders>
              <w:left w:val="single" w:color="000000" w:sz="6" w:space="0"/>
            </w:tcBorders>
            <w:vAlign w:val="top"/>
          </w:tcPr>
          <w:p w14:paraId="41E042B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00" w:firstLineChars="200"/>
              <w:rPr>
                <w:sz w:val="20"/>
                <w:szCs w:val="20"/>
              </w:rPr>
            </w:pPr>
            <w:r>
              <w:rPr>
                <w:position w:val="1"/>
                <w:sz w:val="20"/>
                <w:szCs w:val="20"/>
              </w:rPr>
              <w:t>…</w:t>
            </w:r>
          </w:p>
        </w:tc>
        <w:tc>
          <w:tcPr>
            <w:tcW w:w="1248" w:type="dxa"/>
            <w:vAlign w:val="top"/>
          </w:tcPr>
          <w:p w14:paraId="4966C615">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160" w:type="dxa"/>
            <w:vAlign w:val="top"/>
          </w:tcPr>
          <w:p w14:paraId="4E795CC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766" w:type="dxa"/>
            <w:vAlign w:val="top"/>
          </w:tcPr>
          <w:p w14:paraId="2047A1C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033" w:type="dxa"/>
            <w:tcBorders>
              <w:right w:val="single" w:color="000000" w:sz="2" w:space="0"/>
            </w:tcBorders>
            <w:vAlign w:val="top"/>
          </w:tcPr>
          <w:p w14:paraId="2F1BD39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824" w:type="dxa"/>
            <w:tcBorders>
              <w:left w:val="single" w:color="000000" w:sz="2" w:space="0"/>
              <w:right w:val="single" w:color="000000" w:sz="2" w:space="0"/>
            </w:tcBorders>
            <w:vAlign w:val="top"/>
          </w:tcPr>
          <w:p w14:paraId="474566E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332" w:type="dxa"/>
            <w:tcBorders>
              <w:left w:val="single" w:color="000000" w:sz="2" w:space="0"/>
            </w:tcBorders>
            <w:vAlign w:val="top"/>
          </w:tcPr>
          <w:p w14:paraId="04834F5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774" w:type="dxa"/>
            <w:tcBorders>
              <w:right w:val="single" w:color="000000" w:sz="6" w:space="0"/>
            </w:tcBorders>
            <w:vAlign w:val="top"/>
          </w:tcPr>
          <w:p w14:paraId="0FACE84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24C6A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4" w:hRule="atLeast"/>
        </w:trPr>
        <w:tc>
          <w:tcPr>
            <w:tcW w:w="8858" w:type="dxa"/>
            <w:gridSpan w:val="8"/>
            <w:tcBorders>
              <w:left w:val="single" w:color="000000" w:sz="6" w:space="0"/>
              <w:right w:val="single" w:color="000000" w:sz="6" w:space="0"/>
            </w:tcBorders>
            <w:vAlign w:val="top"/>
          </w:tcPr>
          <w:p w14:paraId="15B8EFE3">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58" w:firstLineChars="200"/>
            </w:pPr>
            <w:r>
              <w:rPr>
                <w:b/>
                <w:bCs/>
                <w:spacing w:val="-6"/>
              </w:rPr>
              <w:t>合计（元</w:t>
            </w:r>
            <w:r>
              <w:rPr>
                <w:b/>
                <w:bCs/>
                <w:spacing w:val="-2"/>
              </w:rPr>
              <w:t>）：</w:t>
            </w:r>
          </w:p>
        </w:tc>
      </w:tr>
      <w:tr w14:paraId="5DB30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9" w:hRule="atLeast"/>
        </w:trPr>
        <w:tc>
          <w:tcPr>
            <w:tcW w:w="1969" w:type="dxa"/>
            <w:gridSpan w:val="2"/>
            <w:tcBorders>
              <w:left w:val="single" w:color="000000" w:sz="6" w:space="0"/>
            </w:tcBorders>
            <w:vAlign w:val="top"/>
          </w:tcPr>
          <w:p w14:paraId="7FFB2C8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374E86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AA2EB6C">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pPr>
            <w:r>
              <w:rPr>
                <w:spacing w:val="-2"/>
              </w:rPr>
              <w:t>磋商报价</w:t>
            </w:r>
          </w:p>
        </w:tc>
        <w:tc>
          <w:tcPr>
            <w:tcW w:w="6889" w:type="dxa"/>
            <w:gridSpan w:val="6"/>
            <w:tcBorders>
              <w:right w:val="single" w:color="000000" w:sz="6" w:space="0"/>
            </w:tcBorders>
            <w:vAlign w:val="top"/>
          </w:tcPr>
          <w:p w14:paraId="5C51694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0AF13E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4A8E9D42">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60" w:firstLineChars="200"/>
            </w:pPr>
            <w:r>
              <w:rPr>
                <w:spacing w:val="-5"/>
              </w:rPr>
              <w:t>小写：</w:t>
            </w:r>
          </w:p>
          <w:p w14:paraId="04DBFDED">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84" w:firstLineChars="200"/>
              <w:jc w:val="right"/>
            </w:pPr>
            <w:r>
              <w:rPr>
                <w:spacing w:val="1"/>
              </w:rPr>
              <w:t>单位：元（报价最多保留到小数点后两位）</w:t>
            </w:r>
          </w:p>
        </w:tc>
      </w:tr>
    </w:tbl>
    <w:p w14:paraId="44FC66B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0" w:firstLineChars="200"/>
        <w:rPr>
          <w:rFonts w:ascii="宋体" w:hAnsi="宋体" w:eastAsia="宋体" w:cs="宋体"/>
          <w:sz w:val="20"/>
          <w:szCs w:val="20"/>
        </w:rPr>
      </w:pPr>
      <w:r>
        <w:rPr>
          <w:rFonts w:ascii="宋体" w:hAnsi="宋体" w:eastAsia="宋体" w:cs="宋体"/>
          <w:spacing w:val="10"/>
          <w:sz w:val="20"/>
          <w:szCs w:val="20"/>
        </w:rPr>
        <w:t>备注：1、本表“磋商报价</w:t>
      </w:r>
      <w:r>
        <w:rPr>
          <w:rFonts w:ascii="宋体" w:hAnsi="宋体" w:eastAsia="宋体" w:cs="宋体"/>
          <w:spacing w:val="-68"/>
          <w:sz w:val="20"/>
          <w:szCs w:val="20"/>
        </w:rPr>
        <w:t xml:space="preserve"> </w:t>
      </w:r>
      <w:r>
        <w:rPr>
          <w:rFonts w:ascii="宋体" w:hAnsi="宋体" w:eastAsia="宋体" w:cs="宋体"/>
          <w:spacing w:val="10"/>
          <w:sz w:val="20"/>
          <w:szCs w:val="20"/>
        </w:rPr>
        <w:t>”金额应与“第一次磋商报价表</w:t>
      </w:r>
      <w:r>
        <w:rPr>
          <w:rFonts w:ascii="宋体" w:hAnsi="宋体" w:eastAsia="宋体" w:cs="宋体"/>
          <w:spacing w:val="-70"/>
          <w:sz w:val="20"/>
          <w:szCs w:val="20"/>
        </w:rPr>
        <w:t xml:space="preserve"> </w:t>
      </w:r>
      <w:r>
        <w:rPr>
          <w:rFonts w:ascii="宋体" w:hAnsi="宋体" w:eastAsia="宋体" w:cs="宋体"/>
          <w:spacing w:val="10"/>
          <w:sz w:val="20"/>
          <w:szCs w:val="20"/>
        </w:rPr>
        <w:t>”中的“磋商报价</w:t>
      </w:r>
      <w:r>
        <w:rPr>
          <w:rFonts w:ascii="宋体" w:hAnsi="宋体" w:eastAsia="宋体" w:cs="宋体"/>
          <w:spacing w:val="-68"/>
          <w:sz w:val="20"/>
          <w:szCs w:val="20"/>
        </w:rPr>
        <w:t xml:space="preserve"> </w:t>
      </w:r>
      <w:r>
        <w:rPr>
          <w:rFonts w:ascii="宋体" w:hAnsi="宋体" w:eastAsia="宋体" w:cs="宋体"/>
          <w:spacing w:val="10"/>
          <w:sz w:val="20"/>
          <w:szCs w:val="20"/>
        </w:rPr>
        <w:t>”一致；</w:t>
      </w:r>
    </w:p>
    <w:p w14:paraId="67E2059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48" w:firstLineChars="200"/>
        <w:rPr>
          <w:rFonts w:ascii="宋体" w:hAnsi="宋体" w:eastAsia="宋体" w:cs="宋体"/>
          <w:sz w:val="20"/>
          <w:szCs w:val="20"/>
        </w:rPr>
      </w:pPr>
      <w:r>
        <w:rPr>
          <w:rFonts w:ascii="宋体" w:hAnsi="宋体" w:eastAsia="宋体" w:cs="宋体"/>
          <w:spacing w:val="12"/>
          <w:sz w:val="20"/>
          <w:szCs w:val="20"/>
        </w:rPr>
        <w:t>2、本表为样表，仅供参考，供应商根据项目实际需求进行填写。</w:t>
      </w:r>
    </w:p>
    <w:p w14:paraId="283DDE1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36B0FBB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1D267F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24D8F4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jc w:val="right"/>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68F9E00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pPr>
      <w:r>
        <w:rPr>
          <w:spacing w:val="-22"/>
          <w:sz w:val="28"/>
          <w:szCs w:val="28"/>
        </w:rPr>
        <w:t>日期：</w:t>
      </w:r>
      <w:r>
        <w:rPr>
          <w:spacing w:val="9"/>
          <w:sz w:val="28"/>
          <w:szCs w:val="28"/>
        </w:rPr>
        <w:t xml:space="preserve">    </w:t>
      </w:r>
      <w:r>
        <w:rPr>
          <w:spacing w:val="-22"/>
          <w:sz w:val="28"/>
          <w:szCs w:val="28"/>
        </w:rPr>
        <w:t>年</w:t>
      </w:r>
      <w:r>
        <w:rPr>
          <w:spacing w:val="21"/>
          <w:sz w:val="28"/>
          <w:szCs w:val="28"/>
        </w:rPr>
        <w:t xml:space="preserve">  </w:t>
      </w:r>
      <w:r>
        <w:rPr>
          <w:spacing w:val="-22"/>
          <w:sz w:val="28"/>
          <w:szCs w:val="28"/>
        </w:rPr>
        <w:t>月</w:t>
      </w:r>
      <w:r>
        <w:rPr>
          <w:spacing w:val="42"/>
          <w:sz w:val="28"/>
          <w:szCs w:val="28"/>
        </w:rPr>
        <w:t xml:space="preserve">  </w:t>
      </w:r>
      <w:r>
        <w:rPr>
          <w:spacing w:val="-22"/>
          <w:sz w:val="28"/>
          <w:szCs w:val="28"/>
        </w:rPr>
        <w:t>日</w:t>
      </w:r>
    </w:p>
    <w:p w14:paraId="66134F1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footerReference r:id="rId33" w:type="default"/>
          <w:pgSz w:w="11906" w:h="16839"/>
          <w:pgMar w:top="1210" w:right="1416" w:bottom="1432" w:left="1417" w:header="828" w:footer="1218" w:gutter="0"/>
          <w:pgBorders>
            <w:top w:val="none" w:sz="0" w:space="0"/>
            <w:left w:val="none" w:sz="0" w:space="0"/>
            <w:bottom w:val="none" w:sz="0" w:space="0"/>
            <w:right w:val="none" w:sz="0" w:space="0"/>
          </w:pgBorders>
          <w:pgNumType w:fmt="decimal"/>
          <w:cols w:space="720" w:num="1"/>
        </w:sectPr>
      </w:pPr>
    </w:p>
    <w:p w14:paraId="52CA00C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1FCE8D9">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0" w:firstLineChars="200"/>
        <w:outlineLvl w:val="1"/>
        <w:rPr>
          <w:sz w:val="30"/>
          <w:szCs w:val="30"/>
        </w:rPr>
      </w:pPr>
      <w:r>
        <w:rPr>
          <w:b/>
          <w:bCs/>
          <w:spacing w:val="-3"/>
          <w:sz w:val="30"/>
          <w:szCs w:val="30"/>
        </w:rPr>
        <w:t>三、供应商承诺书</w:t>
      </w:r>
    </w:p>
    <w:p w14:paraId="303F76A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未签署下列承诺书的，其责任由供应商自行承担。</w:t>
      </w:r>
    </w:p>
    <w:p w14:paraId="7E37245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（一）质量安全责任承诺书</w:t>
      </w:r>
    </w:p>
    <w:p w14:paraId="4484E788">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为保证本采购项目顺利进行，作为供应商，现郑重承诺：</w:t>
      </w:r>
    </w:p>
    <w:p w14:paraId="0E6FC4D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4" w:firstLineChars="200"/>
        <w:rPr>
          <w:sz w:val="28"/>
          <w:szCs w:val="28"/>
        </w:rPr>
      </w:pPr>
      <w:r>
        <w:rPr>
          <w:spacing w:val="-4"/>
          <w:sz w:val="28"/>
          <w:szCs w:val="28"/>
        </w:rPr>
        <w:t>1、我方所投产品的生产（包括设计、制造、安装、改造、维修等）、</w:t>
      </w:r>
      <w:r>
        <w:rPr>
          <w:spacing w:val="3"/>
          <w:sz w:val="28"/>
          <w:szCs w:val="28"/>
        </w:rPr>
        <w:t>投入使用的材料等均完全符合国家现行质量</w:t>
      </w:r>
      <w:r>
        <w:rPr>
          <w:spacing w:val="2"/>
          <w:sz w:val="28"/>
          <w:szCs w:val="28"/>
        </w:rPr>
        <w:t>、安全、环保标准和要求。</w:t>
      </w:r>
    </w:p>
    <w:p w14:paraId="3498C34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2、我方将严格按照国家现行相关储存、运输、安装调试技术标准及规</w:t>
      </w:r>
      <w:r>
        <w:rPr>
          <w:spacing w:val="3"/>
          <w:sz w:val="28"/>
          <w:szCs w:val="28"/>
        </w:rPr>
        <w:t>范、服务标准及规范、施工标准及规范，在</w:t>
      </w:r>
      <w:r>
        <w:rPr>
          <w:spacing w:val="2"/>
          <w:sz w:val="28"/>
          <w:szCs w:val="28"/>
        </w:rPr>
        <w:t>规定的时限内，保质、保量完成项目全部内容，并向采购人交付合格产品。</w:t>
      </w:r>
    </w:p>
    <w:p w14:paraId="28FED43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3、对于因产品生产质量以及储存、运输、安装调试、服务、施工等过</w:t>
      </w:r>
      <w:r>
        <w:rPr>
          <w:spacing w:val="2"/>
          <w:sz w:val="28"/>
          <w:szCs w:val="28"/>
        </w:rPr>
        <w:t>程中产生的任何安全事故，我方承担全部责任。</w:t>
      </w:r>
    </w:p>
    <w:p w14:paraId="30B40E9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4、我方提供的货物、工程、服务等符合现行的国家、行业、地区、企</w:t>
      </w:r>
      <w:r>
        <w:rPr>
          <w:spacing w:val="3"/>
          <w:sz w:val="28"/>
          <w:szCs w:val="28"/>
        </w:rPr>
        <w:t>业标准及要求，标准不一致的，以更为严格的为准，</w:t>
      </w:r>
      <w:r>
        <w:rPr>
          <w:spacing w:val="2"/>
          <w:sz w:val="28"/>
          <w:szCs w:val="28"/>
        </w:rPr>
        <w:t>我方对提供的货物、工程、服务等的质量、安全、环保等承担全部责任。</w:t>
      </w:r>
    </w:p>
    <w:p w14:paraId="4889B86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2108B8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C27B18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033C69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4FA1AA3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88" w:firstLineChars="200"/>
        <w:rPr>
          <w:sz w:val="28"/>
          <w:szCs w:val="28"/>
        </w:rPr>
      </w:pPr>
      <w:r>
        <w:rPr>
          <w:spacing w:val="-18"/>
          <w:sz w:val="28"/>
          <w:szCs w:val="28"/>
        </w:rPr>
        <w:t>日期：</w:t>
      </w:r>
      <w:r>
        <w:rPr>
          <w:spacing w:val="7"/>
          <w:sz w:val="28"/>
          <w:szCs w:val="28"/>
        </w:rPr>
        <w:t xml:space="preserve">  </w:t>
      </w:r>
      <w:r>
        <w:rPr>
          <w:spacing w:val="-18"/>
          <w:sz w:val="28"/>
          <w:szCs w:val="28"/>
        </w:rPr>
        <w:t>年</w:t>
      </w:r>
      <w:r>
        <w:rPr>
          <w:spacing w:val="18"/>
          <w:sz w:val="28"/>
          <w:szCs w:val="28"/>
        </w:rPr>
        <w:t xml:space="preserve">  </w:t>
      </w:r>
      <w:r>
        <w:rPr>
          <w:spacing w:val="-18"/>
          <w:sz w:val="28"/>
          <w:szCs w:val="28"/>
        </w:rPr>
        <w:t>月</w:t>
      </w:r>
      <w:r>
        <w:rPr>
          <w:spacing w:val="42"/>
          <w:sz w:val="28"/>
          <w:szCs w:val="28"/>
        </w:rPr>
        <w:t xml:space="preserve">  </w:t>
      </w:r>
      <w:r>
        <w:rPr>
          <w:spacing w:val="-18"/>
          <w:sz w:val="28"/>
          <w:szCs w:val="28"/>
        </w:rPr>
        <w:t>日</w:t>
      </w:r>
    </w:p>
    <w:p w14:paraId="43F0D6F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headerReference r:id="rId34" w:type="default"/>
          <w:footerReference r:id="rId35" w:type="default"/>
          <w:pgSz w:w="11906" w:h="16839"/>
          <w:pgMar w:top="1211" w:right="1417" w:bottom="1233" w:left="1418" w:header="828" w:footer="1019" w:gutter="0"/>
          <w:pgBorders>
            <w:top w:val="none" w:sz="0" w:space="0"/>
            <w:left w:val="none" w:sz="0" w:space="0"/>
            <w:bottom w:val="none" w:sz="0" w:space="0"/>
            <w:right w:val="none" w:sz="0" w:space="0"/>
          </w:pgBorders>
          <w:pgNumType w:fmt="decimal"/>
          <w:cols w:space="720" w:num="1"/>
        </w:sectPr>
      </w:pPr>
    </w:p>
    <w:p w14:paraId="3947B0A6">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A2E0134">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2" w:firstLineChars="200"/>
        <w:rPr>
          <w:sz w:val="28"/>
          <w:szCs w:val="28"/>
        </w:rPr>
      </w:pPr>
      <w:r>
        <w:rPr>
          <w:b/>
          <w:bCs/>
          <w:sz w:val="28"/>
          <w:szCs w:val="28"/>
        </w:rPr>
        <w:t>（二）拒绝政府采购领域商业贿赂承诺书</w:t>
      </w:r>
    </w:p>
    <w:p w14:paraId="364976AB">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（执行陕财办采管[</w:t>
      </w:r>
      <w:r>
        <w:fldChar w:fldCharType="begin"/>
      </w:r>
      <w:r>
        <w:instrText xml:space="preserve"> HYPERLINK \l "bookmark29" </w:instrText>
      </w:r>
      <w:r>
        <w:fldChar w:fldCharType="separate"/>
      </w:r>
      <w:r>
        <w:rPr>
          <w:sz w:val="28"/>
          <w:szCs w:val="28"/>
        </w:rPr>
        <w:t>2006</w:t>
      </w:r>
      <w:r>
        <w:rPr>
          <w:sz w:val="28"/>
          <w:szCs w:val="28"/>
        </w:rPr>
        <w:fldChar w:fldCharType="end"/>
      </w:r>
      <w:r>
        <w:rPr>
          <w:sz w:val="28"/>
          <w:szCs w:val="28"/>
        </w:rPr>
        <w:t>]21</w:t>
      </w:r>
      <w:r>
        <w:rPr>
          <w:spacing w:val="-44"/>
          <w:sz w:val="28"/>
          <w:szCs w:val="28"/>
        </w:rPr>
        <w:t xml:space="preserve"> </w:t>
      </w:r>
      <w:r>
        <w:rPr>
          <w:sz w:val="28"/>
          <w:szCs w:val="28"/>
        </w:rPr>
        <w:t>号文件）</w:t>
      </w:r>
    </w:p>
    <w:p w14:paraId="09F4D7E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为响应党中央、国务院关于治理政府采购领域商业贿赂行为的号召，我公司在此庄严承诺：</w:t>
      </w:r>
    </w:p>
    <w:p w14:paraId="7149733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1、在参与政府采购活动中遵纪守法、诚信经营、公平竞</w:t>
      </w:r>
      <w:r>
        <w:rPr>
          <w:spacing w:val="1"/>
          <w:sz w:val="28"/>
          <w:szCs w:val="28"/>
        </w:rPr>
        <w:t>标。</w:t>
      </w:r>
    </w:p>
    <w:p w14:paraId="220EB66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2、不向政府采购人、采购代理机构和政府采购评审专家进行任何形式</w:t>
      </w:r>
      <w:r>
        <w:rPr>
          <w:sz w:val="28"/>
          <w:szCs w:val="28"/>
        </w:rPr>
        <w:t>的商业贿赂以谋取交易机会。</w:t>
      </w:r>
    </w:p>
    <w:p w14:paraId="764EBAC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8" w:firstLineChars="200"/>
        <w:rPr>
          <w:sz w:val="28"/>
          <w:szCs w:val="28"/>
        </w:rPr>
      </w:pPr>
      <w:r>
        <w:rPr>
          <w:spacing w:val="7"/>
          <w:sz w:val="28"/>
          <w:szCs w:val="28"/>
        </w:rPr>
        <w:t>3、不向政府采购代理机构和采购人提供虚假资质文件或采用虚假应</w:t>
      </w:r>
      <w:r>
        <w:rPr>
          <w:spacing w:val="2"/>
          <w:sz w:val="28"/>
          <w:szCs w:val="28"/>
        </w:rPr>
        <w:t>标方式参与政府采购市场竞争并谋取中标、成交。</w:t>
      </w:r>
    </w:p>
    <w:p w14:paraId="2DECA5E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6" w:firstLineChars="200"/>
        <w:rPr>
          <w:sz w:val="28"/>
          <w:szCs w:val="28"/>
        </w:rPr>
      </w:pPr>
      <w:r>
        <w:rPr>
          <w:spacing w:val="-1"/>
          <w:sz w:val="28"/>
          <w:szCs w:val="28"/>
        </w:rPr>
        <w:t>4、不采取“</w:t>
      </w:r>
      <w:r>
        <w:rPr>
          <w:spacing w:val="-75"/>
          <w:sz w:val="28"/>
          <w:szCs w:val="28"/>
        </w:rPr>
        <w:t xml:space="preserve"> </w:t>
      </w:r>
      <w:r>
        <w:rPr>
          <w:spacing w:val="-1"/>
          <w:sz w:val="28"/>
          <w:szCs w:val="28"/>
        </w:rPr>
        <w:t>围标、陪标</w:t>
      </w:r>
      <w:r>
        <w:rPr>
          <w:spacing w:val="-100"/>
          <w:sz w:val="28"/>
          <w:szCs w:val="28"/>
        </w:rPr>
        <w:t xml:space="preserve"> </w:t>
      </w:r>
      <w:r>
        <w:rPr>
          <w:spacing w:val="-1"/>
          <w:sz w:val="28"/>
          <w:szCs w:val="28"/>
        </w:rPr>
        <w:t>”等商业欺诈手段获得政府采购定单。</w:t>
      </w:r>
    </w:p>
    <w:p w14:paraId="57705C9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5、不采取不正当手段诋毁、排挤其他供应商。</w:t>
      </w:r>
    </w:p>
    <w:p w14:paraId="7DE47A6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48" w:firstLineChars="200"/>
        <w:rPr>
          <w:sz w:val="28"/>
          <w:szCs w:val="28"/>
        </w:rPr>
      </w:pPr>
      <w:r>
        <w:rPr>
          <w:spacing w:val="-3"/>
          <w:sz w:val="28"/>
          <w:szCs w:val="28"/>
        </w:rPr>
        <w:t>6、不在提供商品和服务时“偷梁换柱、以次充好</w:t>
      </w:r>
      <w:r>
        <w:rPr>
          <w:spacing w:val="-100"/>
          <w:sz w:val="28"/>
          <w:szCs w:val="28"/>
        </w:rPr>
        <w:t xml:space="preserve"> </w:t>
      </w:r>
      <w:r>
        <w:rPr>
          <w:spacing w:val="-3"/>
          <w:sz w:val="28"/>
          <w:szCs w:val="28"/>
        </w:rPr>
        <w:t>”损害采购人的合法</w:t>
      </w:r>
      <w:r>
        <w:rPr>
          <w:spacing w:val="-5"/>
          <w:sz w:val="28"/>
          <w:szCs w:val="28"/>
        </w:rPr>
        <w:t>权益。</w:t>
      </w:r>
    </w:p>
    <w:p w14:paraId="46A5FC7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2" w:firstLineChars="200"/>
        <w:rPr>
          <w:sz w:val="28"/>
          <w:szCs w:val="28"/>
        </w:rPr>
      </w:pPr>
      <w:r>
        <w:rPr>
          <w:spacing w:val="-2"/>
          <w:sz w:val="28"/>
          <w:szCs w:val="28"/>
        </w:rPr>
        <w:t>7、不与采购人、采购代理机构政府采购评审专家或其它供应商恶意串</w:t>
      </w:r>
      <w:r>
        <w:rPr>
          <w:spacing w:val="2"/>
          <w:sz w:val="28"/>
          <w:szCs w:val="28"/>
        </w:rPr>
        <w:t>通，进行质疑和投诉，维护政府采购市场秩序。</w:t>
      </w:r>
    </w:p>
    <w:p w14:paraId="037D58A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8" w:firstLineChars="200"/>
        <w:rPr>
          <w:sz w:val="28"/>
          <w:szCs w:val="28"/>
        </w:rPr>
      </w:pPr>
      <w:r>
        <w:rPr>
          <w:spacing w:val="7"/>
          <w:sz w:val="28"/>
          <w:szCs w:val="28"/>
        </w:rPr>
        <w:t>8、尊重和接受政府采购监督管理部门的监督和政府采购代理机构招</w:t>
      </w:r>
      <w:r>
        <w:rPr>
          <w:spacing w:val="2"/>
          <w:sz w:val="28"/>
          <w:szCs w:val="28"/>
        </w:rPr>
        <w:t>标采购要求，承担因违约行为给采购人造成的损失。</w:t>
      </w:r>
    </w:p>
    <w:p w14:paraId="16D986D1">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right"/>
        <w:rPr>
          <w:sz w:val="28"/>
          <w:szCs w:val="28"/>
        </w:rPr>
      </w:pPr>
      <w:r>
        <w:rPr>
          <w:spacing w:val="2"/>
          <w:sz w:val="28"/>
          <w:szCs w:val="28"/>
        </w:rPr>
        <w:t>9、不发生其他有悖于政府采购公开、公平、公</w:t>
      </w:r>
      <w:r>
        <w:rPr>
          <w:spacing w:val="1"/>
          <w:sz w:val="28"/>
          <w:szCs w:val="28"/>
        </w:rPr>
        <w:t>正和诚信原则的行为。</w:t>
      </w:r>
    </w:p>
    <w:p w14:paraId="0A3E248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C99F17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2DD356E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4BEE01B3">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72" w:firstLineChars="200"/>
        <w:rPr>
          <w:sz w:val="28"/>
          <w:szCs w:val="28"/>
        </w:rPr>
        <w:sectPr>
          <w:headerReference r:id="rId36" w:type="default"/>
          <w:footerReference r:id="rId37" w:type="default"/>
          <w:pgSz w:w="11906" w:h="16839"/>
          <w:pgMar w:top="1211" w:right="1316" w:bottom="1233" w:left="1418" w:header="828" w:footer="1019" w:gutter="0"/>
          <w:pgBorders>
            <w:top w:val="none" w:sz="0" w:space="0"/>
            <w:left w:val="none" w:sz="0" w:space="0"/>
            <w:bottom w:val="none" w:sz="0" w:space="0"/>
            <w:right w:val="none" w:sz="0" w:space="0"/>
          </w:pgBorders>
          <w:pgNumType w:fmt="decimal"/>
          <w:cols w:space="720" w:num="1"/>
        </w:sectPr>
      </w:pPr>
      <w:r>
        <w:rPr>
          <w:spacing w:val="-22"/>
          <w:sz w:val="28"/>
          <w:szCs w:val="28"/>
        </w:rPr>
        <w:t>日期：</w:t>
      </w:r>
      <w:r>
        <w:rPr>
          <w:spacing w:val="18"/>
          <w:sz w:val="28"/>
          <w:szCs w:val="28"/>
        </w:rPr>
        <w:t xml:space="preserve">  </w:t>
      </w:r>
      <w:r>
        <w:rPr>
          <w:spacing w:val="-22"/>
          <w:sz w:val="28"/>
          <w:szCs w:val="28"/>
        </w:rPr>
        <w:t>年</w:t>
      </w:r>
      <w:r>
        <w:rPr>
          <w:spacing w:val="18"/>
          <w:sz w:val="28"/>
          <w:szCs w:val="28"/>
        </w:rPr>
        <w:t xml:space="preserve">  </w:t>
      </w:r>
      <w:r>
        <w:rPr>
          <w:spacing w:val="-22"/>
          <w:sz w:val="28"/>
          <w:szCs w:val="28"/>
        </w:rPr>
        <w:t>月</w:t>
      </w:r>
      <w:r>
        <w:rPr>
          <w:spacing w:val="43"/>
          <w:sz w:val="28"/>
          <w:szCs w:val="28"/>
        </w:rPr>
        <w:t xml:space="preserve">  </w:t>
      </w:r>
    </w:p>
    <w:p w14:paraId="75F3FC93">
      <w:pPr>
        <w:keepNext w:val="0"/>
        <w:keepLines w:val="0"/>
        <w:pageBreakBefore w:val="0"/>
        <w:widowControl/>
        <w:kinsoku/>
        <w:wordWrap/>
        <w:overflowPunct/>
        <w:topLinePunct w:val="0"/>
        <w:autoSpaceDE/>
        <w:autoSpaceDN/>
        <w:bidi w:val="0"/>
        <w:adjustRightInd w:val="0"/>
        <w:snapToGrid w:val="0"/>
        <w:spacing w:line="324" w:lineRule="auto"/>
        <w:ind w:right="0"/>
        <w:rPr>
          <w:rFonts w:ascii="仿宋" w:hAnsi="仿宋" w:eastAsia="仿宋" w:cs="仿宋"/>
          <w:b/>
          <w:bCs/>
          <w:snapToGrid w:val="0"/>
          <w:color w:val="000000"/>
          <w:spacing w:val="-2"/>
          <w:kern w:val="0"/>
          <w:sz w:val="30"/>
          <w:szCs w:val="30"/>
          <w:lang w:val="en-US" w:eastAsia="en-US" w:bidi="ar-SA"/>
        </w:rPr>
      </w:pPr>
      <w:bookmarkStart w:id="37" w:name="bookmark30"/>
      <w:bookmarkEnd w:id="37"/>
    </w:p>
    <w:p w14:paraId="48189108">
      <w:pPr>
        <w:pStyle w:val="7"/>
        <w:spacing w:after="156"/>
        <w:jc w:val="both"/>
        <w:rPr>
          <w:rFonts w:ascii="仿宋" w:hAnsi="仿宋" w:eastAsia="仿宋" w:cs="仿宋"/>
          <w:b/>
          <w:bCs/>
          <w:snapToGrid w:val="0"/>
          <w:color w:val="000000"/>
          <w:spacing w:val="-2"/>
          <w:kern w:val="0"/>
          <w:sz w:val="30"/>
          <w:szCs w:val="30"/>
          <w:lang w:val="en-US" w:eastAsia="en-US" w:bidi="ar-SA"/>
        </w:rPr>
      </w:pPr>
      <w:r>
        <w:rPr>
          <w:rFonts w:hint="eastAsia" w:ascii="仿宋" w:hAnsi="仿宋" w:eastAsia="仿宋" w:cs="仿宋"/>
          <w:b/>
          <w:bCs/>
          <w:snapToGrid w:val="0"/>
          <w:color w:val="000000"/>
          <w:spacing w:val="-2"/>
          <w:kern w:val="0"/>
          <w:sz w:val="30"/>
          <w:szCs w:val="30"/>
          <w:lang w:val="en-US" w:eastAsia="en-US" w:bidi="ar-SA"/>
        </w:rPr>
        <w:t>四</w:t>
      </w:r>
      <w:r>
        <w:rPr>
          <w:rFonts w:hint="eastAsia" w:cs="仿宋"/>
          <w:b/>
          <w:bCs/>
          <w:snapToGrid w:val="0"/>
          <w:color w:val="000000"/>
          <w:spacing w:val="-2"/>
          <w:kern w:val="0"/>
          <w:sz w:val="30"/>
          <w:szCs w:val="30"/>
          <w:lang w:val="en-US" w:eastAsia="zh-CN" w:bidi="ar-SA"/>
        </w:rPr>
        <w:t>、</w:t>
      </w:r>
      <w:r>
        <w:rPr>
          <w:rFonts w:hint="eastAsia" w:ascii="仿宋" w:hAnsi="仿宋" w:eastAsia="仿宋" w:cs="仿宋"/>
          <w:b/>
          <w:bCs/>
          <w:snapToGrid w:val="0"/>
          <w:color w:val="000000"/>
          <w:spacing w:val="-2"/>
          <w:kern w:val="0"/>
          <w:sz w:val="30"/>
          <w:szCs w:val="30"/>
          <w:lang w:val="en-US" w:eastAsia="en-US" w:bidi="ar-SA"/>
        </w:rPr>
        <w:t>技术响应偏离表</w:t>
      </w:r>
    </w:p>
    <w:p w14:paraId="5B740122">
      <w:pPr>
        <w:adjustRightInd w:val="0"/>
        <w:snapToGrid w:val="0"/>
        <w:spacing w:line="400" w:lineRule="exact"/>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（项目名称）</w:t>
      </w:r>
    </w:p>
    <w:p w14:paraId="3164D415">
      <w:pPr>
        <w:widowControl/>
        <w:jc w:val="left"/>
        <w:rPr>
          <w:rFonts w:ascii="宋体" w:hAnsi="宋体" w:cs="宋体"/>
          <w:b/>
          <w:color w:val="auto"/>
          <w:sz w:val="24"/>
          <w:szCs w:val="24"/>
          <w:highlight w:val="none"/>
        </w:rPr>
      </w:pPr>
    </w:p>
    <w:p w14:paraId="17DE6C18">
      <w:pPr>
        <w:widowControl/>
        <w:jc w:val="left"/>
        <w:rPr>
          <w:rFonts w:ascii="宋体" w:hAnsi="宋体" w:cs="宋体"/>
          <w:b/>
          <w:color w:val="auto"/>
          <w:sz w:val="24"/>
          <w:szCs w:val="24"/>
          <w:highlight w:val="none"/>
        </w:rPr>
      </w:pPr>
      <w:r>
        <w:rPr>
          <w:rFonts w:hint="eastAsia" w:ascii="宋体" w:hAnsi="宋体" w:cs="宋体"/>
          <w:b/>
          <w:color w:val="auto"/>
          <w:sz w:val="24"/>
          <w:szCs w:val="24"/>
          <w:highlight w:val="none"/>
        </w:rPr>
        <w:t>技术响应偏离表</w:t>
      </w:r>
    </w:p>
    <w:tbl>
      <w:tblPr>
        <w:tblStyle w:val="15"/>
        <w:tblW w:w="91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5"/>
        <w:gridCol w:w="2843"/>
        <w:gridCol w:w="1646"/>
        <w:gridCol w:w="1916"/>
        <w:gridCol w:w="1922"/>
      </w:tblGrid>
      <w:tr w14:paraId="5B3E5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855" w:type="dxa"/>
            <w:shd w:val="clear" w:color="auto" w:fill="D9D9D9"/>
            <w:vAlign w:val="top"/>
          </w:tcPr>
          <w:p w14:paraId="0873B1A5">
            <w:pPr>
              <w:pStyle w:val="16"/>
              <w:spacing w:before="83" w:line="208" w:lineRule="auto"/>
              <w:ind w:left="158"/>
              <w:rPr>
                <w:sz w:val="28"/>
                <w:szCs w:val="28"/>
              </w:rPr>
            </w:pPr>
            <w:r>
              <w:rPr>
                <w:b/>
                <w:bCs/>
                <w:spacing w:val="-9"/>
                <w:sz w:val="28"/>
                <w:szCs w:val="28"/>
              </w:rPr>
              <w:t>序号</w:t>
            </w:r>
          </w:p>
        </w:tc>
        <w:tc>
          <w:tcPr>
            <w:tcW w:w="2843" w:type="dxa"/>
            <w:shd w:val="clear" w:color="auto" w:fill="D9D9D9"/>
            <w:vAlign w:val="top"/>
          </w:tcPr>
          <w:p w14:paraId="5F1C1CCC">
            <w:pPr>
              <w:pStyle w:val="16"/>
              <w:spacing w:before="83" w:line="208" w:lineRule="auto"/>
              <w:ind w:left="983"/>
              <w:rPr>
                <w:sz w:val="28"/>
                <w:szCs w:val="28"/>
              </w:rPr>
            </w:pPr>
            <w:r>
              <w:rPr>
                <w:b/>
                <w:bCs/>
                <w:spacing w:val="-6"/>
                <w:sz w:val="28"/>
                <w:szCs w:val="28"/>
              </w:rPr>
              <w:t>响应内容</w:t>
            </w:r>
          </w:p>
        </w:tc>
        <w:tc>
          <w:tcPr>
            <w:tcW w:w="1646" w:type="dxa"/>
            <w:shd w:val="clear" w:color="auto" w:fill="D9D9D9"/>
            <w:vAlign w:val="top"/>
          </w:tcPr>
          <w:p w14:paraId="0B51B716">
            <w:pPr>
              <w:pStyle w:val="16"/>
              <w:spacing w:before="83" w:line="208" w:lineRule="auto"/>
              <w:ind w:left="273"/>
              <w:rPr>
                <w:sz w:val="28"/>
                <w:szCs w:val="28"/>
              </w:rPr>
            </w:pPr>
            <w:r>
              <w:rPr>
                <w:b/>
                <w:bCs/>
                <w:spacing w:val="-5"/>
                <w:sz w:val="28"/>
                <w:szCs w:val="28"/>
              </w:rPr>
              <w:t>技术要求</w:t>
            </w:r>
          </w:p>
        </w:tc>
        <w:tc>
          <w:tcPr>
            <w:tcW w:w="1916" w:type="dxa"/>
            <w:shd w:val="clear" w:color="auto" w:fill="D9D9D9"/>
            <w:vAlign w:val="top"/>
          </w:tcPr>
          <w:p w14:paraId="67E6707B">
            <w:pPr>
              <w:pStyle w:val="16"/>
              <w:spacing w:before="83" w:line="208" w:lineRule="auto"/>
              <w:ind w:left="412"/>
              <w:rPr>
                <w:sz w:val="28"/>
                <w:szCs w:val="28"/>
              </w:rPr>
            </w:pPr>
            <w:r>
              <w:rPr>
                <w:b/>
                <w:bCs/>
                <w:spacing w:val="-6"/>
                <w:sz w:val="28"/>
                <w:szCs w:val="28"/>
              </w:rPr>
              <w:t>实际响应</w:t>
            </w:r>
          </w:p>
        </w:tc>
        <w:tc>
          <w:tcPr>
            <w:tcW w:w="1922" w:type="dxa"/>
            <w:shd w:val="clear" w:color="auto" w:fill="D9D9D9"/>
            <w:vAlign w:val="top"/>
          </w:tcPr>
          <w:p w14:paraId="2EA732CF">
            <w:pPr>
              <w:pStyle w:val="16"/>
              <w:spacing w:before="83" w:line="208" w:lineRule="auto"/>
              <w:ind w:left="417"/>
              <w:rPr>
                <w:sz w:val="28"/>
                <w:szCs w:val="28"/>
              </w:rPr>
            </w:pPr>
            <w:r>
              <w:rPr>
                <w:b/>
                <w:bCs/>
                <w:spacing w:val="-6"/>
                <w:sz w:val="28"/>
                <w:szCs w:val="28"/>
              </w:rPr>
              <w:t>响应说明</w:t>
            </w:r>
          </w:p>
        </w:tc>
      </w:tr>
      <w:tr w14:paraId="58622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55" w:type="dxa"/>
            <w:vAlign w:val="top"/>
          </w:tcPr>
          <w:p w14:paraId="12CB9CFF">
            <w:pPr>
              <w:pStyle w:val="16"/>
              <w:spacing w:before="106" w:line="225" w:lineRule="auto"/>
              <w:ind w:left="339"/>
              <w:rPr>
                <w:sz w:val="28"/>
                <w:szCs w:val="28"/>
              </w:rPr>
            </w:pPr>
            <w:r>
              <w:rPr>
                <w:sz w:val="28"/>
                <w:szCs w:val="28"/>
              </w:rPr>
              <w:t>1</w:t>
            </w:r>
          </w:p>
        </w:tc>
        <w:tc>
          <w:tcPr>
            <w:tcW w:w="2843" w:type="dxa"/>
            <w:vAlign w:val="top"/>
          </w:tcPr>
          <w:p w14:paraId="71B0C3E1">
            <w:pPr>
              <w:rPr>
                <w:rFonts w:ascii="Arial"/>
                <w:sz w:val="21"/>
              </w:rPr>
            </w:pPr>
          </w:p>
        </w:tc>
        <w:tc>
          <w:tcPr>
            <w:tcW w:w="1646" w:type="dxa"/>
            <w:vAlign w:val="top"/>
          </w:tcPr>
          <w:p w14:paraId="088881EE">
            <w:pPr>
              <w:rPr>
                <w:rFonts w:ascii="Arial"/>
                <w:sz w:val="21"/>
              </w:rPr>
            </w:pPr>
          </w:p>
        </w:tc>
        <w:tc>
          <w:tcPr>
            <w:tcW w:w="1916" w:type="dxa"/>
            <w:vAlign w:val="top"/>
          </w:tcPr>
          <w:p w14:paraId="664CFA56">
            <w:pPr>
              <w:rPr>
                <w:rFonts w:ascii="Arial"/>
                <w:sz w:val="21"/>
              </w:rPr>
            </w:pPr>
          </w:p>
        </w:tc>
        <w:tc>
          <w:tcPr>
            <w:tcW w:w="1922" w:type="dxa"/>
            <w:vAlign w:val="top"/>
          </w:tcPr>
          <w:p w14:paraId="616056ED">
            <w:pPr>
              <w:rPr>
                <w:rFonts w:ascii="Arial"/>
                <w:sz w:val="21"/>
              </w:rPr>
            </w:pPr>
          </w:p>
        </w:tc>
      </w:tr>
      <w:tr w14:paraId="7D3BB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55" w:type="dxa"/>
            <w:vAlign w:val="top"/>
          </w:tcPr>
          <w:p w14:paraId="6998A8A8">
            <w:pPr>
              <w:pStyle w:val="16"/>
              <w:spacing w:before="108" w:line="224" w:lineRule="auto"/>
              <w:ind w:left="321"/>
              <w:rPr>
                <w:sz w:val="28"/>
                <w:szCs w:val="28"/>
              </w:rPr>
            </w:pPr>
            <w:r>
              <w:rPr>
                <w:sz w:val="28"/>
                <w:szCs w:val="28"/>
              </w:rPr>
              <w:t>2</w:t>
            </w:r>
          </w:p>
        </w:tc>
        <w:tc>
          <w:tcPr>
            <w:tcW w:w="2843" w:type="dxa"/>
            <w:vAlign w:val="top"/>
          </w:tcPr>
          <w:p w14:paraId="3D39E6E5">
            <w:pPr>
              <w:rPr>
                <w:rFonts w:ascii="Arial"/>
                <w:sz w:val="21"/>
              </w:rPr>
            </w:pPr>
          </w:p>
        </w:tc>
        <w:tc>
          <w:tcPr>
            <w:tcW w:w="1646" w:type="dxa"/>
            <w:vAlign w:val="top"/>
          </w:tcPr>
          <w:p w14:paraId="531D641B">
            <w:pPr>
              <w:rPr>
                <w:rFonts w:ascii="Arial"/>
                <w:sz w:val="21"/>
              </w:rPr>
            </w:pPr>
          </w:p>
        </w:tc>
        <w:tc>
          <w:tcPr>
            <w:tcW w:w="1916" w:type="dxa"/>
            <w:vAlign w:val="top"/>
          </w:tcPr>
          <w:p w14:paraId="2B9BB8F9">
            <w:pPr>
              <w:rPr>
                <w:rFonts w:ascii="Arial"/>
                <w:sz w:val="21"/>
              </w:rPr>
            </w:pPr>
          </w:p>
        </w:tc>
        <w:tc>
          <w:tcPr>
            <w:tcW w:w="1922" w:type="dxa"/>
            <w:vAlign w:val="top"/>
          </w:tcPr>
          <w:p w14:paraId="7B2491A3">
            <w:pPr>
              <w:rPr>
                <w:rFonts w:ascii="Arial"/>
                <w:sz w:val="21"/>
              </w:rPr>
            </w:pPr>
          </w:p>
        </w:tc>
      </w:tr>
      <w:tr w14:paraId="6E144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55" w:type="dxa"/>
            <w:vAlign w:val="top"/>
          </w:tcPr>
          <w:p w14:paraId="169C376A">
            <w:pPr>
              <w:pStyle w:val="16"/>
              <w:spacing w:before="109" w:line="223" w:lineRule="auto"/>
              <w:ind w:left="323"/>
              <w:rPr>
                <w:sz w:val="28"/>
                <w:szCs w:val="28"/>
              </w:rPr>
            </w:pPr>
            <w:r>
              <w:rPr>
                <w:sz w:val="28"/>
                <w:szCs w:val="28"/>
              </w:rPr>
              <w:t>3</w:t>
            </w:r>
          </w:p>
        </w:tc>
        <w:tc>
          <w:tcPr>
            <w:tcW w:w="2843" w:type="dxa"/>
            <w:vAlign w:val="top"/>
          </w:tcPr>
          <w:p w14:paraId="3473977F">
            <w:pPr>
              <w:rPr>
                <w:rFonts w:ascii="Arial"/>
                <w:sz w:val="21"/>
              </w:rPr>
            </w:pPr>
          </w:p>
        </w:tc>
        <w:tc>
          <w:tcPr>
            <w:tcW w:w="1646" w:type="dxa"/>
            <w:vAlign w:val="top"/>
          </w:tcPr>
          <w:p w14:paraId="2EE8C7E4">
            <w:pPr>
              <w:rPr>
                <w:rFonts w:ascii="Arial"/>
                <w:sz w:val="21"/>
              </w:rPr>
            </w:pPr>
          </w:p>
        </w:tc>
        <w:tc>
          <w:tcPr>
            <w:tcW w:w="1916" w:type="dxa"/>
            <w:vAlign w:val="top"/>
          </w:tcPr>
          <w:p w14:paraId="7325056A">
            <w:pPr>
              <w:rPr>
                <w:rFonts w:ascii="Arial"/>
                <w:sz w:val="21"/>
              </w:rPr>
            </w:pPr>
          </w:p>
        </w:tc>
        <w:tc>
          <w:tcPr>
            <w:tcW w:w="1922" w:type="dxa"/>
            <w:vAlign w:val="top"/>
          </w:tcPr>
          <w:p w14:paraId="7C496C27">
            <w:pPr>
              <w:rPr>
                <w:rFonts w:ascii="Arial"/>
                <w:sz w:val="21"/>
              </w:rPr>
            </w:pPr>
          </w:p>
        </w:tc>
      </w:tr>
      <w:tr w14:paraId="70B973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55" w:type="dxa"/>
            <w:vAlign w:val="top"/>
          </w:tcPr>
          <w:p w14:paraId="582B6CEB">
            <w:pPr>
              <w:pStyle w:val="16"/>
              <w:spacing w:before="109" w:line="223" w:lineRule="auto"/>
              <w:ind w:left="317"/>
              <w:rPr>
                <w:sz w:val="28"/>
                <w:szCs w:val="28"/>
              </w:rPr>
            </w:pPr>
            <w:r>
              <w:rPr>
                <w:sz w:val="28"/>
                <w:szCs w:val="28"/>
              </w:rPr>
              <w:t>4</w:t>
            </w:r>
          </w:p>
        </w:tc>
        <w:tc>
          <w:tcPr>
            <w:tcW w:w="2843" w:type="dxa"/>
            <w:vAlign w:val="top"/>
          </w:tcPr>
          <w:p w14:paraId="2BEA599F">
            <w:pPr>
              <w:rPr>
                <w:rFonts w:ascii="Arial"/>
                <w:sz w:val="21"/>
              </w:rPr>
            </w:pPr>
          </w:p>
        </w:tc>
        <w:tc>
          <w:tcPr>
            <w:tcW w:w="1646" w:type="dxa"/>
            <w:vAlign w:val="top"/>
          </w:tcPr>
          <w:p w14:paraId="1D47868A">
            <w:pPr>
              <w:rPr>
                <w:rFonts w:ascii="Arial"/>
                <w:sz w:val="21"/>
              </w:rPr>
            </w:pPr>
          </w:p>
        </w:tc>
        <w:tc>
          <w:tcPr>
            <w:tcW w:w="1916" w:type="dxa"/>
            <w:vAlign w:val="top"/>
          </w:tcPr>
          <w:p w14:paraId="309E7DD5">
            <w:pPr>
              <w:rPr>
                <w:rFonts w:ascii="Arial"/>
                <w:sz w:val="21"/>
              </w:rPr>
            </w:pPr>
          </w:p>
        </w:tc>
        <w:tc>
          <w:tcPr>
            <w:tcW w:w="1922" w:type="dxa"/>
            <w:vAlign w:val="top"/>
          </w:tcPr>
          <w:p w14:paraId="63023AE2">
            <w:pPr>
              <w:rPr>
                <w:rFonts w:ascii="Arial"/>
                <w:sz w:val="21"/>
              </w:rPr>
            </w:pPr>
          </w:p>
        </w:tc>
      </w:tr>
      <w:tr w14:paraId="276EE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55" w:type="dxa"/>
            <w:vAlign w:val="top"/>
          </w:tcPr>
          <w:p w14:paraId="4E5E5045">
            <w:pPr>
              <w:pStyle w:val="16"/>
              <w:spacing w:before="111" w:line="225" w:lineRule="auto"/>
              <w:ind w:left="323"/>
              <w:rPr>
                <w:sz w:val="28"/>
                <w:szCs w:val="28"/>
              </w:rPr>
            </w:pPr>
            <w:r>
              <w:rPr>
                <w:sz w:val="28"/>
                <w:szCs w:val="28"/>
              </w:rPr>
              <w:t>5</w:t>
            </w:r>
          </w:p>
        </w:tc>
        <w:tc>
          <w:tcPr>
            <w:tcW w:w="2843" w:type="dxa"/>
            <w:vAlign w:val="top"/>
          </w:tcPr>
          <w:p w14:paraId="3BB70B9C">
            <w:pPr>
              <w:rPr>
                <w:rFonts w:ascii="Arial"/>
                <w:sz w:val="21"/>
              </w:rPr>
            </w:pPr>
          </w:p>
        </w:tc>
        <w:tc>
          <w:tcPr>
            <w:tcW w:w="1646" w:type="dxa"/>
            <w:vAlign w:val="top"/>
          </w:tcPr>
          <w:p w14:paraId="4F0C0BB0">
            <w:pPr>
              <w:rPr>
                <w:rFonts w:ascii="Arial"/>
                <w:sz w:val="21"/>
              </w:rPr>
            </w:pPr>
          </w:p>
        </w:tc>
        <w:tc>
          <w:tcPr>
            <w:tcW w:w="1916" w:type="dxa"/>
            <w:vAlign w:val="top"/>
          </w:tcPr>
          <w:p w14:paraId="79E04556">
            <w:pPr>
              <w:rPr>
                <w:rFonts w:ascii="Arial"/>
                <w:sz w:val="21"/>
              </w:rPr>
            </w:pPr>
          </w:p>
        </w:tc>
        <w:tc>
          <w:tcPr>
            <w:tcW w:w="1922" w:type="dxa"/>
            <w:vAlign w:val="top"/>
          </w:tcPr>
          <w:p w14:paraId="08F7BAEB">
            <w:pPr>
              <w:rPr>
                <w:rFonts w:ascii="Arial"/>
                <w:sz w:val="21"/>
              </w:rPr>
            </w:pPr>
          </w:p>
        </w:tc>
      </w:tr>
      <w:tr w14:paraId="5CB97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55" w:type="dxa"/>
            <w:vAlign w:val="top"/>
          </w:tcPr>
          <w:p w14:paraId="36393DA1">
            <w:pPr>
              <w:pStyle w:val="16"/>
              <w:spacing w:before="111" w:line="225" w:lineRule="auto"/>
              <w:ind w:left="323"/>
              <w:rPr>
                <w:rFonts w:hint="eastAsia" w:eastAsia="仿宋"/>
                <w:sz w:val="28"/>
                <w:szCs w:val="28"/>
                <w:lang w:val="en-US" w:eastAsia="zh-CN"/>
              </w:rPr>
            </w:pPr>
            <w:r>
              <w:rPr>
                <w:rFonts w:hint="eastAsia"/>
                <w:sz w:val="28"/>
                <w:szCs w:val="28"/>
                <w:lang w:val="en-US" w:eastAsia="zh-CN"/>
              </w:rPr>
              <w:t>6</w:t>
            </w:r>
          </w:p>
        </w:tc>
        <w:tc>
          <w:tcPr>
            <w:tcW w:w="2843" w:type="dxa"/>
            <w:vAlign w:val="top"/>
          </w:tcPr>
          <w:p w14:paraId="3F2C80B2">
            <w:pPr>
              <w:rPr>
                <w:rFonts w:ascii="Arial"/>
                <w:sz w:val="21"/>
              </w:rPr>
            </w:pPr>
          </w:p>
        </w:tc>
        <w:tc>
          <w:tcPr>
            <w:tcW w:w="1646" w:type="dxa"/>
            <w:vAlign w:val="top"/>
          </w:tcPr>
          <w:p w14:paraId="45E7C4AB">
            <w:pPr>
              <w:rPr>
                <w:rFonts w:ascii="Arial"/>
                <w:sz w:val="21"/>
              </w:rPr>
            </w:pPr>
          </w:p>
        </w:tc>
        <w:tc>
          <w:tcPr>
            <w:tcW w:w="1916" w:type="dxa"/>
            <w:vAlign w:val="top"/>
          </w:tcPr>
          <w:p w14:paraId="1D353A45">
            <w:pPr>
              <w:rPr>
                <w:rFonts w:ascii="Arial"/>
                <w:sz w:val="21"/>
              </w:rPr>
            </w:pPr>
          </w:p>
        </w:tc>
        <w:tc>
          <w:tcPr>
            <w:tcW w:w="1922" w:type="dxa"/>
            <w:vAlign w:val="top"/>
          </w:tcPr>
          <w:p w14:paraId="31C5B9B9">
            <w:pPr>
              <w:rPr>
                <w:rFonts w:ascii="Arial"/>
                <w:sz w:val="21"/>
              </w:rPr>
            </w:pPr>
          </w:p>
        </w:tc>
      </w:tr>
      <w:tr w14:paraId="429149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55" w:type="dxa"/>
            <w:vAlign w:val="top"/>
          </w:tcPr>
          <w:p w14:paraId="55EB1FE2">
            <w:pPr>
              <w:pStyle w:val="16"/>
              <w:spacing w:before="111" w:line="225" w:lineRule="auto"/>
              <w:ind w:left="323"/>
              <w:rPr>
                <w:rFonts w:hint="eastAsia" w:eastAsia="仿宋"/>
                <w:sz w:val="28"/>
                <w:szCs w:val="28"/>
                <w:lang w:val="en-US" w:eastAsia="zh-CN"/>
              </w:rPr>
            </w:pPr>
            <w:r>
              <w:rPr>
                <w:rFonts w:hint="eastAsia"/>
                <w:sz w:val="28"/>
                <w:szCs w:val="28"/>
                <w:lang w:val="en-US" w:eastAsia="zh-CN"/>
              </w:rPr>
              <w:t>7</w:t>
            </w:r>
          </w:p>
        </w:tc>
        <w:tc>
          <w:tcPr>
            <w:tcW w:w="2843" w:type="dxa"/>
            <w:vAlign w:val="top"/>
          </w:tcPr>
          <w:p w14:paraId="14822820">
            <w:pPr>
              <w:rPr>
                <w:rFonts w:ascii="Arial"/>
                <w:sz w:val="21"/>
              </w:rPr>
            </w:pPr>
          </w:p>
        </w:tc>
        <w:tc>
          <w:tcPr>
            <w:tcW w:w="1646" w:type="dxa"/>
            <w:vAlign w:val="top"/>
          </w:tcPr>
          <w:p w14:paraId="243AEBFB">
            <w:pPr>
              <w:rPr>
                <w:rFonts w:ascii="Arial"/>
                <w:sz w:val="21"/>
              </w:rPr>
            </w:pPr>
          </w:p>
        </w:tc>
        <w:tc>
          <w:tcPr>
            <w:tcW w:w="1916" w:type="dxa"/>
            <w:vAlign w:val="top"/>
          </w:tcPr>
          <w:p w14:paraId="0544AA63">
            <w:pPr>
              <w:rPr>
                <w:rFonts w:ascii="Arial"/>
                <w:sz w:val="21"/>
              </w:rPr>
            </w:pPr>
          </w:p>
        </w:tc>
        <w:tc>
          <w:tcPr>
            <w:tcW w:w="1922" w:type="dxa"/>
            <w:vAlign w:val="top"/>
          </w:tcPr>
          <w:p w14:paraId="2AF28BD1">
            <w:pPr>
              <w:rPr>
                <w:rFonts w:ascii="Arial"/>
                <w:sz w:val="21"/>
              </w:rPr>
            </w:pPr>
          </w:p>
        </w:tc>
      </w:tr>
      <w:tr w14:paraId="08578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55" w:type="dxa"/>
            <w:vAlign w:val="top"/>
          </w:tcPr>
          <w:p w14:paraId="38EF36EF">
            <w:pPr>
              <w:pStyle w:val="16"/>
              <w:spacing w:before="111" w:line="225" w:lineRule="auto"/>
              <w:ind w:left="323"/>
              <w:rPr>
                <w:rFonts w:hint="eastAsia" w:eastAsia="仿宋"/>
                <w:sz w:val="28"/>
                <w:szCs w:val="28"/>
                <w:lang w:val="en-US" w:eastAsia="zh-CN"/>
              </w:rPr>
            </w:pPr>
            <w:r>
              <w:rPr>
                <w:rFonts w:hint="eastAsia"/>
                <w:sz w:val="28"/>
                <w:szCs w:val="28"/>
                <w:lang w:val="en-US" w:eastAsia="zh-CN"/>
              </w:rPr>
              <w:t>8</w:t>
            </w:r>
          </w:p>
        </w:tc>
        <w:tc>
          <w:tcPr>
            <w:tcW w:w="2843" w:type="dxa"/>
            <w:vAlign w:val="top"/>
          </w:tcPr>
          <w:p w14:paraId="12772F64">
            <w:pPr>
              <w:rPr>
                <w:rFonts w:ascii="Arial"/>
                <w:sz w:val="21"/>
              </w:rPr>
            </w:pPr>
          </w:p>
        </w:tc>
        <w:tc>
          <w:tcPr>
            <w:tcW w:w="1646" w:type="dxa"/>
            <w:vAlign w:val="top"/>
          </w:tcPr>
          <w:p w14:paraId="15C79EC6">
            <w:pPr>
              <w:rPr>
                <w:rFonts w:ascii="Arial"/>
                <w:sz w:val="21"/>
              </w:rPr>
            </w:pPr>
          </w:p>
        </w:tc>
        <w:tc>
          <w:tcPr>
            <w:tcW w:w="1916" w:type="dxa"/>
            <w:vAlign w:val="top"/>
          </w:tcPr>
          <w:p w14:paraId="38438BDE">
            <w:pPr>
              <w:rPr>
                <w:rFonts w:ascii="Arial"/>
                <w:sz w:val="21"/>
              </w:rPr>
            </w:pPr>
          </w:p>
        </w:tc>
        <w:tc>
          <w:tcPr>
            <w:tcW w:w="1922" w:type="dxa"/>
            <w:vAlign w:val="top"/>
          </w:tcPr>
          <w:p w14:paraId="77094E03">
            <w:pPr>
              <w:rPr>
                <w:rFonts w:ascii="Arial"/>
                <w:sz w:val="21"/>
              </w:rPr>
            </w:pPr>
          </w:p>
        </w:tc>
      </w:tr>
      <w:tr w14:paraId="41BA0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55" w:type="dxa"/>
            <w:vAlign w:val="top"/>
          </w:tcPr>
          <w:p w14:paraId="7F36133D">
            <w:pPr>
              <w:pStyle w:val="16"/>
              <w:spacing w:before="111" w:line="225" w:lineRule="auto"/>
              <w:ind w:left="323"/>
              <w:rPr>
                <w:rFonts w:hint="eastAsia" w:eastAsia="仿宋"/>
                <w:sz w:val="28"/>
                <w:szCs w:val="28"/>
                <w:lang w:val="en-US" w:eastAsia="zh-CN"/>
              </w:rPr>
            </w:pPr>
            <w:r>
              <w:rPr>
                <w:rFonts w:hint="eastAsia"/>
                <w:sz w:val="28"/>
                <w:szCs w:val="28"/>
                <w:lang w:val="en-US" w:eastAsia="zh-CN"/>
              </w:rPr>
              <w:t>9</w:t>
            </w:r>
          </w:p>
        </w:tc>
        <w:tc>
          <w:tcPr>
            <w:tcW w:w="2843" w:type="dxa"/>
            <w:vAlign w:val="top"/>
          </w:tcPr>
          <w:p w14:paraId="42CE3153">
            <w:pPr>
              <w:rPr>
                <w:rFonts w:ascii="Arial"/>
                <w:sz w:val="21"/>
              </w:rPr>
            </w:pPr>
          </w:p>
        </w:tc>
        <w:tc>
          <w:tcPr>
            <w:tcW w:w="1646" w:type="dxa"/>
            <w:vAlign w:val="top"/>
          </w:tcPr>
          <w:p w14:paraId="3B3BDE43">
            <w:pPr>
              <w:rPr>
                <w:rFonts w:ascii="Arial"/>
                <w:sz w:val="21"/>
              </w:rPr>
            </w:pPr>
          </w:p>
        </w:tc>
        <w:tc>
          <w:tcPr>
            <w:tcW w:w="1916" w:type="dxa"/>
            <w:vAlign w:val="top"/>
          </w:tcPr>
          <w:p w14:paraId="7391546C">
            <w:pPr>
              <w:rPr>
                <w:rFonts w:ascii="Arial"/>
                <w:sz w:val="21"/>
              </w:rPr>
            </w:pPr>
          </w:p>
        </w:tc>
        <w:tc>
          <w:tcPr>
            <w:tcW w:w="1922" w:type="dxa"/>
            <w:vAlign w:val="top"/>
          </w:tcPr>
          <w:p w14:paraId="0B068798">
            <w:pPr>
              <w:rPr>
                <w:rFonts w:ascii="Arial"/>
                <w:sz w:val="21"/>
              </w:rPr>
            </w:pPr>
          </w:p>
        </w:tc>
      </w:tr>
      <w:tr w14:paraId="22589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55" w:type="dxa"/>
            <w:vAlign w:val="top"/>
          </w:tcPr>
          <w:p w14:paraId="372D09B0">
            <w:pPr>
              <w:pStyle w:val="16"/>
              <w:spacing w:before="111" w:line="225" w:lineRule="auto"/>
              <w:ind w:left="323"/>
              <w:rPr>
                <w:rFonts w:hint="default" w:eastAsia="仿宋"/>
                <w:sz w:val="28"/>
                <w:szCs w:val="28"/>
                <w:lang w:val="en-US" w:eastAsia="zh-CN"/>
              </w:rPr>
            </w:pPr>
            <w:r>
              <w:rPr>
                <w:rFonts w:hint="eastAsia"/>
                <w:sz w:val="28"/>
                <w:szCs w:val="28"/>
                <w:lang w:val="en-US" w:eastAsia="zh-CN"/>
              </w:rPr>
              <w:t>..</w:t>
            </w:r>
          </w:p>
        </w:tc>
        <w:tc>
          <w:tcPr>
            <w:tcW w:w="2843" w:type="dxa"/>
            <w:vAlign w:val="top"/>
          </w:tcPr>
          <w:p w14:paraId="632320AA">
            <w:pPr>
              <w:rPr>
                <w:rFonts w:ascii="Arial"/>
                <w:sz w:val="21"/>
              </w:rPr>
            </w:pPr>
          </w:p>
        </w:tc>
        <w:tc>
          <w:tcPr>
            <w:tcW w:w="1646" w:type="dxa"/>
            <w:vAlign w:val="top"/>
          </w:tcPr>
          <w:p w14:paraId="7B551FBE">
            <w:pPr>
              <w:rPr>
                <w:rFonts w:ascii="Arial"/>
                <w:sz w:val="21"/>
              </w:rPr>
            </w:pPr>
          </w:p>
        </w:tc>
        <w:tc>
          <w:tcPr>
            <w:tcW w:w="1916" w:type="dxa"/>
            <w:vAlign w:val="top"/>
          </w:tcPr>
          <w:p w14:paraId="3E22179B">
            <w:pPr>
              <w:rPr>
                <w:rFonts w:ascii="Arial"/>
                <w:sz w:val="21"/>
              </w:rPr>
            </w:pPr>
          </w:p>
        </w:tc>
        <w:tc>
          <w:tcPr>
            <w:tcW w:w="1922" w:type="dxa"/>
            <w:vAlign w:val="top"/>
          </w:tcPr>
          <w:p w14:paraId="1334425B">
            <w:pPr>
              <w:rPr>
                <w:rFonts w:ascii="Arial"/>
                <w:sz w:val="21"/>
              </w:rPr>
            </w:pPr>
          </w:p>
        </w:tc>
      </w:tr>
    </w:tbl>
    <w:p w14:paraId="55E623AA">
      <w:pPr>
        <w:ind w:firstLine="210" w:firstLineChars="100"/>
        <w:rPr>
          <w:color w:val="auto"/>
          <w:highlight w:val="none"/>
        </w:rPr>
      </w:pPr>
    </w:p>
    <w:p w14:paraId="0888FAC8">
      <w:pPr>
        <w:ind w:firstLine="210" w:firstLineChars="100"/>
        <w:rPr>
          <w:color w:val="auto"/>
          <w:highlight w:val="none"/>
        </w:rPr>
      </w:pPr>
      <w:r>
        <w:rPr>
          <w:color w:val="auto"/>
          <w:highlight w:val="none"/>
        </w:rPr>
        <w:t>注：（1）供应商须对</w:t>
      </w:r>
      <w:r>
        <w:rPr>
          <w:rFonts w:hint="eastAsia"/>
          <w:color w:val="auto"/>
          <w:highlight w:val="none"/>
        </w:rPr>
        <w:t>技术</w:t>
      </w:r>
      <w:r>
        <w:rPr>
          <w:color w:val="auto"/>
          <w:highlight w:val="none"/>
        </w:rPr>
        <w:t>条款逐条响应，并保证响应的真实性。</w:t>
      </w:r>
    </w:p>
    <w:p w14:paraId="0C68536D">
      <w:pPr>
        <w:rPr>
          <w:color w:val="auto"/>
          <w:highlight w:val="none"/>
        </w:rPr>
      </w:pPr>
      <w:r>
        <w:rPr>
          <w:rFonts w:hint="eastAsia"/>
          <w:color w:val="auto"/>
          <w:highlight w:val="none"/>
        </w:rPr>
        <w:t>（2）</w:t>
      </w:r>
      <w:r>
        <w:rPr>
          <w:color w:val="auto"/>
          <w:highlight w:val="none"/>
        </w:rPr>
        <w:t>供应商未按要求响应的，漏项的，自行承担被视为无效</w:t>
      </w:r>
      <w:r>
        <w:rPr>
          <w:rFonts w:hint="eastAsia"/>
          <w:color w:val="auto"/>
          <w:highlight w:val="none"/>
        </w:rPr>
        <w:t>投标</w:t>
      </w:r>
      <w:r>
        <w:rPr>
          <w:color w:val="auto"/>
          <w:highlight w:val="none"/>
        </w:rPr>
        <w:t>响应文件的风险。</w:t>
      </w:r>
    </w:p>
    <w:p w14:paraId="36BE1922">
      <w:pPr>
        <w:pStyle w:val="6"/>
        <w:rPr>
          <w:bCs/>
          <w:color w:val="auto"/>
          <w:highlight w:val="none"/>
        </w:rPr>
      </w:pPr>
    </w:p>
    <w:p w14:paraId="27AD93BA">
      <w:pPr>
        <w:widowControl/>
        <w:spacing w:line="480" w:lineRule="auto"/>
        <w:jc w:val="left"/>
        <w:rPr>
          <w:rFonts w:ascii="宋体" w:hAnsi="宋体" w:cs="宋体"/>
          <w:color w:val="auto"/>
          <w:sz w:val="24"/>
          <w:szCs w:val="24"/>
          <w:highlight w:val="none"/>
        </w:rPr>
      </w:pPr>
    </w:p>
    <w:p w14:paraId="2B4E57C5">
      <w:pPr>
        <w:widowControl/>
        <w:spacing w:line="480" w:lineRule="auto"/>
        <w:jc w:val="left"/>
        <w:rPr>
          <w:rFonts w:ascii="宋体" w:hAnsi="宋体" w:cs="宋体"/>
          <w:color w:val="auto"/>
          <w:sz w:val="24"/>
          <w:szCs w:val="24"/>
          <w:highlight w:val="none"/>
        </w:rPr>
      </w:pPr>
      <w:r>
        <w:rPr>
          <w:rFonts w:hint="eastAsia" w:ascii="宋体" w:hAnsi="宋体" w:cs="宋体"/>
          <w:color w:val="auto"/>
          <w:kern w:val="0"/>
          <w:sz w:val="24"/>
          <w:szCs w:val="24"/>
          <w:highlight w:val="none"/>
        </w:rPr>
        <w:t xml:space="preserve">供应商名称：（盖章） </w:t>
      </w:r>
    </w:p>
    <w:p w14:paraId="3B73BB0D">
      <w:pPr>
        <w:widowControl/>
        <w:spacing w:line="48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法定代表人或被授权人：（签字或盖章）</w:t>
      </w:r>
    </w:p>
    <w:p w14:paraId="04B966C0">
      <w:pPr>
        <w:pStyle w:val="17"/>
        <w:spacing w:line="48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437D249A">
      <w:pPr>
        <w:rPr>
          <w:color w:val="auto"/>
          <w:highlight w:val="none"/>
        </w:rPr>
        <w:sectPr>
          <w:pgSz w:w="11906" w:h="16838"/>
          <w:pgMar w:top="1440" w:right="1293" w:bottom="1440" w:left="1293" w:header="964" w:footer="992" w:gutter="0"/>
          <w:cols w:space="720" w:num="1"/>
          <w:docGrid w:type="lines" w:linePitch="312" w:charSpace="0"/>
        </w:sectPr>
      </w:pPr>
    </w:p>
    <w:p w14:paraId="5078E876">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4" w:firstLineChars="200"/>
        <w:rPr>
          <w:sz w:val="30"/>
          <w:szCs w:val="30"/>
        </w:rPr>
      </w:pPr>
      <w:r>
        <w:rPr>
          <w:b/>
          <w:bCs/>
          <w:spacing w:val="-2"/>
          <w:sz w:val="30"/>
          <w:szCs w:val="30"/>
        </w:rPr>
        <w:t>五、合同草案条款响应</w:t>
      </w:r>
    </w:p>
    <w:p w14:paraId="79AD9E6F">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pPr>
      <w:r>
        <w:rPr>
          <w:sz w:val="28"/>
          <w:szCs w:val="28"/>
        </w:rPr>
        <w:t>完全理解并接受磋商文件中“合同草案条款</w:t>
      </w:r>
      <w:r>
        <w:rPr>
          <w:spacing w:val="-93"/>
          <w:sz w:val="28"/>
          <w:szCs w:val="28"/>
        </w:rPr>
        <w:t xml:space="preserve"> </w:t>
      </w:r>
      <w:r>
        <w:rPr>
          <w:sz w:val="28"/>
          <w:szCs w:val="28"/>
        </w:rPr>
        <w:t>”要求。</w:t>
      </w:r>
    </w:p>
    <w:p w14:paraId="16145AF1">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5A17907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1310B262">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065A9E7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69F216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p w14:paraId="7AC8113E">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4" w:firstLineChars="200"/>
        <w:rPr>
          <w:sz w:val="28"/>
          <w:szCs w:val="28"/>
        </w:rPr>
      </w:pPr>
      <w:r>
        <w:rPr>
          <w:spacing w:val="1"/>
          <w:sz w:val="28"/>
          <w:szCs w:val="28"/>
        </w:rPr>
        <w:t>供应商：</w:t>
      </w:r>
      <w:r>
        <w:rPr>
          <w:spacing w:val="1"/>
          <w:sz w:val="28"/>
          <w:szCs w:val="28"/>
          <w:u w:val="single" w:color="auto"/>
        </w:rPr>
        <w:t>名称</w:t>
      </w:r>
      <w:r>
        <w:rPr>
          <w:spacing w:val="1"/>
          <w:sz w:val="28"/>
          <w:szCs w:val="28"/>
        </w:rPr>
        <w:t>（加盖公章）</w:t>
      </w:r>
    </w:p>
    <w:p w14:paraId="3B897002">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488" w:firstLineChars="200"/>
        <w:rPr>
          <w:sz w:val="28"/>
          <w:szCs w:val="28"/>
        </w:rPr>
      </w:pPr>
      <w:r>
        <w:rPr>
          <w:spacing w:val="-18"/>
          <w:sz w:val="28"/>
          <w:szCs w:val="28"/>
        </w:rPr>
        <w:t>日期：</w:t>
      </w:r>
      <w:r>
        <w:rPr>
          <w:spacing w:val="8"/>
          <w:sz w:val="28"/>
          <w:szCs w:val="28"/>
        </w:rPr>
        <w:t xml:space="preserve">  </w:t>
      </w:r>
      <w:r>
        <w:rPr>
          <w:spacing w:val="-18"/>
          <w:sz w:val="28"/>
          <w:szCs w:val="28"/>
        </w:rPr>
        <w:t>年</w:t>
      </w:r>
      <w:r>
        <w:rPr>
          <w:spacing w:val="18"/>
          <w:sz w:val="28"/>
          <w:szCs w:val="28"/>
        </w:rPr>
        <w:t xml:space="preserve">  </w:t>
      </w:r>
      <w:r>
        <w:rPr>
          <w:spacing w:val="-18"/>
          <w:sz w:val="28"/>
          <w:szCs w:val="28"/>
        </w:rPr>
        <w:t>月</w:t>
      </w:r>
      <w:r>
        <w:rPr>
          <w:spacing w:val="41"/>
          <w:sz w:val="28"/>
          <w:szCs w:val="28"/>
        </w:rPr>
        <w:t xml:space="preserve">  </w:t>
      </w:r>
      <w:r>
        <w:rPr>
          <w:spacing w:val="-18"/>
          <w:sz w:val="28"/>
          <w:szCs w:val="28"/>
        </w:rPr>
        <w:t>日</w:t>
      </w:r>
    </w:p>
    <w:p w14:paraId="09FE552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headerReference r:id="rId38" w:type="default"/>
          <w:footerReference r:id="rId39" w:type="default"/>
          <w:pgSz w:w="11906" w:h="16839"/>
          <w:pgMar w:top="1211" w:right="1417" w:bottom="1233" w:left="1418" w:header="828" w:footer="1019" w:gutter="0"/>
          <w:pgBorders>
            <w:top w:val="none" w:sz="0" w:space="0"/>
            <w:left w:val="none" w:sz="0" w:space="0"/>
            <w:bottom w:val="none" w:sz="0" w:space="0"/>
            <w:right w:val="none" w:sz="0" w:space="0"/>
          </w:pgBorders>
          <w:pgNumType w:fmt="decimal"/>
          <w:cols w:space="720" w:num="1"/>
        </w:sectPr>
      </w:pPr>
    </w:p>
    <w:p w14:paraId="733E20C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648" w:firstLineChars="200"/>
        <w:jc w:val="center"/>
        <w:outlineLvl w:val="1"/>
        <w:rPr>
          <w:rFonts w:ascii="黑体" w:hAnsi="黑体" w:eastAsia="黑体" w:cs="黑体"/>
          <w:sz w:val="31"/>
          <w:szCs w:val="31"/>
        </w:rPr>
      </w:pPr>
      <w:bookmarkStart w:id="38" w:name="bookmark18"/>
      <w:bookmarkEnd w:id="38"/>
      <w:r>
        <w:rPr>
          <w:rFonts w:ascii="黑体" w:hAnsi="黑体" w:eastAsia="黑体" w:cs="黑体"/>
          <w:spacing w:val="7"/>
          <w:sz w:val="31"/>
          <w:szCs w:val="31"/>
        </w:rPr>
        <w:t>第三部分</w:t>
      </w:r>
      <w:r>
        <w:rPr>
          <w:rFonts w:ascii="黑体" w:hAnsi="黑体" w:eastAsia="黑体" w:cs="黑体"/>
          <w:spacing w:val="23"/>
          <w:sz w:val="31"/>
          <w:szCs w:val="31"/>
        </w:rPr>
        <w:t xml:space="preserve">  </w:t>
      </w:r>
      <w:r>
        <w:rPr>
          <w:rFonts w:ascii="黑体" w:hAnsi="黑体" w:eastAsia="黑体" w:cs="黑体"/>
          <w:spacing w:val="7"/>
          <w:sz w:val="31"/>
          <w:szCs w:val="31"/>
        </w:rPr>
        <w:t>响应方案</w:t>
      </w:r>
    </w:p>
    <w:p w14:paraId="0EBBB74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90" w:firstLineChars="200"/>
        <w:outlineLvl w:val="1"/>
        <w:rPr>
          <w:sz w:val="30"/>
          <w:szCs w:val="30"/>
        </w:rPr>
      </w:pPr>
      <w:r>
        <w:rPr>
          <w:b/>
          <w:bCs/>
          <w:spacing w:val="-3"/>
          <w:sz w:val="30"/>
          <w:szCs w:val="30"/>
        </w:rPr>
        <w:t>一、供应商概况</w:t>
      </w:r>
    </w:p>
    <w:p w14:paraId="08530A6D">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jc w:val="both"/>
        <w:rPr>
          <w:sz w:val="28"/>
          <w:szCs w:val="28"/>
        </w:rPr>
      </w:pPr>
      <w:r>
        <w:rPr>
          <w:spacing w:val="2"/>
          <w:sz w:val="28"/>
          <w:szCs w:val="28"/>
        </w:rPr>
        <w:t>包括但不限于成立时间、经营范围、股权变更、总公司分公司分布及</w:t>
      </w:r>
      <w:r>
        <w:rPr>
          <w:spacing w:val="3"/>
          <w:sz w:val="28"/>
          <w:szCs w:val="28"/>
        </w:rPr>
        <w:t>经营状况、管理制度、人员配备、用户评价、正在实</w:t>
      </w:r>
      <w:r>
        <w:rPr>
          <w:spacing w:val="2"/>
          <w:sz w:val="28"/>
          <w:szCs w:val="28"/>
        </w:rPr>
        <w:t>施的项目，评优获奖情况</w:t>
      </w:r>
      <w:r>
        <w:rPr>
          <w:b/>
          <w:bCs/>
          <w:spacing w:val="2"/>
          <w:sz w:val="28"/>
          <w:szCs w:val="28"/>
        </w:rPr>
        <w:t>，</w:t>
      </w:r>
      <w:r>
        <w:rPr>
          <w:spacing w:val="2"/>
          <w:sz w:val="28"/>
          <w:szCs w:val="28"/>
        </w:rPr>
        <w:t>以及供应商认为有利于中标的其他情况说明。</w:t>
      </w:r>
    </w:p>
    <w:p w14:paraId="5095382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footerReference r:id="rId40" w:type="default"/>
          <w:pgSz w:w="11906" w:h="16839"/>
          <w:pgMar w:top="1211" w:right="1417" w:bottom="1233" w:left="1418" w:header="828" w:footer="1019" w:gutter="0"/>
          <w:pgBorders>
            <w:top w:val="none" w:sz="0" w:space="0"/>
            <w:left w:val="none" w:sz="0" w:space="0"/>
            <w:bottom w:val="none" w:sz="0" w:space="0"/>
            <w:right w:val="none" w:sz="0" w:space="0"/>
          </w:pgBorders>
          <w:pgNumType w:fmt="decimal"/>
          <w:cols w:space="720" w:num="1"/>
        </w:sectPr>
      </w:pPr>
    </w:p>
    <w:p w14:paraId="79B7B0B7">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2" w:firstLineChars="200"/>
        <w:rPr>
          <w:sz w:val="30"/>
          <w:szCs w:val="30"/>
        </w:rPr>
      </w:pPr>
      <w:r>
        <w:rPr>
          <w:b/>
          <w:bCs/>
          <w:spacing w:val="-5"/>
          <w:sz w:val="30"/>
          <w:szCs w:val="30"/>
        </w:rPr>
        <w:t>二、响应方案</w:t>
      </w:r>
    </w:p>
    <w:p w14:paraId="01AFDAFA">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68" w:firstLineChars="200"/>
        <w:rPr>
          <w:sz w:val="28"/>
          <w:szCs w:val="28"/>
        </w:rPr>
      </w:pPr>
      <w:r>
        <w:rPr>
          <w:spacing w:val="2"/>
          <w:sz w:val="28"/>
          <w:szCs w:val="28"/>
        </w:rPr>
        <w:t>参照磋商文件第二章第八项《组织评审》各条款的要求，结合第三章《磋商内容及采购要求》编制响应方案。</w:t>
      </w:r>
    </w:p>
    <w:p w14:paraId="6980FDD9">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560" w:firstLineChars="200"/>
        <w:rPr>
          <w:sz w:val="28"/>
          <w:szCs w:val="28"/>
        </w:rPr>
        <w:sectPr>
          <w:footerReference r:id="rId41" w:type="default"/>
          <w:pgSz w:w="11906" w:h="16839"/>
          <w:pgMar w:top="1211" w:right="1417" w:bottom="1233" w:left="1418" w:header="828" w:footer="1019" w:gutter="0"/>
          <w:pgBorders>
            <w:top w:val="none" w:sz="0" w:space="0"/>
            <w:left w:val="none" w:sz="0" w:space="0"/>
            <w:bottom w:val="none" w:sz="0" w:space="0"/>
            <w:right w:val="none" w:sz="0" w:space="0"/>
          </w:pgBorders>
          <w:pgNumType w:fmt="decimal"/>
          <w:cols w:space="720" w:num="1"/>
        </w:sectPr>
      </w:pPr>
    </w:p>
    <w:p w14:paraId="4ABCBDC5">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86" w:firstLineChars="200"/>
        <w:rPr>
          <w:sz w:val="30"/>
          <w:szCs w:val="30"/>
        </w:rPr>
      </w:pPr>
      <w:r>
        <w:rPr>
          <w:b/>
          <w:bCs/>
          <w:spacing w:val="-4"/>
          <w:sz w:val="30"/>
          <w:szCs w:val="30"/>
        </w:rPr>
        <w:t>三、参考样表</w:t>
      </w:r>
    </w:p>
    <w:p w14:paraId="5F4FBECC">
      <w:pPr>
        <w:pStyle w:val="7"/>
        <w:keepNext w:val="0"/>
        <w:keepLines w:val="0"/>
        <w:pageBreakBefore w:val="0"/>
        <w:widowControl/>
        <w:kinsoku/>
        <w:wordWrap/>
        <w:overflowPunct/>
        <w:topLinePunct w:val="0"/>
        <w:autoSpaceDE/>
        <w:autoSpaceDN/>
        <w:bidi w:val="0"/>
        <w:adjustRightInd w:val="0"/>
        <w:snapToGrid w:val="0"/>
        <w:spacing w:line="324" w:lineRule="auto"/>
        <w:ind w:left="0" w:leftChars="0" w:right="0" w:firstLine="558" w:firstLineChars="200"/>
        <w:rPr>
          <w:sz w:val="28"/>
          <w:szCs w:val="28"/>
        </w:rPr>
      </w:pPr>
      <w:r>
        <w:rPr>
          <w:b/>
          <w:bCs/>
          <w:spacing w:val="-1"/>
          <w:sz w:val="28"/>
          <w:szCs w:val="28"/>
        </w:rPr>
        <w:t>业绩合同样表（仅供参考）</w:t>
      </w:r>
    </w:p>
    <w:p w14:paraId="4DCD2803">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0" w:firstLineChars="200"/>
        <w:rPr>
          <w:rFonts w:ascii="Arial"/>
          <w:sz w:val="2"/>
        </w:rPr>
      </w:pPr>
    </w:p>
    <w:tbl>
      <w:tblPr>
        <w:tblStyle w:val="15"/>
        <w:tblW w:w="8798" w:type="dxa"/>
        <w:tblInd w:w="1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5"/>
        <w:gridCol w:w="1736"/>
        <w:gridCol w:w="1701"/>
        <w:gridCol w:w="2557"/>
        <w:gridCol w:w="1989"/>
      </w:tblGrid>
      <w:tr w14:paraId="771D6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815" w:type="dxa"/>
            <w:vAlign w:val="top"/>
          </w:tcPr>
          <w:p w14:paraId="6BB3C24B">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b/>
                <w:bCs/>
                <w:spacing w:val="-10"/>
              </w:rPr>
              <w:t>序号</w:t>
            </w:r>
          </w:p>
        </w:tc>
        <w:tc>
          <w:tcPr>
            <w:tcW w:w="1736" w:type="dxa"/>
            <w:vAlign w:val="top"/>
          </w:tcPr>
          <w:p w14:paraId="291A64A1">
            <w:pPr>
              <w:pStyle w:val="16"/>
              <w:keepNext w:val="0"/>
              <w:keepLines w:val="0"/>
              <w:pageBreakBefore w:val="0"/>
              <w:widowControl/>
              <w:kinsoku/>
              <w:wordWrap/>
              <w:overflowPunct/>
              <w:topLinePunct w:val="0"/>
              <w:autoSpaceDE/>
              <w:autoSpaceDN/>
              <w:bidi w:val="0"/>
              <w:adjustRightInd w:val="0"/>
              <w:snapToGrid w:val="0"/>
              <w:spacing w:line="324" w:lineRule="auto"/>
              <w:ind w:right="0"/>
            </w:pPr>
            <w:r>
              <w:rPr>
                <w:b/>
                <w:bCs/>
                <w:spacing w:val="-2"/>
              </w:rPr>
              <w:t>采购单位名称</w:t>
            </w:r>
          </w:p>
        </w:tc>
        <w:tc>
          <w:tcPr>
            <w:tcW w:w="1701" w:type="dxa"/>
            <w:vAlign w:val="top"/>
          </w:tcPr>
          <w:p w14:paraId="165D1DA0">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58" w:firstLineChars="200"/>
            </w:pPr>
            <w:r>
              <w:rPr>
                <w:b/>
                <w:bCs/>
                <w:spacing w:val="-6"/>
              </w:rPr>
              <w:t>合同名称</w:t>
            </w:r>
          </w:p>
        </w:tc>
        <w:tc>
          <w:tcPr>
            <w:tcW w:w="2557" w:type="dxa"/>
            <w:vAlign w:val="top"/>
          </w:tcPr>
          <w:p w14:paraId="25C0D32D">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70" w:firstLineChars="200"/>
            </w:pPr>
            <w:r>
              <w:rPr>
                <w:b/>
                <w:bCs/>
                <w:spacing w:val="-3"/>
              </w:rPr>
              <w:t>合同起止时间</w:t>
            </w:r>
          </w:p>
        </w:tc>
        <w:tc>
          <w:tcPr>
            <w:tcW w:w="1989" w:type="dxa"/>
            <w:vAlign w:val="top"/>
          </w:tcPr>
          <w:p w14:paraId="03419E4B">
            <w:pPr>
              <w:pStyle w:val="16"/>
              <w:keepNext w:val="0"/>
              <w:keepLines w:val="0"/>
              <w:pageBreakBefore w:val="0"/>
              <w:widowControl/>
              <w:kinsoku/>
              <w:wordWrap/>
              <w:overflowPunct/>
              <w:topLinePunct w:val="0"/>
              <w:autoSpaceDE/>
              <w:autoSpaceDN/>
              <w:bidi w:val="0"/>
              <w:adjustRightInd w:val="0"/>
              <w:snapToGrid w:val="0"/>
              <w:spacing w:line="324" w:lineRule="auto"/>
              <w:ind w:right="0"/>
              <w:jc w:val="both"/>
            </w:pPr>
            <w:r>
              <w:rPr>
                <w:b/>
                <w:bCs/>
                <w:spacing w:val="-13"/>
              </w:rPr>
              <w:t>合同金额（万元）</w:t>
            </w:r>
          </w:p>
        </w:tc>
      </w:tr>
      <w:tr w14:paraId="60F4F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815" w:type="dxa"/>
            <w:vAlign w:val="top"/>
          </w:tcPr>
          <w:p w14:paraId="55F30C4E">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736" w:type="dxa"/>
            <w:vAlign w:val="top"/>
          </w:tcPr>
          <w:p w14:paraId="2440E46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701" w:type="dxa"/>
            <w:vAlign w:val="top"/>
          </w:tcPr>
          <w:p w14:paraId="6214D74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557" w:type="dxa"/>
            <w:vAlign w:val="top"/>
          </w:tcPr>
          <w:p w14:paraId="0E5F82D0">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989" w:type="dxa"/>
            <w:vAlign w:val="top"/>
          </w:tcPr>
          <w:p w14:paraId="67F4822B">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1A2DC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815" w:type="dxa"/>
            <w:vAlign w:val="top"/>
          </w:tcPr>
          <w:p w14:paraId="272ACC0A">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736" w:type="dxa"/>
            <w:vAlign w:val="top"/>
          </w:tcPr>
          <w:p w14:paraId="3F84695D">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701" w:type="dxa"/>
            <w:vAlign w:val="top"/>
          </w:tcPr>
          <w:p w14:paraId="5FB29777">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2557" w:type="dxa"/>
            <w:vAlign w:val="top"/>
          </w:tcPr>
          <w:p w14:paraId="22FD6FBC">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c>
          <w:tcPr>
            <w:tcW w:w="1989" w:type="dxa"/>
            <w:vAlign w:val="top"/>
          </w:tcPr>
          <w:p w14:paraId="653BCF78">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tc>
      </w:tr>
      <w:tr w14:paraId="1131E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8798" w:type="dxa"/>
            <w:gridSpan w:val="5"/>
            <w:vAlign w:val="top"/>
          </w:tcPr>
          <w:p w14:paraId="72C714FB">
            <w:pPr>
              <w:pStyle w:val="16"/>
              <w:keepNext w:val="0"/>
              <w:keepLines w:val="0"/>
              <w:pageBreakBefore w:val="0"/>
              <w:widowControl/>
              <w:kinsoku/>
              <w:wordWrap/>
              <w:overflowPunct/>
              <w:topLinePunct w:val="0"/>
              <w:autoSpaceDE/>
              <w:autoSpaceDN/>
              <w:bidi w:val="0"/>
              <w:adjustRightInd w:val="0"/>
              <w:snapToGrid w:val="0"/>
              <w:spacing w:line="324" w:lineRule="auto"/>
              <w:ind w:left="0" w:leftChars="0" w:right="0" w:firstLine="474" w:firstLineChars="200"/>
            </w:pPr>
            <w:r>
              <w:rPr>
                <w:b/>
                <w:bCs/>
                <w:spacing w:val="-2"/>
              </w:rPr>
              <w:t>数量合计（个</w:t>
            </w:r>
            <w:r>
              <w:rPr>
                <w:b/>
                <w:bCs/>
                <w:spacing w:val="-34"/>
              </w:rPr>
              <w:t>）</w:t>
            </w:r>
            <w:r>
              <w:rPr>
                <w:spacing w:val="-34"/>
              </w:rPr>
              <w:t>：</w:t>
            </w:r>
          </w:p>
        </w:tc>
      </w:tr>
    </w:tbl>
    <w:p w14:paraId="69EEC79F">
      <w:pPr>
        <w:keepNext w:val="0"/>
        <w:keepLines w:val="0"/>
        <w:pageBreakBefore w:val="0"/>
        <w:widowControl/>
        <w:kinsoku/>
        <w:wordWrap/>
        <w:overflowPunct/>
        <w:topLinePunct w:val="0"/>
        <w:autoSpaceDE/>
        <w:autoSpaceDN/>
        <w:bidi w:val="0"/>
        <w:adjustRightInd w:val="0"/>
        <w:snapToGrid w:val="0"/>
        <w:spacing w:line="324" w:lineRule="auto"/>
        <w:ind w:left="0" w:leftChars="0" w:right="0" w:firstLine="420" w:firstLineChars="200"/>
        <w:rPr>
          <w:rFonts w:ascii="Arial"/>
          <w:sz w:val="21"/>
        </w:rPr>
      </w:pPr>
    </w:p>
    <w:sectPr>
      <w:footerReference r:id="rId42" w:type="default"/>
      <w:pgSz w:w="11906" w:h="16839"/>
      <w:pgMar w:top="1211" w:right="1417" w:bottom="1233" w:left="1418" w:header="828" w:footer="1019"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81ACC6F-FC52-4505-95D1-430E6A81F448}"/>
  </w:font>
  <w:font w:name="黑体">
    <w:panose1 w:val="02010609060101010101"/>
    <w:charset w:val="86"/>
    <w:family w:val="auto"/>
    <w:pitch w:val="default"/>
    <w:sig w:usb0="800002BF" w:usb1="38CF7CFA" w:usb2="00000016" w:usb3="00000000" w:csb0="00040001" w:csb1="00000000"/>
    <w:embedRegular r:id="rId2" w:fontKey="{2A68CCEB-79F8-40D9-B72C-70AA99644D1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43893A6A-7564-476F-86CE-DF41F9E732BF}"/>
  </w:font>
  <w:font w:name="仿宋">
    <w:panose1 w:val="02010609060101010101"/>
    <w:charset w:val="86"/>
    <w:family w:val="auto"/>
    <w:pitch w:val="default"/>
    <w:sig w:usb0="800002BF" w:usb1="38CF7CFA" w:usb2="00000016" w:usb3="00000000" w:csb0="00040001" w:csb1="00000000"/>
    <w:embedRegular r:id="rId4" w:fontKey="{384A4D85-E9AD-4471-BDED-D2117C0010D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89054">
    <w:pPr>
      <w:spacing w:line="209" w:lineRule="auto"/>
      <w:ind w:left="4227"/>
      <w:rPr>
        <w:rFonts w:ascii="宋体" w:hAnsi="宋体" w:eastAsia="宋体" w:cs="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5A08F">
    <w:pPr>
      <w:spacing w:line="209" w:lineRule="auto"/>
      <w:ind w:left="4227"/>
      <w:rPr>
        <w:rFonts w:ascii="宋体" w:hAnsi="宋体" w:eastAsia="宋体" w:cs="宋体"/>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BD1C2">
    <w:pPr>
      <w:spacing w:line="209" w:lineRule="auto"/>
      <w:ind w:left="4182"/>
      <w:rPr>
        <w:rFonts w:ascii="宋体" w:hAnsi="宋体" w:eastAsia="宋体" w:cs="宋体"/>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70C4E">
    <w:pPr>
      <w:spacing w:line="209" w:lineRule="auto"/>
      <w:ind w:left="4193"/>
      <w:rPr>
        <w:rFonts w:ascii="宋体" w:hAnsi="宋体" w:eastAsia="宋体" w:cs="宋体"/>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C6B15">
    <w:pPr>
      <w:spacing w:line="209" w:lineRule="auto"/>
      <w:ind w:left="4182"/>
      <w:rPr>
        <w:rFonts w:ascii="宋体" w:hAnsi="宋体" w:eastAsia="宋体" w:cs="宋体"/>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16F05">
    <w:pPr>
      <w:spacing w:line="209" w:lineRule="auto"/>
      <w:ind w:left="4182"/>
      <w:rPr>
        <w:rFonts w:ascii="宋体" w:hAnsi="宋体" w:eastAsia="宋体" w:cs="宋体"/>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5635E">
    <w:pPr>
      <w:spacing w:line="209" w:lineRule="auto"/>
      <w:ind w:left="4182"/>
      <w:rPr>
        <w:rFonts w:ascii="宋体" w:hAnsi="宋体" w:eastAsia="宋体" w:cs="宋体"/>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51ECE">
    <w:pPr>
      <w:spacing w:line="209" w:lineRule="auto"/>
      <w:ind w:left="4182"/>
      <w:rPr>
        <w:rFonts w:ascii="宋体" w:hAnsi="宋体" w:eastAsia="宋体" w:cs="宋体"/>
        <w:sz w:val="18"/>
        <w:szCs w:val="18"/>
      </w:rPr>
    </w:pPr>
    <w:r>
      <w:rPr>
        <w:rFonts w:ascii="宋体" w:hAnsi="宋体" w:eastAsia="宋体" w:cs="宋体"/>
        <w:spacing w:val="-1"/>
        <w:sz w:val="18"/>
        <w:szCs w:val="18"/>
      </w:rPr>
      <w:t xml:space="preserve">第 </w:t>
    </w:r>
    <w:r>
      <w:rPr>
        <w:rFonts w:ascii="Times New Roman" w:hAnsi="Times New Roman" w:eastAsia="Times New Roman" w:cs="Times New Roman"/>
        <w:spacing w:val="-1"/>
        <w:sz w:val="18"/>
        <w:szCs w:val="18"/>
      </w:rPr>
      <w:t>47</w:t>
    </w:r>
    <w:r>
      <w:rPr>
        <w:rFonts w:ascii="Times New Roman" w:hAnsi="Times New Roman" w:eastAsia="Times New Roman" w:cs="Times New Roman"/>
        <w:spacing w:val="4"/>
        <w:sz w:val="18"/>
        <w:szCs w:val="18"/>
      </w:rPr>
      <w:t xml:space="preserve">  </w:t>
    </w:r>
    <w:r>
      <w:rPr>
        <w:rFonts w:ascii="宋体" w:hAnsi="宋体" w:eastAsia="宋体" w:cs="宋体"/>
        <w:spacing w:val="-1"/>
        <w:sz w:val="18"/>
        <w:szCs w:val="18"/>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2FF70">
    <w:pPr>
      <w:spacing w:line="209" w:lineRule="auto"/>
      <w:ind w:left="4182"/>
      <w:rPr>
        <w:rFonts w:ascii="宋体" w:hAnsi="宋体" w:eastAsia="宋体" w:cs="宋体"/>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FE329">
    <w:pPr>
      <w:spacing w:line="209" w:lineRule="auto"/>
      <w:ind w:left="4182"/>
      <w:rPr>
        <w:rFonts w:ascii="宋体" w:hAnsi="宋体" w:eastAsia="宋体" w:cs="宋体"/>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96C06">
    <w:pPr>
      <w:spacing w:line="209" w:lineRule="auto"/>
      <w:ind w:left="4250"/>
      <w:rPr>
        <w:rFonts w:ascii="宋体" w:hAnsi="宋体" w:eastAsia="宋体" w:cs="宋体"/>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09FED">
    <w:pPr>
      <w:spacing w:line="209" w:lineRule="auto"/>
      <w:ind w:left="4182"/>
      <w:rPr>
        <w:rFonts w:ascii="宋体" w:hAnsi="宋体" w:eastAsia="宋体" w:cs="宋体"/>
        <w:sz w:val="18"/>
        <w:szCs w:val="18"/>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FC7E8">
    <w:pPr>
      <w:spacing w:line="209" w:lineRule="auto"/>
      <w:ind w:left="4182"/>
      <w:rPr>
        <w:rFonts w:ascii="宋体" w:hAnsi="宋体" w:eastAsia="宋体" w:cs="宋体"/>
        <w:sz w:val="18"/>
        <w:szCs w:val="1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751CD">
    <w:pPr>
      <w:spacing w:line="209" w:lineRule="auto"/>
      <w:ind w:left="4182"/>
      <w:rPr>
        <w:rFonts w:ascii="宋体" w:hAnsi="宋体" w:eastAsia="宋体" w:cs="宋体"/>
        <w:sz w:val="18"/>
        <w:szCs w:val="18"/>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15BD7">
    <w:pPr>
      <w:spacing w:line="209" w:lineRule="auto"/>
      <w:ind w:left="4182"/>
      <w:rPr>
        <w:rFonts w:ascii="宋体" w:hAnsi="宋体" w:eastAsia="宋体" w:cs="宋体"/>
        <w:sz w:val="18"/>
        <w:szCs w:val="18"/>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5E16F">
    <w:pPr>
      <w:spacing w:line="209" w:lineRule="auto"/>
      <w:ind w:left="4182"/>
      <w:rPr>
        <w:rFonts w:ascii="宋体" w:hAnsi="宋体" w:eastAsia="宋体" w:cs="宋体"/>
        <w:sz w:val="18"/>
        <w:szCs w:val="18"/>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BCB9B">
    <w:pPr>
      <w:spacing w:line="209" w:lineRule="auto"/>
      <w:ind w:left="4182"/>
      <w:rPr>
        <w:rFonts w:ascii="宋体" w:hAnsi="宋体" w:eastAsia="宋体" w:cs="宋体"/>
        <w:sz w:val="18"/>
        <w:szCs w:val="18"/>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D1A94">
    <w:pPr>
      <w:spacing w:line="209" w:lineRule="auto"/>
      <w:ind w:left="4182"/>
      <w:rPr>
        <w:rFonts w:ascii="宋体" w:hAnsi="宋体" w:eastAsia="宋体" w:cs="宋体"/>
        <w:sz w:val="18"/>
        <w:szCs w:val="18"/>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9D070">
    <w:pPr>
      <w:spacing w:line="209" w:lineRule="auto"/>
      <w:ind w:left="4182"/>
      <w:rPr>
        <w:rFonts w:ascii="宋体" w:hAnsi="宋体" w:eastAsia="宋体" w:cs="宋体"/>
        <w:sz w:val="18"/>
        <w:szCs w:val="18"/>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B680A">
    <w:pPr>
      <w:spacing w:line="209" w:lineRule="auto"/>
      <w:ind w:left="4182"/>
      <w:rPr>
        <w:rFonts w:ascii="宋体" w:hAnsi="宋体" w:eastAsia="宋体" w:cs="宋体"/>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5E12A">
    <w:pPr>
      <w:spacing w:line="209" w:lineRule="auto"/>
      <w:ind w:left="4182"/>
      <w:rPr>
        <w:rFonts w:ascii="宋体" w:hAnsi="宋体" w:eastAsia="宋体" w:cs="宋体"/>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FE9B3">
    <w:pPr>
      <w:spacing w:line="209" w:lineRule="auto"/>
      <w:ind w:left="4182"/>
      <w:rPr>
        <w:rFonts w:ascii="宋体" w:hAnsi="宋体" w:eastAsia="宋体" w:cs="宋体"/>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08D54">
    <w:pPr>
      <w:spacing w:line="209" w:lineRule="auto"/>
      <w:ind w:left="4181"/>
      <w:rPr>
        <w:rFonts w:ascii="宋体" w:hAnsi="宋体" w:eastAsia="宋体" w:cs="宋体"/>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92DB9">
    <w:pPr>
      <w:spacing w:line="209" w:lineRule="auto"/>
      <w:ind w:left="4181"/>
      <w:rPr>
        <w:rFonts w:ascii="宋体" w:hAnsi="宋体" w:eastAsia="宋体" w:cs="宋体"/>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9723F">
    <w:pPr>
      <w:spacing w:line="209" w:lineRule="auto"/>
      <w:ind w:left="4181"/>
      <w:rPr>
        <w:rFonts w:ascii="宋体" w:hAnsi="宋体" w:eastAsia="宋体" w:cs="宋体"/>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62963">
    <w:pPr>
      <w:spacing w:line="209" w:lineRule="auto"/>
      <w:ind w:left="4181"/>
      <w:rPr>
        <w:rFonts w:ascii="宋体" w:hAnsi="宋体" w:eastAsia="宋体" w:cs="宋体"/>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9D24B">
    <w:pPr>
      <w:spacing w:line="209" w:lineRule="auto"/>
      <w:ind w:left="4181"/>
      <w:rPr>
        <w:rFonts w:ascii="宋体" w:hAnsi="宋体" w:eastAsia="宋体" w:cs="宋体"/>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3C89">
    <w:pPr>
      <w:spacing w:line="209" w:lineRule="auto"/>
      <w:ind w:left="4181"/>
      <w:rPr>
        <w:rFonts w:ascii="宋体" w:hAnsi="宋体" w:eastAsia="宋体" w:cs="宋体"/>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96581">
    <w:pPr>
      <w:pStyle w:val="7"/>
      <w:spacing w:before="53" w:line="229" w:lineRule="auto"/>
      <w:ind w:left="1158"/>
      <w:rPr>
        <w:rFonts w:hint="eastAsia" w:eastAsia="仿宋"/>
        <w:sz w:val="20"/>
        <w:szCs w:val="20"/>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85521">
    <w:pPr>
      <w:pStyle w:val="7"/>
      <w:spacing w:before="53" w:line="229" w:lineRule="auto"/>
      <w:ind w:left="1147"/>
      <w:rPr>
        <w:rFonts w:hint="eastAsia" w:eastAsia="仿宋"/>
        <w:sz w:val="20"/>
        <w:szCs w:val="20"/>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6A532">
    <w:pPr>
      <w:pStyle w:val="7"/>
      <w:spacing w:before="53" w:line="229" w:lineRule="auto"/>
      <w:ind w:left="1147"/>
      <w:rPr>
        <w:rFonts w:hint="eastAsia" w:eastAsia="仿宋"/>
        <w:sz w:val="20"/>
        <w:szCs w:val="20"/>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12AE5">
    <w:pPr>
      <w:pStyle w:val="7"/>
      <w:spacing w:before="53" w:line="229" w:lineRule="auto"/>
      <w:ind w:left="1147"/>
      <w:rPr>
        <w:rFonts w:hint="eastAsia" w:eastAsia="仿宋"/>
        <w:sz w:val="20"/>
        <w:szCs w:val="20"/>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6DDB1">
    <w:pPr>
      <w:pStyle w:val="7"/>
      <w:spacing w:before="53" w:line="229" w:lineRule="auto"/>
      <w:ind w:left="1215"/>
      <w:rPr>
        <w:rFonts w:hint="eastAsia" w:eastAsia="仿宋"/>
        <w:sz w:val="20"/>
        <w:szCs w:val="20"/>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5D59B">
    <w:pPr>
      <w:pStyle w:val="7"/>
      <w:spacing w:before="53" w:line="229" w:lineRule="auto"/>
      <w:ind w:left="1147"/>
      <w:rPr>
        <w:rFonts w:hint="eastAsia" w:eastAsia="仿宋"/>
        <w:sz w:val="20"/>
        <w:szCs w:val="20"/>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1CA51">
    <w:pPr>
      <w:pStyle w:val="7"/>
      <w:spacing w:before="53" w:line="229" w:lineRule="auto"/>
      <w:ind w:left="1147"/>
      <w:rPr>
        <w:rFonts w:hint="eastAsia" w:eastAsia="仿宋"/>
        <w:sz w:val="20"/>
        <w:szCs w:val="20"/>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F0315">
    <w:pPr>
      <w:pStyle w:val="7"/>
      <w:spacing w:before="53" w:line="229" w:lineRule="auto"/>
      <w:ind w:left="1146"/>
      <w:rPr>
        <w:rFonts w:hint="eastAsia" w:eastAsia="仿宋"/>
        <w:sz w:val="20"/>
        <w:szCs w:val="20"/>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E79A0">
    <w:pPr>
      <w:pStyle w:val="7"/>
      <w:spacing w:before="53" w:line="229" w:lineRule="auto"/>
      <w:rPr>
        <w:rFonts w:hint="eastAsia" w:eastAsia="仿宋"/>
        <w:sz w:val="20"/>
        <w:szCs w:val="20"/>
        <w:lang w:eastAsia="zh-CN"/>
      </w:rPr>
    </w:pPr>
    <w:r>
      <w:rPr>
        <w:rFonts w:hint="eastAsia"/>
        <w:spacing w:val="8"/>
        <w:sz w:val="20"/>
        <w:szCs w:val="20"/>
        <w:lang w:eastAsia="zh-CN"/>
      </w:rPr>
      <w:t>安康市第二小学智慧校园建设项目</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5F6F6">
    <w:pPr>
      <w:pStyle w:val="7"/>
      <w:spacing w:before="53" w:line="229" w:lineRule="auto"/>
      <w:ind w:left="1146"/>
      <w:rPr>
        <w:rFonts w:hint="eastAsia" w:eastAsia="仿宋"/>
        <w:sz w:val="20"/>
        <w:szCs w:val="20"/>
        <w:lang w:eastAsia="zh-CN"/>
      </w:rPr>
    </w:pPr>
    <w:r>
      <w:pict>
        <v:shape id="_x0000_s2075" o:spid="_x0000_s2075" style="position:absolute;left:0pt;margin-left:70.9pt;margin-top:57.15pt;height:0.75pt;width:453.55pt;mso-position-horizontal-relative:page;mso-position-vertical-relative:page;z-index:251660288;mso-width-relative:page;mso-height-relative:page;" fillcolor="#000000" filled="t" stroked="f" coordsize="9070,15" o:allowincell="f" path="m0,0l9070,0,9070,14,0,14,0,0xe">
          <v:path/>
          <v:fill on="t" focussize="0,0"/>
          <v:stroke on="f"/>
          <v:imagedata o:title=""/>
          <o:lock v:ext="edi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09513"/>
    <w:multiLevelType w:val="singleLevel"/>
    <w:tmpl w:val="82409513"/>
    <w:lvl w:ilvl="0" w:tentative="0">
      <w:start w:val="1"/>
      <w:numFmt w:val="decimal"/>
      <w:lvlText w:val="%1."/>
      <w:lvlJc w:val="left"/>
      <w:pPr>
        <w:ind w:left="425" w:hanging="425"/>
      </w:pPr>
      <w:rPr>
        <w:rFonts w:hint="default"/>
      </w:rPr>
    </w:lvl>
  </w:abstractNum>
  <w:abstractNum w:abstractNumId="1">
    <w:nsid w:val="84CE71D3"/>
    <w:multiLevelType w:val="singleLevel"/>
    <w:tmpl w:val="84CE71D3"/>
    <w:lvl w:ilvl="0" w:tentative="0">
      <w:start w:val="1"/>
      <w:numFmt w:val="decimal"/>
      <w:lvlText w:val="%1."/>
      <w:lvlJc w:val="left"/>
      <w:pPr>
        <w:ind w:left="425" w:hanging="425"/>
      </w:pPr>
      <w:rPr>
        <w:rFonts w:hint="default"/>
      </w:rPr>
    </w:lvl>
  </w:abstractNum>
  <w:abstractNum w:abstractNumId="2">
    <w:nsid w:val="8DCCBEE8"/>
    <w:multiLevelType w:val="singleLevel"/>
    <w:tmpl w:val="8DCCBEE8"/>
    <w:lvl w:ilvl="0" w:tentative="0">
      <w:start w:val="1"/>
      <w:numFmt w:val="chineseCounting"/>
      <w:suff w:val="nothing"/>
      <w:lvlText w:val="（%1）"/>
      <w:lvlJc w:val="left"/>
      <w:pPr>
        <w:ind w:left="0" w:firstLine="0"/>
      </w:pPr>
      <w:rPr>
        <w:rFonts w:hint="eastAsia"/>
      </w:rPr>
    </w:lvl>
  </w:abstractNum>
  <w:abstractNum w:abstractNumId="3">
    <w:nsid w:val="8E27DBB0"/>
    <w:multiLevelType w:val="singleLevel"/>
    <w:tmpl w:val="8E27DBB0"/>
    <w:lvl w:ilvl="0" w:tentative="0">
      <w:start w:val="5"/>
      <w:numFmt w:val="decimal"/>
      <w:lvlText w:val="%1."/>
      <w:lvlJc w:val="left"/>
      <w:pPr>
        <w:tabs>
          <w:tab w:val="left" w:pos="312"/>
        </w:tabs>
      </w:pPr>
    </w:lvl>
  </w:abstractNum>
  <w:abstractNum w:abstractNumId="4">
    <w:nsid w:val="8E9BB1D5"/>
    <w:multiLevelType w:val="singleLevel"/>
    <w:tmpl w:val="8E9BB1D5"/>
    <w:lvl w:ilvl="0" w:tentative="0">
      <w:start w:val="1"/>
      <w:numFmt w:val="decimal"/>
      <w:lvlText w:val="%1."/>
      <w:lvlJc w:val="left"/>
      <w:pPr>
        <w:ind w:left="425" w:hanging="425"/>
      </w:pPr>
      <w:rPr>
        <w:rFonts w:hint="default"/>
      </w:rPr>
    </w:lvl>
  </w:abstractNum>
  <w:abstractNum w:abstractNumId="5">
    <w:nsid w:val="B4762ABB"/>
    <w:multiLevelType w:val="singleLevel"/>
    <w:tmpl w:val="B4762ABB"/>
    <w:lvl w:ilvl="0" w:tentative="0">
      <w:start w:val="1"/>
      <w:numFmt w:val="decimal"/>
      <w:lvlText w:val="%1."/>
      <w:lvlJc w:val="left"/>
      <w:pPr>
        <w:ind w:left="425" w:hanging="425"/>
      </w:pPr>
      <w:rPr>
        <w:rFonts w:hint="default"/>
      </w:rPr>
    </w:lvl>
  </w:abstractNum>
  <w:abstractNum w:abstractNumId="6">
    <w:nsid w:val="C60303F2"/>
    <w:multiLevelType w:val="singleLevel"/>
    <w:tmpl w:val="C60303F2"/>
    <w:lvl w:ilvl="0" w:tentative="0">
      <w:start w:val="1"/>
      <w:numFmt w:val="decimal"/>
      <w:suff w:val="space"/>
      <w:lvlText w:val="%1."/>
      <w:lvlJc w:val="left"/>
    </w:lvl>
  </w:abstractNum>
  <w:abstractNum w:abstractNumId="7">
    <w:nsid w:val="E45453C4"/>
    <w:multiLevelType w:val="singleLevel"/>
    <w:tmpl w:val="E45453C4"/>
    <w:lvl w:ilvl="0" w:tentative="0">
      <w:start w:val="1"/>
      <w:numFmt w:val="chineseCounting"/>
      <w:suff w:val="nothing"/>
      <w:lvlText w:val="%1、"/>
      <w:lvlJc w:val="left"/>
      <w:pPr>
        <w:ind w:left="0" w:firstLine="0"/>
      </w:pPr>
      <w:rPr>
        <w:rFonts w:hint="eastAsia"/>
      </w:rPr>
    </w:lvl>
  </w:abstractNum>
  <w:abstractNum w:abstractNumId="8">
    <w:nsid w:val="F0B2927F"/>
    <w:multiLevelType w:val="singleLevel"/>
    <w:tmpl w:val="F0B2927F"/>
    <w:lvl w:ilvl="0" w:tentative="0">
      <w:start w:val="1"/>
      <w:numFmt w:val="decimal"/>
      <w:lvlText w:val="%1."/>
      <w:lvlJc w:val="left"/>
      <w:pPr>
        <w:ind w:left="425" w:hanging="425"/>
      </w:pPr>
      <w:rPr>
        <w:rFonts w:hint="default"/>
      </w:rPr>
    </w:lvl>
  </w:abstractNum>
  <w:abstractNum w:abstractNumId="9">
    <w:nsid w:val="01D55043"/>
    <w:multiLevelType w:val="singleLevel"/>
    <w:tmpl w:val="01D55043"/>
    <w:lvl w:ilvl="0" w:tentative="0">
      <w:start w:val="1"/>
      <w:numFmt w:val="decimal"/>
      <w:lvlText w:val="%1."/>
      <w:lvlJc w:val="left"/>
      <w:pPr>
        <w:ind w:left="425" w:hanging="425"/>
      </w:pPr>
      <w:rPr>
        <w:rFonts w:hint="default"/>
      </w:rPr>
    </w:lvl>
  </w:abstractNum>
  <w:abstractNum w:abstractNumId="10">
    <w:nsid w:val="0EC125F6"/>
    <w:multiLevelType w:val="singleLevel"/>
    <w:tmpl w:val="0EC125F6"/>
    <w:lvl w:ilvl="0" w:tentative="0">
      <w:start w:val="3"/>
      <w:numFmt w:val="chineseCounting"/>
      <w:suff w:val="nothing"/>
      <w:lvlText w:val="%1、"/>
      <w:lvlJc w:val="left"/>
      <w:rPr>
        <w:rFonts w:hint="eastAsia"/>
      </w:rPr>
    </w:lvl>
  </w:abstractNum>
  <w:abstractNum w:abstractNumId="11">
    <w:nsid w:val="273F07F7"/>
    <w:multiLevelType w:val="singleLevel"/>
    <w:tmpl w:val="273F07F7"/>
    <w:lvl w:ilvl="0" w:tentative="0">
      <w:start w:val="1"/>
      <w:numFmt w:val="decimal"/>
      <w:lvlText w:val="%1."/>
      <w:lvlJc w:val="left"/>
      <w:pPr>
        <w:ind w:left="425" w:hanging="425"/>
      </w:pPr>
      <w:rPr>
        <w:rFonts w:hint="default"/>
      </w:rPr>
    </w:lvl>
  </w:abstractNum>
  <w:abstractNum w:abstractNumId="12">
    <w:nsid w:val="424822AF"/>
    <w:multiLevelType w:val="singleLevel"/>
    <w:tmpl w:val="424822AF"/>
    <w:lvl w:ilvl="0" w:tentative="0">
      <w:start w:val="1"/>
      <w:numFmt w:val="decimal"/>
      <w:lvlText w:val="%1."/>
      <w:lvlJc w:val="left"/>
      <w:pPr>
        <w:ind w:left="425" w:hanging="425"/>
      </w:pPr>
      <w:rPr>
        <w:rFonts w:hint="default"/>
      </w:rPr>
    </w:lvl>
  </w:abstractNum>
  <w:abstractNum w:abstractNumId="13">
    <w:nsid w:val="6917DCC8"/>
    <w:multiLevelType w:val="singleLevel"/>
    <w:tmpl w:val="6917DCC8"/>
    <w:lvl w:ilvl="0" w:tentative="0">
      <w:start w:val="1"/>
      <w:numFmt w:val="decimal"/>
      <w:lvlText w:val="%1."/>
      <w:lvlJc w:val="left"/>
      <w:pPr>
        <w:ind w:left="425" w:hanging="425"/>
      </w:pPr>
      <w:rPr>
        <w:rFonts w:hint="default"/>
      </w:rPr>
    </w:lvl>
  </w:abstractNum>
  <w:abstractNum w:abstractNumId="14">
    <w:nsid w:val="6CB017AE"/>
    <w:multiLevelType w:val="singleLevel"/>
    <w:tmpl w:val="6CB017AE"/>
    <w:lvl w:ilvl="0" w:tentative="0">
      <w:start w:val="1"/>
      <w:numFmt w:val="decimal"/>
      <w:lvlText w:val="%1."/>
      <w:lvlJc w:val="left"/>
      <w:pPr>
        <w:ind w:left="425" w:hanging="425"/>
      </w:pPr>
      <w:rPr>
        <w:rFonts w:hint="default"/>
      </w:rPr>
    </w:lvl>
  </w:abstractNum>
  <w:num w:numId="1">
    <w:abstractNumId w:val="3"/>
  </w:num>
  <w:num w:numId="2">
    <w:abstractNumId w:val="6"/>
  </w:num>
  <w:num w:numId="3">
    <w:abstractNumId w:val="10"/>
  </w:num>
  <w:num w:numId="4">
    <w:abstractNumId w:val="7"/>
  </w:num>
  <w:num w:numId="5">
    <w:abstractNumId w:val="11"/>
  </w:num>
  <w:num w:numId="6">
    <w:abstractNumId w:val="14"/>
  </w:num>
  <w:num w:numId="7">
    <w:abstractNumId w:val="12"/>
  </w:num>
  <w:num w:numId="8">
    <w:abstractNumId w:val="13"/>
  </w:num>
  <w:num w:numId="9">
    <w:abstractNumId w:val="0"/>
  </w:num>
  <w:num w:numId="10">
    <w:abstractNumId w:val="2"/>
  </w:num>
  <w:num w:numId="11">
    <w:abstractNumId w:val="8"/>
  </w:num>
  <w:num w:numId="12">
    <w:abstractNumId w:val="9"/>
  </w:num>
  <w:num w:numId="13">
    <w:abstractNumId w:val="5"/>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displayBackgroundShape w:val="1"/>
  <w:embedTrueTypeFonts/>
  <w:saveSubsetFonts/>
  <w:bordersDoNotSurroundHeader w:val="0"/>
  <w:bordersDoNotSurroundFooter w:val="0"/>
  <w:documentProtection w:edit="readOnly" w:enforcement="1" w:cryptProviderType="rsaFull" w:cryptAlgorithmClass="hash" w:cryptAlgorithmType="typeAny" w:cryptAlgorithmSid="4" w:cryptSpinCount="0" w:hash="ttOu3MvaeDa7fdMdgjT++rI9AoM=" w:salt="jAFTycpRg+5ASzhgj++NAg=="/>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184194F"/>
    <w:rsid w:val="0F9F7A84"/>
    <w:rsid w:val="10DE626E"/>
    <w:rsid w:val="11184C12"/>
    <w:rsid w:val="11D16BFE"/>
    <w:rsid w:val="15513A19"/>
    <w:rsid w:val="16240763"/>
    <w:rsid w:val="1B567AA7"/>
    <w:rsid w:val="233742C6"/>
    <w:rsid w:val="233D5EA2"/>
    <w:rsid w:val="26AE023E"/>
    <w:rsid w:val="27C02AA4"/>
    <w:rsid w:val="28314F9E"/>
    <w:rsid w:val="2A6660C1"/>
    <w:rsid w:val="2A7D144B"/>
    <w:rsid w:val="35711A16"/>
    <w:rsid w:val="39F20325"/>
    <w:rsid w:val="3CBA010B"/>
    <w:rsid w:val="41C95079"/>
    <w:rsid w:val="462C765D"/>
    <w:rsid w:val="4A6A3003"/>
    <w:rsid w:val="4B365FA4"/>
    <w:rsid w:val="50761340"/>
    <w:rsid w:val="53A05E55"/>
    <w:rsid w:val="53C8635C"/>
    <w:rsid w:val="5AA24375"/>
    <w:rsid w:val="5ADF7263"/>
    <w:rsid w:val="637A5D7B"/>
    <w:rsid w:val="661479E5"/>
    <w:rsid w:val="66FF0151"/>
    <w:rsid w:val="684305CC"/>
    <w:rsid w:val="687D426F"/>
    <w:rsid w:val="68916DA4"/>
    <w:rsid w:val="6FE47BE3"/>
    <w:rsid w:val="725870F3"/>
    <w:rsid w:val="740B2145"/>
    <w:rsid w:val="76177B23"/>
    <w:rsid w:val="761D6500"/>
    <w:rsid w:val="78F82797"/>
    <w:rsid w:val="7E6227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nhideWhenUsed="0" w:uiPriority="1"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next w:val="1"/>
    <w:qFormat/>
    <w:uiPriority w:val="0"/>
    <w:pPr>
      <w:keepNext w:val="0"/>
      <w:keepLines w:val="0"/>
      <w:widowControl w:val="0"/>
      <w:spacing w:before="240" w:beforeLines="0" w:after="120" w:afterLines="0" w:line="360" w:lineRule="auto"/>
      <w:jc w:val="left"/>
      <w:outlineLvl w:val="0"/>
    </w:pPr>
    <w:rPr>
      <w:rFonts w:ascii="宋体" w:hAnsi="宋体" w:eastAsia="宋体" w:cs="宋体"/>
      <w:b/>
      <w:bCs/>
      <w:kern w:val="44"/>
      <w:sz w:val="24"/>
      <w:szCs w:val="30"/>
    </w:rPr>
  </w:style>
  <w:style w:type="paragraph" w:styleId="3">
    <w:name w:val="heading 2"/>
    <w:next w:val="1"/>
    <w:unhideWhenUsed/>
    <w:qFormat/>
    <w:uiPriority w:val="0"/>
    <w:pPr>
      <w:keepNext w:val="0"/>
      <w:keepLines w:val="0"/>
      <w:widowControl w:val="0"/>
      <w:spacing w:before="120" w:beforeAutospacing="0" w:after="120" w:afterAutospacing="0" w:line="360" w:lineRule="auto"/>
      <w:jc w:val="left"/>
      <w:outlineLvl w:val="1"/>
    </w:pPr>
    <w:rPr>
      <w:rFonts w:ascii="Times New Roman" w:hAnsi="Times New Roman" w:eastAsia="宋体" w:cs="Times New Roman"/>
      <w:b/>
      <w:sz w:val="24"/>
    </w:rPr>
  </w:style>
  <w:style w:type="paragraph" w:styleId="4">
    <w:name w:val="heading 3"/>
    <w:basedOn w:val="1"/>
    <w:next w:val="1"/>
    <w:qFormat/>
    <w:uiPriority w:val="1"/>
    <w:pPr>
      <w:ind w:left="1023"/>
      <w:jc w:val="center"/>
      <w:outlineLvl w:val="2"/>
    </w:pPr>
    <w:rPr>
      <w:b/>
      <w:bCs/>
      <w:sz w:val="32"/>
      <w:szCs w:val="32"/>
    </w:rPr>
  </w:style>
  <w:style w:type="paragraph" w:styleId="5">
    <w:name w:val="heading 5"/>
    <w:basedOn w:val="1"/>
    <w:next w:val="1"/>
    <w:qFormat/>
    <w:uiPriority w:val="1"/>
    <w:pPr>
      <w:ind w:left="704"/>
      <w:outlineLvl w:val="4"/>
    </w:pPr>
    <w:rPr>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3"/>
    <w:basedOn w:val="1"/>
    <w:qFormat/>
    <w:uiPriority w:val="99"/>
    <w:pPr>
      <w:spacing w:line="380" w:lineRule="exact"/>
    </w:pPr>
    <w:rPr>
      <w:rFonts w:eastAsia="黑体"/>
      <w:kern w:val="0"/>
      <w:sz w:val="20"/>
      <w:szCs w:val="20"/>
    </w:rPr>
  </w:style>
  <w:style w:type="paragraph" w:styleId="7">
    <w:name w:val="Body Text"/>
    <w:basedOn w:val="1"/>
    <w:next w:val="1"/>
    <w:semiHidden/>
    <w:qFormat/>
    <w:uiPriority w:val="0"/>
    <w:rPr>
      <w:rFonts w:ascii="仿宋" w:hAnsi="仿宋" w:eastAsia="仿宋" w:cs="仿宋"/>
      <w:sz w:val="35"/>
      <w:szCs w:val="35"/>
      <w:lang w:val="en-US" w:eastAsia="en-US" w:bidi="ar-SA"/>
    </w:rPr>
  </w:style>
  <w:style w:type="paragraph" w:styleId="8">
    <w:name w:val="Plain Text"/>
    <w:basedOn w:val="1"/>
    <w:qFormat/>
    <w:uiPriority w:val="0"/>
    <w:rPr>
      <w:rFonts w:hAnsi="Courier New"/>
      <w:kern w:val="2"/>
      <w:sz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2">
    <w:name w:val="Title"/>
    <w:qFormat/>
    <w:uiPriority w:val="0"/>
    <w:pPr>
      <w:widowControl w:val="0"/>
      <w:spacing w:beforeAutospacing="0" w:afterAutospacing="0" w:line="360" w:lineRule="auto"/>
      <w:jc w:val="center"/>
      <w:outlineLvl w:val="9"/>
    </w:pPr>
    <w:rPr>
      <w:rFonts w:ascii="Times New Roman" w:hAnsi="Times New Roman" w:eastAsia="黑体" w:cs="Times New Roman"/>
      <w:sz w:val="44"/>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4"/>
      <w:szCs w:val="24"/>
      <w:lang w:val="en-US" w:eastAsia="en-US" w:bidi="ar-SA"/>
    </w:rPr>
  </w:style>
  <w:style w:type="paragraph" w:customStyle="1" w:styleId="17">
    <w:name w:val="BodyText1I"/>
    <w:basedOn w:val="18"/>
    <w:qFormat/>
    <w:uiPriority w:val="0"/>
    <w:pPr>
      <w:ind w:firstLine="420" w:firstLineChars="100"/>
    </w:pPr>
    <w:rPr>
      <w:color w:val="000000"/>
      <w:sz w:val="18"/>
      <w:szCs w:val="18"/>
    </w:rPr>
  </w:style>
  <w:style w:type="paragraph" w:customStyle="1" w:styleId="18">
    <w:name w:val="BodyText"/>
    <w:basedOn w:val="1"/>
    <w:qFormat/>
    <w:uiPriority w:val="0"/>
    <w:pPr>
      <w:spacing w:after="120"/>
      <w:jc w:val="both"/>
      <w:textAlignment w:val="baseline"/>
    </w:pPr>
    <w:rPr>
      <w:rFonts w:ascii="Times New Roman" w:hAnsi="Times New Roman" w:eastAsia="宋体"/>
      <w:kern w:val="2"/>
      <w:sz w:val="21"/>
      <w:szCs w:val="20"/>
      <w:lang w:val="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7" Type="http://schemas.openxmlformats.org/officeDocument/2006/relationships/fontTable" Target="fontTable.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image" Target="media/image1.png"/><Relationship Id="rId43" Type="http://schemas.openxmlformats.org/officeDocument/2006/relationships/theme" Target="theme/theme1.xml"/><Relationship Id="rId42" Type="http://schemas.openxmlformats.org/officeDocument/2006/relationships/footer" Target="footer28.xml"/><Relationship Id="rId41" Type="http://schemas.openxmlformats.org/officeDocument/2006/relationships/footer" Target="footer27.xml"/><Relationship Id="rId40" Type="http://schemas.openxmlformats.org/officeDocument/2006/relationships/footer" Target="footer26.xml"/><Relationship Id="rId4" Type="http://schemas.openxmlformats.org/officeDocument/2006/relationships/endnotes" Target="endnotes.xml"/><Relationship Id="rId39" Type="http://schemas.openxmlformats.org/officeDocument/2006/relationships/footer" Target="footer25.xml"/><Relationship Id="rId38" Type="http://schemas.openxmlformats.org/officeDocument/2006/relationships/header" Target="header10.xml"/><Relationship Id="rId37" Type="http://schemas.openxmlformats.org/officeDocument/2006/relationships/footer" Target="footer24.xml"/><Relationship Id="rId36" Type="http://schemas.openxmlformats.org/officeDocument/2006/relationships/header" Target="header9.xml"/><Relationship Id="rId35" Type="http://schemas.openxmlformats.org/officeDocument/2006/relationships/footer" Target="footer23.xml"/><Relationship Id="rId34" Type="http://schemas.openxmlformats.org/officeDocument/2006/relationships/header" Target="header8.xml"/><Relationship Id="rId33" Type="http://schemas.openxmlformats.org/officeDocument/2006/relationships/footer" Target="footer22.xml"/><Relationship Id="rId32" Type="http://schemas.openxmlformats.org/officeDocument/2006/relationships/footer" Target="footer21.xml"/><Relationship Id="rId31" Type="http://schemas.openxmlformats.org/officeDocument/2006/relationships/footer" Target="footer20.xml"/><Relationship Id="rId30" Type="http://schemas.openxmlformats.org/officeDocument/2006/relationships/footer" Target="footer19.xml"/><Relationship Id="rId3" Type="http://schemas.openxmlformats.org/officeDocument/2006/relationships/footnotes" Target="footnotes.xml"/><Relationship Id="rId29" Type="http://schemas.openxmlformats.org/officeDocument/2006/relationships/header" Target="header7.xml"/><Relationship Id="rId28" Type="http://schemas.openxmlformats.org/officeDocument/2006/relationships/footer" Target="footer18.xml"/><Relationship Id="rId27" Type="http://schemas.openxmlformats.org/officeDocument/2006/relationships/footer" Target="footer17.xml"/><Relationship Id="rId26" Type="http://schemas.openxmlformats.org/officeDocument/2006/relationships/footer" Target="footer16.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header" Target="header6.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91</Pages>
  <Words>13213</Words>
  <Characters>13802</Characters>
  <TotalTime>103</TotalTime>
  <ScaleCrop>false</ScaleCrop>
  <LinksUpToDate>false</LinksUpToDate>
  <CharactersWithSpaces>14034</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2026-04-16T15:44:00Z</dcterms:created>
  <dc:creator>HXY</dc:creator>
  <cp:lastModifiedBy>面包 人</cp:lastModifiedBy>
  <dcterms:modified xsi:type="dcterms:W3CDTF">2026-05-18T03:15:36Z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2026-04-17T15:29:20Z</vt:filetime>
  </property>
  <property fmtid="{D5CDD505-2E9C-101B-9397-08002B2CF9AE}" pid="4" name="KSOTemplateDocerSaveRecord">
    <vt:lpwstr>eyJoZGlkIjoiYjI3OGExMzIzOTFhYzQxYjc2NTM1YTUxZjk4OWU3ZTIiLCJ1c2VySWQiOiI3MTY4MzQ2ODcifQ==</vt:lpwstr>
  </property>
  <property fmtid="{D5CDD505-2E9C-101B-9397-08002B2CF9AE}" pid="5" name="KSOProductBuildVer">
    <vt:lpwstr>2052-12.1.0.26375</vt:lpwstr>
  </property>
  <property fmtid="{D5CDD505-2E9C-101B-9397-08002B2CF9AE}" pid="6" name="ICV">
    <vt:lpwstr>FB54EFB78A224E6AB469F599176FE89D_13</vt:lpwstr>
  </property>
</Properties>
</file>