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36CA7" w14:textId="77777777" w:rsidR="00275A19" w:rsidRPr="00782BAE" w:rsidRDefault="00275A19" w:rsidP="00275A19">
      <w:pPr>
        <w:pStyle w:val="null3"/>
        <w:numPr>
          <w:ilvl w:val="0"/>
          <w:numId w:val="1"/>
        </w:numPr>
        <w:outlineLvl w:val="2"/>
        <w:rPr>
          <w:rFonts w:ascii="仿宋" w:eastAsia="仿宋" w:hAnsi="仿宋" w:cs="仿宋"/>
          <w:b/>
          <w:color w:val="000000" w:themeColor="text1"/>
          <w:sz w:val="28"/>
        </w:rPr>
      </w:pPr>
      <w:r w:rsidRPr="00782BAE">
        <w:rPr>
          <w:rFonts w:ascii="仿宋" w:eastAsia="仿宋" w:hAnsi="仿宋" w:cs="仿宋"/>
          <w:b/>
          <w:color w:val="000000" w:themeColor="text1"/>
          <w:sz w:val="28"/>
        </w:rPr>
        <w:t>技术要求</w:t>
      </w:r>
    </w:p>
    <w:p w14:paraId="73EC2CFD" w14:textId="77777777" w:rsidR="00275A19" w:rsidRPr="00782BAE" w:rsidRDefault="00275A19" w:rsidP="00275A19">
      <w:pPr>
        <w:rPr>
          <w:color w:val="000000" w:themeColor="text1"/>
        </w:rPr>
      </w:pPr>
    </w:p>
    <w:tbl>
      <w:tblPr>
        <w:tblW w:w="5000" w:type="pct"/>
        <w:tblLook w:val="04A0" w:firstRow="1" w:lastRow="0" w:firstColumn="1" w:lastColumn="0" w:noHBand="0" w:noVBand="1"/>
      </w:tblPr>
      <w:tblGrid>
        <w:gridCol w:w="984"/>
        <w:gridCol w:w="717"/>
        <w:gridCol w:w="6595"/>
      </w:tblGrid>
      <w:tr w:rsidR="00275A19" w:rsidRPr="00782BAE" w14:paraId="5395CBCA" w14:textId="77777777" w:rsidTr="00A645A1">
        <w:trPr>
          <w:trHeight w:val="285"/>
          <w:tblHeader/>
        </w:trPr>
        <w:tc>
          <w:tcPr>
            <w:tcW w:w="593" w:type="pct"/>
            <w:tcBorders>
              <w:top w:val="single" w:sz="4" w:space="0" w:color="auto"/>
              <w:left w:val="single" w:sz="4" w:space="0" w:color="auto"/>
              <w:bottom w:val="single" w:sz="4" w:space="0" w:color="auto"/>
              <w:right w:val="single" w:sz="4" w:space="0" w:color="auto"/>
            </w:tcBorders>
            <w:vAlign w:val="center"/>
          </w:tcPr>
          <w:p w14:paraId="4686DC72"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参数性质</w:t>
            </w:r>
          </w:p>
        </w:tc>
        <w:tc>
          <w:tcPr>
            <w:tcW w:w="432" w:type="pct"/>
            <w:tcBorders>
              <w:top w:val="single" w:sz="4" w:space="0" w:color="auto"/>
              <w:left w:val="nil"/>
              <w:bottom w:val="single" w:sz="4" w:space="0" w:color="auto"/>
              <w:right w:val="single" w:sz="4" w:space="0" w:color="auto"/>
            </w:tcBorders>
            <w:vAlign w:val="center"/>
          </w:tcPr>
          <w:p w14:paraId="3EC3E90A"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序号</w:t>
            </w:r>
          </w:p>
        </w:tc>
        <w:tc>
          <w:tcPr>
            <w:tcW w:w="3975" w:type="pct"/>
            <w:tcBorders>
              <w:top w:val="single" w:sz="4" w:space="0" w:color="auto"/>
              <w:left w:val="nil"/>
              <w:bottom w:val="single" w:sz="4" w:space="0" w:color="auto"/>
              <w:right w:val="single" w:sz="4" w:space="0" w:color="auto"/>
            </w:tcBorders>
            <w:vAlign w:val="center"/>
          </w:tcPr>
          <w:p w14:paraId="7CD0067C"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技术参数与性能指标</w:t>
            </w:r>
          </w:p>
        </w:tc>
      </w:tr>
      <w:tr w:rsidR="00275A19" w:rsidRPr="00782BAE" w14:paraId="1E13AE38"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34B7F141"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nil"/>
              <w:left w:val="nil"/>
              <w:bottom w:val="single" w:sz="4" w:space="0" w:color="auto"/>
              <w:right w:val="single" w:sz="4" w:space="0" w:color="auto"/>
            </w:tcBorders>
            <w:vAlign w:val="center"/>
          </w:tcPr>
          <w:p w14:paraId="0FAF2189" w14:textId="77777777" w:rsidR="00275A19" w:rsidRPr="00782BAE" w:rsidRDefault="00275A19" w:rsidP="00A645A1">
            <w:pPr>
              <w:widowControl/>
              <w:jc w:val="center"/>
              <w:rPr>
                <w:rFonts w:ascii="仿宋" w:eastAsia="仿宋" w:hAnsi="仿宋" w:cs="仿宋" w:hint="eastAsia"/>
                <w:b/>
                <w:bCs/>
                <w:color w:val="000000" w:themeColor="text1"/>
                <w:kern w:val="0"/>
                <w:sz w:val="20"/>
                <w:szCs w:val="20"/>
              </w:rPr>
            </w:pPr>
            <w:r w:rsidRPr="00782BAE">
              <w:rPr>
                <w:rFonts w:ascii="仿宋" w:eastAsia="仿宋" w:hAnsi="仿宋" w:cs="仿宋" w:hint="eastAsia"/>
                <w:b/>
                <w:bCs/>
                <w:color w:val="000000" w:themeColor="text1"/>
                <w:kern w:val="0"/>
                <w:sz w:val="20"/>
                <w:szCs w:val="20"/>
              </w:rPr>
              <w:t>1</w:t>
            </w:r>
          </w:p>
        </w:tc>
        <w:tc>
          <w:tcPr>
            <w:tcW w:w="3975" w:type="pct"/>
            <w:tcBorders>
              <w:top w:val="nil"/>
              <w:left w:val="nil"/>
              <w:bottom w:val="single" w:sz="4" w:space="0" w:color="auto"/>
              <w:right w:val="single" w:sz="4" w:space="0" w:color="auto"/>
            </w:tcBorders>
            <w:vAlign w:val="center"/>
          </w:tcPr>
          <w:p w14:paraId="4CA62CDB" w14:textId="77777777" w:rsidR="00275A19" w:rsidRPr="00782BAE" w:rsidRDefault="00275A19" w:rsidP="00A645A1">
            <w:pPr>
              <w:widowControl/>
              <w:jc w:val="left"/>
              <w:rPr>
                <w:rFonts w:ascii="仿宋" w:eastAsia="仿宋" w:hAnsi="仿宋" w:cs="仿宋" w:hint="eastAsia"/>
                <w:b/>
                <w:bCs/>
                <w:color w:val="000000" w:themeColor="text1"/>
                <w:kern w:val="0"/>
                <w:sz w:val="20"/>
                <w:szCs w:val="20"/>
              </w:rPr>
            </w:pPr>
            <w:r w:rsidRPr="00782BAE">
              <w:rPr>
                <w:rFonts w:ascii="仿宋" w:eastAsia="仿宋" w:hAnsi="仿宋" w:cs="仿宋" w:hint="eastAsia"/>
                <w:b/>
                <w:bCs/>
                <w:color w:val="000000" w:themeColor="text1"/>
                <w:kern w:val="0"/>
                <w:sz w:val="20"/>
                <w:szCs w:val="20"/>
              </w:rPr>
              <w:t>总体要求</w:t>
            </w:r>
          </w:p>
        </w:tc>
      </w:tr>
      <w:tr w:rsidR="00275A19" w:rsidRPr="00782BAE" w14:paraId="21A6918D"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740F59F4" w14:textId="77777777" w:rsidR="00275A19" w:rsidRPr="00782BAE" w:rsidRDefault="00275A19" w:rsidP="00A645A1">
            <w:pPr>
              <w:widowControl/>
              <w:jc w:val="center"/>
              <w:rPr>
                <w:rFonts w:ascii="仿宋" w:eastAsia="仿宋" w:hAnsi="仿宋" w:cs="仿宋" w:hint="eastAsia"/>
                <w:strike/>
                <w:color w:val="000000" w:themeColor="text1"/>
                <w:kern w:val="0"/>
                <w:sz w:val="20"/>
                <w:szCs w:val="20"/>
                <w:highlight w:val="yellow"/>
              </w:rPr>
            </w:pPr>
          </w:p>
        </w:tc>
        <w:tc>
          <w:tcPr>
            <w:tcW w:w="432" w:type="pct"/>
            <w:tcBorders>
              <w:top w:val="nil"/>
              <w:left w:val="nil"/>
              <w:bottom w:val="single" w:sz="4" w:space="0" w:color="auto"/>
              <w:right w:val="single" w:sz="4" w:space="0" w:color="auto"/>
            </w:tcBorders>
            <w:vAlign w:val="center"/>
          </w:tcPr>
          <w:p w14:paraId="0BFAEE03"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1.1</w:t>
            </w:r>
          </w:p>
        </w:tc>
        <w:tc>
          <w:tcPr>
            <w:tcW w:w="3975" w:type="pct"/>
            <w:tcBorders>
              <w:top w:val="nil"/>
              <w:left w:val="nil"/>
              <w:bottom w:val="single" w:sz="4" w:space="0" w:color="auto"/>
              <w:right w:val="single" w:sz="4" w:space="0" w:color="auto"/>
            </w:tcBorders>
            <w:vAlign w:val="center"/>
          </w:tcPr>
          <w:p w14:paraId="3489B30C"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整体为钢制框架形式，包含实验平台、储罐模型、超声测量及数据采集等组件。</w:t>
            </w:r>
          </w:p>
        </w:tc>
      </w:tr>
      <w:tr w:rsidR="00275A19" w:rsidRPr="00782BAE" w14:paraId="2320CB2D"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0E2A9EEC" w14:textId="77777777" w:rsidR="00275A19" w:rsidRPr="00782BAE" w:rsidRDefault="00275A19" w:rsidP="00A645A1">
            <w:pPr>
              <w:widowControl/>
              <w:jc w:val="center"/>
              <w:rPr>
                <w:rFonts w:ascii="仿宋" w:eastAsia="仿宋" w:hAnsi="仿宋" w:cs="仿宋" w:hint="eastAsia"/>
                <w:strike/>
                <w:color w:val="000000" w:themeColor="text1"/>
                <w:kern w:val="0"/>
                <w:sz w:val="20"/>
                <w:szCs w:val="20"/>
                <w:highlight w:val="yellow"/>
              </w:rPr>
            </w:pPr>
          </w:p>
        </w:tc>
        <w:tc>
          <w:tcPr>
            <w:tcW w:w="432" w:type="pct"/>
            <w:tcBorders>
              <w:top w:val="nil"/>
              <w:left w:val="nil"/>
              <w:bottom w:val="single" w:sz="4" w:space="0" w:color="auto"/>
              <w:right w:val="single" w:sz="4" w:space="0" w:color="auto"/>
            </w:tcBorders>
            <w:vAlign w:val="center"/>
          </w:tcPr>
          <w:p w14:paraId="141F8F44"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1.2</w:t>
            </w:r>
          </w:p>
        </w:tc>
        <w:tc>
          <w:tcPr>
            <w:tcW w:w="3975" w:type="pct"/>
            <w:tcBorders>
              <w:top w:val="nil"/>
              <w:left w:val="nil"/>
              <w:bottom w:val="single" w:sz="4" w:space="0" w:color="auto"/>
              <w:right w:val="single" w:sz="4" w:space="0" w:color="auto"/>
            </w:tcBorders>
            <w:vAlign w:val="center"/>
          </w:tcPr>
          <w:p w14:paraId="19C7DAC7"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装置接口：预留外接水、强弱电接口。</w:t>
            </w:r>
          </w:p>
        </w:tc>
      </w:tr>
      <w:tr w:rsidR="00275A19" w:rsidRPr="00782BAE" w14:paraId="7FD47E19"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3C1F50BE" w14:textId="77777777" w:rsidR="00275A19" w:rsidRPr="00782BAE" w:rsidRDefault="00275A19" w:rsidP="00A645A1">
            <w:pPr>
              <w:widowControl/>
              <w:jc w:val="center"/>
              <w:rPr>
                <w:rFonts w:ascii="仿宋" w:eastAsia="仿宋" w:hAnsi="仿宋" w:cs="仿宋" w:hint="eastAsia"/>
                <w:strike/>
                <w:color w:val="000000" w:themeColor="text1"/>
                <w:kern w:val="0"/>
                <w:sz w:val="20"/>
                <w:szCs w:val="20"/>
                <w:highlight w:val="yellow"/>
              </w:rPr>
            </w:pPr>
          </w:p>
        </w:tc>
        <w:tc>
          <w:tcPr>
            <w:tcW w:w="432" w:type="pct"/>
            <w:tcBorders>
              <w:top w:val="nil"/>
              <w:left w:val="nil"/>
              <w:bottom w:val="single" w:sz="4" w:space="0" w:color="auto"/>
              <w:right w:val="single" w:sz="4" w:space="0" w:color="auto"/>
            </w:tcBorders>
            <w:vAlign w:val="center"/>
          </w:tcPr>
          <w:p w14:paraId="1869693C"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1.3</w:t>
            </w:r>
          </w:p>
        </w:tc>
        <w:tc>
          <w:tcPr>
            <w:tcW w:w="3975" w:type="pct"/>
            <w:tcBorders>
              <w:top w:val="nil"/>
              <w:left w:val="nil"/>
              <w:bottom w:val="single" w:sz="4" w:space="0" w:color="auto"/>
              <w:right w:val="single" w:sz="4" w:space="0" w:color="auto"/>
            </w:tcBorders>
            <w:vAlign w:val="center"/>
          </w:tcPr>
          <w:p w14:paraId="1EF6DEF7"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材料：304不锈钢。框架、台面及支撑采用碳钢(需做防锈处理)或铝合金。</w:t>
            </w:r>
          </w:p>
        </w:tc>
      </w:tr>
      <w:tr w:rsidR="00275A19" w:rsidRPr="00782BAE" w14:paraId="736C76D8"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15F67328" w14:textId="77777777" w:rsidR="00275A19" w:rsidRPr="00782BAE" w:rsidRDefault="00275A19" w:rsidP="00A645A1">
            <w:pPr>
              <w:widowControl/>
              <w:jc w:val="center"/>
              <w:rPr>
                <w:rFonts w:ascii="仿宋" w:eastAsia="仿宋" w:hAnsi="仿宋" w:cs="仿宋" w:hint="eastAsia"/>
                <w:strike/>
                <w:color w:val="000000" w:themeColor="text1"/>
                <w:kern w:val="0"/>
                <w:sz w:val="20"/>
                <w:szCs w:val="20"/>
                <w:highlight w:val="yellow"/>
              </w:rPr>
            </w:pPr>
          </w:p>
        </w:tc>
        <w:tc>
          <w:tcPr>
            <w:tcW w:w="432" w:type="pct"/>
            <w:tcBorders>
              <w:top w:val="nil"/>
              <w:left w:val="nil"/>
              <w:bottom w:val="single" w:sz="4" w:space="0" w:color="auto"/>
              <w:right w:val="single" w:sz="4" w:space="0" w:color="auto"/>
            </w:tcBorders>
            <w:vAlign w:val="center"/>
          </w:tcPr>
          <w:p w14:paraId="2AAC7291"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1.4</w:t>
            </w:r>
          </w:p>
        </w:tc>
        <w:tc>
          <w:tcPr>
            <w:tcW w:w="3975" w:type="pct"/>
            <w:tcBorders>
              <w:top w:val="nil"/>
              <w:left w:val="nil"/>
              <w:bottom w:val="single" w:sz="4" w:space="0" w:color="auto"/>
              <w:right w:val="single" w:sz="4" w:space="0" w:color="auto"/>
            </w:tcBorders>
            <w:vAlign w:val="center"/>
          </w:tcPr>
          <w:p w14:paraId="34B3DE85"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配电：控制箱内置强、弱电（含控制面板），各用电设备分组可控。</w:t>
            </w:r>
          </w:p>
        </w:tc>
      </w:tr>
      <w:tr w:rsidR="00275A19" w:rsidRPr="00782BAE" w14:paraId="729AC016"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23183734"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nil"/>
              <w:left w:val="nil"/>
              <w:bottom w:val="single" w:sz="4" w:space="0" w:color="auto"/>
              <w:right w:val="single" w:sz="4" w:space="0" w:color="auto"/>
            </w:tcBorders>
            <w:vAlign w:val="center"/>
          </w:tcPr>
          <w:p w14:paraId="730A8DBE" w14:textId="77777777" w:rsidR="00275A19" w:rsidRPr="00782BAE" w:rsidRDefault="00275A19" w:rsidP="00A645A1">
            <w:pPr>
              <w:widowControl/>
              <w:jc w:val="center"/>
              <w:rPr>
                <w:rFonts w:ascii="仿宋" w:eastAsia="仿宋" w:hAnsi="仿宋" w:cs="仿宋" w:hint="eastAsia"/>
                <w:b/>
                <w:bCs/>
                <w:color w:val="000000" w:themeColor="text1"/>
                <w:kern w:val="0"/>
                <w:sz w:val="20"/>
                <w:szCs w:val="20"/>
              </w:rPr>
            </w:pPr>
            <w:r w:rsidRPr="00782BAE">
              <w:rPr>
                <w:rFonts w:ascii="仿宋" w:eastAsia="仿宋" w:hAnsi="仿宋" w:cs="仿宋" w:hint="eastAsia"/>
                <w:b/>
                <w:bCs/>
                <w:color w:val="000000" w:themeColor="text1"/>
                <w:kern w:val="0"/>
                <w:sz w:val="20"/>
                <w:szCs w:val="20"/>
              </w:rPr>
              <w:t>2</w:t>
            </w:r>
          </w:p>
        </w:tc>
        <w:tc>
          <w:tcPr>
            <w:tcW w:w="3975" w:type="pct"/>
            <w:tcBorders>
              <w:top w:val="nil"/>
              <w:left w:val="nil"/>
              <w:bottom w:val="single" w:sz="4" w:space="0" w:color="auto"/>
              <w:right w:val="single" w:sz="4" w:space="0" w:color="auto"/>
            </w:tcBorders>
            <w:noWrap/>
            <w:vAlign w:val="center"/>
          </w:tcPr>
          <w:p w14:paraId="76ECB9A4" w14:textId="77777777" w:rsidR="00275A19" w:rsidRPr="00782BAE" w:rsidRDefault="00275A19" w:rsidP="00A645A1">
            <w:pPr>
              <w:widowControl/>
              <w:jc w:val="left"/>
              <w:rPr>
                <w:rFonts w:ascii="仿宋" w:eastAsia="仿宋" w:hAnsi="仿宋" w:cs="仿宋" w:hint="eastAsia"/>
                <w:b/>
                <w:bCs/>
                <w:color w:val="000000" w:themeColor="text1"/>
                <w:kern w:val="0"/>
                <w:sz w:val="20"/>
                <w:szCs w:val="20"/>
              </w:rPr>
            </w:pPr>
            <w:r w:rsidRPr="00782BAE">
              <w:rPr>
                <w:rFonts w:ascii="仿宋" w:eastAsia="仿宋" w:hAnsi="仿宋" w:cs="仿宋" w:hint="eastAsia"/>
                <w:b/>
                <w:bCs/>
                <w:color w:val="000000" w:themeColor="text1"/>
                <w:kern w:val="0"/>
                <w:sz w:val="20"/>
                <w:szCs w:val="20"/>
              </w:rPr>
              <w:t>实验平台</w:t>
            </w:r>
          </w:p>
        </w:tc>
      </w:tr>
      <w:tr w:rsidR="00275A19" w:rsidRPr="00782BAE" w14:paraId="252BD545"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35C80168"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nil"/>
              <w:left w:val="nil"/>
              <w:bottom w:val="single" w:sz="4" w:space="0" w:color="auto"/>
              <w:right w:val="single" w:sz="4" w:space="0" w:color="auto"/>
            </w:tcBorders>
            <w:vAlign w:val="center"/>
          </w:tcPr>
          <w:p w14:paraId="54EABE88"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2.1</w:t>
            </w:r>
          </w:p>
        </w:tc>
        <w:tc>
          <w:tcPr>
            <w:tcW w:w="3975" w:type="pct"/>
            <w:tcBorders>
              <w:top w:val="nil"/>
              <w:left w:val="nil"/>
              <w:bottom w:val="single" w:sz="4" w:space="0" w:color="auto"/>
              <w:right w:val="single" w:sz="4" w:space="0" w:color="auto"/>
            </w:tcBorders>
            <w:vAlign w:val="center"/>
          </w:tcPr>
          <w:p w14:paraId="4C9C59BF"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垂直、水平振动；设计承载≥200kg；平台尺寸≥1500mm×1500mm。</w:t>
            </w:r>
          </w:p>
        </w:tc>
      </w:tr>
      <w:tr w:rsidR="00275A19" w:rsidRPr="00782BAE" w14:paraId="5C6016BC"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1DA18C97"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color w:val="000000" w:themeColor="text1"/>
              </w:rPr>
              <w:t>●</w:t>
            </w:r>
          </w:p>
        </w:tc>
        <w:tc>
          <w:tcPr>
            <w:tcW w:w="432" w:type="pct"/>
            <w:tcBorders>
              <w:top w:val="nil"/>
              <w:left w:val="nil"/>
              <w:bottom w:val="single" w:sz="4" w:space="0" w:color="auto"/>
              <w:right w:val="single" w:sz="4" w:space="0" w:color="auto"/>
            </w:tcBorders>
            <w:vAlign w:val="center"/>
          </w:tcPr>
          <w:p w14:paraId="599B2C22"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2.2</w:t>
            </w:r>
          </w:p>
        </w:tc>
        <w:tc>
          <w:tcPr>
            <w:tcW w:w="3975" w:type="pct"/>
            <w:tcBorders>
              <w:top w:val="nil"/>
              <w:left w:val="nil"/>
              <w:bottom w:val="single" w:sz="4" w:space="0" w:color="auto"/>
              <w:right w:val="single" w:sz="4" w:space="0" w:color="auto"/>
            </w:tcBorders>
            <w:vAlign w:val="center"/>
          </w:tcPr>
          <w:p w14:paraId="30F905CB"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振动加速度≥20g；振动频率≥2000Hz；台面固定螺栓空位≥12个。</w:t>
            </w:r>
          </w:p>
        </w:tc>
      </w:tr>
      <w:tr w:rsidR="00275A19" w:rsidRPr="00782BAE" w14:paraId="6EE1A7D7"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6D5509E7"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nil"/>
              <w:left w:val="nil"/>
              <w:bottom w:val="single" w:sz="4" w:space="0" w:color="auto"/>
              <w:right w:val="single" w:sz="4" w:space="0" w:color="auto"/>
            </w:tcBorders>
            <w:vAlign w:val="center"/>
          </w:tcPr>
          <w:p w14:paraId="7269DA6D"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2.3</w:t>
            </w:r>
          </w:p>
        </w:tc>
        <w:tc>
          <w:tcPr>
            <w:tcW w:w="3975" w:type="pct"/>
            <w:tcBorders>
              <w:top w:val="nil"/>
              <w:left w:val="nil"/>
              <w:bottom w:val="single" w:sz="4" w:space="0" w:color="auto"/>
              <w:right w:val="single" w:sz="4" w:space="0" w:color="auto"/>
            </w:tcBorders>
            <w:vAlign w:val="center"/>
          </w:tcPr>
          <w:p w14:paraId="61ED7D02"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自定义垂直、水平振动位移、频率；预先录入时域振动数据（时长≥1000s）；预置符合国标道路运输、航空运输、船舶运输振动谱。</w:t>
            </w:r>
          </w:p>
        </w:tc>
      </w:tr>
      <w:tr w:rsidR="00275A19" w:rsidRPr="00782BAE" w14:paraId="79FB428F"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61F0D572"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color w:val="000000" w:themeColor="text1"/>
              </w:rPr>
              <w:t>●</w:t>
            </w:r>
          </w:p>
        </w:tc>
        <w:tc>
          <w:tcPr>
            <w:tcW w:w="432" w:type="pct"/>
            <w:tcBorders>
              <w:top w:val="nil"/>
              <w:left w:val="nil"/>
              <w:bottom w:val="single" w:sz="4" w:space="0" w:color="auto"/>
              <w:right w:val="single" w:sz="4" w:space="0" w:color="auto"/>
            </w:tcBorders>
            <w:vAlign w:val="center"/>
          </w:tcPr>
          <w:p w14:paraId="6F395772"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2.4</w:t>
            </w:r>
          </w:p>
        </w:tc>
        <w:tc>
          <w:tcPr>
            <w:tcW w:w="3975" w:type="pct"/>
            <w:tcBorders>
              <w:top w:val="nil"/>
              <w:left w:val="nil"/>
              <w:bottom w:val="single" w:sz="4" w:space="0" w:color="auto"/>
              <w:right w:val="single" w:sz="4" w:space="0" w:color="auto"/>
            </w:tcBorders>
            <w:vAlign w:val="center"/>
          </w:tcPr>
          <w:p w14:paraId="05DC92E0"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振动传感器：3轴传感器2个，量程≥50g；采样频率≥2000Hz，精度≤1mg，支持RS485协议，防护等级IP65。</w:t>
            </w:r>
          </w:p>
        </w:tc>
      </w:tr>
      <w:tr w:rsidR="00275A19" w:rsidRPr="00782BAE" w14:paraId="28FC3FF1"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37356814"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nil"/>
              <w:left w:val="nil"/>
              <w:bottom w:val="single" w:sz="4" w:space="0" w:color="auto"/>
              <w:right w:val="single" w:sz="4" w:space="0" w:color="auto"/>
            </w:tcBorders>
            <w:vAlign w:val="center"/>
          </w:tcPr>
          <w:p w14:paraId="16E6921F" w14:textId="77777777" w:rsidR="00275A19" w:rsidRPr="00782BAE" w:rsidRDefault="00275A19" w:rsidP="00A645A1">
            <w:pPr>
              <w:widowControl/>
              <w:jc w:val="center"/>
              <w:rPr>
                <w:rFonts w:ascii="仿宋" w:eastAsia="仿宋" w:hAnsi="仿宋" w:cs="仿宋" w:hint="eastAsia"/>
                <w:b/>
                <w:bCs/>
                <w:color w:val="000000" w:themeColor="text1"/>
                <w:kern w:val="0"/>
                <w:sz w:val="20"/>
                <w:szCs w:val="20"/>
              </w:rPr>
            </w:pPr>
            <w:r w:rsidRPr="00782BAE">
              <w:rPr>
                <w:rFonts w:ascii="仿宋" w:eastAsia="仿宋" w:hAnsi="仿宋" w:cs="仿宋" w:hint="eastAsia"/>
                <w:b/>
                <w:bCs/>
                <w:color w:val="000000" w:themeColor="text1"/>
                <w:kern w:val="0"/>
                <w:sz w:val="20"/>
                <w:szCs w:val="20"/>
              </w:rPr>
              <w:t>3</w:t>
            </w:r>
          </w:p>
        </w:tc>
        <w:tc>
          <w:tcPr>
            <w:tcW w:w="3975" w:type="pct"/>
            <w:tcBorders>
              <w:top w:val="nil"/>
              <w:left w:val="nil"/>
              <w:bottom w:val="single" w:sz="4" w:space="0" w:color="auto"/>
              <w:right w:val="single" w:sz="4" w:space="0" w:color="auto"/>
            </w:tcBorders>
            <w:noWrap/>
            <w:vAlign w:val="center"/>
          </w:tcPr>
          <w:p w14:paraId="26807459" w14:textId="77777777" w:rsidR="00275A19" w:rsidRPr="00782BAE" w:rsidRDefault="00275A19" w:rsidP="00A645A1">
            <w:pPr>
              <w:widowControl/>
              <w:jc w:val="left"/>
              <w:rPr>
                <w:rFonts w:ascii="仿宋" w:eastAsia="仿宋" w:hAnsi="仿宋" w:cs="仿宋" w:hint="eastAsia"/>
                <w:b/>
                <w:bCs/>
                <w:color w:val="000000" w:themeColor="text1"/>
                <w:kern w:val="0"/>
                <w:sz w:val="20"/>
                <w:szCs w:val="20"/>
              </w:rPr>
            </w:pPr>
            <w:r w:rsidRPr="00782BAE">
              <w:rPr>
                <w:rFonts w:ascii="仿宋" w:eastAsia="仿宋" w:hAnsi="仿宋" w:cs="仿宋" w:hint="eastAsia"/>
                <w:b/>
                <w:bCs/>
                <w:color w:val="000000" w:themeColor="text1"/>
                <w:kern w:val="0"/>
                <w:sz w:val="20"/>
                <w:szCs w:val="20"/>
              </w:rPr>
              <w:t>储罐模型</w:t>
            </w:r>
          </w:p>
        </w:tc>
      </w:tr>
      <w:tr w:rsidR="00275A19" w:rsidRPr="00782BAE" w14:paraId="5A1274DC"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702DD092"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nil"/>
              <w:left w:val="nil"/>
              <w:bottom w:val="single" w:sz="4" w:space="0" w:color="auto"/>
              <w:right w:val="single" w:sz="4" w:space="0" w:color="auto"/>
            </w:tcBorders>
            <w:vAlign w:val="center"/>
          </w:tcPr>
          <w:p w14:paraId="28A770F2"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3.1</w:t>
            </w:r>
          </w:p>
        </w:tc>
        <w:tc>
          <w:tcPr>
            <w:tcW w:w="3975" w:type="pct"/>
            <w:tcBorders>
              <w:top w:val="nil"/>
              <w:left w:val="nil"/>
              <w:bottom w:val="single" w:sz="4" w:space="0" w:color="auto"/>
              <w:right w:val="single" w:sz="4" w:space="0" w:color="auto"/>
            </w:tcBorders>
            <w:vAlign w:val="center"/>
          </w:tcPr>
          <w:p w14:paraId="3AA4A9CA"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304不锈钢材质；椭圆封头卧式罐，容积≥150L；外轮廓≥1500mm×500mm×500mm，壁厚≥3mm。</w:t>
            </w:r>
          </w:p>
        </w:tc>
      </w:tr>
      <w:tr w:rsidR="00275A19" w:rsidRPr="00782BAE" w14:paraId="4978B997" w14:textId="77777777" w:rsidTr="00A645A1">
        <w:trPr>
          <w:trHeight w:val="285"/>
        </w:trPr>
        <w:tc>
          <w:tcPr>
            <w:tcW w:w="593" w:type="pct"/>
            <w:tcBorders>
              <w:top w:val="nil"/>
              <w:left w:val="single" w:sz="4" w:space="0" w:color="auto"/>
              <w:bottom w:val="single" w:sz="4" w:space="0" w:color="auto"/>
              <w:right w:val="single" w:sz="4" w:space="0" w:color="auto"/>
            </w:tcBorders>
            <w:noWrap/>
            <w:vAlign w:val="center"/>
          </w:tcPr>
          <w:p w14:paraId="111A0AE5"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nil"/>
              <w:left w:val="nil"/>
              <w:bottom w:val="single" w:sz="4" w:space="0" w:color="auto"/>
              <w:right w:val="single" w:sz="4" w:space="0" w:color="auto"/>
            </w:tcBorders>
            <w:vAlign w:val="center"/>
          </w:tcPr>
          <w:p w14:paraId="2F20A70B"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3.2</w:t>
            </w:r>
          </w:p>
        </w:tc>
        <w:tc>
          <w:tcPr>
            <w:tcW w:w="3975" w:type="pct"/>
            <w:tcBorders>
              <w:top w:val="nil"/>
              <w:left w:val="nil"/>
              <w:bottom w:val="single" w:sz="4" w:space="0" w:color="auto"/>
              <w:right w:val="single" w:sz="4" w:space="0" w:color="auto"/>
            </w:tcBorders>
            <w:vAlign w:val="center"/>
          </w:tcPr>
          <w:p w14:paraId="12B51F26"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内部具备可拆卸纵、横挡油板（</w:t>
            </w:r>
            <w:proofErr w:type="gramStart"/>
            <w:r w:rsidRPr="00782BAE">
              <w:rPr>
                <w:rFonts w:ascii="仿宋" w:eastAsia="仿宋" w:hAnsi="仿宋" w:cs="仿宋" w:hint="eastAsia"/>
                <w:color w:val="000000" w:themeColor="text1"/>
                <w:kern w:val="0"/>
                <w:sz w:val="20"/>
                <w:szCs w:val="20"/>
              </w:rPr>
              <w:t>纵隔</w:t>
            </w:r>
            <w:proofErr w:type="gramEnd"/>
            <w:r w:rsidRPr="00782BAE">
              <w:rPr>
                <w:rFonts w:ascii="仿宋" w:eastAsia="仿宋" w:hAnsi="仿宋" w:cs="仿宋" w:hint="eastAsia"/>
                <w:color w:val="000000" w:themeColor="text1"/>
                <w:kern w:val="0"/>
                <w:sz w:val="20"/>
                <w:szCs w:val="20"/>
              </w:rPr>
              <w:t>板1片，横隔板2片）；配备顶部人孔、上下水接管；鞍座配备可调刚度隔振器。</w:t>
            </w:r>
          </w:p>
        </w:tc>
      </w:tr>
      <w:tr w:rsidR="00275A19" w:rsidRPr="00782BAE" w14:paraId="0FACFFB8" w14:textId="77777777" w:rsidTr="00A645A1">
        <w:trPr>
          <w:trHeight w:val="285"/>
        </w:trPr>
        <w:tc>
          <w:tcPr>
            <w:tcW w:w="593" w:type="pct"/>
            <w:tcBorders>
              <w:top w:val="single" w:sz="4" w:space="0" w:color="auto"/>
              <w:left w:val="single" w:sz="4" w:space="0" w:color="auto"/>
              <w:bottom w:val="single" w:sz="4" w:space="0" w:color="auto"/>
              <w:right w:val="single" w:sz="4" w:space="0" w:color="auto"/>
            </w:tcBorders>
            <w:noWrap/>
            <w:vAlign w:val="center"/>
          </w:tcPr>
          <w:p w14:paraId="3774A5F4"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single" w:sz="4" w:space="0" w:color="auto"/>
              <w:left w:val="nil"/>
              <w:bottom w:val="single" w:sz="4" w:space="0" w:color="auto"/>
              <w:right w:val="single" w:sz="4" w:space="0" w:color="auto"/>
            </w:tcBorders>
            <w:vAlign w:val="center"/>
          </w:tcPr>
          <w:p w14:paraId="110F6227"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3.3</w:t>
            </w:r>
          </w:p>
        </w:tc>
        <w:tc>
          <w:tcPr>
            <w:tcW w:w="3975" w:type="pct"/>
            <w:tcBorders>
              <w:top w:val="single" w:sz="4" w:space="0" w:color="auto"/>
              <w:left w:val="nil"/>
              <w:bottom w:val="single" w:sz="4" w:space="0" w:color="auto"/>
              <w:right w:val="single" w:sz="4" w:space="0" w:color="auto"/>
            </w:tcBorders>
            <w:vAlign w:val="center"/>
          </w:tcPr>
          <w:p w14:paraId="163523D9"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罐壁布置≥1个超声瞬态流速探头测点、≥4个光纤光栅应变传感器测点。</w:t>
            </w:r>
          </w:p>
        </w:tc>
      </w:tr>
      <w:tr w:rsidR="00275A19" w:rsidRPr="00782BAE" w14:paraId="25C4B502" w14:textId="77777777" w:rsidTr="00A645A1">
        <w:trPr>
          <w:trHeight w:val="285"/>
        </w:trPr>
        <w:tc>
          <w:tcPr>
            <w:tcW w:w="593" w:type="pct"/>
            <w:tcBorders>
              <w:top w:val="single" w:sz="4" w:space="0" w:color="auto"/>
              <w:left w:val="single" w:sz="4" w:space="0" w:color="auto"/>
              <w:bottom w:val="single" w:sz="4" w:space="0" w:color="auto"/>
              <w:right w:val="single" w:sz="4" w:space="0" w:color="auto"/>
            </w:tcBorders>
            <w:noWrap/>
            <w:vAlign w:val="center"/>
          </w:tcPr>
          <w:p w14:paraId="7ADAFF0C"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single" w:sz="4" w:space="0" w:color="auto"/>
              <w:left w:val="nil"/>
              <w:bottom w:val="single" w:sz="4" w:space="0" w:color="auto"/>
              <w:right w:val="single" w:sz="4" w:space="0" w:color="auto"/>
            </w:tcBorders>
            <w:vAlign w:val="center"/>
          </w:tcPr>
          <w:p w14:paraId="3E775AF5" w14:textId="77777777" w:rsidR="00275A19" w:rsidRPr="00782BAE" w:rsidRDefault="00275A19" w:rsidP="00A645A1">
            <w:pPr>
              <w:widowControl/>
              <w:jc w:val="center"/>
              <w:rPr>
                <w:rFonts w:ascii="仿宋" w:eastAsia="仿宋" w:hAnsi="仿宋" w:cs="仿宋" w:hint="eastAsia"/>
                <w:b/>
                <w:bCs/>
                <w:color w:val="000000" w:themeColor="text1"/>
                <w:kern w:val="0"/>
                <w:sz w:val="20"/>
                <w:szCs w:val="20"/>
              </w:rPr>
            </w:pPr>
            <w:r w:rsidRPr="00782BAE">
              <w:rPr>
                <w:rFonts w:ascii="仿宋" w:eastAsia="仿宋" w:hAnsi="仿宋" w:cs="仿宋" w:hint="eastAsia"/>
                <w:b/>
                <w:bCs/>
                <w:color w:val="000000" w:themeColor="text1"/>
                <w:kern w:val="0"/>
                <w:sz w:val="20"/>
                <w:szCs w:val="20"/>
              </w:rPr>
              <w:t>4</w:t>
            </w:r>
          </w:p>
        </w:tc>
        <w:tc>
          <w:tcPr>
            <w:tcW w:w="3975" w:type="pct"/>
            <w:tcBorders>
              <w:top w:val="single" w:sz="4" w:space="0" w:color="auto"/>
              <w:left w:val="nil"/>
              <w:bottom w:val="single" w:sz="4" w:space="0" w:color="auto"/>
              <w:right w:val="single" w:sz="4" w:space="0" w:color="auto"/>
            </w:tcBorders>
            <w:vAlign w:val="center"/>
          </w:tcPr>
          <w:p w14:paraId="03E93C8E" w14:textId="77777777" w:rsidR="00275A19" w:rsidRPr="00782BAE" w:rsidRDefault="00275A19" w:rsidP="00A645A1">
            <w:pPr>
              <w:widowControl/>
              <w:jc w:val="left"/>
              <w:rPr>
                <w:rFonts w:ascii="仿宋" w:eastAsia="仿宋" w:hAnsi="仿宋" w:cs="仿宋" w:hint="eastAsia"/>
                <w:b/>
                <w:bCs/>
                <w:color w:val="000000" w:themeColor="text1"/>
                <w:kern w:val="0"/>
                <w:sz w:val="20"/>
                <w:szCs w:val="20"/>
              </w:rPr>
            </w:pPr>
            <w:r w:rsidRPr="00782BAE">
              <w:rPr>
                <w:rFonts w:ascii="仿宋" w:eastAsia="仿宋" w:hAnsi="仿宋" w:cs="仿宋" w:hint="eastAsia"/>
                <w:b/>
                <w:bCs/>
                <w:color w:val="000000" w:themeColor="text1"/>
                <w:kern w:val="0"/>
                <w:sz w:val="20"/>
                <w:szCs w:val="20"/>
              </w:rPr>
              <w:t>超声测量及数据采集</w:t>
            </w:r>
          </w:p>
        </w:tc>
      </w:tr>
      <w:tr w:rsidR="00275A19" w:rsidRPr="00782BAE" w14:paraId="4EA782D5" w14:textId="77777777" w:rsidTr="00A645A1">
        <w:trPr>
          <w:trHeight w:val="285"/>
        </w:trPr>
        <w:tc>
          <w:tcPr>
            <w:tcW w:w="593" w:type="pct"/>
            <w:tcBorders>
              <w:top w:val="single" w:sz="4" w:space="0" w:color="auto"/>
              <w:left w:val="single" w:sz="4" w:space="0" w:color="auto"/>
              <w:bottom w:val="single" w:sz="4" w:space="0" w:color="auto"/>
              <w:right w:val="single" w:sz="4" w:space="0" w:color="auto"/>
            </w:tcBorders>
            <w:noWrap/>
            <w:vAlign w:val="center"/>
          </w:tcPr>
          <w:p w14:paraId="0660C1A8"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color w:val="000000" w:themeColor="text1"/>
              </w:rPr>
              <w:t>●</w:t>
            </w:r>
          </w:p>
        </w:tc>
        <w:tc>
          <w:tcPr>
            <w:tcW w:w="432" w:type="pct"/>
            <w:tcBorders>
              <w:top w:val="single" w:sz="4" w:space="0" w:color="auto"/>
              <w:left w:val="nil"/>
              <w:bottom w:val="single" w:sz="4" w:space="0" w:color="auto"/>
              <w:right w:val="single" w:sz="4" w:space="0" w:color="auto"/>
            </w:tcBorders>
            <w:vAlign w:val="center"/>
          </w:tcPr>
          <w:p w14:paraId="48F1F8C9"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4.1</w:t>
            </w:r>
          </w:p>
        </w:tc>
        <w:tc>
          <w:tcPr>
            <w:tcW w:w="3975" w:type="pct"/>
            <w:tcBorders>
              <w:top w:val="single" w:sz="4" w:space="0" w:color="auto"/>
              <w:left w:val="nil"/>
              <w:bottom w:val="single" w:sz="4" w:space="0" w:color="auto"/>
              <w:right w:val="single" w:sz="4" w:space="0" w:color="auto"/>
            </w:tcBorders>
            <w:vAlign w:val="center"/>
          </w:tcPr>
          <w:p w14:paraId="05E21E0D"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超声瞬态流速探头1个：2维速度剖面采样率≥1000Hz；剖面分层层数≥2000层；剖面分层分辨率≤0.4mm。</w:t>
            </w:r>
          </w:p>
        </w:tc>
      </w:tr>
      <w:tr w:rsidR="00275A19" w:rsidRPr="00782BAE" w14:paraId="6BDD2035" w14:textId="77777777" w:rsidTr="00A645A1">
        <w:trPr>
          <w:trHeight w:val="285"/>
        </w:trPr>
        <w:tc>
          <w:tcPr>
            <w:tcW w:w="593" w:type="pct"/>
            <w:tcBorders>
              <w:top w:val="single" w:sz="4" w:space="0" w:color="auto"/>
              <w:left w:val="single" w:sz="4" w:space="0" w:color="auto"/>
              <w:bottom w:val="single" w:sz="4" w:space="0" w:color="auto"/>
              <w:right w:val="single" w:sz="4" w:space="0" w:color="auto"/>
            </w:tcBorders>
            <w:noWrap/>
            <w:vAlign w:val="center"/>
          </w:tcPr>
          <w:p w14:paraId="0B53025E"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single" w:sz="4" w:space="0" w:color="auto"/>
              <w:left w:val="nil"/>
              <w:bottom w:val="single" w:sz="4" w:space="0" w:color="auto"/>
              <w:right w:val="single" w:sz="4" w:space="0" w:color="auto"/>
            </w:tcBorders>
            <w:vAlign w:val="center"/>
          </w:tcPr>
          <w:p w14:paraId="0A8E9396"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4.2</w:t>
            </w:r>
          </w:p>
        </w:tc>
        <w:tc>
          <w:tcPr>
            <w:tcW w:w="3975" w:type="pct"/>
            <w:tcBorders>
              <w:top w:val="single" w:sz="4" w:space="0" w:color="auto"/>
              <w:left w:val="nil"/>
              <w:bottom w:val="single" w:sz="4" w:space="0" w:color="auto"/>
              <w:right w:val="single" w:sz="4" w:space="0" w:color="auto"/>
            </w:tcBorders>
            <w:vAlign w:val="center"/>
          </w:tcPr>
          <w:p w14:paraId="1AC0A741"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超声瞬态流速探头NDT检测范围（无损剖面测量深度）50～200mm（水环境下），响应时间≤250ms。</w:t>
            </w:r>
          </w:p>
        </w:tc>
      </w:tr>
      <w:tr w:rsidR="00275A19" w:rsidRPr="00782BAE" w14:paraId="375A2DA9" w14:textId="77777777" w:rsidTr="00A645A1">
        <w:trPr>
          <w:trHeight w:val="285"/>
        </w:trPr>
        <w:tc>
          <w:tcPr>
            <w:tcW w:w="593" w:type="pct"/>
            <w:tcBorders>
              <w:top w:val="single" w:sz="4" w:space="0" w:color="auto"/>
              <w:left w:val="single" w:sz="4" w:space="0" w:color="auto"/>
              <w:bottom w:val="single" w:sz="4" w:space="0" w:color="auto"/>
              <w:right w:val="single" w:sz="4" w:space="0" w:color="auto"/>
            </w:tcBorders>
            <w:noWrap/>
            <w:vAlign w:val="center"/>
          </w:tcPr>
          <w:p w14:paraId="1D2988EB"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color w:val="000000" w:themeColor="text1"/>
              </w:rPr>
              <w:t>●</w:t>
            </w:r>
          </w:p>
        </w:tc>
        <w:tc>
          <w:tcPr>
            <w:tcW w:w="432" w:type="pct"/>
            <w:tcBorders>
              <w:top w:val="single" w:sz="4" w:space="0" w:color="auto"/>
              <w:left w:val="nil"/>
              <w:bottom w:val="single" w:sz="4" w:space="0" w:color="auto"/>
              <w:right w:val="single" w:sz="4" w:space="0" w:color="auto"/>
            </w:tcBorders>
            <w:vAlign w:val="center"/>
          </w:tcPr>
          <w:p w14:paraId="5D7655FE"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4.3</w:t>
            </w:r>
          </w:p>
        </w:tc>
        <w:tc>
          <w:tcPr>
            <w:tcW w:w="3975" w:type="pct"/>
            <w:tcBorders>
              <w:top w:val="single" w:sz="4" w:space="0" w:color="auto"/>
              <w:left w:val="nil"/>
              <w:bottom w:val="single" w:sz="4" w:space="0" w:color="auto"/>
              <w:right w:val="single" w:sz="4" w:space="0" w:color="auto"/>
            </w:tcBorders>
            <w:vAlign w:val="center"/>
          </w:tcPr>
          <w:p w14:paraId="1FCDDB13"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超声瞬态流速探头流动速度分辨率≤0.1mm/s；速度精度≤1%（测量值）；测量速度≥50m/s；数据采样数≥200万/s。</w:t>
            </w:r>
          </w:p>
        </w:tc>
      </w:tr>
      <w:tr w:rsidR="00275A19" w:rsidRPr="00782BAE" w14:paraId="17D5F5ED" w14:textId="77777777" w:rsidTr="00A645A1">
        <w:trPr>
          <w:trHeight w:val="285"/>
        </w:trPr>
        <w:tc>
          <w:tcPr>
            <w:tcW w:w="593" w:type="pct"/>
            <w:tcBorders>
              <w:top w:val="single" w:sz="4" w:space="0" w:color="auto"/>
              <w:left w:val="single" w:sz="4" w:space="0" w:color="auto"/>
              <w:bottom w:val="single" w:sz="4" w:space="0" w:color="auto"/>
              <w:right w:val="single" w:sz="4" w:space="0" w:color="auto"/>
            </w:tcBorders>
            <w:noWrap/>
            <w:vAlign w:val="center"/>
          </w:tcPr>
          <w:p w14:paraId="19968A5B"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single" w:sz="4" w:space="0" w:color="auto"/>
              <w:left w:val="nil"/>
              <w:bottom w:val="single" w:sz="4" w:space="0" w:color="auto"/>
              <w:right w:val="single" w:sz="4" w:space="0" w:color="auto"/>
            </w:tcBorders>
            <w:vAlign w:val="center"/>
          </w:tcPr>
          <w:p w14:paraId="3F46965B"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4.4</w:t>
            </w:r>
          </w:p>
        </w:tc>
        <w:tc>
          <w:tcPr>
            <w:tcW w:w="3975" w:type="pct"/>
            <w:tcBorders>
              <w:top w:val="single" w:sz="4" w:space="0" w:color="auto"/>
              <w:left w:val="nil"/>
              <w:bottom w:val="single" w:sz="4" w:space="0" w:color="auto"/>
              <w:right w:val="single" w:sz="4" w:space="0" w:color="auto"/>
            </w:tcBorders>
            <w:vAlign w:val="center"/>
          </w:tcPr>
          <w:p w14:paraId="1202FDF9"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超声瞬态流速</w:t>
            </w:r>
            <w:proofErr w:type="gramStart"/>
            <w:r w:rsidRPr="00782BAE">
              <w:rPr>
                <w:rFonts w:ascii="仿宋" w:eastAsia="仿宋" w:hAnsi="仿宋" w:cs="仿宋" w:hint="eastAsia"/>
                <w:color w:val="000000" w:themeColor="text1"/>
                <w:kern w:val="0"/>
                <w:sz w:val="20"/>
                <w:szCs w:val="20"/>
              </w:rPr>
              <w:t>探头探头</w:t>
            </w:r>
            <w:proofErr w:type="gramEnd"/>
            <w:r w:rsidRPr="00782BAE">
              <w:rPr>
                <w:rFonts w:ascii="仿宋" w:eastAsia="仿宋" w:hAnsi="仿宋" w:cs="仿宋" w:hint="eastAsia"/>
                <w:color w:val="000000" w:themeColor="text1"/>
                <w:kern w:val="0"/>
                <w:sz w:val="20"/>
                <w:szCs w:val="20"/>
              </w:rPr>
              <w:t>尺寸≤2cm（直径）；探头超声频率≥</w:t>
            </w:r>
            <w:r w:rsidRPr="00782BAE">
              <w:rPr>
                <w:rFonts w:ascii="仿宋" w:eastAsia="仿宋" w:hAnsi="仿宋" w:cs="仿宋"/>
                <w:color w:val="000000" w:themeColor="text1"/>
                <w:kern w:val="0"/>
                <w:sz w:val="20"/>
                <w:szCs w:val="20"/>
              </w:rPr>
              <w:t>2MHz</w:t>
            </w:r>
            <w:r w:rsidRPr="00782BAE">
              <w:rPr>
                <w:rFonts w:ascii="仿宋" w:eastAsia="仿宋" w:hAnsi="仿宋" w:cs="仿宋" w:hint="eastAsia"/>
                <w:color w:val="000000" w:themeColor="text1"/>
                <w:kern w:val="0"/>
                <w:sz w:val="20"/>
                <w:szCs w:val="20"/>
              </w:rPr>
              <w:t>；脉冲重复频率≥250Hz；纵向空间分辨率≤0.2mm。</w:t>
            </w:r>
          </w:p>
        </w:tc>
      </w:tr>
      <w:tr w:rsidR="00275A19" w:rsidRPr="00782BAE" w14:paraId="4113DB19" w14:textId="77777777" w:rsidTr="00A645A1">
        <w:trPr>
          <w:trHeight w:val="285"/>
        </w:trPr>
        <w:tc>
          <w:tcPr>
            <w:tcW w:w="593" w:type="pct"/>
            <w:tcBorders>
              <w:top w:val="single" w:sz="4" w:space="0" w:color="auto"/>
              <w:left w:val="single" w:sz="4" w:space="0" w:color="auto"/>
              <w:bottom w:val="single" w:sz="4" w:space="0" w:color="auto"/>
              <w:right w:val="single" w:sz="4" w:space="0" w:color="auto"/>
            </w:tcBorders>
            <w:noWrap/>
            <w:vAlign w:val="center"/>
          </w:tcPr>
          <w:p w14:paraId="06484EFB"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color w:val="000000" w:themeColor="text1"/>
              </w:rPr>
              <w:t>●</w:t>
            </w:r>
          </w:p>
        </w:tc>
        <w:tc>
          <w:tcPr>
            <w:tcW w:w="432" w:type="pct"/>
            <w:tcBorders>
              <w:top w:val="single" w:sz="4" w:space="0" w:color="auto"/>
              <w:left w:val="nil"/>
              <w:bottom w:val="single" w:sz="4" w:space="0" w:color="auto"/>
              <w:right w:val="single" w:sz="4" w:space="0" w:color="auto"/>
            </w:tcBorders>
            <w:vAlign w:val="center"/>
          </w:tcPr>
          <w:p w14:paraId="1F0AAA68"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4.5</w:t>
            </w:r>
          </w:p>
        </w:tc>
        <w:tc>
          <w:tcPr>
            <w:tcW w:w="3975" w:type="pct"/>
            <w:tcBorders>
              <w:top w:val="single" w:sz="4" w:space="0" w:color="auto"/>
              <w:left w:val="nil"/>
              <w:bottom w:val="single" w:sz="4" w:space="0" w:color="auto"/>
              <w:right w:val="single" w:sz="4" w:space="0" w:color="auto"/>
            </w:tcBorders>
            <w:vAlign w:val="center"/>
          </w:tcPr>
          <w:p w14:paraId="77382C99"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光纤光栅应变传感器</w:t>
            </w:r>
            <w:r w:rsidRPr="00782BAE">
              <w:rPr>
                <w:rFonts w:ascii="仿宋" w:eastAsia="仿宋" w:hAnsi="仿宋" w:cs="仿宋" w:hint="eastAsia"/>
                <w:color w:val="000000" w:themeColor="text1"/>
                <w:sz w:val="20"/>
                <w:szCs w:val="20"/>
              </w:rPr>
              <w:t>≥8通道</w:t>
            </w:r>
            <w:r w:rsidRPr="00782BAE">
              <w:rPr>
                <w:rFonts w:ascii="仿宋" w:eastAsia="仿宋" w:hAnsi="仿宋" w:cs="仿宋" w:hint="eastAsia"/>
                <w:color w:val="000000" w:themeColor="text1"/>
                <w:kern w:val="0"/>
                <w:sz w:val="20"/>
                <w:szCs w:val="20"/>
              </w:rPr>
              <w:t>；分辨率≤lμε；精度≤0.1%F.S；量程±5000με。</w:t>
            </w:r>
          </w:p>
        </w:tc>
      </w:tr>
      <w:tr w:rsidR="00275A19" w:rsidRPr="00782BAE" w14:paraId="2A6D76AD" w14:textId="77777777" w:rsidTr="00A645A1">
        <w:trPr>
          <w:trHeight w:val="285"/>
        </w:trPr>
        <w:tc>
          <w:tcPr>
            <w:tcW w:w="593" w:type="pct"/>
            <w:tcBorders>
              <w:top w:val="single" w:sz="4" w:space="0" w:color="auto"/>
              <w:left w:val="single" w:sz="4" w:space="0" w:color="auto"/>
              <w:bottom w:val="single" w:sz="4" w:space="0" w:color="auto"/>
              <w:right w:val="single" w:sz="4" w:space="0" w:color="auto"/>
            </w:tcBorders>
            <w:noWrap/>
            <w:vAlign w:val="center"/>
          </w:tcPr>
          <w:p w14:paraId="31C92F1E"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color w:val="000000" w:themeColor="text1"/>
              </w:rPr>
              <w:t>●</w:t>
            </w:r>
          </w:p>
        </w:tc>
        <w:tc>
          <w:tcPr>
            <w:tcW w:w="432" w:type="pct"/>
            <w:tcBorders>
              <w:top w:val="single" w:sz="4" w:space="0" w:color="auto"/>
              <w:left w:val="nil"/>
              <w:bottom w:val="single" w:sz="4" w:space="0" w:color="auto"/>
              <w:right w:val="single" w:sz="4" w:space="0" w:color="auto"/>
            </w:tcBorders>
            <w:vAlign w:val="center"/>
          </w:tcPr>
          <w:p w14:paraId="0E214DFF"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4.6</w:t>
            </w:r>
          </w:p>
        </w:tc>
        <w:tc>
          <w:tcPr>
            <w:tcW w:w="3975" w:type="pct"/>
            <w:tcBorders>
              <w:top w:val="single" w:sz="4" w:space="0" w:color="auto"/>
              <w:left w:val="nil"/>
              <w:bottom w:val="single" w:sz="4" w:space="0" w:color="auto"/>
              <w:right w:val="single" w:sz="4" w:space="0" w:color="auto"/>
            </w:tcBorders>
            <w:vAlign w:val="center"/>
          </w:tcPr>
          <w:p w14:paraId="2EB9D6AD"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光纤光栅解调仪1台：测量通道数</w:t>
            </w:r>
            <w:r w:rsidRPr="00782BAE">
              <w:rPr>
                <w:rFonts w:ascii="仿宋" w:eastAsia="仿宋" w:hAnsi="仿宋" w:cs="仿宋" w:hint="eastAsia"/>
                <w:color w:val="000000" w:themeColor="text1"/>
                <w:sz w:val="20"/>
                <w:szCs w:val="20"/>
              </w:rPr>
              <w:t>≥</w:t>
            </w:r>
            <w:r w:rsidRPr="00782BAE">
              <w:rPr>
                <w:rFonts w:ascii="仿宋" w:eastAsia="仿宋" w:hAnsi="仿宋" w:cs="仿宋" w:hint="eastAsia"/>
                <w:color w:val="000000" w:themeColor="text1"/>
                <w:kern w:val="0"/>
                <w:sz w:val="20"/>
                <w:szCs w:val="20"/>
              </w:rPr>
              <w:t>8路；波长范围</w:t>
            </w:r>
            <w:r w:rsidRPr="00782BAE">
              <w:rPr>
                <w:rFonts w:ascii="仿宋" w:eastAsia="仿宋" w:hAnsi="仿宋" w:cs="仿宋" w:hint="eastAsia"/>
                <w:color w:val="000000" w:themeColor="text1"/>
                <w:sz w:val="20"/>
                <w:szCs w:val="20"/>
              </w:rPr>
              <w:t>≥</w:t>
            </w:r>
            <w:r w:rsidRPr="00782BAE">
              <w:rPr>
                <w:rFonts w:ascii="仿宋" w:eastAsia="仿宋" w:hAnsi="仿宋" w:cs="仿宋" w:hint="eastAsia"/>
                <w:color w:val="000000" w:themeColor="text1"/>
                <w:kern w:val="0"/>
                <w:sz w:val="20"/>
                <w:szCs w:val="20"/>
              </w:rPr>
              <w:t>40nm；波长分辨率≤1pm；扫描频率：</w:t>
            </w:r>
            <w:r w:rsidRPr="00782BAE" w:rsidDel="001955F2">
              <w:rPr>
                <w:rFonts w:ascii="仿宋" w:eastAsia="仿宋" w:hAnsi="仿宋" w:cs="仿宋" w:hint="eastAsia"/>
                <w:color w:val="000000" w:themeColor="text1"/>
                <w:sz w:val="20"/>
                <w:szCs w:val="20"/>
              </w:rPr>
              <w:t xml:space="preserve"> </w:t>
            </w:r>
            <w:r w:rsidRPr="00782BAE">
              <w:rPr>
                <w:rFonts w:ascii="仿宋" w:eastAsia="仿宋" w:hAnsi="仿宋" w:cs="仿宋" w:hint="eastAsia"/>
                <w:color w:val="000000" w:themeColor="text1"/>
                <w:kern w:val="0"/>
                <w:sz w:val="20"/>
                <w:szCs w:val="20"/>
              </w:rPr>
              <w:t>0～1000Hz，含数据采集分析软件。</w:t>
            </w:r>
          </w:p>
        </w:tc>
      </w:tr>
      <w:tr w:rsidR="00275A19" w:rsidRPr="00782BAE" w14:paraId="6AA32061" w14:textId="77777777" w:rsidTr="00A645A1">
        <w:trPr>
          <w:trHeight w:val="285"/>
        </w:trPr>
        <w:tc>
          <w:tcPr>
            <w:tcW w:w="593" w:type="pct"/>
            <w:tcBorders>
              <w:top w:val="single" w:sz="4" w:space="0" w:color="auto"/>
              <w:left w:val="single" w:sz="4" w:space="0" w:color="auto"/>
              <w:bottom w:val="single" w:sz="4" w:space="0" w:color="auto"/>
              <w:right w:val="single" w:sz="4" w:space="0" w:color="auto"/>
            </w:tcBorders>
            <w:noWrap/>
            <w:vAlign w:val="center"/>
          </w:tcPr>
          <w:p w14:paraId="446E9DCB"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single" w:sz="4" w:space="0" w:color="auto"/>
              <w:left w:val="nil"/>
              <w:bottom w:val="single" w:sz="4" w:space="0" w:color="auto"/>
              <w:right w:val="single" w:sz="4" w:space="0" w:color="auto"/>
            </w:tcBorders>
            <w:vAlign w:val="center"/>
          </w:tcPr>
          <w:p w14:paraId="62A85181"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4.7</w:t>
            </w:r>
          </w:p>
        </w:tc>
        <w:tc>
          <w:tcPr>
            <w:tcW w:w="3975" w:type="pct"/>
            <w:tcBorders>
              <w:top w:val="single" w:sz="4" w:space="0" w:color="auto"/>
              <w:left w:val="nil"/>
              <w:bottom w:val="single" w:sz="4" w:space="0" w:color="auto"/>
              <w:right w:val="single" w:sz="4" w:space="0" w:color="auto"/>
            </w:tcBorders>
            <w:vAlign w:val="center"/>
          </w:tcPr>
          <w:p w14:paraId="6E4BBD1E"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hint="eastAsia"/>
                <w:color w:val="000000" w:themeColor="text1"/>
                <w:kern w:val="0"/>
                <w:sz w:val="20"/>
                <w:szCs w:val="20"/>
              </w:rPr>
              <w:t>数据终端（≥16物理核心，≥64G内存，≥2T固态硬盘，独立显卡，≥8G，≥24英寸显示终端）。</w:t>
            </w:r>
          </w:p>
        </w:tc>
      </w:tr>
      <w:tr w:rsidR="00275A19" w:rsidRPr="00782BAE" w14:paraId="226241B7" w14:textId="77777777" w:rsidTr="00A645A1">
        <w:trPr>
          <w:trHeight w:val="285"/>
        </w:trPr>
        <w:tc>
          <w:tcPr>
            <w:tcW w:w="593" w:type="pct"/>
            <w:tcBorders>
              <w:top w:val="single" w:sz="4" w:space="0" w:color="auto"/>
              <w:left w:val="single" w:sz="4" w:space="0" w:color="auto"/>
              <w:bottom w:val="single" w:sz="4" w:space="0" w:color="auto"/>
              <w:right w:val="single" w:sz="4" w:space="0" w:color="auto"/>
            </w:tcBorders>
            <w:noWrap/>
            <w:vAlign w:val="center"/>
          </w:tcPr>
          <w:p w14:paraId="0F1E2C71"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432" w:type="pct"/>
            <w:tcBorders>
              <w:top w:val="single" w:sz="4" w:space="0" w:color="auto"/>
              <w:left w:val="nil"/>
              <w:bottom w:val="single" w:sz="4" w:space="0" w:color="auto"/>
              <w:right w:val="single" w:sz="4" w:space="0" w:color="auto"/>
            </w:tcBorders>
            <w:vAlign w:val="center"/>
          </w:tcPr>
          <w:p w14:paraId="139BA08D" w14:textId="77777777" w:rsidR="00275A19" w:rsidRPr="00782BAE" w:rsidRDefault="00275A19" w:rsidP="00A645A1">
            <w:pPr>
              <w:widowControl/>
              <w:jc w:val="center"/>
              <w:rPr>
                <w:rFonts w:ascii="仿宋" w:eastAsia="仿宋" w:hAnsi="仿宋" w:cs="仿宋" w:hint="eastAsia"/>
                <w:color w:val="000000" w:themeColor="text1"/>
                <w:kern w:val="0"/>
                <w:sz w:val="20"/>
                <w:szCs w:val="20"/>
              </w:rPr>
            </w:pPr>
          </w:p>
        </w:tc>
        <w:tc>
          <w:tcPr>
            <w:tcW w:w="3975" w:type="pct"/>
            <w:tcBorders>
              <w:top w:val="single" w:sz="4" w:space="0" w:color="auto"/>
              <w:left w:val="nil"/>
              <w:bottom w:val="single" w:sz="4" w:space="0" w:color="auto"/>
              <w:right w:val="single" w:sz="4" w:space="0" w:color="auto"/>
            </w:tcBorders>
            <w:vAlign w:val="center"/>
          </w:tcPr>
          <w:p w14:paraId="546B0F39" w14:textId="77777777" w:rsidR="00275A19" w:rsidRPr="00782BAE"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color w:val="000000" w:themeColor="text1"/>
                <w:kern w:val="0"/>
                <w:sz w:val="20"/>
                <w:szCs w:val="20"/>
              </w:rPr>
              <w:t>备注：1、以上所有技术指标必须满足要求没有负偏离，否则按无效文件处理；</w:t>
            </w:r>
          </w:p>
          <w:p w14:paraId="2A33DAEB" w14:textId="77777777" w:rsidR="00275A19" w:rsidRPr="00782BAE" w:rsidDel="001955F2" w:rsidRDefault="00275A19" w:rsidP="00A645A1">
            <w:pPr>
              <w:widowControl/>
              <w:jc w:val="left"/>
              <w:rPr>
                <w:rFonts w:ascii="仿宋" w:eastAsia="仿宋" w:hAnsi="仿宋" w:cs="仿宋" w:hint="eastAsia"/>
                <w:color w:val="000000" w:themeColor="text1"/>
                <w:kern w:val="0"/>
                <w:sz w:val="20"/>
                <w:szCs w:val="20"/>
              </w:rPr>
            </w:pPr>
            <w:r w:rsidRPr="00782BAE">
              <w:rPr>
                <w:rFonts w:ascii="仿宋" w:eastAsia="仿宋" w:hAnsi="仿宋" w:cs="仿宋"/>
                <w:color w:val="000000" w:themeColor="text1"/>
                <w:kern w:val="0"/>
                <w:sz w:val="20"/>
                <w:szCs w:val="20"/>
              </w:rPr>
              <w:lastRenderedPageBreak/>
              <w:t>2、带●的技术参数与性能指标需要提供证明材料，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tc>
      </w:tr>
    </w:tbl>
    <w:p w14:paraId="494F6774" w14:textId="77777777" w:rsidR="008F24CB" w:rsidRPr="00275A19" w:rsidRDefault="008F24CB">
      <w:pPr>
        <w:rPr>
          <w:rFonts w:hint="eastAsia"/>
        </w:rPr>
      </w:pPr>
    </w:p>
    <w:sectPr w:rsidR="008F24CB" w:rsidRPr="00275A1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altName w:val="FangSong"/>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21F3CF7"/>
    <w:multiLevelType w:val="singleLevel"/>
    <w:tmpl w:val="B21F3CF7"/>
    <w:lvl w:ilvl="0">
      <w:start w:val="1"/>
      <w:numFmt w:val="decimal"/>
      <w:suff w:val="nothing"/>
      <w:lvlText w:val="%1、"/>
      <w:lvlJc w:val="left"/>
    </w:lvl>
  </w:abstractNum>
  <w:num w:numId="1" w16cid:durableId="1530989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19"/>
    <w:rsid w:val="001B6D82"/>
    <w:rsid w:val="00275A19"/>
    <w:rsid w:val="00612E06"/>
    <w:rsid w:val="008F24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80F6D"/>
  <w15:chartTrackingRefBased/>
  <w15:docId w15:val="{EF2DCB1C-8BD8-4BB9-8C07-BD7FB8ADC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5A19"/>
    <w:pPr>
      <w:widowControl w:val="0"/>
      <w:spacing w:after="0" w:line="240" w:lineRule="auto"/>
      <w:jc w:val="both"/>
    </w:pPr>
    <w:rPr>
      <w:rFonts w:ascii="Times New Roman" w:eastAsia="宋体" w:hAnsi="Times New Roman" w:cs="Times New Roman"/>
      <w:sz w:val="21"/>
      <w:szCs w:val="22"/>
      <w14:ligatures w14:val="none"/>
    </w:rPr>
  </w:style>
  <w:style w:type="paragraph" w:styleId="1">
    <w:name w:val="heading 1"/>
    <w:basedOn w:val="a"/>
    <w:next w:val="a"/>
    <w:link w:val="10"/>
    <w:uiPriority w:val="9"/>
    <w:qFormat/>
    <w:rsid w:val="00275A1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75A1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75A1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75A1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75A1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75A1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75A1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75A1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75A19"/>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75A1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75A1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75A1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75A19"/>
    <w:rPr>
      <w:rFonts w:cstheme="majorBidi"/>
      <w:color w:val="0F4761" w:themeColor="accent1" w:themeShade="BF"/>
      <w:sz w:val="28"/>
      <w:szCs w:val="28"/>
    </w:rPr>
  </w:style>
  <w:style w:type="character" w:customStyle="1" w:styleId="50">
    <w:name w:val="标题 5 字符"/>
    <w:basedOn w:val="a0"/>
    <w:link w:val="5"/>
    <w:uiPriority w:val="9"/>
    <w:semiHidden/>
    <w:rsid w:val="00275A19"/>
    <w:rPr>
      <w:rFonts w:cstheme="majorBidi"/>
      <w:color w:val="0F4761" w:themeColor="accent1" w:themeShade="BF"/>
      <w:sz w:val="24"/>
    </w:rPr>
  </w:style>
  <w:style w:type="character" w:customStyle="1" w:styleId="60">
    <w:name w:val="标题 6 字符"/>
    <w:basedOn w:val="a0"/>
    <w:link w:val="6"/>
    <w:uiPriority w:val="9"/>
    <w:semiHidden/>
    <w:rsid w:val="00275A19"/>
    <w:rPr>
      <w:rFonts w:cstheme="majorBidi"/>
      <w:b/>
      <w:bCs/>
      <w:color w:val="0F4761" w:themeColor="accent1" w:themeShade="BF"/>
    </w:rPr>
  </w:style>
  <w:style w:type="character" w:customStyle="1" w:styleId="70">
    <w:name w:val="标题 7 字符"/>
    <w:basedOn w:val="a0"/>
    <w:link w:val="7"/>
    <w:uiPriority w:val="9"/>
    <w:semiHidden/>
    <w:rsid w:val="00275A19"/>
    <w:rPr>
      <w:rFonts w:cstheme="majorBidi"/>
      <w:b/>
      <w:bCs/>
      <w:color w:val="595959" w:themeColor="text1" w:themeTint="A6"/>
    </w:rPr>
  </w:style>
  <w:style w:type="character" w:customStyle="1" w:styleId="80">
    <w:name w:val="标题 8 字符"/>
    <w:basedOn w:val="a0"/>
    <w:link w:val="8"/>
    <w:uiPriority w:val="9"/>
    <w:semiHidden/>
    <w:rsid w:val="00275A19"/>
    <w:rPr>
      <w:rFonts w:cstheme="majorBidi"/>
      <w:color w:val="595959" w:themeColor="text1" w:themeTint="A6"/>
    </w:rPr>
  </w:style>
  <w:style w:type="character" w:customStyle="1" w:styleId="90">
    <w:name w:val="标题 9 字符"/>
    <w:basedOn w:val="a0"/>
    <w:link w:val="9"/>
    <w:uiPriority w:val="9"/>
    <w:semiHidden/>
    <w:rsid w:val="00275A19"/>
    <w:rPr>
      <w:rFonts w:eastAsiaTheme="majorEastAsia" w:cstheme="majorBidi"/>
      <w:color w:val="595959" w:themeColor="text1" w:themeTint="A6"/>
    </w:rPr>
  </w:style>
  <w:style w:type="paragraph" w:styleId="a3">
    <w:name w:val="Title"/>
    <w:basedOn w:val="a"/>
    <w:next w:val="a"/>
    <w:link w:val="a4"/>
    <w:uiPriority w:val="10"/>
    <w:qFormat/>
    <w:rsid w:val="00275A1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75A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75A1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75A1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75A19"/>
    <w:pPr>
      <w:spacing w:before="160"/>
      <w:jc w:val="center"/>
    </w:pPr>
    <w:rPr>
      <w:i/>
      <w:iCs/>
      <w:color w:val="404040" w:themeColor="text1" w:themeTint="BF"/>
    </w:rPr>
  </w:style>
  <w:style w:type="character" w:customStyle="1" w:styleId="a8">
    <w:name w:val="引用 字符"/>
    <w:basedOn w:val="a0"/>
    <w:link w:val="a7"/>
    <w:uiPriority w:val="29"/>
    <w:rsid w:val="00275A19"/>
    <w:rPr>
      <w:i/>
      <w:iCs/>
      <w:color w:val="404040" w:themeColor="text1" w:themeTint="BF"/>
    </w:rPr>
  </w:style>
  <w:style w:type="paragraph" w:styleId="a9">
    <w:name w:val="List Paragraph"/>
    <w:basedOn w:val="a"/>
    <w:uiPriority w:val="34"/>
    <w:qFormat/>
    <w:rsid w:val="00275A19"/>
    <w:pPr>
      <w:ind w:left="720"/>
      <w:contextualSpacing/>
    </w:pPr>
  </w:style>
  <w:style w:type="character" w:styleId="aa">
    <w:name w:val="Intense Emphasis"/>
    <w:basedOn w:val="a0"/>
    <w:uiPriority w:val="21"/>
    <w:qFormat/>
    <w:rsid w:val="00275A19"/>
    <w:rPr>
      <w:i/>
      <w:iCs/>
      <w:color w:val="0F4761" w:themeColor="accent1" w:themeShade="BF"/>
    </w:rPr>
  </w:style>
  <w:style w:type="paragraph" w:styleId="ab">
    <w:name w:val="Intense Quote"/>
    <w:basedOn w:val="a"/>
    <w:next w:val="a"/>
    <w:link w:val="ac"/>
    <w:uiPriority w:val="30"/>
    <w:qFormat/>
    <w:rsid w:val="00275A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75A19"/>
    <w:rPr>
      <w:i/>
      <w:iCs/>
      <w:color w:val="0F4761" w:themeColor="accent1" w:themeShade="BF"/>
    </w:rPr>
  </w:style>
  <w:style w:type="character" w:styleId="ad">
    <w:name w:val="Intense Reference"/>
    <w:basedOn w:val="a0"/>
    <w:uiPriority w:val="32"/>
    <w:qFormat/>
    <w:rsid w:val="00275A19"/>
    <w:rPr>
      <w:b/>
      <w:bCs/>
      <w:smallCaps/>
      <w:color w:val="0F4761" w:themeColor="accent1" w:themeShade="BF"/>
      <w:spacing w:val="5"/>
    </w:rPr>
  </w:style>
  <w:style w:type="paragraph" w:customStyle="1" w:styleId="null3">
    <w:name w:val="null3"/>
    <w:hidden/>
    <w:qFormat/>
    <w:rsid w:val="00275A19"/>
    <w:pPr>
      <w:spacing w:after="0" w:line="240" w:lineRule="auto"/>
    </w:pPr>
    <w:rPr>
      <w:rFonts w:hint="eastAsi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178</Words>
  <Characters>1017</Characters>
  <Application>Microsoft Office Word</Application>
  <DocSecurity>0</DocSecurity>
  <Lines>8</Lines>
  <Paragraphs>2</Paragraphs>
  <ScaleCrop>false</ScaleCrop>
  <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 Hi</dc:creator>
  <cp:keywords/>
  <dc:description/>
  <cp:lastModifiedBy>fi Hi</cp:lastModifiedBy>
  <cp:revision>1</cp:revision>
  <dcterms:created xsi:type="dcterms:W3CDTF">2026-07-29T07:42:00Z</dcterms:created>
  <dcterms:modified xsi:type="dcterms:W3CDTF">2026-07-29T07:42:00Z</dcterms:modified>
</cp:coreProperties>
</file>