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版本号：HCZB-2026-10520260707001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西安航空基地雨污水提升泵站委托运营管理项目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HCZB-2026-105</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西安航空基地雨污水提升泵站委托运营管理项目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HCZB-2026-105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西安航空基地雨污水提升泵站委托运营管理项目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西安航空基地污水提升泵站委托运营期已届满，雨水提升泵站已建成。为保障基地二期企业排水需求和泵站安全、高效、稳定运行，雨污水提升泵站本次采用竞争性磋商采购方式选定第三方运营公司进行管理。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采购包1（西安航空基地雨污水提升泵站委托运营管理项目）：属于专门面向中小企业采购。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事务所或审计机构出具的财务审计报告（成立时间至提交响应文件截止时间不足一年的可提供成立后任意时段的资产负债表），或其基本存款账户开户银行出具的资信证明。（以上两种形式的资料提供任何一种即可）；</w:t>
      </w:r>
    </w:p>
    <w:p>
      <w:pPr>
        <w:pStyle w:val="null3"/>
      </w:pPr>
      <w:r>
        <w:rPr>
          <w:rFonts w:ascii="仿宋_GB2312" w:hAnsi="仿宋_GB2312" w:cs="仿宋_GB2312" w:eastAsia="仿宋_GB2312"/>
        </w:rPr>
        <w:t>3、税收缴纳证明：提供投标截止之日起近一年以来已缴纳的至少一个月的纳税证明或完税证明（任意税种），纳税证明或完税证明上应有代收机构或税务机关的公章或业务专用章；依法免税的投标人应提供相关文件证明（复印件加盖投标人公章）；</w:t>
      </w:r>
    </w:p>
    <w:p>
      <w:pPr>
        <w:pStyle w:val="null3"/>
      </w:pPr>
      <w:r>
        <w:rPr>
          <w:rFonts w:ascii="仿宋_GB2312" w:hAnsi="仿宋_GB2312" w:cs="仿宋_GB2312" w:eastAsia="仿宋_GB2312"/>
        </w:rPr>
        <w:t>4、社会保障资金缴纳证明：提供投标截止之日起近一年以来已缴存的至少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5、书面声明：提供具有履行本合同所必需的设备和专业技术能力的声明；</w:t>
      </w:r>
    </w:p>
    <w:p>
      <w:pPr>
        <w:pStyle w:val="null3"/>
      </w:pPr>
      <w:r>
        <w:rPr>
          <w:rFonts w:ascii="仿宋_GB2312" w:hAnsi="仿宋_GB2312" w:cs="仿宋_GB2312" w:eastAsia="仿宋_GB2312"/>
        </w:rPr>
        <w:t>6、无重大违法记录的书面声明：提供参加本次政府采购活动前3年内，在经营活动中没有重大违法记录的书面声明；</w:t>
      </w:r>
    </w:p>
    <w:p>
      <w:pPr>
        <w:pStyle w:val="null3"/>
      </w:pPr>
      <w:r>
        <w:rPr>
          <w:rFonts w:ascii="仿宋_GB2312" w:hAnsi="仿宋_GB2312" w:cs="仿宋_GB2312" w:eastAsia="仿宋_GB2312"/>
        </w:rPr>
        <w:t>7、法定代表人授权书：投标人应授权合法的人员参加投标全过程，其中法定代表人直接参加投标的，须出具法定代表人身份证复印件，并与营业执照上信息一致。法定代表人授权代表参加投标的，须出具法定代表人授权书及授权代表身份证复印件，同时提供投标人为授权代表缴纳的近三个月内任意一个月社保证明;</w:t>
      </w:r>
    </w:p>
    <w:p>
      <w:pPr>
        <w:pStyle w:val="null3"/>
      </w:pPr>
      <w:r>
        <w:rPr>
          <w:rFonts w:ascii="仿宋_GB2312" w:hAnsi="仿宋_GB2312" w:cs="仿宋_GB2312" w:eastAsia="仿宋_GB2312"/>
        </w:rPr>
        <w:t>8、信用信息查询（供应商无须提供，由采购人或采购代理机构现场查询）：供应商未被“信用中国” 网站（www.creditchina.gov.cn）列入失信被执行人和重大税收违法失信主体，未被中国政府采购网（w ww.ccgp.gov.cn）列入政府采购严重违法失信行为记录名单；</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029-89083618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赵根女、冯建正、王杨、程琤、徐欣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采购包1：1,110,470.60元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中标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联系人：赵根女、冯建正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西安航空基地污水提升泵站委托运营期已届满，雨水提升泵站已建成。为保障基地二期企业排水需求和泵站安全、高效、稳定运行，雨污水提升泵站本次采用竞争性磋商采购方式选定第三方运营公司进行管理.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1,110,470.60</w:t>
      </w:r>
    </w:p>
    <w:p>
      <w:pPr>
        <w:pStyle w:val="null3"/>
      </w:pPr>
      <w:r>
        <w:rPr>
          <w:rFonts w:ascii="仿宋_GB2312" w:hAnsi="仿宋_GB2312" w:cs="仿宋_GB2312" w:eastAsia="仿宋_GB2312"/>
        </w:rPr>
        <w:t>采购包最高限价（元）: 1,110,470.60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雨污水提升泵站委托运营管理</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1,110,470.60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标的名称：雨污水提升泵站委托运营管理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0"/>
              <w:tblBorders>
                <w:top w:val="none" w:color="000000" w:sz="4"/>
                <w:left w:val="none" w:color="000000" w:sz="4"/>
                <w:bottom w:val="none" w:color="000000" w:sz="4"/>
                <w:right w:val="none" w:color="000000" w:sz="4"/>
                <w:insideH w:val="none"/>
                <w:insideV w:val="none"/>
              </w:tblBorders>
            </w:tblPr>
            <w:tblGrid>
              <w:gridCol w:w="129"/>
              <w:gridCol w:w="246"/>
              <w:gridCol w:w="217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服务名称</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具体内容</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1、污水提升泵站设置1名/年专职人员，3名/年兼职人员。</w:t>
                  </w:r>
                  <w:r>
                    <w:br/>
                  </w:r>
                  <w:r>
                    <w:rPr>
                      <w:rFonts w:ascii="仿宋_GB2312" w:hAnsi="仿宋_GB2312" w:cs="仿宋_GB2312" w:eastAsia="仿宋_GB2312"/>
                      <w:sz w:val="21"/>
                    </w:rPr>
                    <w:t xml:space="preserve">2、雨水提升泵站第一年2名兼职人员、第二年1名兼职人员。                       </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日常维护与维修</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各类设施、机电设备进行定期检查、清洁、润滑、紧固、调整、防尘防潮、易损件更换等预防性工作，雨水提升泵站雨前、雨后检查。自控设施的维护保养。目的是保证设备始终处于良好运行状态，减少故障发生，延长使用寿命，确保泵站稳定运行。</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自控提升改造</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1、不锈钢落地柜、型号800 (W)×600 (D)×2200 (H)；</w:t>
                  </w:r>
                  <w:r>
                    <w:br/>
                  </w:r>
                  <w:r>
                    <w:rPr>
                      <w:rFonts w:ascii="仿宋_GB2312" w:hAnsi="仿宋_GB2312" w:cs="仿宋_GB2312" w:eastAsia="仿宋_GB2312"/>
                      <w:sz w:val="21"/>
                    </w:rPr>
                    <w:t>2、双电源自动转换开关、型号4P/250A；</w:t>
                  </w:r>
                  <w:r>
                    <w:br/>
                  </w:r>
                  <w:r>
                    <w:rPr>
                      <w:rFonts w:ascii="仿宋_GB2312" w:hAnsi="仿宋_GB2312" w:cs="仿宋_GB2312" w:eastAsia="仿宋_GB2312"/>
                      <w:sz w:val="21"/>
                    </w:rPr>
                    <w:t xml:space="preserve">3、塑壳断路器、型号4P/100A；      </w:t>
                  </w:r>
                </w:p>
                <w:p>
                  <w:pPr>
                    <w:pStyle w:val="null3"/>
                    <w:jc w:val="both"/>
                  </w:pPr>
                  <w:r>
                    <w:rPr>
                      <w:rFonts w:ascii="仿宋_GB2312" w:hAnsi="仿宋_GB2312" w:cs="仿宋_GB2312" w:eastAsia="仿宋_GB2312"/>
                      <w:sz w:val="21"/>
                    </w:rPr>
                    <w:t>4、软启动器、型号45kw、利旧；</w:t>
                  </w:r>
                  <w:r>
                    <w:br/>
                  </w:r>
                  <w:r>
                    <w:rPr>
                      <w:rFonts w:ascii="仿宋_GB2312" w:hAnsi="仿宋_GB2312" w:cs="仿宋_GB2312" w:eastAsia="仿宋_GB2312"/>
                      <w:sz w:val="21"/>
                    </w:rPr>
                    <w:t xml:space="preserve">5、空气开关断路器、型号2P/10A；   </w:t>
                  </w:r>
                </w:p>
                <w:p>
                  <w:pPr>
                    <w:pStyle w:val="null3"/>
                    <w:jc w:val="both"/>
                  </w:pPr>
                  <w:r>
                    <w:rPr>
                      <w:rFonts w:ascii="仿宋_GB2312" w:hAnsi="仿宋_GB2312" w:cs="仿宋_GB2312" w:eastAsia="仿宋_GB2312"/>
                      <w:sz w:val="21"/>
                    </w:rPr>
                    <w:t>6、转换开关、型号LW26-20/23；</w:t>
                  </w:r>
                  <w:r>
                    <w:br/>
                  </w:r>
                  <w:r>
                    <w:rPr>
                      <w:rFonts w:ascii="仿宋_GB2312" w:hAnsi="仿宋_GB2312" w:cs="仿宋_GB2312" w:eastAsia="仿宋_GB2312"/>
                      <w:sz w:val="21"/>
                    </w:rPr>
                    <w:t xml:space="preserve">7、电源模块、型号EDR-120-24；     </w:t>
                  </w:r>
                </w:p>
                <w:p>
                  <w:pPr>
                    <w:pStyle w:val="null3"/>
                    <w:jc w:val="both"/>
                  </w:pPr>
                  <w:r>
                    <w:rPr>
                      <w:rFonts w:ascii="仿宋_GB2312" w:hAnsi="仿宋_GB2312" w:cs="仿宋_GB2312" w:eastAsia="仿宋_GB2312"/>
                      <w:sz w:val="21"/>
                    </w:rPr>
                    <w:t>8、PLC、型号S7-200 SMART CPU SR40；</w:t>
                  </w:r>
                  <w:r>
                    <w:br/>
                  </w:r>
                  <w:r>
                    <w:rPr>
                      <w:rFonts w:ascii="仿宋_GB2312" w:hAnsi="仿宋_GB2312" w:cs="仿宋_GB2312" w:eastAsia="仿宋_GB2312"/>
                      <w:sz w:val="21"/>
                    </w:rPr>
                    <w:t xml:space="preserve">9、模拟量模块、型号JIA3212；      </w:t>
                  </w:r>
                </w:p>
                <w:p>
                  <w:pPr>
                    <w:pStyle w:val="null3"/>
                    <w:jc w:val="both"/>
                  </w:pPr>
                  <w:r>
                    <w:rPr>
                      <w:rFonts w:ascii="仿宋_GB2312" w:hAnsi="仿宋_GB2312" w:cs="仿宋_GB2312" w:eastAsia="仿宋_GB2312"/>
                      <w:sz w:val="21"/>
                    </w:rPr>
                    <w:t>10、触摸屏、型号TPC1031Ni 10寸；</w:t>
                  </w:r>
                  <w:r>
                    <w:br/>
                  </w:r>
                  <w:r>
                    <w:rPr>
                      <w:rFonts w:ascii="仿宋_GB2312" w:hAnsi="仿宋_GB2312" w:cs="仿宋_GB2312" w:eastAsia="仿宋_GB2312"/>
                      <w:sz w:val="21"/>
                    </w:rPr>
                    <w:t>11、物联网模块、型号AMX-IOT-PG600S；</w:t>
                  </w:r>
                  <w:r>
                    <w:br/>
                  </w:r>
                  <w:r>
                    <w:rPr>
                      <w:rFonts w:ascii="仿宋_GB2312" w:hAnsi="仿宋_GB2312" w:cs="仿宋_GB2312" w:eastAsia="仿宋_GB2312"/>
                      <w:sz w:val="21"/>
                    </w:rPr>
                    <w:t>12、超声波液位计、型号E+H分体式超声波液位计-FDU；</w:t>
                  </w:r>
                  <w:r>
                    <w:br/>
                  </w:r>
                  <w:r>
                    <w:rPr>
                      <w:rFonts w:ascii="仿宋_GB2312" w:hAnsi="仿宋_GB2312" w:cs="仿宋_GB2312" w:eastAsia="仿宋_GB2312"/>
                      <w:sz w:val="21"/>
                    </w:rPr>
                    <w:t xml:space="preserve">13、动力电缆、型号3*35+1*16mm2；  </w:t>
                  </w:r>
                </w:p>
                <w:p>
                  <w:pPr>
                    <w:pStyle w:val="null3"/>
                    <w:jc w:val="both"/>
                  </w:pPr>
                  <w:r>
                    <w:rPr>
                      <w:rFonts w:ascii="仿宋_GB2312" w:hAnsi="仿宋_GB2312" w:cs="仿宋_GB2312" w:eastAsia="仿宋_GB2312"/>
                      <w:sz w:val="21"/>
                    </w:rPr>
                    <w:t>14、屏蔽电缆、型号3*1mm2；</w:t>
                  </w:r>
                  <w:r>
                    <w:br/>
                  </w:r>
                  <w:r>
                    <w:rPr>
                      <w:rFonts w:ascii="仿宋_GB2312" w:hAnsi="仿宋_GB2312" w:cs="仿宋_GB2312" w:eastAsia="仿宋_GB2312"/>
                      <w:sz w:val="21"/>
                    </w:rPr>
                    <w:t>15、太阳能监控摄像头、型号4G-长焦(监控距离30米内)；</w:t>
                  </w:r>
                  <w:r>
                    <w:br/>
                  </w:r>
                  <w:r>
                    <w:rPr>
                      <w:rFonts w:ascii="仿宋_GB2312" w:hAnsi="仿宋_GB2312" w:cs="仿宋_GB2312" w:eastAsia="仿宋_GB2312"/>
                      <w:sz w:val="21"/>
                    </w:rPr>
                    <w:t>16、监控摄像头、型号5MP-220V；</w:t>
                  </w:r>
                  <w:r>
                    <w:br/>
                  </w:r>
                  <w:r>
                    <w:rPr>
                      <w:rFonts w:ascii="仿宋_GB2312" w:hAnsi="仿宋_GB2312" w:cs="仿宋_GB2312" w:eastAsia="仿宋_GB2312"/>
                      <w:sz w:val="21"/>
                    </w:rPr>
                    <w:t>17、塑壳断路器、型号200A/4P，额定电流200A；</w:t>
                  </w:r>
                  <w:r>
                    <w:br/>
                  </w:r>
                  <w:r>
                    <w:rPr>
                      <w:rFonts w:ascii="仿宋_GB2312" w:hAnsi="仿宋_GB2312" w:cs="仿宋_GB2312" w:eastAsia="仿宋_GB2312"/>
                      <w:sz w:val="21"/>
                    </w:rPr>
                    <w:t>18、散热风扇、型号220V，工业级散热风扇；</w:t>
                  </w:r>
                  <w:r>
                    <w:br/>
                  </w:r>
                  <w:r>
                    <w:rPr>
                      <w:rFonts w:ascii="仿宋_GB2312" w:hAnsi="仿宋_GB2312" w:cs="仿宋_GB2312" w:eastAsia="仿宋_GB2312"/>
                      <w:sz w:val="21"/>
                    </w:rPr>
                    <w:t xml:space="preserve">19、空气开关、型号150A/4P；       </w:t>
                  </w:r>
                </w:p>
                <w:p>
                  <w:pPr>
                    <w:pStyle w:val="null3"/>
                    <w:jc w:val="both"/>
                  </w:pPr>
                  <w:r>
                    <w:rPr>
                      <w:rFonts w:ascii="仿宋_GB2312" w:hAnsi="仿宋_GB2312" w:cs="仿宋_GB2312" w:eastAsia="仿宋_GB2312"/>
                      <w:sz w:val="21"/>
                    </w:rPr>
                    <w:t>20、空气开关断路器、型号2P/10A；</w:t>
                  </w:r>
                  <w:r>
                    <w:br/>
                  </w:r>
                  <w:r>
                    <w:rPr>
                      <w:rFonts w:ascii="仿宋_GB2312" w:hAnsi="仿宋_GB2312" w:cs="仿宋_GB2312" w:eastAsia="仿宋_GB2312"/>
                      <w:sz w:val="21"/>
                    </w:rPr>
                    <w:t xml:space="preserve">21、转换开关、型号LW26-20/23；    </w:t>
                  </w:r>
                </w:p>
                <w:p>
                  <w:pPr>
                    <w:pStyle w:val="null3"/>
                    <w:jc w:val="both"/>
                  </w:pPr>
                  <w:r>
                    <w:rPr>
                      <w:rFonts w:ascii="仿宋_GB2312" w:hAnsi="仿宋_GB2312" w:cs="仿宋_GB2312" w:eastAsia="仿宋_GB2312"/>
                      <w:sz w:val="21"/>
                    </w:rPr>
                    <w:t>22、浪涌保护器、型号SPD-4P，额定电压380V；</w:t>
                  </w:r>
                  <w:r>
                    <w:br/>
                  </w:r>
                  <w:r>
                    <w:rPr>
                      <w:rFonts w:ascii="仿宋_GB2312" w:hAnsi="仿宋_GB2312" w:cs="仿宋_GB2312" w:eastAsia="仿宋_GB2312"/>
                      <w:sz w:val="21"/>
                    </w:rPr>
                    <w:t>23、电流互感器、型号额定电流100A，变比100/5A；</w:t>
                  </w:r>
                  <w:r>
                    <w:br/>
                  </w:r>
                  <w:r>
                    <w:rPr>
                      <w:rFonts w:ascii="仿宋_GB2312" w:hAnsi="仿宋_GB2312" w:cs="仿宋_GB2312" w:eastAsia="仿宋_GB2312"/>
                      <w:sz w:val="21"/>
                    </w:rPr>
                    <w:t xml:space="preserve">24、指针电压表、型号6L2-V 450V；  </w:t>
                  </w:r>
                </w:p>
                <w:p>
                  <w:pPr>
                    <w:pStyle w:val="null3"/>
                    <w:jc w:val="both"/>
                  </w:pPr>
                  <w:r>
                    <w:rPr>
                      <w:rFonts w:ascii="仿宋_GB2312" w:hAnsi="仿宋_GB2312" w:cs="仿宋_GB2312" w:eastAsia="仿宋_GB2312"/>
                      <w:sz w:val="21"/>
                    </w:rPr>
                    <w:t>25、指针电流表、型号6L2-A 50/5A；</w:t>
                  </w:r>
                  <w:r>
                    <w:br/>
                  </w:r>
                  <w:r>
                    <w:rPr>
                      <w:rFonts w:ascii="仿宋_GB2312" w:hAnsi="仿宋_GB2312" w:cs="仿宋_GB2312" w:eastAsia="仿宋_GB2312"/>
                      <w:sz w:val="21"/>
                    </w:rPr>
                    <w:t>26、交流接触器、型号CJX2-9511，额定电流120A，线圈电压220V；</w:t>
                  </w:r>
                  <w:r>
                    <w:br/>
                  </w:r>
                  <w:r>
                    <w:rPr>
                      <w:rFonts w:ascii="仿宋_GB2312" w:hAnsi="仿宋_GB2312" w:cs="仿宋_GB2312" w:eastAsia="仿宋_GB2312"/>
                      <w:sz w:val="21"/>
                    </w:rPr>
                    <w:t>27、中间继电器、型号线圈电压220V，带8组辅助触点；</w:t>
                  </w:r>
                  <w:r>
                    <w:br/>
                  </w:r>
                  <w:r>
                    <w:rPr>
                      <w:rFonts w:ascii="仿宋_GB2312" w:hAnsi="仿宋_GB2312" w:cs="仿宋_GB2312" w:eastAsia="仿宋_GB2312"/>
                      <w:sz w:val="21"/>
                    </w:rPr>
                    <w:t>28、工业级网络交换机、型号TP-LINK  TL-SF1005 千兆；</w:t>
                  </w:r>
                  <w:r>
                    <w:br/>
                  </w:r>
                  <w:r>
                    <w:rPr>
                      <w:rFonts w:ascii="仿宋_GB2312" w:hAnsi="仿宋_GB2312" w:cs="仿宋_GB2312" w:eastAsia="仿宋_GB2312"/>
                      <w:sz w:val="21"/>
                    </w:rPr>
                    <w:t xml:space="preserve">29、控制按钮、型号LA38-11/220V；  </w:t>
                  </w:r>
                </w:p>
                <w:p>
                  <w:pPr>
                    <w:pStyle w:val="null3"/>
                    <w:jc w:val="both"/>
                  </w:pPr>
                  <w:r>
                    <w:rPr>
                      <w:rFonts w:ascii="仿宋_GB2312" w:hAnsi="仿宋_GB2312" w:cs="仿宋_GB2312" w:eastAsia="仿宋_GB2312"/>
                      <w:sz w:val="21"/>
                    </w:rPr>
                    <w:t>30、指示灯、型号AD16-22D；</w:t>
                  </w:r>
                  <w:r>
                    <w:br/>
                  </w:r>
                  <w:r>
                    <w:rPr>
                      <w:rFonts w:ascii="仿宋_GB2312" w:hAnsi="仿宋_GB2312" w:cs="仿宋_GB2312" w:eastAsia="仿宋_GB2312"/>
                      <w:sz w:val="21"/>
                    </w:rPr>
                    <w:t xml:space="preserve">31、端子排、型号UK5B，接线端子；  </w:t>
                  </w:r>
                </w:p>
                <w:p>
                  <w:pPr>
                    <w:pStyle w:val="null3"/>
                    <w:jc w:val="both"/>
                  </w:pPr>
                  <w:r>
                    <w:rPr>
                      <w:rFonts w:ascii="仿宋_GB2312" w:hAnsi="仿宋_GB2312" w:cs="仿宋_GB2312" w:eastAsia="仿宋_GB2312"/>
                      <w:sz w:val="21"/>
                    </w:rPr>
                    <w:t>32、接地排、型号铜质接地端子排，10位；</w:t>
                  </w:r>
                  <w:r>
                    <w:br/>
                  </w:r>
                  <w:r>
                    <w:rPr>
                      <w:rFonts w:ascii="仿宋_GB2312" w:hAnsi="仿宋_GB2312" w:cs="仿宋_GB2312" w:eastAsia="仿宋_GB2312"/>
                      <w:sz w:val="21"/>
                    </w:rPr>
                    <w:t xml:space="preserve">33、蜂鸣器、型号BJ-1，220V；      </w:t>
                  </w:r>
                </w:p>
                <w:p>
                  <w:pPr>
                    <w:pStyle w:val="null3"/>
                    <w:jc w:val="both"/>
                  </w:pPr>
                  <w:r>
                    <w:rPr>
                      <w:rFonts w:ascii="仿宋_GB2312" w:hAnsi="仿宋_GB2312" w:cs="仿宋_GB2312" w:eastAsia="仿宋_GB2312"/>
                      <w:sz w:val="21"/>
                    </w:rPr>
                    <w:t>34、急停按钮、型号NP2-BS542；</w:t>
                  </w:r>
                  <w:r>
                    <w:br/>
                  </w:r>
                  <w:r>
                    <w:rPr>
                      <w:rFonts w:ascii="仿宋_GB2312" w:hAnsi="仿宋_GB2312" w:cs="仿宋_GB2312" w:eastAsia="仿宋_GB2312"/>
                      <w:sz w:val="21"/>
                    </w:rPr>
                    <w:t xml:space="preserve">35、铜鼻子、型号DT-35；           </w:t>
                  </w:r>
                </w:p>
                <w:p>
                  <w:pPr>
                    <w:pStyle w:val="null3"/>
                    <w:jc w:val="both"/>
                  </w:pPr>
                  <w:r>
                    <w:rPr>
                      <w:rFonts w:ascii="仿宋_GB2312" w:hAnsi="仿宋_GB2312" w:cs="仿宋_GB2312" w:eastAsia="仿宋_GB2312"/>
                      <w:sz w:val="21"/>
                    </w:rPr>
                    <w:t>36、PLC编程-触摸屏编程-物联网手机APP端编程；</w:t>
                  </w:r>
                  <w:r>
                    <w:br/>
                  </w:r>
                  <w:r>
                    <w:rPr>
                      <w:rFonts w:ascii="仿宋_GB2312" w:hAnsi="仿宋_GB2312" w:cs="仿宋_GB2312" w:eastAsia="仿宋_GB2312"/>
                      <w:sz w:val="21"/>
                    </w:rPr>
                    <w:t>37、设备调试；</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保洁及绿化养护</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高低压配电设备年清灰吹扫，设备、设施日常保洁及室外绿化养护。</w:t>
                  </w:r>
                  <w:r>
                    <w:br/>
                  </w:r>
                  <w:r>
                    <w:rPr>
                      <w:rFonts w:ascii="仿宋_GB2312" w:hAnsi="仿宋_GB2312" w:cs="仿宋_GB2312" w:eastAsia="仿宋_GB2312"/>
                      <w:sz w:val="21"/>
                    </w:rPr>
                    <w:t>污水提升泵站保洁面积约</w:t>
                  </w:r>
                  <w:r>
                    <w:rPr>
                      <w:rFonts w:ascii="仿宋_GB2312" w:hAnsi="仿宋_GB2312" w:cs="仿宋_GB2312" w:eastAsia="仿宋_GB2312"/>
                      <w:sz w:val="21"/>
                    </w:rPr>
                    <w:t>2473㎡，绿化养护面积约1500㎡。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清淤及垃圾栅渣处理</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1、雨水提升泵站：每日出泥量约0.073m</w:t>
                  </w:r>
                  <w:r>
                    <w:rPr>
                      <w:rFonts w:ascii="仿宋_GB2312" w:hAnsi="仿宋_GB2312" w:cs="仿宋_GB2312" w:eastAsia="仿宋_GB2312"/>
                      <w:sz w:val="21"/>
                    </w:rPr>
                    <w:t>³</w:t>
                  </w:r>
                  <w:r>
                    <w:rPr>
                      <w:rFonts w:ascii="仿宋_GB2312" w:hAnsi="仿宋_GB2312" w:cs="仿宋_GB2312" w:eastAsia="仿宋_GB2312"/>
                      <w:sz w:val="21"/>
                    </w:rPr>
                    <w:t>。</w:t>
                  </w:r>
                  <w:r>
                    <w:br/>
                  </w:r>
                  <w:r>
                    <w:rPr>
                      <w:rFonts w:ascii="仿宋_GB2312" w:hAnsi="仿宋_GB2312" w:cs="仿宋_GB2312" w:eastAsia="仿宋_GB2312"/>
                      <w:sz w:val="21"/>
                    </w:rPr>
                    <w:t>2、污水提升泵站：每日出泥量约0.15m</w:t>
                  </w:r>
                  <w:r>
                    <w:rPr>
                      <w:rFonts w:ascii="仿宋_GB2312" w:hAnsi="仿宋_GB2312" w:cs="仿宋_GB2312" w:eastAsia="仿宋_GB2312"/>
                      <w:sz w:val="21"/>
                    </w:rPr>
                    <w:t>³</w:t>
                  </w:r>
                  <w:r>
                    <w:rPr>
                      <w:rFonts w:ascii="仿宋_GB2312" w:hAnsi="仿宋_GB2312" w:cs="仿宋_GB2312" w:eastAsia="仿宋_GB2312"/>
                      <w:sz w:val="21"/>
                    </w:rPr>
                    <w:t>。</w:t>
                  </w:r>
                  <w:r>
                    <w:br/>
                  </w:r>
                  <w:r>
                    <w:rPr>
                      <w:rFonts w:ascii="仿宋_GB2312" w:hAnsi="仿宋_GB2312" w:cs="仿宋_GB2312" w:eastAsia="仿宋_GB2312"/>
                      <w:sz w:val="21"/>
                    </w:rPr>
                    <w:t>3、每年定期对泵站泵坑清淤，包含人工费，垃圾清运费等。</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专项检测及流量计校准</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污水提升泵站：</w:t>
                  </w:r>
                  <w:r>
                    <w:br/>
                  </w:r>
                  <w:r>
                    <w:rPr>
                      <w:rFonts w:ascii="仿宋_GB2312" w:hAnsi="仿宋_GB2312" w:cs="仿宋_GB2312" w:eastAsia="仿宋_GB2312"/>
                      <w:sz w:val="21"/>
                    </w:rPr>
                    <w:t>无组织气体检测</w:t>
                  </w:r>
                  <w:r>
                    <w:rPr>
                      <w:rFonts w:ascii="仿宋_GB2312" w:hAnsi="仿宋_GB2312" w:cs="仿宋_GB2312" w:eastAsia="仿宋_GB2312"/>
                      <w:sz w:val="21"/>
                    </w:rPr>
                    <w:t>4次/年，有组织气体检测4次/年，厂界噪音检测4次/年，变配电室主体沉降观测1次/年，流量计校准1次/年</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安全措施</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包含有限空间作业器具购买</w:t>
                  </w:r>
                  <w:r>
                    <w:rPr>
                      <w:rFonts w:ascii="仿宋_GB2312" w:hAnsi="仿宋_GB2312" w:cs="仿宋_GB2312" w:eastAsia="仿宋_GB2312"/>
                      <w:sz w:val="21"/>
                    </w:rPr>
                    <w:t>;警示牌/桩、有害气体检测仪、作业围挡、轴流风机、安全帽等，有限空间作业器具租赁：正压式呼吸机、长管呼吸机、三角起吊架等、有限空间作业安全标识制作与更新、人员安全培训，标识牌 值班室：岗位职责8块，安全操作规程8块，警示标识6块，安警示标识25块，指引牌5块，项目宣传栏2个。更换频次一年一次。包含高压配电室安全器材及年度检测，消防器材维护及检测。</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雨季前设备大修</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因雨水提升泵站两台水泵，无备用水泵，为确保两台水泵稳定运行，每年吊出泵坑检修</w:t>
                  </w:r>
                  <w:r>
                    <w:rPr>
                      <w:rFonts w:ascii="仿宋_GB2312" w:hAnsi="仿宋_GB2312" w:cs="仿宋_GB2312" w:eastAsia="仿宋_GB2312"/>
                      <w:sz w:val="21"/>
                    </w:rPr>
                    <w:t>5次，第三季度2次，含吊车租赁费、叶轮、密封件、轴承、易损件等维护保养，垃圾清理、电机绝缘测试。</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根据技术参数与性能指标配备相应设施设备，确保项目顺利实施。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进度款，第一季度付款，达到付款条件起10个工作日内，支付合同总金额的12.5%</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进度款，第二季度付款，达到付款条件起10个工作日内，支付合同总金额的12.5%</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进度款，第三季度付款，达到付款条件起10个工作日内，支付合同总金额的12.5%</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进度款，第四季度付款，达到付款条件起10个工作日内，支付合同总金额的12.5%</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进度款，第五季度付款，达到付款条件起10个工作日内，支付合同总金额的12.5%</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进度款，第六季度付款，达到付款条件起10个工作日内，支付合同总金额的12.5%</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进度款，第七季度付款，达到付款条件起10个工作日内，支付合同总金额的12.5%</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进度款，第八季度付款，达到付款条件起10个工作日内，支付合同总金额的12.5%</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本项目付款方式：按季度付款，甲方在付款前，乙方应提供等额有效含税发票，甲方将上一季度服务费以银行转账方式支付于乙方。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事务所或审计机构出具的财务审计报告（成立时间至提交响应文件截止时间不足一年的可提供成立后任意时段的资产负债表），或其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近一年以来已缴纳的至少一个月的纳税证明或完税证明（任意税种），纳税证明或完税证明上应有代收机构或税务机关的公章或业务专用章；依法免税的投标人应提供相关文件证明（复印件加盖投标人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提供投标截止之日起近一年以来已缴存的至少一个月的社会保障资金缴存单据或社保机构开具的社会保险参保缴费情况证明；依法不需要缴纳社会保障资金的投标人应提供相关文件证明；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复印件，并与营业执照上信息一致。法定代表人授权代表参加投标的，须出具法定代表人授权书及授权代表身份证复印件，同时提供投标人为授权代表缴纳的近三个月内任意一个月社保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信用信息查询（供应商无须提供，由采购人或采购代理机构现场查询）</w:t>
            </w:r>
          </w:p>
        </w:tc>
        <w:tc>
          <w:tcPr>
            <w:tcW w:type="dxa" w:w="3322"/>
          </w:tcPr>
          <w:p>
            <w:pPr>
              <w:pStyle w:val="null3"/>
            </w:pPr>
            <w:r>
              <w:rPr>
                <w:rFonts w:ascii="仿宋_GB2312" w:hAnsi="仿宋_GB2312" w:cs="仿宋_GB2312" w:eastAsia="仿宋_GB2312"/>
              </w:rPr>
              <w:t>供应商未被“信用中国” 网站（www.creditchina.gov.cn）列入失信被执行人和重大税收违法失信主体，未被中国政府采购网（w 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（2）响应文件格式：应符合磋商文件要求； （3）报价唯一：只能有一个有效报价， 不得提交选择性报价，且报价不超过采购预算；</w:t>
            </w:r>
          </w:p>
        </w:tc>
        <w:tc>
          <w:tcPr>
            <w:tcW w:type="dxa" w:w="1661"/>
          </w:tcPr>
          <w:p>
            <w:pPr>
              <w:pStyle w:val="null3"/>
            </w:pPr>
            <w:r>
              <w:rPr>
                <w:rFonts w:ascii="仿宋_GB2312" w:hAnsi="仿宋_GB2312" w:cs="仿宋_GB2312" w:eastAsia="仿宋_GB2312"/>
              </w:rPr>
              <w:t>响应文件封面 中小企业声明函 商务应答表 标的清单 报价表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中小企业声明函 商务应答表 标的清单 报价表 服务内容及服务邀请应答表.docx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（1）服务时间满足磋商文件要求 （2）服务地点满足磋商文件要求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运营管理方案</w:t>
            </w:r>
          </w:p>
        </w:tc>
        <w:tc>
          <w:tcPr>
            <w:tcW w:type="dxa" w:w="2492"/>
          </w:tcPr>
          <w:p>
            <w:pPr>
              <w:pStyle w:val="null3"/>
            </w:pPr>
            <w:r>
              <w:rPr>
                <w:rFonts w:ascii="仿宋_GB2312" w:hAnsi="仿宋_GB2312" w:cs="仿宋_GB2312" w:eastAsia="仿宋_GB2312"/>
              </w:rPr>
              <w:t>供应商必须结合本项目的实际情况，制定运维整体方案，方案内容包括： ①运营方案总体设计 ②技术依据及运营要求； ③运营维护工作实施方案； 评审标准： 1、完善性：方案必须全面，对评审内容中的各项要求有详细阐述； 2、可实施性：方案切合本项目实际情况，提出步骤清晰、合理的方案； 3、针对性：方案能够紧扣项目实际情况，内容科学合理。 上述 3 项评审内容全部满足评审标准得9分，每有一个单项评审内容缺项，单项分值扣完，评审内容中每存在一处缺陷，扣0.5分，扣完为止。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项目实施计划</w:t>
            </w:r>
          </w:p>
        </w:tc>
        <w:tc>
          <w:tcPr>
            <w:tcW w:type="dxa" w:w="2492"/>
          </w:tcPr>
          <w:p>
            <w:pPr>
              <w:pStyle w:val="null3"/>
            </w:pPr>
            <w:r>
              <w:rPr>
                <w:rFonts w:ascii="仿宋_GB2312" w:hAnsi="仿宋_GB2312" w:cs="仿宋_GB2312" w:eastAsia="仿宋_GB2312"/>
              </w:rPr>
              <w:t>供应商结合本项目的实际情况，制定项目实施进度计划方案，方案内容包括： ①项目实施前期准备; ②项目实施整体的计划; ③项目实施的控制方法。 评审标准： 1、完善性：方案必须全面，对评审内容中的各项要求有详细阐述； 2、可实施性：方案切合本项目实际情况，提出步骤清晰、合理的方案； 3、针对性：方案能够紧扣项目实际情况，内容科学合理。 上述 3 项评审内容全部满足评审标准得9分，每有一个单项评审内容缺项，单项分值扣完，评审内容中每存在一处缺陷，扣0.5分，扣完为止。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项目资料数据移交方案</w:t>
            </w:r>
          </w:p>
        </w:tc>
        <w:tc>
          <w:tcPr>
            <w:tcW w:type="dxa" w:w="2492"/>
          </w:tcPr>
          <w:p>
            <w:pPr>
              <w:pStyle w:val="null3"/>
            </w:pPr>
            <w:r>
              <w:rPr>
                <w:rFonts w:ascii="仿宋_GB2312" w:hAnsi="仿宋_GB2312" w:cs="仿宋_GB2312" w:eastAsia="仿宋_GB2312"/>
              </w:rPr>
              <w:t>供应商结合本项目的实际情况，制定项目资料数据移交方案，方案内容包括： ①项目资料数据的保存及备份； ②项目资料数据的交接及查阅； ③项目资料数据的保密。 评审标准： 1、完善性：方案必须全面，对评审内容中的各项要求有详细阐述； 2、可实施性：方案切合本项目实际情况，提出步骤清晰、合理的方案； 3、针对性：方案能够紧扣项目实际情况，内容科学合理。 上述 3 项评审内容全部满足评审标准得9分，每有一个单项评审内容缺项，单项分值扣完，评审内容中每存在一处缺陷，扣0.5分，扣完为止。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供应商结合本项目的实际情况，制定项目应急预案，方案内容包括： ①应急预案总体实施方案； ②突发事项应急预案；分） ③其他事项应急预案。 评审标准： 1、完善性：方案必须全面，对评审内容中的各项要求有详细阐述； 2、可实施性：方案切合本项目实际情况，提出步骤清晰、合理的方案； 3、针对性：方案能够紧扣项目实际情况，内容科学合理。 上述 3 项评审内容全部满足评审标准得9分，每有一个单项评审内容缺项，单项分值扣完，评审内容中每存在一处缺陷，扣0.5分，扣完为止。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供应商结合本项目的实际情况，制定项目重难点分析，合理化建议，方案内容包括： ①项目重难点分析； ②合理化建议。 评审标准： 1、完善性：方案必须全面，对评审内容中的各项要求有详细阐述； 2、可实施性：方案切合本项目实际情况，提出步骤清晰、合理的方案； 3、针对性：方案能够紧扣项目实际情况，内容科学合理。 上述 2项评审内容全部满足评审标准得4分，每有一个单项评审内容缺项，单项分值扣完，评审内容中每存在一处缺陷，扣0.5分，扣完为止。 说明：缺陷是指内容缺项、不完整或缺少关键点、虽有内容但不完善、不全面；内容表述前后不一；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 （项目负责人）</w:t>
            </w:r>
          </w:p>
        </w:tc>
        <w:tc>
          <w:tcPr>
            <w:tcW w:type="dxa" w:w="2492"/>
          </w:tcPr>
          <w:p>
            <w:pPr>
              <w:pStyle w:val="null3"/>
            </w:pPr>
            <w:r>
              <w:rPr>
                <w:rFonts w:ascii="仿宋_GB2312" w:hAnsi="仿宋_GB2312" w:cs="仿宋_GB2312" w:eastAsia="仿宋_GB2312"/>
              </w:rPr>
              <w:t>项目负责人：①具有环保相关专业的高级职称的得4分，具有中级职称的得2分；未提供不得分。②2023年6月1日至今每有1项具备类似运营管理经验得3分，最多得9分，未提供不得分。（提供人员职称证书、身份证及近三个月任意一个月本单位缴纳社保证明材料或劳动合同，退休人员须提供退休证及劳动合同；管理经验提供相关证明材料，证明材料须体现项目负责人名字）</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 （服务团队）</w:t>
            </w:r>
          </w:p>
        </w:tc>
        <w:tc>
          <w:tcPr>
            <w:tcW w:type="dxa" w:w="2492"/>
          </w:tcPr>
          <w:p>
            <w:pPr>
              <w:pStyle w:val="null3"/>
            </w:pPr>
            <w:r>
              <w:rPr>
                <w:rFonts w:ascii="仿宋_GB2312" w:hAnsi="仿宋_GB2312" w:cs="仿宋_GB2312" w:eastAsia="仿宋_GB2312"/>
              </w:rPr>
              <w:t>服务团队：①拟派团队人员每有1人具有大学本科及以上学历得2分;每有1人具有专科学历得1分。此项最多得8分； ②拟派团队服务人员具有污废水处理工证书、自动监控运行工证书或低压电工证书的，每提供1人得2分，最高得6分。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在满足磋商文件要求的前提下，每提供一项增值服务，得1分，此项满分2分。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①承诺发生设备故障30分钟内到场处置得3分，承诺超过30分钟则不得分。②承诺因运维责任造成水质超标，将自愿承担相关责任及赔偿得3分，对此未提供承诺则不得分。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投标人提供自2023年6月1日以来（以合同签订时间为准）类似项目业绩，每提供1份合同得2分，最高得10分。 注：以合同复印件加盖公章为准。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价格分统一采用低价优先法计算，即满足磋商文件要求且价格最低的报价为磋商基准价，其价格分为满分。其他响应单位的价格分统一按照下列公式计算： 磋商报价得分= （评标基准价/磋商报价）×15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