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版本号：SXJC-ZC-202601820260713001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洋州街道云阳村农产品电商实景直播基地项目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SXJC-ZC-2026018</w:t>
      </w:r>
      <w:r>
        <w:br/>
      </w:r>
      <w:r>
        <w:br/>
      </w:r>
      <w:r>
        <w:br/>
      </w:r>
    </w:p>
    <w:p>
      <w:pPr>
        <w:pStyle w:val="null3"/>
        <w:jc w:val="center"/>
        <w:outlineLvl w:val="2"/>
      </w:pPr>
      <w:r>
        <w:rPr>
          <w:rFonts w:ascii="仿宋_GB2312" w:hAnsi="仿宋_GB2312" w:cs="仿宋_GB2312" w:eastAsia="仿宋_GB2312"/>
          <w:sz w:val="28"/>
          <w:b/>
        </w:rPr>
        <w:t>洋县洋州街道办事处</w:t>
      </w:r>
    </w:p>
    <w:p>
      <w:pPr>
        <w:pStyle w:val="null3"/>
        <w:jc w:val="center"/>
        <w:outlineLvl w:val="2"/>
      </w:pPr>
      <w:r>
        <w:rPr>
          <w:rFonts w:ascii="仿宋_GB2312" w:hAnsi="仿宋_GB2312" w:cs="仿宋_GB2312" w:eastAsia="仿宋_GB2312"/>
          <w:sz w:val="28"/>
          <w:b/>
        </w:rPr>
        <w:t>陕西君诚项目管理有限公司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2026年07月13日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陕西君诚项目管理有限公司</w:t>
      </w:r>
      <w:r>
        <w:rPr>
          <w:rFonts w:ascii="仿宋_GB2312" w:hAnsi="仿宋_GB2312" w:cs="仿宋_GB2312" w:eastAsia="仿宋_GB2312"/>
        </w:rPr>
        <w:t>（以下简称“代理机构”）受</w:t>
      </w:r>
      <w:r>
        <w:rPr>
          <w:rFonts w:ascii="仿宋_GB2312" w:hAnsi="仿宋_GB2312" w:cs="仿宋_GB2312" w:eastAsia="仿宋_GB2312"/>
        </w:rPr>
        <w:t>洋县洋州街道办事处</w:t>
      </w:r>
      <w:r>
        <w:rPr>
          <w:rFonts w:ascii="仿宋_GB2312" w:hAnsi="仿宋_GB2312" w:cs="仿宋_GB2312" w:eastAsia="仿宋_GB2312"/>
        </w:rPr>
        <w:t>委托，拟对</w:t>
      </w:r>
      <w:r>
        <w:rPr>
          <w:rFonts w:ascii="仿宋_GB2312" w:hAnsi="仿宋_GB2312" w:cs="仿宋_GB2312" w:eastAsia="仿宋_GB2312"/>
        </w:rPr>
        <w:t>洋州街道云阳村农产品电商实景直播基地项目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SXJC-ZC-2026018</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洋州街道云阳村农产品电商实景直播基地项目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新建框架结构农产品电商实景直播基地一座，建筑面积261.64㎡。（具体详见工程量清单）</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采购包1（洋州街道云阳村农产品电商实景直播基地项目）：属于专门面向中小企业采购。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1、有效的主体资格证明：供应商为具有独立承担民事责任能力的法人或其他组织或自然人，并出具合法有效的营业执照或事业单位法人证书等国家规定的相关证明，自然人参与的提供其身份证明。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2、响应文件签署人身份证明：法定代表人参加投标须提供《法定代表人身份证明》及身份证复印件；法定代表人授权他人参加投标，须提供《法定代表人授权委托书》、被授权人身份证复印件。</w:t>
      </w:r>
    </w:p>
    <w:p>
      <w:pPr>
        <w:pStyle w:val="null3"/>
      </w:pPr>
      <w:r>
        <w:rPr>
          <w:rFonts w:ascii="仿宋_GB2312" w:hAnsi="仿宋_GB2312" w:cs="仿宋_GB2312" w:eastAsia="仿宋_GB2312"/>
        </w:rPr>
        <w:t>3、企业资质要求：供应商须具备建设行政主管部门颁发的建筑工程施工总承包三级（含三级）及以上资质，具有有效的安全生产许可证。</w:t>
      </w:r>
    </w:p>
    <w:p>
      <w:pPr>
        <w:pStyle w:val="null3"/>
      </w:pPr>
      <w:r>
        <w:rPr>
          <w:rFonts w:ascii="仿宋_GB2312" w:hAnsi="仿宋_GB2312" w:cs="仿宋_GB2312" w:eastAsia="仿宋_GB2312"/>
        </w:rPr>
        <w:t>4、项目经理资格要求：项目经理须具备建筑工程专业二级（含二级）及以上注册建造师资格、具有有效的安全考核合格证（B证），且无在建工程。</w:t>
      </w:r>
    </w:p>
    <w:p>
      <w:pPr>
        <w:pStyle w:val="null3"/>
      </w:pPr>
      <w:r>
        <w:rPr>
          <w:rFonts w:ascii="仿宋_GB2312" w:hAnsi="仿宋_GB2312" w:cs="仿宋_GB2312" w:eastAsia="仿宋_GB2312"/>
        </w:rPr>
        <w:t>5、汉中市政府采购供应商资格承诺函：供应商须具有良好的商业信誉和健全的财务会计制度，具有履行合同所必需的设备和专业技术能力，具有依法缴纳税收和社会保障金的良好记录，参加本项目采购活动前三年内无重大违法活动记录；供应商应按照汉中市财政局《关于全面推行政府采购供应商基本资格条件承诺制的通知》（汉采办采管〔2024〕20号）文件要求，提供资格承诺函。</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洋县洋州街道办事处</w:t>
      </w:r>
    </w:p>
    <w:p>
      <w:pPr>
        <w:pStyle w:val="null3"/>
      </w:pPr>
      <w:r>
        <w:rPr>
          <w:rFonts w:ascii="仿宋_GB2312" w:hAnsi="仿宋_GB2312" w:cs="仿宋_GB2312" w:eastAsia="仿宋_GB2312"/>
        </w:rPr>
        <w:t xml:space="preserve"> 地址： </w:t>
      </w:r>
      <w:r>
        <w:rPr>
          <w:rFonts w:ascii="仿宋_GB2312" w:hAnsi="仿宋_GB2312" w:cs="仿宋_GB2312" w:eastAsia="仿宋_GB2312"/>
        </w:rPr>
        <w:t>洋县唐塔北路12号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723300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杨先生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0916-8212360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陕西君诚项目管理有限公司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陕西省汉中市洋县洋州街道办事处东二环洋州明珠商裙2-41号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723300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李瑶</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0916-8221800</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洋县政府采购管理股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蒙先生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0916-2986232</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采购包1：750,000.00元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采购包1保证金金额：5,000.00元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开户名称：陕西君诚项⽬管理有限公司</w:t>
            </w:r>
          </w:p>
          <w:p>
            <w:pPr>
              <w:pStyle w:val="null3"/>
            </w:pPr>
            <w:r>
              <w:rPr>
                <w:rFonts w:ascii="仿宋_GB2312" w:hAnsi="仿宋_GB2312" w:cs="仿宋_GB2312" w:eastAsia="仿宋_GB2312"/>
              </w:rPr>
              <w:t>开户银行：⻓安银⾏股份有限公司洋县⽀⾏</w:t>
            </w:r>
          </w:p>
          <w:p>
            <w:pPr>
              <w:pStyle w:val="null3"/>
            </w:pPr>
            <w:r>
              <w:rPr>
                <w:rFonts w:ascii="仿宋_GB2312" w:hAnsi="仿宋_GB2312" w:cs="仿宋_GB2312" w:eastAsia="仿宋_GB2312"/>
              </w:rPr>
              <w:t>银行账号：806061501421002583</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代理服务费收费标准：参照国家计委《招标代理服务收费管理暂⾏办法》(计价格[2002]1980 号)、国家发展和改⾰委员会《国家发展改⾰委办公厅关于招标代理服务收费有关问题的通知》( 发改办价格[2003]857号)和《国家发展改⾰委关于降低部分建设项⽬收费标准规范收费⾏为等有关问题的通知》(发改价格[2011]534号)⽂件的相关规定执⾏。</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洋县洋州街道办事处</w:t>
      </w:r>
      <w:r>
        <w:rPr>
          <w:rFonts w:ascii="仿宋_GB2312" w:hAnsi="仿宋_GB2312" w:cs="仿宋_GB2312" w:eastAsia="仿宋_GB2312"/>
        </w:rPr>
        <w:t>和</w:t>
      </w:r>
      <w:r>
        <w:rPr>
          <w:rFonts w:ascii="仿宋_GB2312" w:hAnsi="仿宋_GB2312" w:cs="仿宋_GB2312" w:eastAsia="仿宋_GB2312"/>
        </w:rPr>
        <w:t>陕西君诚项目管理有限公司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洋县洋州街道办事处</w:t>
      </w:r>
      <w:r>
        <w:rPr>
          <w:rFonts w:ascii="仿宋_GB2312" w:hAnsi="仿宋_GB2312" w:cs="仿宋_GB2312" w:eastAsia="仿宋_GB2312"/>
        </w:rPr>
        <w:t>负责解释。除上述磋商文件内容，其他内容由</w:t>
      </w:r>
      <w:r>
        <w:rPr>
          <w:rFonts w:ascii="仿宋_GB2312" w:hAnsi="仿宋_GB2312" w:cs="仿宋_GB2312" w:eastAsia="仿宋_GB2312"/>
        </w:rPr>
        <w:t>陕西君诚项目管理有限公司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洋县洋州街道办事处</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陕西君诚项目管理有限公司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1.供应商使用自有知识产权，免费供采购人永久使用；2.使用第三方知识产权须提前书面报备并提供合法授权，未经同意擅自使用引发的侵权责任全部由供应商承担；3.项目新增知识产权权属双方另行协商确定；4.交付产品不得侵权，如产生知识产权纠纷，所有损失由供应商负责；双方对项目相关技术、资料保密。</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项目履约验收严格依据招标文件、施工合同、图纸清单及国家现行规范执行，工程质量全部合格、施工内容全覆盖无缺项、工期及商务履约到位、竣工资料齐全合规、现场清理达标、售后质保落实到位，即为履约验收合格。</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陕西君诚项目管理有限公司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陕西君诚项目管理有限公司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陕西君诚项目管理有限公司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联系人：李瑶</w:t>
      </w:r>
    </w:p>
    <w:p>
      <w:pPr>
        <w:pStyle w:val="null3"/>
      </w:pPr>
      <w:r>
        <w:rPr>
          <w:rFonts w:ascii="仿宋_GB2312" w:hAnsi="仿宋_GB2312" w:cs="仿宋_GB2312" w:eastAsia="仿宋_GB2312"/>
        </w:rPr>
        <w:t>联系电话：0916-8221800</w:t>
      </w:r>
    </w:p>
    <w:p>
      <w:pPr>
        <w:pStyle w:val="null3"/>
      </w:pPr>
      <w:r>
        <w:rPr>
          <w:rFonts w:ascii="仿宋_GB2312" w:hAnsi="仿宋_GB2312" w:cs="仿宋_GB2312" w:eastAsia="仿宋_GB2312"/>
        </w:rPr>
        <w:t>地址：陕西省汉中市洋县东二环洋州明珠商裙2-41号</w:t>
      </w:r>
    </w:p>
    <w:p>
      <w:pPr>
        <w:pStyle w:val="null3"/>
      </w:pPr>
      <w:r>
        <w:rPr>
          <w:rFonts w:ascii="仿宋_GB2312" w:hAnsi="仿宋_GB2312" w:cs="仿宋_GB2312" w:eastAsia="仿宋_GB2312"/>
        </w:rPr>
        <w:t>邮编：723300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750,000.00</w:t>
      </w:r>
    </w:p>
    <w:p>
      <w:pPr>
        <w:pStyle w:val="null3"/>
      </w:pPr>
      <w:r>
        <w:rPr>
          <w:rFonts w:ascii="仿宋_GB2312" w:hAnsi="仿宋_GB2312" w:cs="仿宋_GB2312" w:eastAsia="仿宋_GB2312"/>
        </w:rPr>
        <w:t>采购包最高限价（元）: 747,923.94</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洋州街道云阳村农产品电商实景直播基地项目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750,000.00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标的名称：洋州街道云阳村农产品电商实景直播基地项目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一、项目概况：新建框架结构农产品电商实景直播基地一座，建筑面积261.64㎡。（具体详见工程量清单）</w:t>
            </w:r>
          </w:p>
          <w:p>
            <w:pPr>
              <w:pStyle w:val="null3"/>
            </w:pPr>
            <w:r>
              <w:rPr>
                <w:rFonts w:ascii="仿宋_GB2312" w:hAnsi="仿宋_GB2312" w:cs="仿宋_GB2312" w:eastAsia="仿宋_GB2312"/>
              </w:rPr>
              <w:t>二、工期：90日历天</w:t>
            </w:r>
          </w:p>
          <w:p>
            <w:pPr>
              <w:pStyle w:val="null3"/>
            </w:pPr>
            <w:r>
              <w:rPr>
                <w:rFonts w:ascii="仿宋_GB2312" w:hAnsi="仿宋_GB2312" w:cs="仿宋_GB2312" w:eastAsia="仿宋_GB2312"/>
              </w:rPr>
              <w:t>三、质量标准：合格</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满足国家现行行业验收合格标准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汉中市政府采购供应商资格承诺函.pdf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供应商为具有独立承担民事责任能力的法人或其他组织或自然人，并出具合法有效的营业执照或事业单位法人证书等国家规定的相关证明，自然人参与的提供其身份证明。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有效的主体资格证明.pdf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响应文件签署人身份证明</w:t>
            </w:r>
          </w:p>
        </w:tc>
        <w:tc>
          <w:tcPr>
            <w:tcW w:type="dxa" w:w="3322"/>
          </w:tcPr>
          <w:p>
            <w:pPr>
              <w:pStyle w:val="null3"/>
            </w:pPr>
            <w:r>
              <w:rPr>
                <w:rFonts w:ascii="仿宋_GB2312" w:hAnsi="仿宋_GB2312" w:cs="仿宋_GB2312" w:eastAsia="仿宋_GB2312"/>
              </w:rPr>
              <w:t>法定代表人参加投标须提供《法定代表人身份证明》及身份证复印件；法定代表人授权他人参加投标，须提供《法定代表人授权委托书》、被授权人身份证复印件。</w:t>
            </w:r>
          </w:p>
        </w:tc>
        <w:tc>
          <w:tcPr>
            <w:tcW w:type="dxa" w:w="1661"/>
          </w:tcPr>
          <w:p>
            <w:pPr>
              <w:pStyle w:val="null3"/>
            </w:pPr>
            <w:r>
              <w:rPr>
                <w:rFonts w:ascii="仿宋_GB2312" w:hAnsi="仿宋_GB2312" w:cs="仿宋_GB2312" w:eastAsia="仿宋_GB2312"/>
              </w:rPr>
              <w:t>响应文件签署人身份证明.pdf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企业资质要求</w:t>
            </w:r>
          </w:p>
        </w:tc>
        <w:tc>
          <w:tcPr>
            <w:tcW w:type="dxa" w:w="3322"/>
          </w:tcPr>
          <w:p>
            <w:pPr>
              <w:pStyle w:val="null3"/>
            </w:pPr>
            <w:r>
              <w:rPr>
                <w:rFonts w:ascii="仿宋_GB2312" w:hAnsi="仿宋_GB2312" w:cs="仿宋_GB2312" w:eastAsia="仿宋_GB2312"/>
              </w:rPr>
              <w:t>供应商须具备建设行政主管部门颁发的建筑工程施工总承包三级（含三级）及以上资质，具有有效的安全生产许可证。</w:t>
            </w:r>
          </w:p>
        </w:tc>
        <w:tc>
          <w:tcPr>
            <w:tcW w:type="dxa" w:w="1661"/>
          </w:tcPr>
          <w:p>
            <w:pPr>
              <w:pStyle w:val="null3"/>
            </w:pPr>
            <w:r>
              <w:rPr>
                <w:rFonts w:ascii="仿宋_GB2312" w:hAnsi="仿宋_GB2312" w:cs="仿宋_GB2312" w:eastAsia="仿宋_GB2312"/>
              </w:rPr>
              <w:t>企业资质要求.pdf</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项目经理资格要求</w:t>
            </w:r>
          </w:p>
        </w:tc>
        <w:tc>
          <w:tcPr>
            <w:tcW w:type="dxa" w:w="3322"/>
          </w:tcPr>
          <w:p>
            <w:pPr>
              <w:pStyle w:val="null3"/>
            </w:pPr>
            <w:r>
              <w:rPr>
                <w:rFonts w:ascii="仿宋_GB2312" w:hAnsi="仿宋_GB2312" w:cs="仿宋_GB2312" w:eastAsia="仿宋_GB2312"/>
              </w:rPr>
              <w:t>项目经理须具备建筑工程专业二级（含二级）及以上注册建造师资格、具有有效的安全考核合格证（B证），且无在建工程。</w:t>
            </w:r>
          </w:p>
        </w:tc>
        <w:tc>
          <w:tcPr>
            <w:tcW w:type="dxa" w:w="1661"/>
          </w:tcPr>
          <w:p>
            <w:pPr>
              <w:pStyle w:val="null3"/>
            </w:pPr>
            <w:r>
              <w:rPr>
                <w:rFonts w:ascii="仿宋_GB2312" w:hAnsi="仿宋_GB2312" w:cs="仿宋_GB2312" w:eastAsia="仿宋_GB2312"/>
              </w:rPr>
              <w:t>项目经理资格要求.pdf</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汉中市政府采购供应商资格承诺函</w:t>
            </w:r>
          </w:p>
        </w:tc>
        <w:tc>
          <w:tcPr>
            <w:tcW w:type="dxa" w:w="3322"/>
          </w:tcPr>
          <w:p>
            <w:pPr>
              <w:pStyle w:val="null3"/>
            </w:pPr>
            <w:r>
              <w:rPr>
                <w:rFonts w:ascii="仿宋_GB2312" w:hAnsi="仿宋_GB2312" w:cs="仿宋_GB2312" w:eastAsia="仿宋_GB2312"/>
              </w:rPr>
              <w:t>供应商须具有良好的商业信誉和健全的财务会计制度，具有履行合同所必需的设备和专业技术能力，具有依法缴纳税收和社会保障金的良好记录，参加本项目采购活动前三年内无重大违法活动记录；供应商应按照汉中市财政局《关于全面推行政府采购供应商基本资格条件承诺制的通知》（汉采办采管〔2024〕20号）文件要求，提供资格承诺函。</w:t>
            </w:r>
          </w:p>
        </w:tc>
        <w:tc>
          <w:tcPr>
            <w:tcW w:type="dxa" w:w="1661"/>
          </w:tcPr>
          <w:p>
            <w:pPr>
              <w:pStyle w:val="null3"/>
            </w:pPr>
            <w:r>
              <w:rPr>
                <w:rFonts w:ascii="仿宋_GB2312" w:hAnsi="仿宋_GB2312" w:cs="仿宋_GB2312" w:eastAsia="仿宋_GB2312"/>
              </w:rPr>
              <w:t>汉中市政府采购供应商资格承诺函.pdf</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响应⽂件有效期</w:t>
            </w:r>
          </w:p>
        </w:tc>
        <w:tc>
          <w:tcPr>
            <w:tcW w:type="dxa" w:w="3322"/>
          </w:tcPr>
          <w:p>
            <w:pPr>
              <w:pStyle w:val="null3"/>
            </w:pPr>
            <w:r>
              <w:rPr>
                <w:rFonts w:ascii="仿宋_GB2312" w:hAnsi="仿宋_GB2312" w:cs="仿宋_GB2312" w:eastAsia="仿宋_GB2312"/>
              </w:rPr>
              <w:t>响应⽂件有效期符合磋商⽂件要求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磋商价格</w:t>
            </w:r>
          </w:p>
        </w:tc>
        <w:tc>
          <w:tcPr>
            <w:tcW w:type="dxa" w:w="3322"/>
          </w:tcPr>
          <w:p>
            <w:pPr>
              <w:pStyle w:val="null3"/>
            </w:pPr>
            <w:r>
              <w:rPr>
                <w:rFonts w:ascii="仿宋_GB2312" w:hAnsi="仿宋_GB2312" w:cs="仿宋_GB2312" w:eastAsia="仿宋_GB2312"/>
              </w:rPr>
              <w:t>1、磋商报价唯⼀；2、报价货币符合磋商⽂件要求；3、未超出采购预算或采购⽂件规定的最⾼限价。</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⼯期</w:t>
            </w:r>
          </w:p>
        </w:tc>
        <w:tc>
          <w:tcPr>
            <w:tcW w:type="dxa" w:w="3322"/>
          </w:tcPr>
          <w:p>
            <w:pPr>
              <w:pStyle w:val="null3"/>
            </w:pPr>
            <w:r>
              <w:rPr>
                <w:rFonts w:ascii="仿宋_GB2312" w:hAnsi="仿宋_GB2312" w:cs="仿宋_GB2312" w:eastAsia="仿宋_GB2312"/>
              </w:rPr>
              <w:t>90日历天</w:t>
            </w:r>
          </w:p>
        </w:tc>
        <w:tc>
          <w:tcPr>
            <w:tcW w:type="dxa" w:w="1661"/>
          </w:tcPr>
          <w:p>
            <w:pPr>
              <w:pStyle w:val="null3"/>
            </w:pPr>
            <w:r>
              <w:rPr>
                <w:rFonts w:ascii="仿宋_GB2312" w:hAnsi="仿宋_GB2312" w:cs="仿宋_GB2312" w:eastAsia="仿宋_GB2312"/>
              </w:rPr>
              <w:t>报价函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响应⽂件签署、盖章</w:t>
            </w:r>
          </w:p>
        </w:tc>
        <w:tc>
          <w:tcPr>
            <w:tcW w:type="dxa" w:w="3322"/>
          </w:tcPr>
          <w:p>
            <w:pPr>
              <w:pStyle w:val="null3"/>
            </w:pPr>
            <w:r>
              <w:rPr>
                <w:rFonts w:ascii="仿宋_GB2312" w:hAnsi="仿宋_GB2312" w:cs="仿宋_GB2312" w:eastAsia="仿宋_GB2312"/>
              </w:rPr>
              <w:t>符合磋商⽂件签署盖章要求，且⽆遗漏</w:t>
            </w:r>
          </w:p>
        </w:tc>
        <w:tc>
          <w:tcPr>
            <w:tcW w:type="dxa" w:w="1661"/>
          </w:tcPr>
          <w:p>
            <w:pPr>
              <w:pStyle w:val="null3"/>
            </w:pPr>
            <w:r>
              <w:rPr>
                <w:rFonts w:ascii="仿宋_GB2312" w:hAnsi="仿宋_GB2312" w:cs="仿宋_GB2312" w:eastAsia="仿宋_GB2312"/>
              </w:rPr>
              <w:t>已标价工程量清单 技术方案.pdf 中小企业声明函 响应文件签署人身份证明.pdf 项目经理资格要求.pdf 企业资质要求.pdf 响应文件封面 汉中市政府采购供应商资格承诺函.pdf 项目管理机构组成表 有效的主体资格证明.pdf 残疾人福利性单位声明函 报价函 标的清单 供应商类似项目业绩一览表 响应函 主要人员简历表 监狱企业的证明文件</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总体施⼯⽅案</w:t>
            </w:r>
          </w:p>
        </w:tc>
        <w:tc>
          <w:tcPr>
            <w:tcW w:type="dxa" w:w="2492"/>
          </w:tcPr>
          <w:p>
            <w:pPr>
              <w:pStyle w:val="null3"/>
            </w:pPr>
            <w:r>
              <w:rPr>
                <w:rFonts w:ascii="仿宋_GB2312" w:hAnsi="仿宋_GB2312" w:cs="仿宋_GB2312" w:eastAsia="仿宋_GB2312"/>
              </w:rPr>
              <w:t>1、施⼯⽅案完整详细、有针对性，重难点分析精准，⼯序搭接、平⾯布置、资源配置科学可⾏，可直接指导施⼯，具有优化建议的得8-6分； 2、施⼯⽅案完整、可⾏、有针对性，能满⾜项⽬实施全部要求的得6-3分； 3、施⼯⽅案⾮专⻔针对本项⽬，存在逻辑漏洞或前后内容不⼀致的得3-1分； 4、施⼯⽅案有较⼤缺陷，或完全套⽤其他项⽬且内容较少的得1-0分； 5、未提供不得分。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技术方案.pdf</w:t>
            </w:r>
          </w:p>
        </w:tc>
      </w:tr>
      <w:tr>
        <w:tc>
          <w:tcPr>
            <w:tcW w:type="dxa" w:w="831"/>
            <w:vMerge/>
          </w:tcPr>
          <w:p/>
        </w:tc>
        <w:tc>
          <w:tcPr>
            <w:tcW w:type="dxa" w:w="1661"/>
          </w:tcPr>
          <w:p>
            <w:pPr>
              <w:pStyle w:val="null3"/>
            </w:pPr>
            <w:r>
              <w:rPr>
                <w:rFonts w:ascii="仿宋_GB2312" w:hAnsi="仿宋_GB2312" w:cs="仿宋_GB2312" w:eastAsia="仿宋_GB2312"/>
              </w:rPr>
              <w:t>分部分项工程施工技术与工艺措施</w:t>
            </w:r>
          </w:p>
        </w:tc>
        <w:tc>
          <w:tcPr>
            <w:tcW w:type="dxa" w:w="2492"/>
          </w:tcPr>
          <w:p>
            <w:pPr>
              <w:pStyle w:val="null3"/>
            </w:pPr>
            <w:r>
              <w:rPr>
                <w:rFonts w:ascii="仿宋_GB2312" w:hAnsi="仿宋_GB2312" w:cs="仿宋_GB2312" w:eastAsia="仿宋_GB2312"/>
              </w:rPr>
              <w:t>1、针对土建主体、砌体、屋面、装饰装修、给排水及电气安装等清单内全部分项工程列明专项施工工艺、质量管控要点，内容全面可落地得8-6分；2、涵盖主要分项施工工艺，内容无重大缺漏，具备基本可实施性得6-3分；3、工艺内容缺失关键分项，表述笼统简略，无具体管控办法得3-1分； 4、工艺内容有较⼤缺陷，或完全套⽤其他项⽬且内容较少的得1-0分； 5、未提供不得分。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技术方案.pdf</w:t>
            </w:r>
          </w:p>
        </w:tc>
      </w:tr>
      <w:tr>
        <w:tc>
          <w:tcPr>
            <w:tcW w:type="dxa" w:w="831"/>
            <w:vMerge/>
          </w:tcPr>
          <w:p/>
        </w:tc>
        <w:tc>
          <w:tcPr>
            <w:tcW w:type="dxa" w:w="1661"/>
          </w:tcPr>
          <w:p>
            <w:pPr>
              <w:pStyle w:val="null3"/>
            </w:pPr>
            <w:r>
              <w:rPr>
                <w:rFonts w:ascii="仿宋_GB2312" w:hAnsi="仿宋_GB2312" w:cs="仿宋_GB2312" w:eastAsia="仿宋_GB2312"/>
              </w:rPr>
              <w:t>施⼯质量保证措施</w:t>
            </w:r>
          </w:p>
        </w:tc>
        <w:tc>
          <w:tcPr>
            <w:tcW w:type="dxa" w:w="2492"/>
          </w:tcPr>
          <w:p>
            <w:pPr>
              <w:pStyle w:val="null3"/>
            </w:pPr>
            <w:r>
              <w:rPr>
                <w:rFonts w:ascii="仿宋_GB2312" w:hAnsi="仿宋_GB2312" w:cs="仿宋_GB2312" w:eastAsia="仿宋_GB2312"/>
              </w:rPr>
              <w:t>1、措施计划详细⻬全、合理且切实可⾏，完全满⾜采购⼈需求，具有优化建议的得8-6分； 2、措施计划⻬全、合理、切实可⾏，满⾜采购⼈需求的得6-3分； 3、措施计划⾮专⻔针对本项⽬，存在逻辑漏洞或前后内容不⼀致的得3-1分； 4、措施计划有较⼤缺陷，或完全套⽤其他项⽬且内容较少的得1-0分； 5、未提供不得分。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技术方案.pdf</w:t>
            </w:r>
          </w:p>
        </w:tc>
      </w:tr>
      <w:tr>
        <w:tc>
          <w:tcPr>
            <w:tcW w:type="dxa" w:w="831"/>
            <w:vMerge/>
          </w:tcPr>
          <w:p/>
        </w:tc>
        <w:tc>
          <w:tcPr>
            <w:tcW w:type="dxa" w:w="1661"/>
          </w:tcPr>
          <w:p>
            <w:pPr>
              <w:pStyle w:val="null3"/>
            </w:pPr>
            <w:r>
              <w:rPr>
                <w:rFonts w:ascii="仿宋_GB2312" w:hAnsi="仿宋_GB2312" w:cs="仿宋_GB2312" w:eastAsia="仿宋_GB2312"/>
              </w:rPr>
              <w:t>⽂明施⼯及环境保护措施</w:t>
            </w:r>
          </w:p>
        </w:tc>
        <w:tc>
          <w:tcPr>
            <w:tcW w:type="dxa" w:w="2492"/>
          </w:tcPr>
          <w:p>
            <w:pPr>
              <w:pStyle w:val="null3"/>
            </w:pPr>
            <w:r>
              <w:rPr>
                <w:rFonts w:ascii="仿宋_GB2312" w:hAnsi="仿宋_GB2312" w:cs="仿宋_GB2312" w:eastAsia="仿宋_GB2312"/>
              </w:rPr>
              <w:t>1、措施计划详细⻬全、针对本项⽬特点制定扬尘、噪声、污⽔、现场管控措施，完全满⾜采购⼈需求，具有优化建议的得8-6分； 2、措施较完整，基本满⾜本项⽬现场及规范管理要求的得6-3分； 3、措施内容简单，针对性不强，现场管控不到位，存在逻辑漏洞或前后内容不⼀致的得3-1分； 4、措施有较⼤缺陷，或完全套⽤其他项⽬且内容较少的得1-0分； 5、未提供不得分。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技术方案.pdf</w:t>
            </w:r>
          </w:p>
        </w:tc>
      </w:tr>
      <w:tr>
        <w:tc>
          <w:tcPr>
            <w:tcW w:type="dxa" w:w="831"/>
            <w:vMerge/>
          </w:tcPr>
          <w:p/>
        </w:tc>
        <w:tc>
          <w:tcPr>
            <w:tcW w:type="dxa" w:w="1661"/>
          </w:tcPr>
          <w:p>
            <w:pPr>
              <w:pStyle w:val="null3"/>
            </w:pPr>
            <w:r>
              <w:rPr>
                <w:rFonts w:ascii="仿宋_GB2312" w:hAnsi="仿宋_GB2312" w:cs="仿宋_GB2312" w:eastAsia="仿宋_GB2312"/>
              </w:rPr>
              <w:t>施⼯安全保证措施</w:t>
            </w:r>
          </w:p>
        </w:tc>
        <w:tc>
          <w:tcPr>
            <w:tcW w:type="dxa" w:w="2492"/>
          </w:tcPr>
          <w:p>
            <w:pPr>
              <w:pStyle w:val="null3"/>
            </w:pPr>
            <w:r>
              <w:rPr>
                <w:rFonts w:ascii="仿宋_GB2312" w:hAnsi="仿宋_GB2312" w:cs="仿宋_GB2312" w:eastAsia="仿宋_GB2312"/>
              </w:rPr>
              <w:t>1、提供具体详细、有针对性的安全作业⽅案及安全配套措施，完全符合采购⼈安全作业要求且具有优化建议的，得8-6分； 2、提供安全作业⽅案及安全配套措施，符合采购⼈安全作业要求的，得6-3分； 3、提供的⽅案⾮专⻔针对本项⽬，套⽤其他项⽬内容，存在逻辑漏洞或前后内容不⼀致的得3-1分； 4、⽅案简陋，存在不利于采购⼈安全作业要求实现的，得1-0分； 5、未提供不得分。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技术方案.pdf</w:t>
            </w:r>
          </w:p>
        </w:tc>
      </w:tr>
      <w:tr>
        <w:tc>
          <w:tcPr>
            <w:tcW w:type="dxa" w:w="831"/>
            <w:vMerge/>
          </w:tcPr>
          <w:p/>
        </w:tc>
        <w:tc>
          <w:tcPr>
            <w:tcW w:type="dxa" w:w="1661"/>
          </w:tcPr>
          <w:p>
            <w:pPr>
              <w:pStyle w:val="null3"/>
            </w:pPr>
            <w:r>
              <w:rPr>
                <w:rFonts w:ascii="仿宋_GB2312" w:hAnsi="仿宋_GB2312" w:cs="仿宋_GB2312" w:eastAsia="仿宋_GB2312"/>
              </w:rPr>
              <w:t>质量保修承诺</w:t>
            </w:r>
          </w:p>
        </w:tc>
        <w:tc>
          <w:tcPr>
            <w:tcW w:type="dxa" w:w="2492"/>
          </w:tcPr>
          <w:p>
            <w:pPr>
              <w:pStyle w:val="null3"/>
            </w:pPr>
            <w:r>
              <w:rPr>
                <w:rFonts w:ascii="仿宋_GB2312" w:hAnsi="仿宋_GB2312" w:cs="仿宋_GB2312" w:eastAsia="仿宋_GB2312"/>
              </w:rPr>
              <w:t>1、质量保修承诺完整、合理，后续服务条款具体、可⾏，得5-3分； 2、质量保修承诺较含糊，后续服务条款基本可⾏，得3-1分； 3、保修内容简单，范围与期限不清晰，服务措施笼统、可操作性差，得1-0分； 4、未提供不得分。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技术方案.pdf</w:t>
            </w:r>
          </w:p>
        </w:tc>
      </w:tr>
      <w:tr>
        <w:tc>
          <w:tcPr>
            <w:tcW w:type="dxa" w:w="831"/>
            <w:vMerge/>
          </w:tcPr>
          <w:p/>
        </w:tc>
        <w:tc>
          <w:tcPr>
            <w:tcW w:type="dxa" w:w="1661"/>
          </w:tcPr>
          <w:p>
            <w:pPr>
              <w:pStyle w:val="null3"/>
            </w:pPr>
            <w:r>
              <w:rPr>
                <w:rFonts w:ascii="仿宋_GB2312" w:hAnsi="仿宋_GB2312" w:cs="仿宋_GB2312" w:eastAsia="仿宋_GB2312"/>
              </w:rPr>
              <w:t>项⽬管理⼈员配备</w:t>
            </w:r>
          </w:p>
        </w:tc>
        <w:tc>
          <w:tcPr>
            <w:tcW w:type="dxa" w:w="2492"/>
          </w:tcPr>
          <w:p>
            <w:pPr>
              <w:pStyle w:val="null3"/>
            </w:pPr>
            <w:r>
              <w:rPr>
                <w:rFonts w:ascii="仿宋_GB2312" w:hAnsi="仿宋_GB2312" w:cs="仿宋_GB2312" w:eastAsia="仿宋_GB2312"/>
              </w:rPr>
              <w:t>1、机构设置合理完善，⼈员职责分⼯清晰，专业配置完全满⾜项⽬需求得5-3分； 2、机构设置合理，⼈员职责基本明确，满⾜项⽬需求得3-1分； 3、机构设置、⼈员配备有较⼤缺陷，或不能满⾜项⽬需求的得1-0分； 4、未提供不得分。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技术方案.pdf</w:t>
            </w:r>
          </w:p>
          <w:p>
            <w:pPr>
              <w:pStyle w:val="null3"/>
            </w:pPr>
            <w:r>
              <w:rPr>
                <w:rFonts w:ascii="仿宋_GB2312" w:hAnsi="仿宋_GB2312" w:cs="仿宋_GB2312" w:eastAsia="仿宋_GB2312"/>
              </w:rPr>
              <w:t>项目管理机构组成表</w:t>
            </w:r>
          </w:p>
        </w:tc>
      </w:tr>
      <w:tr>
        <w:tc>
          <w:tcPr>
            <w:tcW w:type="dxa" w:w="831"/>
            <w:vMerge/>
          </w:tcPr>
          <w:p/>
        </w:tc>
        <w:tc>
          <w:tcPr>
            <w:tcW w:type="dxa" w:w="1661"/>
          </w:tcPr>
          <w:p>
            <w:pPr>
              <w:pStyle w:val="null3"/>
            </w:pPr>
            <w:r>
              <w:rPr>
                <w:rFonts w:ascii="仿宋_GB2312" w:hAnsi="仿宋_GB2312" w:cs="仿宋_GB2312" w:eastAsia="仿宋_GB2312"/>
              </w:rPr>
              <w:t>施⼯⼯期保障措施</w:t>
            </w:r>
          </w:p>
        </w:tc>
        <w:tc>
          <w:tcPr>
            <w:tcW w:type="dxa" w:w="2492"/>
          </w:tcPr>
          <w:p>
            <w:pPr>
              <w:pStyle w:val="null3"/>
            </w:pPr>
            <w:r>
              <w:rPr>
                <w:rFonts w:ascii="仿宋_GB2312" w:hAnsi="仿宋_GB2312" w:cs="仿宋_GB2312" w:eastAsia="仿宋_GB2312"/>
              </w:rPr>
              <w:t>提供施⼯⼯期保障措施⽅案，内容需包含：进度计划、资源调配⽅案、赶⼯措施。每缺少⼀项核⼼内容扣1分，扣完为⽌；不提供⽅案得0分。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技术方案.pdf</w:t>
            </w:r>
          </w:p>
        </w:tc>
      </w:tr>
      <w:tr>
        <w:tc>
          <w:tcPr>
            <w:tcW w:type="dxa" w:w="831"/>
            <w:vMerge/>
          </w:tcPr>
          <w:p/>
        </w:tc>
        <w:tc>
          <w:tcPr>
            <w:tcW w:type="dxa" w:w="1661"/>
          </w:tcPr>
          <w:p>
            <w:pPr>
              <w:pStyle w:val="null3"/>
            </w:pPr>
            <w:r>
              <w:rPr>
                <w:rFonts w:ascii="仿宋_GB2312" w:hAnsi="仿宋_GB2312" w:cs="仿宋_GB2312" w:eastAsia="仿宋_GB2312"/>
              </w:rPr>
              <w:t>施⼯总平⾯布置图</w:t>
            </w:r>
          </w:p>
        </w:tc>
        <w:tc>
          <w:tcPr>
            <w:tcW w:type="dxa" w:w="2492"/>
          </w:tcPr>
          <w:p>
            <w:pPr>
              <w:pStyle w:val="null3"/>
            </w:pPr>
            <w:r>
              <w:rPr>
                <w:rFonts w:ascii="仿宋_GB2312" w:hAnsi="仿宋_GB2312" w:cs="仿宋_GB2312" w:eastAsia="仿宋_GB2312"/>
              </w:rPr>
              <w:t>提供施⼯总平⾯布置图，图中需明确标注材料堆场、加⼯区、办公⽣活区等要素，得4分；未提供或要素不全的，不得分。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技术方案.pdf</w:t>
            </w:r>
          </w:p>
        </w:tc>
      </w:tr>
      <w:tr>
        <w:tc>
          <w:tcPr>
            <w:tcW w:type="dxa" w:w="831"/>
            <w:vMerge/>
          </w:tcPr>
          <w:p/>
        </w:tc>
        <w:tc>
          <w:tcPr>
            <w:tcW w:type="dxa" w:w="1661"/>
          </w:tcPr>
          <w:p>
            <w:pPr>
              <w:pStyle w:val="null3"/>
            </w:pPr>
            <w:r>
              <w:rPr>
                <w:rFonts w:ascii="仿宋_GB2312" w:hAnsi="仿宋_GB2312" w:cs="仿宋_GB2312" w:eastAsia="仿宋_GB2312"/>
              </w:rPr>
              <w:t>售后服务⽅案</w:t>
            </w:r>
          </w:p>
        </w:tc>
        <w:tc>
          <w:tcPr>
            <w:tcW w:type="dxa" w:w="2492"/>
          </w:tcPr>
          <w:p>
            <w:pPr>
              <w:pStyle w:val="null3"/>
            </w:pPr>
            <w:r>
              <w:rPr>
                <w:rFonts w:ascii="仿宋_GB2312" w:hAnsi="仿宋_GB2312" w:cs="仿宋_GB2312" w:eastAsia="仿宋_GB2312"/>
              </w:rPr>
              <w:t>提供售后服务方案，方案包含保修范围、响应时间、维修保障、回访巡检 4 项内容，每符合一项计 1 分，各项不重复得分，本项最高分值 4 分，不提供不得分。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技术方案.pdf</w:t>
            </w:r>
          </w:p>
        </w:tc>
      </w:tr>
      <w:tr>
        <w:tc>
          <w:tcPr>
            <w:tcW w:type="dxa" w:w="831"/>
            <w:vMerge/>
          </w:tcPr>
          <w:p/>
        </w:tc>
        <w:tc>
          <w:tcPr>
            <w:tcW w:type="dxa" w:w="1661"/>
          </w:tcPr>
          <w:p>
            <w:pPr>
              <w:pStyle w:val="null3"/>
            </w:pPr>
            <w:r>
              <w:rPr>
                <w:rFonts w:ascii="仿宋_GB2312" w:hAnsi="仿宋_GB2312" w:cs="仿宋_GB2312" w:eastAsia="仿宋_GB2312"/>
              </w:rPr>
              <w:t>安全应急预案</w:t>
            </w:r>
          </w:p>
        </w:tc>
        <w:tc>
          <w:tcPr>
            <w:tcW w:type="dxa" w:w="2492"/>
          </w:tcPr>
          <w:p>
            <w:pPr>
              <w:pStyle w:val="null3"/>
            </w:pPr>
            <w:r>
              <w:rPr>
                <w:rFonts w:ascii="仿宋_GB2312" w:hAnsi="仿宋_GB2312" w:cs="仿宋_GB2312" w:eastAsia="仿宋_GB2312"/>
              </w:rPr>
              <w:t>提供安全应急预案，涉及恶劣天气应急处置、高温中暑处置、触电事故处置3项内容，每符合一项计1分，各项不重复得分，本项最高分值3分，不提供不得分。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技术方案.pdf</w:t>
            </w:r>
          </w:p>
        </w:tc>
      </w:tr>
      <w:tr>
        <w:tc>
          <w:tcPr>
            <w:tcW w:type="dxa" w:w="831"/>
            <w:vMerge/>
          </w:tcP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供应商提供2023年1⽉1⽇起⾄今已完成的类似业绩证明材料，每提供1项得2.5分，最多得5分。 评审依据：业绩以合同或（中标）成交通知书加盖公章的复印件为依据（时间以合同签订或（中标）成交通知书发出时间为准），未提供不得分。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满足磋商文件要求且磋商响应最低的报价（最后的响应报价）为评标基准价，其价格分为满分。其他磋商供应商的价格分统一按照下列公式计算：磋商报价得分=（评标基准价/磋商报价）×30。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详见附件：汉中市政府采购供应商资格承诺函.pdf</w:t>
      </w:r>
    </w:p>
    <w:p>
      <w:pPr>
        <w:pStyle w:val="null3"/>
        <w:ind w:firstLine="960"/>
      </w:pPr>
      <w:r>
        <w:rPr>
          <w:rFonts w:ascii="仿宋_GB2312" w:hAnsi="仿宋_GB2312" w:cs="仿宋_GB2312" w:eastAsia="仿宋_GB2312"/>
        </w:rPr>
        <w:t>详见附件：技术方案.pdf</w:t>
      </w:r>
    </w:p>
    <w:p>
      <w:pPr>
        <w:pStyle w:val="null3"/>
        <w:ind w:firstLine="960"/>
      </w:pPr>
      <w:r>
        <w:rPr>
          <w:rFonts w:ascii="仿宋_GB2312" w:hAnsi="仿宋_GB2312" w:cs="仿宋_GB2312" w:eastAsia="仿宋_GB2312"/>
        </w:rPr>
        <w:t>详见附件：企业资质要求.pdf</w:t>
      </w:r>
    </w:p>
    <w:p>
      <w:pPr>
        <w:pStyle w:val="null3"/>
        <w:ind w:firstLine="960"/>
      </w:pPr>
      <w:r>
        <w:rPr>
          <w:rFonts w:ascii="仿宋_GB2312" w:hAnsi="仿宋_GB2312" w:cs="仿宋_GB2312" w:eastAsia="仿宋_GB2312"/>
        </w:rPr>
        <w:t>详见附件：响应文件签署人身份证明.pdf</w:t>
      </w:r>
    </w:p>
    <w:p>
      <w:pPr>
        <w:pStyle w:val="null3"/>
        <w:ind w:firstLine="960"/>
      </w:pPr>
      <w:r>
        <w:rPr>
          <w:rFonts w:ascii="仿宋_GB2312" w:hAnsi="仿宋_GB2312" w:cs="仿宋_GB2312" w:eastAsia="仿宋_GB2312"/>
        </w:rPr>
        <w:t>详见附件：项目经理资格要求.pdf</w:t>
      </w:r>
    </w:p>
    <w:p>
      <w:pPr>
        <w:pStyle w:val="null3"/>
        <w:ind w:firstLine="960"/>
      </w:pPr>
      <w:r>
        <w:rPr>
          <w:rFonts w:ascii="仿宋_GB2312" w:hAnsi="仿宋_GB2312" w:cs="仿宋_GB2312" w:eastAsia="仿宋_GB2312"/>
        </w:rPr>
        <w:t>详见附件：有效的主体资格证明.pdf</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