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6A931"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采购需求</w:t>
      </w:r>
    </w:p>
    <w:p w14:paraId="0324781E">
      <w:pPr>
        <w:pStyle w:val="7"/>
        <w:widowControl w:val="0"/>
        <w:spacing w:line="360" w:lineRule="auto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采购包1：</w:t>
      </w:r>
    </w:p>
    <w:p w14:paraId="2920BA91">
      <w:pPr>
        <w:pStyle w:val="7"/>
        <w:widowControl w:val="0"/>
        <w:spacing w:line="360" w:lineRule="auto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仿宋_GB2312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标的名称：超声键合控制平台</w:t>
      </w:r>
    </w:p>
    <w:tbl>
      <w:tblPr>
        <w:tblStyle w:val="5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758"/>
        <w:gridCol w:w="7147"/>
      </w:tblGrid>
      <w:tr w14:paraId="370A8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pct"/>
          </w:tcPr>
          <w:p w14:paraId="4022D7D0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序号</w:t>
            </w:r>
          </w:p>
        </w:tc>
        <w:tc>
          <w:tcPr>
            <w:tcW w:w="445" w:type="pct"/>
          </w:tcPr>
          <w:p w14:paraId="13BE0E32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4193" w:type="pct"/>
          </w:tcPr>
          <w:p w14:paraId="7D336083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技术参数与性能指标</w:t>
            </w:r>
          </w:p>
        </w:tc>
      </w:tr>
      <w:tr w14:paraId="4264B7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pct"/>
          </w:tcPr>
          <w:p w14:paraId="29A9347E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1</w:t>
            </w:r>
          </w:p>
        </w:tc>
        <w:tc>
          <w:tcPr>
            <w:tcW w:w="445" w:type="pct"/>
          </w:tcPr>
          <w:p w14:paraId="5B4F84D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193" w:type="pct"/>
          </w:tcPr>
          <w:p w14:paraId="059D528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一、超声键合主机（楔焊机）</w:t>
            </w:r>
          </w:p>
          <w:p w14:paraId="7F746AD8">
            <w:pPr>
              <w:spacing w:line="360" w:lineRule="auto"/>
              <w:jc w:val="left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</w:rPr>
              <w:t>▲1、焊接区</w:t>
            </w:r>
            <w:r>
              <w:rPr>
                <w:rFonts w:hint="eastAsia" w:ascii="宋体" w:hAnsi="宋体"/>
                <w:sz w:val="24"/>
                <w:highlight w:val="none"/>
              </w:rPr>
              <w:t>域≥300mm*350mm；</w:t>
            </w:r>
          </w:p>
          <w:p w14:paraId="3033E432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▲2、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焊接精度</w:t>
            </w:r>
            <w:r>
              <w:rPr>
                <w:rFonts w:hint="eastAsia" w:ascii="宋体" w:hAnsi="宋体"/>
                <w:sz w:val="24"/>
                <w:highlight w:val="none"/>
              </w:rPr>
              <w:t>≤±3μm@3σ（XY重</w:t>
            </w:r>
            <w:r>
              <w:rPr>
                <w:rFonts w:hint="eastAsia" w:ascii="宋体" w:hAnsi="宋体"/>
                <w:sz w:val="24"/>
              </w:rPr>
              <w:t>复定为精度）；</w:t>
            </w:r>
          </w:p>
          <w:p w14:paraId="51C6123A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3、焊接最小线弧距离≤2mm(XY轴)；</w:t>
            </w:r>
          </w:p>
          <w:p w14:paraId="36B62086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4、焊接最大线弧距离≥40mm(XY轴)；</w:t>
            </w:r>
          </w:p>
          <w:p w14:paraId="040A8C46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5、Z轴行程≥50mm;</w:t>
            </w:r>
          </w:p>
          <w:p w14:paraId="23B419DF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6、每条焊线的弧高和弧形均可单独设置；</w:t>
            </w:r>
          </w:p>
          <w:p w14:paraId="4F513B94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7、配键合夹具≥2套；</w:t>
            </w:r>
          </w:p>
          <w:p w14:paraId="71617224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8、键合硬件平台配套工具箱≥1套；</w:t>
            </w:r>
          </w:p>
        </w:tc>
      </w:tr>
      <w:tr w14:paraId="0573BD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pct"/>
          </w:tcPr>
          <w:p w14:paraId="2CEA3783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45" w:type="pct"/>
          </w:tcPr>
          <w:p w14:paraId="3060729C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193" w:type="pct"/>
          </w:tcPr>
          <w:p w14:paraId="0335BB0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二、键合邦头组件</w:t>
            </w:r>
          </w:p>
          <w:p w14:paraId="22BBEF64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▲1、铜线焊接线径范围8</w:t>
            </w:r>
            <w:r>
              <w:rPr>
                <w:rFonts w:hint="eastAsia" w:ascii="宋体" w:hAnsi="宋体" w:eastAsia="宋体" w:cs="仿宋_GB2312"/>
                <w:kern w:val="0"/>
                <w:sz w:val="24"/>
              </w:rPr>
              <w:t>～</w:t>
            </w:r>
            <w:r>
              <w:rPr>
                <w:rFonts w:hint="eastAsia" w:ascii="宋体" w:hAnsi="宋体"/>
                <w:sz w:val="24"/>
              </w:rPr>
              <w:t>20</w:t>
            </w:r>
            <w:bookmarkStart w:id="0" w:name="OLE_LINK3"/>
            <w:r>
              <w:rPr>
                <w:rFonts w:hint="eastAsia" w:ascii="宋体" w:hAnsi="宋体"/>
                <w:sz w:val="24"/>
              </w:rPr>
              <w:t>mil</w:t>
            </w:r>
            <w:bookmarkEnd w:id="0"/>
            <w:r>
              <w:rPr>
                <w:rFonts w:hint="eastAsia" w:ascii="宋体" w:hAnsi="宋体"/>
                <w:sz w:val="24"/>
              </w:rPr>
              <w:t>；</w:t>
            </w:r>
          </w:p>
          <w:p w14:paraId="1EDB813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★</w:t>
            </w:r>
            <w:r>
              <w:rPr>
                <w:rFonts w:hint="eastAsia" w:ascii="宋体" w:hAnsi="宋体"/>
                <w:sz w:val="24"/>
              </w:rPr>
              <w:t>2、</w:t>
            </w:r>
            <w:r>
              <w:rPr>
                <w:rFonts w:hint="eastAsia" w:ascii="宋体" w:hAnsi="宋体" w:eastAsia="宋体" w:cs="仿宋_GB2312"/>
                <w:sz w:val="24"/>
                <w:lang w:eastAsia="zh-Hans"/>
              </w:rPr>
              <w:t>铝</w:t>
            </w:r>
            <w:r>
              <w:rPr>
                <w:rFonts w:hint="eastAsia" w:ascii="宋体" w:hAnsi="宋体"/>
                <w:sz w:val="24"/>
              </w:rPr>
              <w:t>线适用线径范围4</w:t>
            </w:r>
            <w:r>
              <w:rPr>
                <w:rFonts w:hint="eastAsia" w:ascii="宋体" w:hAnsi="宋体" w:eastAsia="宋体" w:cs="仿宋_GB2312"/>
                <w:kern w:val="0"/>
                <w:sz w:val="24"/>
              </w:rPr>
              <w:t>～</w:t>
            </w:r>
            <w:r>
              <w:rPr>
                <w:rFonts w:hint="eastAsia" w:ascii="宋体" w:hAnsi="宋体"/>
                <w:sz w:val="24"/>
              </w:rPr>
              <w:t>20mil；</w:t>
            </w:r>
          </w:p>
          <w:p w14:paraId="65F98D39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3、ALC拉力测试50</w:t>
            </w:r>
            <w:r>
              <w:rPr>
                <w:rFonts w:hint="eastAsia" w:ascii="宋体" w:hAnsi="宋体" w:eastAsia="宋体" w:cs="仿宋_GB2312"/>
                <w:kern w:val="0"/>
                <w:sz w:val="24"/>
              </w:rPr>
              <w:t>～</w:t>
            </w:r>
            <w:r>
              <w:rPr>
                <w:rFonts w:hint="eastAsia" w:ascii="宋体" w:hAnsi="宋体"/>
                <w:sz w:val="24"/>
              </w:rPr>
              <w:t>500g;</w:t>
            </w:r>
          </w:p>
          <w:p w14:paraId="31ABA6EA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4、满足深腔加工，腔体深度≥30mm；</w:t>
            </w:r>
          </w:p>
          <w:p w14:paraId="212F255E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5、铝邦头焊接压力可控：范围0</w:t>
            </w:r>
            <w:r>
              <w:rPr>
                <w:rFonts w:hint="eastAsia" w:ascii="宋体" w:hAnsi="宋体" w:eastAsia="宋体" w:cs="仿宋_GB2312"/>
                <w:kern w:val="0"/>
                <w:sz w:val="24"/>
              </w:rPr>
              <w:t>～</w:t>
            </w:r>
            <w:r>
              <w:rPr>
                <w:rFonts w:hint="eastAsia" w:ascii="宋体" w:hAnsi="宋体"/>
                <w:sz w:val="24"/>
              </w:rPr>
              <w:t>1500g可调，调整精度≥100g；</w:t>
            </w:r>
          </w:p>
          <w:p w14:paraId="28B95021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6、铜邦头焊接压力可控：范围0</w:t>
            </w:r>
            <w:r>
              <w:rPr>
                <w:rFonts w:hint="eastAsia" w:ascii="宋体" w:hAnsi="宋体" w:eastAsia="宋体" w:cs="仿宋_GB2312"/>
                <w:kern w:val="0"/>
                <w:sz w:val="24"/>
              </w:rPr>
              <w:t>～</w:t>
            </w:r>
            <w:r>
              <w:rPr>
                <w:rFonts w:hint="eastAsia" w:ascii="宋体" w:hAnsi="宋体"/>
                <w:sz w:val="24"/>
              </w:rPr>
              <w:t>5000g可调，调整精度≥100g；</w:t>
            </w:r>
          </w:p>
          <w:p w14:paraId="4F6F8CA7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3C8679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pct"/>
          </w:tcPr>
          <w:p w14:paraId="44475692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45" w:type="pct"/>
          </w:tcPr>
          <w:p w14:paraId="7FD0FAF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193" w:type="pct"/>
          </w:tcPr>
          <w:p w14:paraId="5C064AEB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三、高精度视觉识别与过程监测系统（PR+质量控制模块）</w:t>
            </w:r>
          </w:p>
          <w:p w14:paraId="7874FE39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▲1、XYZ光栅分辨率≤0.1um；</w:t>
            </w:r>
          </w:p>
          <w:p w14:paraId="3B49BD47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▲2、</w:t>
            </w:r>
            <w:r>
              <w:rPr>
                <w:rFonts w:ascii="宋体" w:hAnsi="宋体"/>
                <w:sz w:val="24"/>
              </w:rPr>
              <w:t>R轴旋转范围≥±2</w:t>
            </w:r>
            <w:r>
              <w:rPr>
                <w:rFonts w:hint="eastAsia" w:ascii="宋体" w:hAnsi="宋体"/>
                <w:sz w:val="24"/>
              </w:rPr>
              <w:t>0</w:t>
            </w:r>
            <w:r>
              <w:rPr>
                <w:rFonts w:ascii="宋体" w:hAnsi="宋体"/>
                <w:sz w:val="24"/>
              </w:rPr>
              <w:t>0</w:t>
            </w:r>
            <w:bookmarkStart w:id="1" w:name="OLE_LINK7"/>
            <w:r>
              <w:rPr>
                <w:rFonts w:ascii="宋体" w:hAnsi="宋体"/>
                <w:sz w:val="24"/>
              </w:rPr>
              <w:t>°</w:t>
            </w:r>
            <w:bookmarkEnd w:id="1"/>
            <w:r>
              <w:rPr>
                <w:rFonts w:hint="eastAsia" w:ascii="宋体" w:hAnsi="宋体"/>
                <w:sz w:val="24"/>
              </w:rPr>
              <w:t>，空间分辨率≤0.01°</w:t>
            </w:r>
            <w:r>
              <w:rPr>
                <w:rFonts w:ascii="宋体" w:hAnsi="宋体"/>
                <w:sz w:val="24"/>
              </w:rPr>
              <w:t>；</w:t>
            </w:r>
          </w:p>
          <w:p w14:paraId="70CF1954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3、PR视野≥5mm*5mm；</w:t>
            </w:r>
          </w:p>
          <w:p w14:paraId="540BACEA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4、对键合工具寿命进行计数；</w:t>
            </w:r>
          </w:p>
          <w:p w14:paraId="5EF5818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5、对于每一次焊接过程监控并记录其焊接变形量；</w:t>
            </w:r>
          </w:p>
          <w:p w14:paraId="0B76B678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6、焊线软件能够清晰地展示劈刀、切刀、线嘴间的相对布局。</w:t>
            </w:r>
          </w:p>
          <w:p w14:paraId="6442C354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7、打线图绘制过程中应能确定打线位置（如可输入打线点坐标）；</w:t>
            </w:r>
          </w:p>
          <w:p w14:paraId="704C4E0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8、图像识别系统识别定位焊点位置；</w:t>
            </w:r>
          </w:p>
          <w:p w14:paraId="3A5A1439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9、可规化防撞区域，可编程过扭技术以避让干扰焊接过程障碍物；</w:t>
            </w:r>
          </w:p>
          <w:p w14:paraId="208229B3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10、可用CAD制图导入键合工单。</w:t>
            </w:r>
          </w:p>
        </w:tc>
      </w:tr>
    </w:tbl>
    <w:p w14:paraId="7B030A95">
      <w:pPr>
        <w:pStyle w:val="7"/>
        <w:widowControl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 w:cs="仿宋_GB2312"/>
          <w:sz w:val="24"/>
          <w:szCs w:val="24"/>
        </w:rPr>
        <w:t>采购包</w:t>
      </w:r>
      <w:r>
        <w:rPr>
          <w:rFonts w:ascii="宋体" w:hAnsi="宋体" w:eastAsia="宋体" w:cs="仿宋_GB2312"/>
          <w:sz w:val="24"/>
          <w:szCs w:val="24"/>
          <w:lang w:eastAsia="zh-CN"/>
        </w:rPr>
        <w:t>2</w:t>
      </w:r>
      <w:r>
        <w:rPr>
          <w:rFonts w:ascii="宋体" w:hAnsi="宋体" w:eastAsia="宋体" w:cs="仿宋_GB2312"/>
          <w:sz w:val="24"/>
          <w:szCs w:val="24"/>
        </w:rPr>
        <w:t>：</w:t>
      </w:r>
    </w:p>
    <w:p w14:paraId="3EBA011F">
      <w:pPr>
        <w:pStyle w:val="7"/>
        <w:widowControl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 w:cs="仿宋_GB2312"/>
          <w:sz w:val="24"/>
          <w:szCs w:val="24"/>
        </w:rPr>
        <w:t>标的名称：</w:t>
      </w:r>
      <w:r>
        <w:rPr>
          <w:rFonts w:ascii="宋体" w:hAnsi="宋体"/>
          <w:kern w:val="2"/>
          <w:sz w:val="24"/>
          <w:szCs w:val="24"/>
          <w:lang w:eastAsia="zh-CN"/>
        </w:rPr>
        <w:t>宽禁带半导体动态特性检测平台</w:t>
      </w:r>
    </w:p>
    <w:tbl>
      <w:tblPr>
        <w:tblStyle w:val="5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677"/>
        <w:gridCol w:w="7190"/>
      </w:tblGrid>
      <w:tr w14:paraId="733456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17323FB9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序号</w:t>
            </w:r>
          </w:p>
        </w:tc>
        <w:tc>
          <w:tcPr>
            <w:tcW w:w="397" w:type="pct"/>
          </w:tcPr>
          <w:p w14:paraId="7DC3554D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4218" w:type="pct"/>
          </w:tcPr>
          <w:p w14:paraId="49AC548C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14:paraId="60F3BE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39D9E119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1</w:t>
            </w:r>
          </w:p>
        </w:tc>
        <w:tc>
          <w:tcPr>
            <w:tcW w:w="397" w:type="pct"/>
          </w:tcPr>
          <w:p w14:paraId="769D482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64FC99D3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一、动态特性测试硬件系统（测试主机）</w:t>
            </w:r>
          </w:p>
          <w:p w14:paraId="49A61582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★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、测试电压</w:t>
            </w:r>
            <w:r>
              <w:rPr>
                <w:rFonts w:ascii="宋体" w:hAnsi="宋体" w:eastAsia="宋体" w:cs="仿宋_GB2312"/>
                <w:kern w:val="0"/>
                <w:sz w:val="24"/>
                <w:highlight w:val="none"/>
              </w:rPr>
              <w:t>20V～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</w:t>
            </w:r>
            <w:r>
              <w:rPr>
                <w:rFonts w:ascii="宋体" w:hAnsi="宋体" w:eastAsia="宋体" w:cs="仿宋_GB2312"/>
                <w:kern w:val="0"/>
                <w:sz w:val="24"/>
                <w:highlight w:val="none"/>
              </w:rPr>
              <w:t>000V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；</w:t>
            </w:r>
          </w:p>
          <w:p w14:paraId="0393FE9D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、测试电流≥1000 A；</w:t>
            </w:r>
          </w:p>
          <w:p w14:paraId="079E5A1D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、短路测试电流能力≥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10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 xml:space="preserve"> kA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；</w:t>
            </w:r>
          </w:p>
        </w:tc>
      </w:tr>
      <w:tr w14:paraId="5285BE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</w:trPr>
        <w:tc>
          <w:tcPr>
            <w:tcW w:w="383" w:type="pct"/>
          </w:tcPr>
          <w:p w14:paraId="01E449BB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7" w:type="pct"/>
          </w:tcPr>
          <w:p w14:paraId="2DED435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144D090D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二、高速测量系统（示波器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1台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、高压差分探头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只、电流探头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只及光隔离探头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只）</w:t>
            </w:r>
          </w:p>
          <w:p w14:paraId="6A60F1A4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、示波器模拟带宽≥1 GHz，实时采样率≥6 GSa/s，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时间分辨率不低于0.1ns，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模拟通道数≥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6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通道；</w:t>
            </w:r>
          </w:p>
          <w:p w14:paraId="24230A14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、差分探头：带宽≥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200MHz,测量电压0～3000V；</w:t>
            </w:r>
            <w:r>
              <w:rPr>
                <w:rFonts w:ascii="宋体" w:hAnsi="宋体" w:eastAsia="宋体" w:cs="仿宋_GB2312"/>
                <w:kern w:val="0"/>
                <w:sz w:val="24"/>
                <w:highlight w:val="none"/>
              </w:rPr>
              <w:t xml:space="preserve"> </w:t>
            </w:r>
          </w:p>
          <w:p w14:paraId="6F467183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3、电流探头：带宽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≥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30MHz，测量电流0～5000A；</w:t>
            </w:r>
          </w:p>
          <w:p w14:paraId="60A91B36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4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、光隔离探头：带宽≥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1GHz,测量电压0～5000V, 隔离电压＞≥30kV；</w:t>
            </w:r>
          </w:p>
        </w:tc>
      </w:tr>
      <w:tr w14:paraId="4456A0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6FED3D68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97" w:type="pct"/>
          </w:tcPr>
          <w:p w14:paraId="7B59B27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27D960FE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集中控制与数据分析系统（上位机软件）</w:t>
            </w:r>
          </w:p>
          <w:p w14:paraId="596AB13C">
            <w:pPr>
              <w:spacing w:line="500" w:lineRule="exact"/>
              <w:rPr>
                <w:rFonts w:hint="eastAsia" w:ascii="宋体" w:hAnsi="宋体" w:eastAsia="宋体" w:cs="仿宋_GB2312"/>
                <w:kern w:val="0"/>
                <w:sz w:val="24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1、</w:t>
            </w:r>
            <w:r>
              <w:rPr>
                <w:rFonts w:ascii="宋体" w:hAnsi="宋体" w:eastAsia="宋体" w:cs="仿宋_GB2312"/>
                <w:kern w:val="0"/>
                <w:sz w:val="24"/>
              </w:rPr>
              <w:t>测试脉宽范围：1μs～100μs连续可调；</w:t>
            </w:r>
          </w:p>
          <w:p w14:paraId="6D1E3724">
            <w:pPr>
              <w:spacing w:line="500" w:lineRule="exact"/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支持开关时间参数测试（Td(on)、Tr、Td(off)、Tf、ton、toff）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，电压变化率（dv/dt）；</w:t>
            </w:r>
          </w:p>
          <w:p w14:paraId="3B3652F2">
            <w:pPr>
              <w:spacing w:line="500" w:lineRule="exact"/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</w:rPr>
              <w:t>3、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highlight w:val="none"/>
                <w:lang w:eastAsia="zh-Hans"/>
              </w:rPr>
              <w:t>支持开通/关断损耗测试（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Eon、Eoff）；</w:t>
            </w:r>
          </w:p>
          <w:p w14:paraId="2E18D2ED">
            <w:pPr>
              <w:spacing w:line="500" w:lineRule="exact"/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4、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支持反向恢复参数测试（Trr、Qrr、Irrm、Erec）；</w:t>
            </w:r>
          </w:p>
          <w:p w14:paraId="09608CBE">
            <w:pPr>
              <w:spacing w:line="500" w:lineRule="exact"/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5、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支持短路特性参数测试（Isc、Esc、Tsc）；</w:t>
            </w:r>
          </w:p>
          <w:p w14:paraId="0B973EF3">
            <w:pPr>
              <w:spacing w:line="360" w:lineRule="auto"/>
              <w:rPr>
                <w:rFonts w:hint="eastAsia" w:ascii="宋体" w:hAnsi="宋体" w:eastAsia="宋体" w:cs="仿宋_GB2312"/>
                <w:kern w:val="0"/>
                <w:sz w:val="24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6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、软件具备自主知识产权；</w:t>
            </w:r>
          </w:p>
        </w:tc>
      </w:tr>
      <w:tr w14:paraId="590176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4A481B1F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97" w:type="pct"/>
          </w:tcPr>
          <w:p w14:paraId="4B4557C4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05DE49B0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四、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负载与测试工装单元（可切换电感负载）</w:t>
            </w:r>
          </w:p>
          <w:p w14:paraId="3BBD96B1">
            <w:pPr>
              <w:pStyle w:val="2"/>
              <w:rPr>
                <w:rFonts w:hint="eastAsia" w:ascii="宋体" w:hAnsi="宋体" w:eastAsia="宋体" w:cs="仿宋_GB2312"/>
                <w:kern w:val="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▲1、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支持多档电感负载切换（</w:t>
            </w:r>
            <w:r>
              <w:rPr>
                <w:rFonts w:hint="eastAsia"/>
              </w:rPr>
              <w:t>至少包括</w:t>
            </w:r>
            <w:r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  <w:t>50 μH、200 μH、500 μH、1 mH）；</w:t>
            </w:r>
          </w:p>
          <w:p w14:paraId="76EC0ED2">
            <w:pPr>
              <w:spacing w:line="360" w:lineRule="auto"/>
              <w:jc w:val="left"/>
              <w:rPr>
                <w:rFonts w:hint="eastAsia" w:ascii="宋体" w:hAnsi="宋体" w:eastAsia="宋体" w:cs="仿宋_GB2312"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</w:rPr>
              <w:t>2、支持</w:t>
            </w:r>
            <w:bookmarkStart w:id="2" w:name="OLE_LINK4"/>
            <w:bookmarkStart w:id="3" w:name="OLE_LINK6"/>
            <w:r>
              <w:rPr>
                <w:rFonts w:hint="eastAsia" w:ascii="宋体" w:hAnsi="宋体" w:eastAsia="宋体" w:cs="仿宋_GB2312"/>
                <w:kern w:val="0"/>
                <w:sz w:val="24"/>
              </w:rPr>
              <w:t>TO247</w:t>
            </w:r>
            <w:bookmarkEnd w:id="2"/>
            <w:r>
              <w:rPr>
                <w:rFonts w:hint="eastAsia" w:ascii="宋体" w:hAnsi="宋体" w:eastAsia="宋体" w:cs="仿宋_GB2312"/>
                <w:kern w:val="0"/>
                <w:sz w:val="24"/>
              </w:rPr>
              <w:t>封装IGBT</w:t>
            </w:r>
            <w:bookmarkEnd w:id="3"/>
            <w:r>
              <w:rPr>
                <w:rFonts w:hint="eastAsia" w:ascii="宋体" w:hAnsi="宋体" w:eastAsia="宋体" w:cs="仿宋_GB2312"/>
                <w:kern w:val="0"/>
                <w:sz w:val="24"/>
              </w:rPr>
              <w:t>、碳化硅MOSFET器件测试；</w:t>
            </w:r>
          </w:p>
        </w:tc>
      </w:tr>
    </w:tbl>
    <w:p w14:paraId="2E7F6671">
      <w:pPr>
        <w:pStyle w:val="7"/>
        <w:widowControl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 w:cs="仿宋_GB2312"/>
          <w:sz w:val="24"/>
          <w:szCs w:val="24"/>
        </w:rPr>
        <w:t>采购包</w:t>
      </w:r>
      <w:r>
        <w:rPr>
          <w:rFonts w:ascii="宋体" w:hAnsi="宋体" w:eastAsia="宋体" w:cs="仿宋_GB2312"/>
          <w:sz w:val="24"/>
          <w:szCs w:val="24"/>
          <w:lang w:eastAsia="zh-CN"/>
        </w:rPr>
        <w:t>3</w:t>
      </w:r>
      <w:r>
        <w:rPr>
          <w:rFonts w:ascii="宋体" w:hAnsi="宋体" w:eastAsia="宋体" w:cs="仿宋_GB2312"/>
          <w:sz w:val="24"/>
          <w:szCs w:val="24"/>
        </w:rPr>
        <w:t>：</w:t>
      </w:r>
    </w:p>
    <w:p w14:paraId="6889C7E7">
      <w:pPr>
        <w:pStyle w:val="7"/>
        <w:widowControl w:val="0"/>
        <w:spacing w:line="360" w:lineRule="auto"/>
        <w:rPr>
          <w:rFonts w:ascii="宋体" w:hAnsi="宋体" w:eastAsia="宋体" w:cs="仿宋_GB2312"/>
          <w:sz w:val="24"/>
          <w:szCs w:val="24"/>
          <w:lang w:eastAsia="zh-CN"/>
        </w:rPr>
      </w:pPr>
      <w:r>
        <w:rPr>
          <w:rFonts w:ascii="宋体" w:hAnsi="宋体" w:eastAsia="宋体" w:cs="仿宋_GB2312"/>
          <w:sz w:val="24"/>
          <w:szCs w:val="24"/>
        </w:rPr>
        <w:t>标的名称：电机轴承故障试验台</w:t>
      </w:r>
    </w:p>
    <w:tbl>
      <w:tblPr>
        <w:tblStyle w:val="5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677"/>
        <w:gridCol w:w="7190"/>
      </w:tblGrid>
      <w:tr w14:paraId="3C8327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383" w:type="pct"/>
          </w:tcPr>
          <w:p w14:paraId="5F8C0259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序号</w:t>
            </w:r>
          </w:p>
        </w:tc>
        <w:tc>
          <w:tcPr>
            <w:tcW w:w="397" w:type="pct"/>
          </w:tcPr>
          <w:p w14:paraId="1942F231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4218" w:type="pct"/>
          </w:tcPr>
          <w:p w14:paraId="3851FDD2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14:paraId="181BC4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0E97B429">
            <w:pPr>
              <w:pStyle w:val="7"/>
              <w:widowControl w:val="0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1</w:t>
            </w:r>
          </w:p>
        </w:tc>
        <w:tc>
          <w:tcPr>
            <w:tcW w:w="397" w:type="pct"/>
          </w:tcPr>
          <w:p w14:paraId="6CE7351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7CED06BA">
            <w:pPr>
              <w:spacing w:line="360" w:lineRule="auto"/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</w:rPr>
              <w:t>1</w:t>
            </w: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  <w:t>、旋转机械故障综合模拟实验台</w:t>
            </w:r>
          </w:p>
          <w:p w14:paraId="2C27F725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.1三项变频电机，电压：380V/220V；功率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：2.2kW；额定转矩：≥7.0N·m；额定转速：2800rpm</w:t>
            </w:r>
            <w:r>
              <w:rPr>
                <w:rFonts w:hint="eastAsia"/>
              </w:rPr>
              <w:t>±300rpm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，配套变频器实现连续调速；</w:t>
            </w:r>
            <w:r>
              <w:rPr>
                <w:rFonts w:ascii="宋体" w:hAnsi="宋体" w:eastAsia="宋体" w:cs="仿宋_GB2312"/>
                <w:kern w:val="0"/>
                <w:highlight w:val="none"/>
                <w:lang w:eastAsia="zh-Hans"/>
              </w:rPr>
              <w:t>转轴直径≥30mm;</w:t>
            </w:r>
          </w:p>
          <w:p w14:paraId="14411DBC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  <w:t>★</w:t>
            </w:r>
            <w:r>
              <w:rPr>
                <w:rFonts w:hint="eastAsia" w:ascii="宋体" w:hAnsi="宋体" w:eastAsia="宋体" w:cs="仿宋_GB2312"/>
                <w:kern w:val="0"/>
                <w:highlight w:val="none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  <w:t>.2</w:t>
            </w:r>
            <w:r>
              <w:rPr>
                <w:rFonts w:ascii="宋体" w:hAnsi="宋体" w:eastAsia="宋体" w:cs="仿宋_GB2312"/>
                <w:kern w:val="0"/>
                <w:highlight w:val="none"/>
                <w:lang w:eastAsia="zh-Hans"/>
              </w:rPr>
              <w:t>平行轴齿轮箱，支持断齿、磨损、缺齿、裂纹等典型齿轮故障模拟；</w:t>
            </w:r>
            <w:r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  <w:t>方便更换啮齿故障齿轮；两级传动齿轮参数：2级3轴直齿轮箱，传动比为4.97:1；</w:t>
            </w:r>
            <w:r>
              <w:rPr>
                <w:rFonts w:ascii="宋体" w:hAnsi="宋体" w:eastAsia="宋体" w:cs="仿宋_GB2312"/>
                <w:kern w:val="0"/>
                <w:highlight w:val="none"/>
                <w:lang w:eastAsia="zh-Hans"/>
              </w:rPr>
              <w:t>故障更换方式应支持在不拆卸主传动结构及关键部件的情况下完成</w:t>
            </w:r>
            <w:r>
              <w:rPr>
                <w:rFonts w:hint="eastAsia" w:ascii="宋体" w:hAnsi="宋体" w:eastAsia="宋体" w:cs="仿宋_GB2312"/>
                <w:kern w:val="0"/>
                <w:highlight w:val="none"/>
                <w:lang w:eastAsia="zh-Hans"/>
              </w:rPr>
              <w:t>，</w:t>
            </w:r>
            <w:r>
              <w:rPr>
                <w:rFonts w:ascii="宋体" w:hAnsi="宋体" w:eastAsia="宋体" w:cs="仿宋_GB2312"/>
                <w:kern w:val="0"/>
                <w:highlight w:val="none"/>
                <w:lang w:eastAsia="zh-Hans"/>
              </w:rPr>
              <w:t>采用模块化或专用切换机构实现故障模块的快速更换与切换；并保证更换后系统运行稳定性及测试数据一致性。</w:t>
            </w:r>
          </w:p>
          <w:p w14:paraId="211E803A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.3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动平衡转子组件，采用可拆卸式轴承结构，支持内圈、外圈、滚动体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、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保持架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及综合故障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等典型轴承故障模拟；具备不平衡、不对中、碰摩等转子故障模拟能力；</w:t>
            </w:r>
          </w:p>
          <w:p w14:paraId="2A29FD20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1.4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滚动轴承：PH206深沟球滚动轴承，内径30mm，连座整体式轴承组，</w:t>
            </w:r>
            <w:r>
              <w:rPr>
                <w:rFonts w:hint="eastAsia" w:ascii="宋体" w:hAnsi="宋体" w:eastAsia="宋体" w:cs="仿宋_GB2312"/>
                <w:strike/>
                <w:kern w:val="0"/>
                <w:lang w:eastAsia="zh-Hans"/>
              </w:rPr>
              <w:t xml:space="preserve"> </w:t>
            </w:r>
          </w:p>
          <w:p w14:paraId="27E0761D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</w:rPr>
              <w:t>5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行星齿轮箱模块，支持行星齿轮断齿、磨损等复杂故障模拟；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行星齿轮箱减速比为1：10，传动方式为单级传动；</w:t>
            </w:r>
          </w:p>
          <w:p w14:paraId="692006EE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</w:rPr>
              <w:t>6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实验台整体采用高刚性结构设计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。</w:t>
            </w:r>
          </w:p>
          <w:p w14:paraId="0CB6D4D8">
            <w:pPr>
              <w:spacing w:line="360" w:lineRule="auto"/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</w:rPr>
              <w:t>2</w:t>
            </w: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  <w:t>、动力执行系统</w:t>
            </w:r>
          </w:p>
          <w:p w14:paraId="5D102A06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.1 采用三项变频电机+变频器驱动方式，实现转速连续可调；</w:t>
            </w:r>
          </w:p>
          <w:p w14:paraId="502913ED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.2 配置磁粉制动器，实现负载连续可调及动态加载；磁粉制动器调节范围为</w:t>
            </w:r>
            <w:r>
              <w:rPr>
                <w:rFonts w:hint="eastAsia" w:ascii="宋体" w:hAnsi="宋体" w:eastAsia="宋体" w:cs="仿宋_GB2312"/>
                <w:kern w:val="0"/>
              </w:rPr>
              <w:t>0～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50NM；</w:t>
            </w:r>
          </w:p>
          <w:p w14:paraId="52EE4C94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.3 支持转速与负载协同控制</w:t>
            </w:r>
            <w:r>
              <w:rPr>
                <w:rFonts w:hint="eastAsia" w:ascii="宋体" w:hAnsi="宋体" w:eastAsia="宋体" w:cs="仿宋_GB2312"/>
                <w:strike/>
                <w:kern w:val="0"/>
                <w:lang w:eastAsia="zh-Hans"/>
              </w:rPr>
              <w:t>；</w:t>
            </w:r>
          </w:p>
          <w:p w14:paraId="1AFCAFAC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.4 系统具备快速启停及工况切换能力；</w:t>
            </w:r>
          </w:p>
          <w:p w14:paraId="6AEC0E28">
            <w:pPr>
              <w:spacing w:line="360" w:lineRule="auto"/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</w:rPr>
              <w:t>3</w:t>
            </w: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  <w:t>、控制系统</w:t>
            </w:r>
          </w:p>
          <w:p w14:paraId="7CE808F7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.1采用国产可编程加载器（PLC）控制系统，实现设备启停、调速及状态控制；PLC额定扭矩为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≥50Nm，功率≥22W；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转速调节范围为0</w:t>
            </w:r>
            <w:r>
              <w:rPr>
                <w:rFonts w:hint="eastAsia" w:ascii="宋体" w:hAnsi="宋体" w:eastAsia="宋体" w:cs="仿宋_GB2312"/>
                <w:kern w:val="0"/>
              </w:rPr>
              <w:t>～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1750rpm；</w:t>
            </w:r>
          </w:p>
          <w:p w14:paraId="6CACF66C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.2配置国产人机交互界面（HMI），支持参数设置、运行监控及状态显示；</w:t>
            </w:r>
          </w:p>
          <w:p w14:paraId="42766F77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.3 配置完整电气控制系统，包括断路器、继电器、开关电源、端子等；</w:t>
            </w:r>
          </w:p>
          <w:p w14:paraId="549F072A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.4 控制系统支持后续功能扩展；</w:t>
            </w:r>
          </w:p>
          <w:p w14:paraId="73E2B56A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★</w:t>
            </w: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.5系统具备急停保护及电气安全保护功能；</w:t>
            </w:r>
          </w:p>
          <w:p w14:paraId="5B569792">
            <w:pPr>
              <w:spacing w:line="360" w:lineRule="auto"/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</w:rPr>
              <w:t>4</w:t>
            </w: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  <w:t>、采集系统</w:t>
            </w:r>
          </w:p>
          <w:p w14:paraId="2401A3D1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★</w:t>
            </w:r>
            <w:r>
              <w:rPr>
                <w:rFonts w:hint="eastAsia" w:ascii="宋体" w:hAnsi="宋体" w:eastAsia="宋体" w:cs="仿宋_GB2312"/>
                <w:kern w:val="0"/>
              </w:rPr>
              <w:t>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.1配置压电式三轴加速度温度复合传感器(IEPE)，实现多源信号采集；</w:t>
            </w:r>
          </w:p>
          <w:p w14:paraId="6DF6525A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压电式三轴加速度温度复合传感器(IEPE)参数要求：</w:t>
            </w:r>
          </w:p>
          <w:p w14:paraId="1DC24733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测量范围（峰值）：±80 g </w:t>
            </w:r>
          </w:p>
          <w:p w14:paraId="413236C9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4.2.2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灵敏度（25℃）：100±</w:t>
            </w:r>
            <w:r>
              <w:rPr>
                <w:rFonts w:hint="eastAsia" w:ascii="宋体" w:hAnsi="宋体" w:eastAsia="宋体" w:cs="仿宋_GB2312"/>
                <w:kern w:val="0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 mV/g（160 Hz） </w:t>
            </w:r>
          </w:p>
          <w:p w14:paraId="3E6C8CE5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4.2.3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振幅非线性：±1% </w:t>
            </w:r>
          </w:p>
          <w:p w14:paraId="6565F8CB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4.2.4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频率响应（±1 dB）：1</w:t>
            </w:r>
            <w:r>
              <w:rPr>
                <w:rFonts w:hint="eastAsia" w:ascii="宋体" w:hAnsi="宋体" w:eastAsia="宋体" w:cs="仿宋_GB2312"/>
                <w:kern w:val="0"/>
              </w:rPr>
              <w:t>～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4000 Hz </w:t>
            </w:r>
          </w:p>
          <w:p w14:paraId="14066827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4.2.5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频率响应（±3 dB）：1</w:t>
            </w:r>
            <w:r>
              <w:rPr>
                <w:rFonts w:hint="eastAsia" w:ascii="宋体" w:hAnsi="宋体" w:eastAsia="宋体" w:cs="仿宋_GB2312"/>
                <w:kern w:val="0"/>
              </w:rPr>
              <w:t>～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10000 Hz </w:t>
            </w:r>
          </w:p>
          <w:p w14:paraId="54D662EE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4.2.6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横向灵敏度比：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≤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5% </w:t>
            </w:r>
          </w:p>
          <w:p w14:paraId="3F9E183B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4.2.7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温度测量范围：-40 ℃</w:t>
            </w:r>
            <w:r>
              <w:rPr>
                <w:rFonts w:hint="eastAsia" w:ascii="宋体" w:hAnsi="宋体" w:eastAsia="宋体" w:cs="仿宋_GB2312"/>
                <w:kern w:val="0"/>
              </w:rPr>
              <w:t>～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 +120 ℃ </w:t>
            </w:r>
          </w:p>
          <w:p w14:paraId="2F146C1F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4.2.8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温度灵敏度：10±</w:t>
            </w:r>
            <w:r>
              <w:rPr>
                <w:rFonts w:hint="eastAsia" w:ascii="宋体" w:hAnsi="宋体" w:eastAsia="宋体" w:cs="仿宋_GB2312"/>
                <w:kern w:val="0"/>
              </w:rPr>
              <w:t>1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 xml:space="preserve"> mV/℃ </w:t>
            </w:r>
          </w:p>
          <w:p w14:paraId="3D84AF30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4.2.9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温度测量误差：±4 ℃</w:t>
            </w:r>
          </w:p>
          <w:p w14:paraId="26419AAF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</w:rPr>
              <w:t>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</w:rPr>
              <w:t>3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配置扭矩转速测量装置，实现轴系运行参数采集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。</w:t>
            </w:r>
          </w:p>
          <w:p w14:paraId="3DD7E1AC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配置动态扭矩传感器，实现转速与扭矩的同步测量与输出，具备如下能力：</w:t>
            </w:r>
          </w:p>
          <w:p w14:paraId="1DF962DF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4.4.1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支持扭矩、转速及功率实时测量与显示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；</w:t>
            </w:r>
          </w:p>
          <w:p w14:paraId="0352C142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4.4.2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扭矩测量精度</w:t>
            </w:r>
            <w:r>
              <w:rPr>
                <w:rFonts w:hint="eastAsia" w:ascii="宋体" w:hAnsi="宋体" w:eastAsia="宋体" w:cs="仿宋_GB2312"/>
                <w:kern w:val="0"/>
              </w:rPr>
              <w:t>≤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0.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2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%FS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；</w:t>
            </w:r>
          </w:p>
          <w:p w14:paraId="18CCB5F4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4.4.3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支持转速范围覆盖实验台运行范围（≥8000 rpm）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；</w:t>
            </w:r>
          </w:p>
          <w:p w14:paraId="006D153C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4.4.4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支持过载能力</w:t>
            </w:r>
            <w:r>
              <w:rPr>
                <w:rFonts w:hint="eastAsia" w:ascii="宋体" w:hAnsi="宋体" w:eastAsia="宋体" w:cs="仿宋_GB2312"/>
                <w:kern w:val="0"/>
              </w:rPr>
              <w:t>≥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150%FS；</w:t>
            </w:r>
          </w:p>
          <w:p w14:paraId="73D43CC4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4.4.5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应支持模拟量及数字通信输出；</w:t>
            </w:r>
          </w:p>
          <w:p w14:paraId="302C1E38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strike/>
                <w:kern w:val="0"/>
              </w:rPr>
            </w:pP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</w:rPr>
              <w:t>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</w:rPr>
              <w:t>5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配置多通道数据采集卡</w:t>
            </w:r>
          </w:p>
          <w:p w14:paraId="279028D5">
            <w:pPr>
              <w:pStyle w:val="3"/>
              <w:spacing w:after="0"/>
              <w:ind w:firstLine="0" w:firstLineChars="0"/>
              <w:rPr>
                <w:rFonts w:hint="eastAsia" w:ascii="宋体" w:hAnsi="宋体" w:eastAsia="宋体" w:cs="仿宋_GB2312"/>
                <w:kern w:val="0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多通道数据采集卡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应满足：</w:t>
            </w:r>
          </w:p>
          <w:p w14:paraId="607B28BA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采集卡应支持</w:t>
            </w:r>
            <w:r>
              <w:rPr>
                <w:rFonts w:hint="eastAsia" w:ascii="宋体" w:hAnsi="宋体" w:eastAsia="宋体" w:cs="仿宋_GB2312"/>
                <w:kern w:val="0"/>
              </w:rPr>
              <w:t>≥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12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通道模拟信号输入；</w:t>
            </w:r>
          </w:p>
          <w:p w14:paraId="6FD64DFF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4.6.2</w:t>
            </w:r>
            <w:r>
              <w:rPr>
                <w:rFonts w:ascii="宋体" w:hAnsi="宋体" w:eastAsia="宋体" w:cs="仿宋_GB2312"/>
                <w:strike/>
                <w:kern w:val="0"/>
                <w:lang w:eastAsia="zh-Hans"/>
              </w:rPr>
              <w:t>应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支持IEPE传感器直接接入（内置恒流源）；</w:t>
            </w:r>
          </w:p>
          <w:p w14:paraId="0B7B1518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4.6.3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支持电压信号输入（如±10V）；</w:t>
            </w:r>
          </w:p>
          <w:p w14:paraId="0BE4EB1A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支持温度信号接入（如Pt100或电压型温度信号）；</w:t>
            </w:r>
          </w:p>
          <w:p w14:paraId="681BEC74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4.6.5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单通道采样频率应</w:t>
            </w:r>
            <w:r>
              <w:rPr>
                <w:rFonts w:hint="eastAsia" w:ascii="宋体" w:hAnsi="宋体" w:eastAsia="宋体" w:cs="仿宋_GB2312"/>
                <w:kern w:val="0"/>
              </w:rPr>
              <w:t>≥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 xml:space="preserve"> 25 kHz；</w:t>
            </w:r>
          </w:p>
          <w:p w14:paraId="124B1E32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4.6.6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最高采样频率</w:t>
            </w:r>
            <w:r>
              <w:rPr>
                <w:rFonts w:hint="eastAsia" w:ascii="宋体" w:hAnsi="宋体" w:eastAsia="宋体" w:cs="仿宋_GB2312"/>
                <w:kern w:val="0"/>
              </w:rPr>
              <w:t>≥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100 kHz；</w:t>
            </w:r>
          </w:p>
          <w:p w14:paraId="66D227E6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4.6.7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支持多通道同步采集；</w:t>
            </w:r>
          </w:p>
          <w:p w14:paraId="27518430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4.6.8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采样精度</w:t>
            </w:r>
            <w:r>
              <w:rPr>
                <w:rFonts w:hint="eastAsia" w:ascii="宋体" w:hAnsi="宋体" w:eastAsia="宋体" w:cs="仿宋_GB2312"/>
                <w:kern w:val="0"/>
              </w:rPr>
              <w:t>≤</w:t>
            </w:r>
            <w:r>
              <w:rPr>
                <w:rFonts w:hint="eastAsia" w:ascii="宋体" w:hAnsi="宋体" w:eastAsia="宋体" w:cs="仿宋_GB2312"/>
                <w:kern w:val="0"/>
                <w:lang w:eastAsia="zh-Hans"/>
              </w:rPr>
              <w:t>24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 xml:space="preserve"> bit；</w:t>
            </w:r>
          </w:p>
          <w:p w14:paraId="5E3326BC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4.6.9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支持以太网通信接口；</w:t>
            </w:r>
          </w:p>
          <w:p w14:paraId="6B61DE79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4.6.10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 xml:space="preserve">支持RS485或其他工业通信接口扩展； </w:t>
            </w:r>
          </w:p>
          <w:p w14:paraId="24A0C28B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4.6.11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支持数据实时传输及缓存机制；</w:t>
            </w:r>
          </w:p>
          <w:p w14:paraId="46540844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4.6.12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支持定长采集及连续采集模式；</w:t>
            </w:r>
          </w:p>
          <w:p w14:paraId="20CDF445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4.6.13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支持数据存储、调用及导出；</w:t>
            </w:r>
          </w:p>
          <w:p w14:paraId="38A11E7F">
            <w:pPr>
              <w:pStyle w:val="3"/>
              <w:spacing w:after="0"/>
              <w:ind w:firstLine="480"/>
              <w:rPr>
                <w:rFonts w:hint="eastAsia" w:ascii="宋体" w:hAnsi="宋体" w:eastAsia="宋体" w:cs="仿宋_GB2312"/>
                <w:kern w:val="0"/>
              </w:rPr>
            </w:pPr>
            <w:r>
              <w:rPr>
                <w:rFonts w:hint="eastAsia" w:ascii="宋体" w:hAnsi="宋体" w:eastAsia="宋体" w:cs="仿宋_GB2312"/>
                <w:kern w:val="0"/>
              </w:rPr>
              <w:t>4.6.14</w:t>
            </w:r>
            <w:r>
              <w:rPr>
                <w:rFonts w:ascii="宋体" w:hAnsi="宋体" w:eastAsia="宋体" w:cs="仿宋_GB2312"/>
                <w:kern w:val="0"/>
                <w:lang w:eastAsia="zh-Hans"/>
              </w:rPr>
              <w:t>提供接口或SDK支持二次开发；</w:t>
            </w:r>
          </w:p>
        </w:tc>
      </w:tr>
      <w:tr w14:paraId="3EF521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3" w:type="pct"/>
          </w:tcPr>
          <w:p w14:paraId="7C6098A9">
            <w:pPr>
              <w:pStyle w:val="7"/>
              <w:widowControl w:val="0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7" w:type="pct"/>
          </w:tcPr>
          <w:p w14:paraId="20CD968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4218" w:type="pct"/>
          </w:tcPr>
          <w:p w14:paraId="0A14EB73">
            <w:pPr>
              <w:spacing w:line="360" w:lineRule="auto"/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</w:pPr>
            <w:bookmarkStart w:id="4" w:name="OLE_LINK14"/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</w:rPr>
              <w:t>5</w:t>
            </w:r>
            <w:r>
              <w:rPr>
                <w:rFonts w:hint="eastAsia" w:ascii="宋体" w:hAnsi="宋体" w:eastAsia="宋体" w:cs="仿宋_GB2312"/>
                <w:b/>
                <w:bCs/>
                <w:kern w:val="0"/>
                <w:sz w:val="24"/>
                <w:lang w:eastAsia="zh-Hans"/>
              </w:rPr>
              <w:t>、数据分析与PHM平台</w:t>
            </w:r>
          </w:p>
          <w:p w14:paraId="5F9960E9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b/>
                <w:bCs/>
                <w:kern w:val="0"/>
                <w:lang w:eastAsia="zh-Hans"/>
              </w:rPr>
              <w:t>▲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5.1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数据分析与PHM平台具备对实验设备运行数据的集中管理、可视化展示及分析处理功能。</w:t>
            </w:r>
          </w:p>
          <w:p w14:paraId="1A27A516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平台具备完整的数据接入与管理能力，能够对振动、温度、转速、扭矩等多源数据进行统一管理：</w:t>
            </w:r>
          </w:p>
          <w:p w14:paraId="7DF4F9AE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5.2.1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支持多类型数据统一接入与集中管理；</w:t>
            </w:r>
          </w:p>
          <w:p w14:paraId="3A1B8D5C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5.2.2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支持设备、测点及采集通道的配置管理；</w:t>
            </w:r>
          </w:p>
          <w:p w14:paraId="4E0AD3B8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5.2.3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支持数据的存储、查询、调用及导出；</w:t>
            </w:r>
          </w:p>
          <w:p w14:paraId="106916C2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5.2.4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支持按设备、测点及实验工况进行数据分类管理；</w:t>
            </w:r>
          </w:p>
          <w:p w14:paraId="2A9ACCF2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支持多批次实验数据的对比分析与历史追溯；</w:t>
            </w:r>
          </w:p>
          <w:p w14:paraId="0FB529CC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5.2.6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平台应采用基于Web浏览器的访问方式（B/S架构），支持多用户登录及权限分级管理，能够满足教学演示与科研分析的双重需求。</w:t>
            </w:r>
          </w:p>
          <w:p w14:paraId="34112E55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平台各功能模块基于统一数据体系构建，数据管理、分析及展示功能应在同一系统架构下实现，不应通过多个独立软件拼接实现。</w:t>
            </w:r>
          </w:p>
          <w:p w14:paraId="122B47B3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平台具备设备运行状态实时监测能力，并以图形化方式展示设备运行状态、关键参数及变化趋势：</w:t>
            </w:r>
          </w:p>
          <w:p w14:paraId="216A692F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5.4.1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支持振动、温度、转速、扭矩等多参数实时曲线展示；</w:t>
            </w:r>
          </w:p>
          <w:p w14:paraId="0A51EAAC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5.4.2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支持多设备集中监控；</w:t>
            </w:r>
          </w:p>
          <w:p w14:paraId="03A47D9D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5.4.3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支持历史数据回放与趋势分析；</w:t>
            </w:r>
          </w:p>
          <w:p w14:paraId="58739B31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5.4.4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支持分层级展示（系统级—设备级—测点级）；</w:t>
            </w:r>
          </w:p>
          <w:p w14:paraId="6615989D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平台具备报警与异常管理功能，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基于设定阈值或规则对异常数据进行识别：</w:t>
            </w:r>
          </w:p>
          <w:p w14:paraId="658CBBDD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5.5.1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支持报警提示、报警记录及历史追溯；</w:t>
            </w:r>
          </w:p>
          <w:p w14:paraId="630FFEA6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5.5.2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支持报警信息分类管理与查询分析；</w:t>
            </w:r>
          </w:p>
          <w:p w14:paraId="77A91FAF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5.5.3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支持异常数据的统计与分析；</w:t>
            </w:r>
          </w:p>
          <w:p w14:paraId="2E3186AB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6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数据分析能力：平台应具备基础信号分析能力，能够支撑典型故障分析需求。应满足：</w:t>
            </w:r>
          </w:p>
          <w:p w14:paraId="3D081EF8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5.6.1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支持时域分析、频域分析及特征提取；</w:t>
            </w:r>
          </w:p>
          <w:p w14:paraId="7B98E98E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5.6.2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支持振动信号频谱分析与特征识别；</w:t>
            </w:r>
          </w:p>
          <w:p w14:paraId="3444E825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5.6.3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支持轴承故障、齿轮啮合异常等典型问题分析；</w:t>
            </w:r>
          </w:p>
          <w:p w14:paraId="528A9B26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5.6.4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支持多通道数据对比分析及多工况数据分析；</w:t>
            </w:r>
          </w:p>
          <w:p w14:paraId="2A6ED420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7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 xml:space="preserve"> 数据复现与对比分析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：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平台具备实验数据复现能力，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基于历史数据开展重复分析与结果验证。</w:t>
            </w:r>
          </w:p>
          <w:p w14:paraId="78CCA8DD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8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算法支撑与扩展能力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：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平台具备算法支撑与扩展能力：</w:t>
            </w:r>
          </w:p>
          <w:p w14:paraId="5E770CEF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5.8.1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支持数据驱动方法及模型验证；</w:t>
            </w:r>
          </w:p>
          <w:p w14:paraId="18382756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5.8.2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支持分析流程配置（包括数据选择、时间范围设定及模型调用等）；</w:t>
            </w:r>
          </w:p>
          <w:p w14:paraId="3D49C10B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5.8.3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系统不以提供固定诊断结论为主要目标，应侧重于提供分析工具及数据支撑环境。</w:t>
            </w:r>
          </w:p>
          <w:p w14:paraId="517FA2AE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9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 xml:space="preserve"> 可视化与结果输出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：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平台具备完善的数据可视化能力：</w:t>
            </w:r>
          </w:p>
          <w:p w14:paraId="2890C554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5.9.1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支持曲线图、频谱图、统计图及状态指标展示；</w:t>
            </w:r>
          </w:p>
          <w:p w14:paraId="54EEF25E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5.9.2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支持实验结果输出及报告导出；</w:t>
            </w:r>
          </w:p>
          <w:p w14:paraId="6DD4EB98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5.9.3</w:t>
            </w:r>
            <w:r>
              <w:rPr>
                <w:rFonts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支持历史数据回溯与趋势分析；</w:t>
            </w:r>
          </w:p>
          <w:p w14:paraId="1C5F1231">
            <w:pPr>
              <w:pStyle w:val="4"/>
              <w:spacing w:line="360" w:lineRule="auto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.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10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平台具备良好的扩展性与兼容性：</w:t>
            </w:r>
          </w:p>
          <w:p w14:paraId="0649B1E7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5.10.1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支持多设备接入及扩展；</w:t>
            </w:r>
          </w:p>
          <w:p w14:paraId="543AA510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5.10.2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支持与数据采集系统实时对接；</w:t>
            </w:r>
          </w:p>
          <w:p w14:paraId="68DB2EDA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5.10.3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支持与控制系统进行数据交互；</w:t>
            </w:r>
          </w:p>
          <w:p w14:paraId="35D81D9F">
            <w:pPr>
              <w:pStyle w:val="4"/>
              <w:spacing w:line="360" w:lineRule="auto"/>
              <w:ind w:firstLine="480" w:firstLineChars="200"/>
              <w:jc w:val="both"/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</w:rPr>
              <w:t>5.10.4</w:t>
            </w:r>
            <w:r>
              <w:rPr>
                <w:rFonts w:hint="eastAsia" w:ascii="宋体" w:hAnsi="宋体" w:eastAsia="宋体" w:cs="仿宋_GB2312"/>
                <w:kern w:val="0"/>
                <w:sz w:val="24"/>
                <w:szCs w:val="24"/>
                <w:lang w:eastAsia="zh-Hans"/>
              </w:rPr>
              <w:t>构建数据采集、分析及展示一体化平台；</w:t>
            </w:r>
            <w:bookmarkEnd w:id="4"/>
          </w:p>
        </w:tc>
      </w:tr>
    </w:tbl>
    <w:p w14:paraId="7A077E23">
      <w:pPr>
        <w:rPr>
          <w:rFonts w:hint="default"/>
          <w:lang w:val="en-US" w:eastAsia="zh-CN"/>
        </w:rPr>
      </w:pPr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BD1CFC"/>
    <w:rsid w:val="13BD1CFC"/>
    <w:rsid w:val="1EC4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spacing w:after="120" w:line="360" w:lineRule="auto"/>
      <w:ind w:firstLine="200" w:firstLineChars="200"/>
    </w:pPr>
    <w:rPr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2026-09-04T08:46:00Z</dcterms:created>
  <dc:creator>86759</dc:creator>
  <cp:lastModifiedBy>86759</cp:lastModifiedBy>
  <dcterms:modified xsi:type="dcterms:W3CDTF">2026-09-07T08:13:55Z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30AD850FA165429DA768AC6A3956873C_11</vt:lpwstr>
  </property>
</Properties>
</file>