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版本号：ZY2026-ZBZC-170H20260428001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庭审语音识别采购项目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ZY2026-ZBZC-170H</w:t>
      </w:r>
      <w:r>
        <w:br/>
      </w:r>
      <w:r>
        <w:br/>
      </w:r>
      <w:r>
        <w:br/>
      </w:r>
    </w:p>
    <w:p>
      <w:pPr>
        <w:pStyle w:val="null3"/>
        <w:jc w:val="center"/>
        <w:outlineLvl w:val="2"/>
      </w:pPr>
      <w:r>
        <w:rPr>
          <w:rFonts w:ascii="仿宋_GB2312" w:hAnsi="仿宋_GB2312" w:cs="仿宋_GB2312" w:eastAsia="仿宋_GB2312"/>
          <w:sz w:val="28"/>
          <w:b/>
        </w:rPr>
        <w:t>西安市新城区人民法院[153]</w:t>
      </w:r>
    </w:p>
    <w:p>
      <w:pPr>
        <w:pStyle w:val="null3"/>
        <w:jc w:val="center"/>
        <w:outlineLvl w:val="2"/>
      </w:pPr>
      <w:r>
        <w:rPr>
          <w:rFonts w:ascii="仿宋_GB2312" w:hAnsi="仿宋_GB2312" w:cs="仿宋_GB2312" w:eastAsia="仿宋_GB2312"/>
          <w:sz w:val="28"/>
          <w:b/>
        </w:rPr>
        <w:t>陕西正源明通项目管理咨询有限公司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陕西正源明通项目管理咨询有限公司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西安市新城区人民法院[153]</w:t>
      </w:r>
      <w:r>
        <w:rPr>
          <w:rFonts w:ascii="仿宋_GB2312" w:hAnsi="仿宋_GB2312" w:cs="仿宋_GB2312" w:eastAsia="仿宋_GB2312"/>
        </w:rPr>
        <w:t>委托，拟对</w:t>
      </w:r>
      <w:r>
        <w:rPr>
          <w:rFonts w:ascii="仿宋_GB2312" w:hAnsi="仿宋_GB2312" w:cs="仿宋_GB2312" w:eastAsia="仿宋_GB2312"/>
        </w:rPr>
        <w:t>庭审语音识别采购项目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ZY2026-ZBZC-170H</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庭审语音识别采购项目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为提升我院诉讼服务智慧化水平，我院拟采购一批专用办公业务设备。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无重大违法记录：提供参加政府采购活动前3年内，在经营活动中没有重大违法记录。供应商需在项目电子化交易系统中按要求填写《投标函》完成承诺并进行电子签章；供应商需在项目电子化交易系统中按要求上传相应证明文件并进行电子签章。</w:t>
      </w:r>
    </w:p>
    <w:p>
      <w:pPr>
        <w:pStyle w:val="null3"/>
      </w:pPr>
      <w:r>
        <w:rPr>
          <w:rFonts w:ascii="仿宋_GB2312" w:hAnsi="仿宋_GB2312" w:cs="仿宋_GB2312" w:eastAsia="仿宋_GB2312"/>
        </w:rPr>
        <w:t>3、信用主体查询：供应商不得为“信用中国”网站（www.creditchina.gov.cn）中被列入重大税收违法失信主体及未在“中国执行信息公开网”中被列入失信被执行人名单，不得为中国政府采购网（www.ccgp.gov.cn）政府采购严重违法失信行为记录名单中被财政部门禁止参加政府采购活动的投标人；供应商需在项目电子化交易系统中按要求上传相应证明文件并进行电子签章</w:t>
      </w:r>
    </w:p>
    <w:p>
      <w:pPr>
        <w:pStyle w:val="null3"/>
      </w:pPr>
      <w:r>
        <w:rPr>
          <w:rFonts w:ascii="仿宋_GB2312" w:hAnsi="仿宋_GB2312" w:cs="仿宋_GB2312" w:eastAsia="仿宋_GB2312"/>
        </w:rPr>
        <w:t>4、财务状况报告：提供2024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其基本存款账户开户银行出具的资信证明（以上两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5、社保缴纳证明：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6、税收缴纳证明：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p>
      <w:pPr>
        <w:pStyle w:val="null3"/>
      </w:pPr>
      <w:r>
        <w:rPr>
          <w:rFonts w:ascii="仿宋_GB2312" w:hAnsi="仿宋_GB2312" w:cs="仿宋_GB2312" w:eastAsia="仿宋_GB2312"/>
        </w:rPr>
        <w:t>7、法定代表人授权书：法定代表人授权书及被授权人身份证复印件（法定代表人直接参加投标只须提供法定代表人身份证明）；供应商需在项目电子化交易系统中按要求上传相应证明文件并进行电子签章。</w:t>
      </w:r>
    </w:p>
    <w:p>
      <w:pPr>
        <w:pStyle w:val="null3"/>
      </w:pPr>
      <w:r>
        <w:rPr>
          <w:rFonts w:ascii="仿宋_GB2312" w:hAnsi="仿宋_GB2312" w:cs="仿宋_GB2312" w:eastAsia="仿宋_GB2312"/>
        </w:rPr>
        <w:t>8、声明：供应商提供具有履行合同所必需的设备和专业技术能力的声明；供应商应提供承诺书，格式及内容具体参见“响应文件格式”。</w:t>
      </w:r>
    </w:p>
    <w:p>
      <w:pPr>
        <w:pStyle w:val="null3"/>
      </w:pPr>
      <w:r>
        <w:rPr>
          <w:rFonts w:ascii="仿宋_GB2312" w:hAnsi="仿宋_GB2312" w:cs="仿宋_GB2312" w:eastAsia="仿宋_GB2312"/>
        </w:rPr>
        <w:t>9、本项目不接受联合体响应，不允许分包：供应商提供《非联合体、不分包投标声明》，视为独立响应，不分包；供应商应提供承诺书，格式及内容具体参见“响应文件格式”。</w:t>
      </w:r>
    </w:p>
    <w:p>
      <w:pPr>
        <w:pStyle w:val="null3"/>
      </w:pPr>
      <w:r>
        <w:rPr>
          <w:rFonts w:ascii="仿宋_GB2312" w:hAnsi="仿宋_GB2312" w:cs="仿宋_GB2312" w:eastAsia="仿宋_GB2312"/>
        </w:rPr>
        <w:t>10、控股管理关系承诺书：单位负责人为同一人或者存在直接控股、管理关系的供应商，不得参加同一合同下的政府采购活动。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西安市新城区人民法院[153]</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陕西省西安市新城区含元路229号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029-82556755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陕西正源明通项目管理咨询有限公司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陕西省西安市碑林区长安北路113号永宁国际（大话南门壹中心）7层701D</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15929736865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代理服务费收费标准：参照《国家计委关于印发&lt;招标代理服务收费管理暂行办法&gt;的通知》（计价格[2002]1980号）规定标准收取。 中标单位的招标代理服务费交纳信息： 银行户名：陕西正源明通项目管理咨询有限公司 开户银行：中国建设银行股份有限公司西安长安路支行 账 号：61050172001500001736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西安市新城区人民法院[153]</w:t>
      </w:r>
      <w:r>
        <w:rPr>
          <w:rFonts w:ascii="仿宋_GB2312" w:hAnsi="仿宋_GB2312" w:cs="仿宋_GB2312" w:eastAsia="仿宋_GB2312"/>
        </w:rPr>
        <w:t>和</w:t>
      </w:r>
      <w:r>
        <w:rPr>
          <w:rFonts w:ascii="仿宋_GB2312" w:hAnsi="仿宋_GB2312" w:cs="仿宋_GB2312" w:eastAsia="仿宋_GB2312"/>
        </w:rPr>
        <w:t>陕西正源明通项目管理咨询有限公司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西安市新城区人民法院[153]</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陕西正源明通项目管理咨询有限公司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西安市新城区人民法院[153]</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陕西正源明通项目管理咨询有限公司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符合国家、行业相关法律法规及采购人需求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陕西正源明通项目管理咨询有限公司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陕西正源明通项目管理咨询有限公司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陕西正源明通项目管理咨询有限公司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联系人：邓慧</w:t>
      </w:r>
    </w:p>
    <w:p>
      <w:pPr>
        <w:pStyle w:val="null3"/>
      </w:pPr>
      <w:r>
        <w:rPr>
          <w:rFonts w:ascii="仿宋_GB2312" w:hAnsi="仿宋_GB2312" w:cs="仿宋_GB2312" w:eastAsia="仿宋_GB2312"/>
        </w:rPr>
        <w:t>联系电话：15929736865</w:t>
      </w:r>
    </w:p>
    <w:p>
      <w:pPr>
        <w:pStyle w:val="null3"/>
      </w:pPr>
      <w:r>
        <w:rPr>
          <w:rFonts w:ascii="仿宋_GB2312" w:hAnsi="仿宋_GB2312" w:cs="仿宋_GB2312" w:eastAsia="仿宋_GB2312"/>
        </w:rPr>
        <w:t>地址：陕西省西安市碑林区长安北路113号永宁国际（大话南门壹中心）7层701D</w:t>
      </w:r>
    </w:p>
    <w:p>
      <w:pPr>
        <w:pStyle w:val="null3"/>
      </w:pPr>
      <w:r>
        <w:rPr>
          <w:rFonts w:ascii="仿宋_GB2312" w:hAnsi="仿宋_GB2312" w:cs="仿宋_GB2312" w:eastAsia="仿宋_GB2312"/>
        </w:rPr>
        <w:t>邮编：710001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为提升我院诉讼服务智慧化水平，我院拟采购一批专用办公业务设备。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2000000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详见附件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自合同签订之日起30个工作日内到货，货到后按甲方要求的时间、地点安装调试交付使用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自本合同签订生效后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乙方交货并经甲方验收合格后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（一）货物到达采购人指定地点后，采购人根据合同要求，进行外观验收，确认产地、规格、型号和数量。双方需在约定的时间和地点共同开箱检验。 （二）货物安装、调试并正常运行后，由供应商进行自检，合格后能够正常使用时书面通知采购人。 （三）采购人确认接收投标人的自检内容后，进行验收，验收合格后，由投标人对采购人操作人员进行培训，完成培训后，采购人填写验收单作为对货物的最终认可。 （四）投标人向采购人提交货物实施过程中的所有资料，以便采购人日后管理 和维护。 （五）验收依据：1.本合同及合同附件。2.国家相应的标准、规范。3.招标文件、投标文件、澄清表（函）。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不少于1年。凡国家有规定的，优于招标文件要求的，按国家规定执行。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投标人未全面履行合同义务或者发生违约，采购人会同采购代理机构有权终止合同，依法向投标人要求经济索赔，并报请政府采购监督管理机关进行相应的行政处罚。采购人违约的，应当赔偿给投标人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供应商需在项目电子化交易系统中按要求填写《投标函》完成承诺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及未在“中国执行信息公开网”中被列入失信被执行人名单，不得为中国政府采购网（www.ccgp.gov.cn）政府采购严重违法失信行为记录名单中被财政部门禁止参加政府采购活动的投标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其基本存款账户开户银行出具的资信证明（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法定代表人授权书及被授权人身份证复印件（法定代表人直接参加投标只须提供法定代表人身份证明）；供应商需在项目电子化交易系统中按要求上传相应证明文件并进行电子签章。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供应商提供具有履行合同所必需的设备和专业技术能力的声明；供应商应提供承诺书，格式及内容具体参见“响应文件格式”。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本项目不接受联合体响应，不允许分包</w:t>
            </w:r>
          </w:p>
        </w:tc>
        <w:tc>
          <w:tcPr>
            <w:tcW w:type="dxa" w:w="3322"/>
          </w:tcPr>
          <w:p>
            <w:pPr>
              <w:pStyle w:val="null3"/>
            </w:pPr>
            <w:r>
              <w:rPr>
                <w:rFonts w:ascii="仿宋_GB2312" w:hAnsi="仿宋_GB2312" w:cs="仿宋_GB2312" w:eastAsia="仿宋_GB2312"/>
              </w:rPr>
              <w:t>供应商提供《非联合体、不分包投标声明》，视为独立响应，不分包；供应商应提供承诺书，格式及内容具体参见“响应文件格式”。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控股管理关系承诺书</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审过程中出现下列情形之一的，评审委员会应当启动异常低价投标审查程序：①投标报价低于全部通过符合性审查供应商投标报价平均值50%的，即投标报价&lt;全部通过符合性审查供应商投标报价平均值×50%；②投标报价低于通过符合性审查的次低报价供应商投标报价50%的，即投标报价&lt;通过符合性审查的次低报价供应商投标报价×50%；③投标报价低于采购项目最高限价45%的，即投标报价&lt;采购项目最高限价×45%；④评审委员会基于专业判断，认为供应商报价过低，有可能影响产品质量或者不能诚信履约的其他情形。二、评审委员会启动异常低价投标审查后，属于前述①至④情形的，应当要求相关供应商在评审现场合理的时间（30分钟）内对投标价格作出解释，提供项目具体成本测算等与报价合理性相关的书面说明及必要的证明材料。书面说明应当包括：（1）按照国家财务会计制度的规定要求，逐项就供应商提供的货物、工程和服务的主营业务成本（应根据投标企业类型予以区别）、税金及附加、原材料成本、人工成本、制造费用、销售费用、管理费用、财务费用等成本构成事项详细陈述。 （2）供应商以前完成类似规模项目与类似价格的业绩证明材料（合同、发票）。其中，属于③情形，供应商已随投标文件一并提交相关书面说明及必要的证明材料的，在评审现场可不再重复提交。三、供应商提交的相关说明和证明材料，应当加盖供应商（法定名称）电子印章，在评审委员会要求的时间内通过项目电子化交易系统进行提交，否则提交的相关证明材料无效。供应商不能证明其投标报价合理性的或未在规定时间提交上述（1）（2）材料的或者提供的材料不齐全的或者提供的材料不被专家认可的，评审委员会均应当将其响应文件作为无效处理。</w:t>
            </w:r>
          </w:p>
        </w:tc>
        <w:tc>
          <w:tcPr>
            <w:tcW w:type="dxa" w:w="1661"/>
          </w:tcPr>
          <w:p>
            <w:pPr>
              <w:pStyle w:val="null3"/>
            </w:pPr>
            <w:r>
              <w:rPr>
                <w:rFonts w:ascii="仿宋_GB2312" w:hAnsi="仿宋_GB2312" w:cs="仿宋_GB2312" w:eastAsia="仿宋_GB2312"/>
              </w:rPr>
              <w:t>供应商参加政府采购活动承诺书.docx 开标一览表 投标方案.docx 商务及合同主要条款响应说明.docx 中小企业声明函 资格证明文件.docx 分项报价表.docx 投标函 残疾人福利性单位声明函 其它说明.docx 标的清单 投标文件封面 技术应答表.docx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投标文件上法定代表人或其授权代表人的签字、盖章齐全并加盖供应商公章；</w:t>
            </w:r>
          </w:p>
        </w:tc>
        <w:tc>
          <w:tcPr>
            <w:tcW w:type="dxa" w:w="1661"/>
          </w:tcPr>
          <w:p>
            <w:pPr>
              <w:pStyle w:val="null3"/>
            </w:pPr>
            <w:r>
              <w:rPr>
                <w:rFonts w:ascii="仿宋_GB2312" w:hAnsi="仿宋_GB2312" w:cs="仿宋_GB2312" w:eastAsia="仿宋_GB2312"/>
              </w:rPr>
              <w:t>供应商参加政府采购活动承诺书.docx 开标一览表 投标方案.docx 商务及合同主要条款响应说明.docx 中小企业声明函 资格证明文件.docx 分项报价表.docx 投标函 残疾人福利性单位声明函 其它说明.docx 标的清单 投标文件封面 技术应答表.docx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供应商参加政府采购活动承诺书.docx 开标一览表 投标方案.docx 商务及合同主要条款响应说明.docx 中小企业声明函 资格证明文件.docx 分项报价表.docx 投标函 残疾人福利性单位声明函 其它说明.docx 标的清单 投标文件封面 技术应答表.docx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投标总报价</w:t>
            </w:r>
          </w:p>
        </w:tc>
        <w:tc>
          <w:tcPr>
            <w:tcW w:type="dxa" w:w="3322"/>
          </w:tcPr>
          <w:p>
            <w:pPr>
              <w:pStyle w:val="null3"/>
            </w:pPr>
            <w:r>
              <w:rPr>
                <w:rFonts w:ascii="仿宋_GB2312" w:hAnsi="仿宋_GB2312" w:cs="仿宋_GB2312" w:eastAsia="仿宋_GB2312"/>
              </w:rPr>
              <w:t>投标总报价未超过招标文件中规定的预算金额和最 高限价，且只有一个有效报价。</w:t>
            </w:r>
          </w:p>
        </w:tc>
        <w:tc>
          <w:tcPr>
            <w:tcW w:type="dxa" w:w="1661"/>
          </w:tcPr>
          <w:p>
            <w:pPr>
              <w:pStyle w:val="null3"/>
            </w:pPr>
            <w:r>
              <w:rPr>
                <w:rFonts w:ascii="仿宋_GB2312" w:hAnsi="仿宋_GB2312" w:cs="仿宋_GB2312" w:eastAsia="仿宋_GB2312"/>
              </w:rPr>
              <w:t>供应商参加政府采购活动承诺书.docx 开标一览表 投标方案.docx 商务及合同主要条款响应说明.docx 中小企业声明函 资格证明文件.docx 分项报价表.docx 投标函 残疾人福利性单位声明函 其它说明.docx 标的清单 投标文件封面 技术应答表.docx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供应商参加政府采购活动承诺书.docx 开标一览表 投标方案.docx 商务及合同主要条款响应说明.docx 中小企业声明函 资格证明文件.docx 分项报价表.docx 投标函 残疾人福利性单位声明函 其它说明.docx 标的清单 投标文件封面 技术应答表.docx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供应商参加政府采购活动承诺书.docx 开标一览表 投标方案.docx 商务及合同主要条款响应说明.docx 中小企业声明函 资格证明文件.docx 分项报价表.docx 投标函 残疾人福利性单位声明函 其它说明.docx 标的清单 投标文件封面 技术应答表.docx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应满足招标文件中要求的质保期；</w:t>
            </w:r>
          </w:p>
        </w:tc>
        <w:tc>
          <w:tcPr>
            <w:tcW w:type="dxa" w:w="1661"/>
          </w:tcPr>
          <w:p>
            <w:pPr>
              <w:pStyle w:val="null3"/>
            </w:pPr>
            <w:r>
              <w:rPr>
                <w:rFonts w:ascii="仿宋_GB2312" w:hAnsi="仿宋_GB2312" w:cs="仿宋_GB2312" w:eastAsia="仿宋_GB2312"/>
              </w:rPr>
              <w:t>供应商参加政府采购活动承诺书.docx 开标一览表 投标方案.docx 商务及合同主要条款响应说明.docx 分项报价表.docx 投标函 其它说明.docx 标的清单 投标文件封面 技术应答表.docx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供应商参加政府采购活动承诺书.docx 开标一览表 投标方案.docx 商务及合同主要条款响应说明.docx 中小企业声明函 资格证明文件.docx 分项报价表.docx 投标函 残疾人福利性单位声明函 其它说明.docx 标的清单 投标文件封面 技术应答表.docx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技术指标、功能及配置</w:t>
            </w:r>
          </w:p>
        </w:tc>
        <w:tc>
          <w:tcPr>
            <w:tcW w:type="dxa" w:w="2492"/>
          </w:tcPr>
          <w:p>
            <w:pPr>
              <w:pStyle w:val="null3"/>
            </w:pPr>
            <w:r>
              <w:rPr>
                <w:rFonts w:ascii="仿宋_GB2312" w:hAnsi="仿宋_GB2312" w:cs="仿宋_GB2312" w:eastAsia="仿宋_GB2312"/>
              </w:rPr>
              <w:t>1、技术参数明确配置齐全、功能满足招标文件要求，对每个要求逐条进行明确响应，技术指标全部响应，没有负偏离得基础分18分。 2、参数中带“▲”的参数为重要参数，证明材料中每一条带▲技术指标负偏离或未提供证明材料扣1分；（证明材料例如：第三方检测报告、厂家检验报告、产品彩页或说明书、官网功能截图等内容） 3、其他参数每负偏离一项扣0.5分。4、如评审小组认为供应商出现复制粘贴招标文件技术要求的情况，每出现一处扣1分，最高不超过3分。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一、评审内容：根据项目实际需求，提供质量保证方案。内容包含但不限于①包装与运输质量保证;②质量风险应对措施。 二、评审标准：1.完整性：方案须全面对评审内容中的各项要求有详细描述；2.可实施性：切合本项目实际情况，实施步骤清晰、合理；3.针对性：方案能够紧扣项目实际情况，内容科学合理。 三、赋分依据（满分6分）： ①包装与运输质量保证：每完全满足一个评审标准得1分，满分3分；未提供不得分。 ②质量风险应对措施：每完全满足一个评审标准得1分，满分3分；未提供不得分。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一、评审内容：投标人需针对本项目提供完整的项目实施方案。内容包括但不限于：①实施计划；②供货、安装、调试方案；③验收措施；④物力调配的相应保障措施；⑤人员安排及责任制度；⑥应急处理措施。 二、评审标准：1.完整性：方案须全面，对评审内容中的各项要求描述详细；2.可实施性：切合本项目实际情况，实施步骤清晰、合理；3.针对性：方案能够紧扣项目实际情况，内容科学合理。 三、赋分依据（满分18分）： ①实施计划:每完全满足一个评审标准得1分，满分3分；未提供不得分。 ②供货、安装、调试方案:每完全满足一个评审标准得1分，满分3分；未提供不得分。 ③验收措施:每完全满足一个评审标准得1分，满分3分；未提供不得分。 ④物力调配的相应保障措施:每完全满足一个评审标准得1分，满分3分；未提供不得分。 ⑤人员安排及责任制度:每完全满足一个评审标准得1分，满分3分；未提供不得分。 ⑥应急处理措施:每完全满足一个评审标准得1分，满分3分；未提供不得分。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所投国产产品的合法来源渠道证明或情况说明，每提供一项，得1分，满分4分，不提供不得分。投标人可根据自身情况提供以下资料：1.如投标人为所投产品代理商：提供货物的合法来源渠道证明文件(例如：产品制造商授权、销售协议、代理协议等证明文件);2.如投标人为所投产品的制造商：需提供情况说明(说明某一项产品为制造商自己生产)。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供应商2023年01月01日至今类似项目业绩，每提供1份得2分，最高得6分；业绩证明以合同（协议）为准，须在投标文件中附合同（协议）的扫描件或复印件加盖单位公章，弄虚作假者，取消其中标资格。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供应商能够提供详细的售后服务方案，包括但不限于①售后服务内容与人员配置；②出现质量问题时的补救措施；③维护保养方案；④设备返修管理措施。 二、评审标准：1.完整性：方案须全面，对评审内容中的各项要求描述详细；2.可实施性：切合本项目实际情况，实施步骤清晰、合理；3.针对性：方案能够紧扣项目实际情况，内容科学合理。 三：赋分依据（满分12分）： ①售后服务内容与人员配置：每完全满足一个评审标准得1分，满分3分；未提供不得分。 ②出现质量问题时的补救措施：每完全满足一个评审标准得1分，满分3分；未提供不得分。 ③维护保养方案：每完全满足一个评审标准得1分，满分3分；未提供不得分。 ④设备返修管理措施：每完全满足一个评审标准得1分，满分3分；未提供不得分。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一、评审内容：针对培训要求提供培训计划，为采购人培训操作维护人员，以保障使用过程中能熟练操作、维护和正常使用，培训方案内容包含①培训内容与方式；②培训流程与日程安排。 二、评审标准：1.完整性:方案须全面，对评审内容中的各项要求有详细描述；2.可实施性:切合本项目实际情况，实施步骤清晰、合理；3.针对性：方案能够紧扣项目实际情况，内容科学合理。 三、赋分依据（满分6分）： ①培训内容与方式：每完全满足一个评审标准得1分，满分3分；未提供不得分。 ②培训流程与日程安排：每完全满足一个评审标准得1分，满分3分；未提供不得分。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1.经初审合格的投标文件，其投标报价为有效投标价。对符合政策性扣减的有效投标报价进行政策性扣减，并依据扣减后的价格（评审价格）进行价格评审。 2.有效最低报价为基准价得30分。 3.按（有效最低报价/有效投标报价）×30的公式计算其得分。 4.投标报价不完整的，不进入评标基准价的计算，本项得0分。 5.根据《西安市财政局关于进一步加大政府采购支持中小企业力度的通知》（市财函〔2022〕867号）的相关规定，给予小微企业价格扣除10%，用扣除后的价格参加评审。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详见附件：商务及合同主要条款响应说明.docx</w:t>
      </w:r>
    </w:p>
    <w:p>
      <w:pPr>
        <w:pStyle w:val="null3"/>
        <w:ind w:firstLine="960"/>
      </w:pPr>
      <w:r>
        <w:rPr>
          <w:rFonts w:ascii="仿宋_GB2312" w:hAnsi="仿宋_GB2312" w:cs="仿宋_GB2312" w:eastAsia="仿宋_GB2312"/>
        </w:rPr>
        <w:t>详见附件：技术应答表.docx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