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版本号：BYZX2026-10820260717001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操场改造项目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BYZX2026-108</w:t>
      </w:r>
      <w:r>
        <w:br/>
      </w:r>
      <w:r>
        <w:br/>
      </w:r>
      <w:r>
        <w:br/>
      </w:r>
    </w:p>
    <w:p>
      <w:pPr>
        <w:pStyle w:val="null3"/>
        <w:jc w:val="center"/>
        <w:outlineLvl w:val="2"/>
      </w:pPr>
      <w:r>
        <w:rPr>
          <w:rFonts w:ascii="仿宋_GB2312" w:hAnsi="仿宋_GB2312" w:cs="仿宋_GB2312" w:eastAsia="仿宋_GB2312"/>
          <w:sz w:val="28"/>
          <w:b/>
        </w:rPr>
        <w:t>西安市莲湖区第二实验小学</w:t>
      </w:r>
    </w:p>
    <w:p>
      <w:pPr>
        <w:pStyle w:val="null3"/>
        <w:jc w:val="center"/>
        <w:outlineLvl w:val="2"/>
      </w:pPr>
      <w:r>
        <w:rPr>
          <w:rFonts w:ascii="仿宋_GB2312" w:hAnsi="仿宋_GB2312" w:cs="仿宋_GB2312" w:eastAsia="仿宋_GB2312"/>
          <w:sz w:val="28"/>
          <w:b/>
        </w:rPr>
        <w:t>陕西百岳项目管理咨询有限公司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陕西百岳项目管理咨询有限公司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西安市莲湖区第二实验小学</w:t>
      </w:r>
      <w:r>
        <w:rPr>
          <w:rFonts w:ascii="仿宋_GB2312" w:hAnsi="仿宋_GB2312" w:cs="仿宋_GB2312" w:eastAsia="仿宋_GB2312"/>
        </w:rPr>
        <w:t>委托，拟对</w:t>
      </w:r>
      <w:r>
        <w:rPr>
          <w:rFonts w:ascii="仿宋_GB2312" w:hAnsi="仿宋_GB2312" w:cs="仿宋_GB2312" w:eastAsia="仿宋_GB2312"/>
        </w:rPr>
        <w:t>操场改造项目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BYZX2026-108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操场改造项目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西安市莲湖区第二实验小学操场面积约4500平方米。为实现现有操场的安全使用，拟对足球场改造、篮球场改造、出入口改造、塑胶跑道修补、操场游戏图案绘制等等。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采购包1（操场改造项目）：属于专门面向中小企业采购。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1、主体资格：具有独立承担民事责任能力的法人、其他组织或自然人，提供营业执照/事业单位法人证书/非企业专业服务机构执业许可证/自然人身份证等有效证明文件。</w:t>
      </w:r>
    </w:p>
    <w:p>
      <w:pPr>
        <w:pStyle w:val="null3"/>
      </w:pPr>
      <w:r>
        <w:rPr>
          <w:rFonts w:ascii="仿宋_GB2312" w:hAnsi="仿宋_GB2312" w:cs="仿宋_GB2312" w:eastAsia="仿宋_GB2312"/>
        </w:rPr>
        <w:t>2、身份证明：法定代表人授权书（附法定代表人、被授权人身份证复印件及被授权人开标前三个月内任意一个月在本单位的社保缴纳证明）；法定代表人直接参加磋商，须提供法定代表人身份证明。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3、财务状况报告：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p>
      <w:pPr>
        <w:pStyle w:val="null3"/>
      </w:pPr>
      <w:r>
        <w:rPr>
          <w:rFonts w:ascii="仿宋_GB2312" w:hAnsi="仿宋_GB2312" w:cs="仿宋_GB2312" w:eastAsia="仿宋_GB2312"/>
        </w:rPr>
        <w:t>4、税收缴纳证明：提供响应文件提交截止时间前半年内至少一个月已缴纳的纳税凭据或完税证明，依法免税的供应商应提供相关文件证明。</w:t>
      </w:r>
    </w:p>
    <w:p>
      <w:pPr>
        <w:pStyle w:val="null3"/>
      </w:pPr>
      <w:r>
        <w:rPr>
          <w:rFonts w:ascii="仿宋_GB2312" w:hAnsi="仿宋_GB2312" w:cs="仿宋_GB2312" w:eastAsia="仿宋_GB2312"/>
        </w:rPr>
        <w:t>5、社会保障资金缴纳证明：提供响应文件截止时间前半年内已缴存的至少一个月的社会保障资金缴存单据，或社保机构出具的社会保险参保缴费情况证明，依法不需要缴纳社会保障资金的单位应提供相关证明材料。</w:t>
      </w:r>
    </w:p>
    <w:p>
      <w:pPr>
        <w:pStyle w:val="null3"/>
      </w:pPr>
      <w:r>
        <w:rPr>
          <w:rFonts w:ascii="仿宋_GB2312" w:hAnsi="仿宋_GB2312" w:cs="仿宋_GB2312" w:eastAsia="仿宋_GB2312"/>
        </w:rPr>
        <w:t>6、具有履行本合同所必需的设备和专业技术能力的承诺：提供具有履行本合同所必需的设备和专业技术能力的承诺。</w:t>
      </w:r>
    </w:p>
    <w:p>
      <w:pPr>
        <w:pStyle w:val="null3"/>
      </w:pPr>
      <w:r>
        <w:rPr>
          <w:rFonts w:ascii="仿宋_GB2312" w:hAnsi="仿宋_GB2312" w:cs="仿宋_GB2312" w:eastAsia="仿宋_GB2312"/>
        </w:rPr>
        <w:t>7、没有重大违法记录的书面声明：提供参加政府采购活动前三年内在经营活动中没有重大违法记录的书面声明。</w:t>
      </w:r>
    </w:p>
    <w:p>
      <w:pPr>
        <w:pStyle w:val="null3"/>
      </w:pPr>
      <w:r>
        <w:rPr>
          <w:rFonts w:ascii="仿宋_GB2312" w:hAnsi="仿宋_GB2312" w:cs="仿宋_GB2312" w:eastAsia="仿宋_GB2312"/>
        </w:rPr>
        <w:t>8、信用记录：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9、供应商资质：具备建设行政主管部门核发的建筑工程施工总承包三级及以上资质并具备有效的安全生产许可证。</w:t>
      </w:r>
    </w:p>
    <w:p>
      <w:pPr>
        <w:pStyle w:val="null3"/>
      </w:pPr>
      <w:r>
        <w:rPr>
          <w:rFonts w:ascii="仿宋_GB2312" w:hAnsi="仿宋_GB2312" w:cs="仿宋_GB2312" w:eastAsia="仿宋_GB2312"/>
        </w:rPr>
        <w:t>10、项目经理：拟派项目经理须具备建设行政主管部门核发的建筑工程专业二级及以上注册建造师证书及其本人有效的安全生产考核合格证书，在本单位注册且无在建工程（提供无在建承诺书）。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西安市莲湖区第二实验小学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莲湖区梁家牌楼9号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西安市莲湖区第二实验小学经办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15691935521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陕西百岳项目管理咨询有限公司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西安市浐灞生态区欧亚大道欧亚国际一期B座10楼1007室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肖亚娟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18709207059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西安市莲湖区政府采购管理股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高莎莎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87614013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颁布《招标代理服务收费暂⾏办法》（计价格[2002]1980号）、国家发展和改⾰委员会办公厅颁布的《关于招标代理服务收费有关问题的通知》（发改办价格[2003]857号）⽂件规定执⾏。 账户信息： 开户名称：陕西百岳项⽬管理咨询有限公司 开户银⾏：华夏银⾏股份有限公司西安欧亚⼤道⽀⾏ 银⾏账号：11474000000227339</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西安市莲湖区第二实验小学</w:t>
      </w:r>
      <w:r>
        <w:rPr>
          <w:rFonts w:ascii="仿宋_GB2312" w:hAnsi="仿宋_GB2312" w:cs="仿宋_GB2312" w:eastAsia="仿宋_GB2312"/>
        </w:rPr>
        <w:t>和</w:t>
      </w:r>
      <w:r>
        <w:rPr>
          <w:rFonts w:ascii="仿宋_GB2312" w:hAnsi="仿宋_GB2312" w:cs="仿宋_GB2312" w:eastAsia="仿宋_GB2312"/>
        </w:rPr>
        <w:t>陕西百岳项目管理咨询有限公司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西安市莲湖区第二实验小学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陕西百岳项目管理咨询有限公司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西安市莲湖区第二实验小学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陕西百岳项目管理咨询有限公司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验收依据 1、竞争性磋商文件、响应文件、澄清表（函）； 2、合同及附件文本； 3、国家相应的标准、规范。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陕西百岳项目管理咨询有限公司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联系人：肖亚娟</w:t>
      </w:r>
    </w:p>
    <w:p>
      <w:pPr>
        <w:pStyle w:val="null3"/>
      </w:pPr>
      <w:r>
        <w:rPr>
          <w:rFonts w:ascii="仿宋_GB2312" w:hAnsi="仿宋_GB2312" w:cs="仿宋_GB2312" w:eastAsia="仿宋_GB2312"/>
        </w:rPr>
        <w:t>联系电话：18709207059</w:t>
      </w:r>
    </w:p>
    <w:p>
      <w:pPr>
        <w:pStyle w:val="null3"/>
      </w:pPr>
      <w:r>
        <w:rPr>
          <w:rFonts w:ascii="仿宋_GB2312" w:hAnsi="仿宋_GB2312" w:cs="仿宋_GB2312" w:eastAsia="仿宋_GB2312"/>
        </w:rPr>
        <w:t>地址：西安市浐灞⽣态区欧亚⼤道666号欧亚国际⼀期B座10楼1007室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922,736.91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操场改造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标的名称：操场改造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（一）工程内容：本项目主要对校园内</w:t>
            </w:r>
            <w:r>
              <w:rPr>
                <w:rFonts w:ascii="仿宋_GB2312" w:hAnsi="仿宋_GB2312" w:cs="仿宋_GB2312" w:eastAsia="仿宋_GB2312"/>
                <w:sz w:val="24"/>
              </w:rPr>
              <w:t>的足球场、篮球场及出入口地面的改造，塑胶跑道的修补，操场游戏图案的绘制等</w:t>
            </w:r>
            <w:r>
              <w:rPr>
                <w:rFonts w:ascii="仿宋_GB2312" w:hAnsi="仿宋_GB2312" w:cs="仿宋_GB2312" w:eastAsia="仿宋_GB2312"/>
                <w:sz w:val="24"/>
              </w:rPr>
              <w:t>提升工作。具体内容详见工程量清单及施工图纸。</w:t>
            </w:r>
          </w:p>
          <w:p>
            <w:pPr>
              <w:pStyle w:val="null3"/>
              <w:ind w:firstLine="480"/>
            </w:pPr>
            <w:r>
              <w:rPr>
                <w:rFonts w:ascii="仿宋_GB2312" w:hAnsi="仿宋_GB2312" w:cs="仿宋_GB2312" w:eastAsia="仿宋_GB2312"/>
                <w:sz w:val="24"/>
              </w:rPr>
              <w:t>（二</w:t>
            </w:r>
            <w:r>
              <w:rPr>
                <w:rFonts w:ascii="仿宋_GB2312" w:hAnsi="仿宋_GB2312" w:cs="仿宋_GB2312" w:eastAsia="仿宋_GB2312"/>
                <w:sz w:val="24"/>
              </w:rPr>
              <w:t>）</w:t>
            </w:r>
            <w:r>
              <w:rPr>
                <w:rFonts w:ascii="仿宋_GB2312" w:hAnsi="仿宋_GB2312" w:cs="仿宋_GB2312" w:eastAsia="仿宋_GB2312"/>
                <w:sz w:val="24"/>
              </w:rPr>
              <w:t>工程地点：西安市</w:t>
            </w:r>
            <w:r>
              <w:rPr>
                <w:rFonts w:ascii="仿宋_GB2312" w:hAnsi="仿宋_GB2312" w:cs="仿宋_GB2312" w:eastAsia="仿宋_GB2312"/>
                <w:sz w:val="24"/>
              </w:rPr>
              <w:t>莲湖</w:t>
            </w:r>
            <w:r>
              <w:rPr>
                <w:rFonts w:ascii="仿宋_GB2312" w:hAnsi="仿宋_GB2312" w:cs="仿宋_GB2312" w:eastAsia="仿宋_GB2312"/>
                <w:sz w:val="24"/>
              </w:rPr>
              <w:t>区第二实验小学</w:t>
            </w:r>
            <w:r>
              <w:rPr>
                <w:rFonts w:ascii="仿宋_GB2312" w:hAnsi="仿宋_GB2312" w:cs="仿宋_GB2312" w:eastAsia="仿宋_GB2312"/>
                <w:sz w:val="24"/>
              </w:rPr>
              <w:t>内</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（三</w:t>
            </w:r>
            <w:r>
              <w:rPr>
                <w:rFonts w:ascii="仿宋_GB2312" w:hAnsi="仿宋_GB2312" w:cs="仿宋_GB2312" w:eastAsia="仿宋_GB2312"/>
                <w:sz w:val="24"/>
              </w:rPr>
              <w:t>）</w:t>
            </w:r>
            <w:r>
              <w:rPr>
                <w:rFonts w:ascii="仿宋_GB2312" w:hAnsi="仿宋_GB2312" w:cs="仿宋_GB2312" w:eastAsia="仿宋_GB2312"/>
                <w:sz w:val="24"/>
              </w:rPr>
              <w:t>计划工期：自进场之日起</w:t>
            </w:r>
            <w:r>
              <w:rPr>
                <w:rFonts w:ascii="仿宋_GB2312" w:hAnsi="仿宋_GB2312" w:cs="仿宋_GB2312" w:eastAsia="仿宋_GB2312"/>
                <w:sz w:val="24"/>
              </w:rPr>
              <w:t>30</w:t>
            </w:r>
            <w:r>
              <w:rPr>
                <w:rFonts w:ascii="仿宋_GB2312" w:hAnsi="仿宋_GB2312" w:cs="仿宋_GB2312" w:eastAsia="仿宋_GB2312"/>
                <w:sz w:val="24"/>
              </w:rPr>
              <w:t>个日历日内竣工。</w:t>
            </w:r>
          </w:p>
          <w:p>
            <w:pPr>
              <w:pStyle w:val="null3"/>
              <w:ind w:firstLine="480"/>
            </w:pPr>
            <w:r>
              <w:rPr>
                <w:rFonts w:ascii="仿宋_GB2312" w:hAnsi="仿宋_GB2312" w:cs="仿宋_GB2312" w:eastAsia="仿宋_GB2312"/>
                <w:sz w:val="24"/>
              </w:rPr>
              <w:t>（四）缺陷责任期</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color w:val="000000"/>
              </w:rPr>
              <w:t>（五）</w:t>
            </w:r>
            <w:r>
              <w:rPr>
                <w:rFonts w:ascii="仿宋_GB2312" w:hAnsi="仿宋_GB2312" w:cs="仿宋_GB2312" w:eastAsia="仿宋_GB2312"/>
                <w:sz w:val="24"/>
                <w:color w:val="000000"/>
              </w:rPr>
              <w:t>质量保修期</w:t>
            </w:r>
            <w:r>
              <w:rPr>
                <w:rFonts w:ascii="仿宋_GB2312" w:hAnsi="仿宋_GB2312" w:cs="仿宋_GB2312" w:eastAsia="仿宋_GB2312"/>
                <w:sz w:val="24"/>
                <w:color w:val="000000"/>
              </w:rPr>
              <w:t>：</w:t>
            </w:r>
            <w:r>
              <w:rPr>
                <w:rFonts w:ascii="仿宋_GB2312" w:hAnsi="仿宋_GB2312" w:cs="仿宋_GB2312" w:eastAsia="仿宋_GB2312"/>
                <w:sz w:val="24"/>
                <w:color w:val="000000"/>
              </w:rPr>
              <w:t>2年</w:t>
            </w:r>
            <w:r>
              <w:rPr>
                <w:rFonts w:ascii="仿宋_GB2312" w:hAnsi="仿宋_GB2312" w:cs="仿宋_GB2312" w:eastAsia="仿宋_GB2312"/>
                <w:sz w:val="24"/>
                <w:color w:val="000000"/>
              </w:rPr>
              <w:t>。</w:t>
            </w:r>
          </w:p>
          <w:p>
            <w:pPr>
              <w:pStyle w:val="null3"/>
              <w:ind w:firstLine="480"/>
            </w:pPr>
            <w:r>
              <w:rPr>
                <w:rFonts w:ascii="仿宋_GB2312" w:hAnsi="仿宋_GB2312" w:cs="仿宋_GB2312" w:eastAsia="仿宋_GB2312"/>
                <w:sz w:val="24"/>
              </w:rPr>
              <w:t>（六）施工要求：在施工期间，中标供应商必须注意院内人员安全，加强安全措施，并对施工人员进行安全教育。施工人员必须持证上岗。因采购人工作的特殊性，要求中标供应商在施工中做到封闭性施工。</w:t>
            </w:r>
          </w:p>
          <w:p>
            <w:pPr>
              <w:pStyle w:val="null3"/>
              <w:ind w:firstLine="480"/>
            </w:pPr>
            <w:r>
              <w:rPr>
                <w:rFonts w:ascii="仿宋_GB2312" w:hAnsi="仿宋_GB2312" w:cs="仿宋_GB2312" w:eastAsia="仿宋_GB2312"/>
                <w:sz w:val="24"/>
              </w:rPr>
              <w:t>（七）编制说明：</w:t>
            </w:r>
            <w:r>
              <w:rPr>
                <w:rFonts w:ascii="仿宋_GB2312" w:hAnsi="仿宋_GB2312" w:cs="仿宋_GB2312" w:eastAsia="仿宋_GB2312"/>
                <w:sz w:val="24"/>
              </w:rPr>
              <w:t>《陕西省建设工程工程量清单计价规则》</w:t>
            </w:r>
            <w:r>
              <w:rPr>
                <w:rFonts w:ascii="仿宋_GB2312" w:hAnsi="仿宋_GB2312" w:cs="仿宋_GB2312" w:eastAsia="仿宋_GB2312"/>
                <w:sz w:val="24"/>
              </w:rPr>
              <w:t>（</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《陕西省</w:t>
            </w:r>
            <w:r>
              <w:rPr>
                <w:rFonts w:ascii="仿宋_GB2312" w:hAnsi="仿宋_GB2312" w:cs="仿宋_GB2312" w:eastAsia="仿宋_GB2312"/>
                <w:sz w:val="24"/>
              </w:rPr>
              <w:t>房屋</w:t>
            </w:r>
            <w:r>
              <w:rPr>
                <w:rFonts w:ascii="仿宋_GB2312" w:hAnsi="仿宋_GB2312" w:cs="仿宋_GB2312" w:eastAsia="仿宋_GB2312"/>
                <w:sz w:val="24"/>
              </w:rPr>
              <w:t>建筑</w:t>
            </w:r>
            <w:r>
              <w:rPr>
                <w:rFonts w:ascii="仿宋_GB2312" w:hAnsi="仿宋_GB2312" w:cs="仿宋_GB2312" w:eastAsia="仿宋_GB2312"/>
                <w:sz w:val="24"/>
              </w:rPr>
              <w:t>与</w:t>
            </w:r>
            <w:r>
              <w:rPr>
                <w:rFonts w:ascii="仿宋_GB2312" w:hAnsi="仿宋_GB2312" w:cs="仿宋_GB2312" w:eastAsia="仿宋_GB2312"/>
                <w:sz w:val="24"/>
              </w:rPr>
              <w:t>装饰工程消耗量定额》(20</w:t>
            </w:r>
            <w:r>
              <w:rPr>
                <w:rFonts w:ascii="仿宋_GB2312" w:hAnsi="仿宋_GB2312" w:cs="仿宋_GB2312" w:eastAsia="仿宋_GB2312"/>
                <w:sz w:val="24"/>
              </w:rPr>
              <w:t>25</w:t>
            </w:r>
            <w:r>
              <w:rPr>
                <w:rFonts w:ascii="仿宋_GB2312" w:hAnsi="仿宋_GB2312" w:cs="仿宋_GB2312" w:eastAsia="仿宋_GB2312"/>
                <w:sz w:val="24"/>
              </w:rPr>
              <w:t>)、《陕西省</w:t>
            </w:r>
            <w:r>
              <w:rPr>
                <w:rFonts w:ascii="仿宋_GB2312" w:hAnsi="仿宋_GB2312" w:cs="仿宋_GB2312" w:eastAsia="仿宋_GB2312"/>
                <w:sz w:val="24"/>
              </w:rPr>
              <w:t>通用</w:t>
            </w:r>
            <w:r>
              <w:rPr>
                <w:rFonts w:ascii="仿宋_GB2312" w:hAnsi="仿宋_GB2312" w:cs="仿宋_GB2312" w:eastAsia="仿宋_GB2312"/>
                <w:sz w:val="24"/>
              </w:rPr>
              <w:t>安装工程消耗量定额》(20</w:t>
            </w:r>
            <w:r>
              <w:rPr>
                <w:rFonts w:ascii="仿宋_GB2312" w:hAnsi="仿宋_GB2312" w:cs="仿宋_GB2312" w:eastAsia="仿宋_GB2312"/>
                <w:sz w:val="24"/>
              </w:rPr>
              <w:t>25</w:t>
            </w:r>
            <w:r>
              <w:rPr>
                <w:rFonts w:ascii="仿宋_GB2312" w:hAnsi="仿宋_GB2312" w:cs="仿宋_GB2312" w:eastAsia="仿宋_GB2312"/>
                <w:sz w:val="24"/>
              </w:rPr>
              <w:t>)及其配套文件、《陕西省</w:t>
            </w:r>
            <w:r>
              <w:rPr>
                <w:rFonts w:ascii="仿宋_GB2312" w:hAnsi="仿宋_GB2312" w:cs="仿宋_GB2312" w:eastAsia="仿宋_GB2312"/>
                <w:sz w:val="24"/>
              </w:rPr>
              <w:t>房屋</w:t>
            </w:r>
            <w:r>
              <w:rPr>
                <w:rFonts w:ascii="仿宋_GB2312" w:hAnsi="仿宋_GB2312" w:cs="仿宋_GB2312" w:eastAsia="仿宋_GB2312"/>
                <w:sz w:val="24"/>
              </w:rPr>
              <w:t>建筑</w:t>
            </w:r>
            <w:r>
              <w:rPr>
                <w:rFonts w:ascii="仿宋_GB2312" w:hAnsi="仿宋_GB2312" w:cs="仿宋_GB2312" w:eastAsia="仿宋_GB2312"/>
                <w:sz w:val="24"/>
              </w:rPr>
              <w:t>与</w:t>
            </w:r>
            <w:r>
              <w:rPr>
                <w:rFonts w:ascii="仿宋_GB2312" w:hAnsi="仿宋_GB2312" w:cs="仿宋_GB2312" w:eastAsia="仿宋_GB2312"/>
                <w:sz w:val="24"/>
              </w:rPr>
              <w:t>装饰、</w:t>
            </w:r>
            <w:r>
              <w:rPr>
                <w:rFonts w:ascii="仿宋_GB2312" w:hAnsi="仿宋_GB2312" w:cs="仿宋_GB2312" w:eastAsia="仿宋_GB2312"/>
                <w:sz w:val="24"/>
              </w:rPr>
              <w:t>通用</w:t>
            </w:r>
            <w:r>
              <w:rPr>
                <w:rFonts w:ascii="仿宋_GB2312" w:hAnsi="仿宋_GB2312" w:cs="仿宋_GB2312" w:eastAsia="仿宋_GB2312"/>
                <w:sz w:val="24"/>
              </w:rPr>
              <w:t>安装、市政、园林绿化工程</w:t>
            </w:r>
            <w:r>
              <w:rPr>
                <w:rFonts w:ascii="仿宋_GB2312" w:hAnsi="仿宋_GB2312" w:cs="仿宋_GB2312" w:eastAsia="仿宋_GB2312"/>
                <w:sz w:val="24"/>
              </w:rPr>
              <w:t>基价</w:t>
            </w:r>
            <w:r>
              <w:rPr>
                <w:rFonts w:ascii="仿宋_GB2312" w:hAnsi="仿宋_GB2312" w:cs="仿宋_GB2312" w:eastAsia="仿宋_GB2312"/>
                <w:sz w:val="24"/>
              </w:rPr>
              <w:t>表》(20</w:t>
            </w:r>
            <w:r>
              <w:rPr>
                <w:rFonts w:ascii="仿宋_GB2312" w:hAnsi="仿宋_GB2312" w:cs="仿宋_GB2312" w:eastAsia="仿宋_GB2312"/>
                <w:sz w:val="24"/>
              </w:rPr>
              <w:t>25</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《陕西省建设工程费用规则（2025）》及配套费用定额、相关取费文件，报价以给定的工程量清单及现场情况自主编报。</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符合国家及相关行业标准。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程采⽤⼴联达云计价平台GCCP7.0（7.5000.23.3版本）编制。2.本项目专门面向中小企业采购，供应商应为中小企业或监狱企业或残疾人福利性单位。3.付款方式：（1）工程竣工验收合格付至合同价的85%；（2）工程结算完成付至审定价的97%；（3）审定价的3%待缺陷期满无息一次性付清。4.为保障政府采购电子化交易平台项目实施，供应商需要在线提交所有通过电子化交易平台实施的政府采购项目的响应文件，同时，线下提交响应文件正本壹套、副本贰套、电子版壹套（PDF版，U盘一套标明供应商名称），正本、副本应胶装、密封、签字盖章齐全。电子响应文件与纸质响应文件应保持一致。线下递交文件时间：详见本项目竞争性磋商公告文件截止时间；线下递交文件地点：西安市浐灞生态区欧亚国际一期B座10楼1007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具有独立承担民事责任能力的法人、其他组织或自然人，提供营业执照/事业单位法人证书/非企业专业服务机构执业许可证/自然人身份证等有效证明文件。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提供响应文件提交截止时间前半年内至少一个月已缴纳的纳税凭据或完税证明，依法免税的供应商应提供相关文件证明。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提供响应文件截止时间前半年内已缴存的至少一个月的社会保障资金缴存单据，或社保机构出具的社会保险参保缴费情况证明，依法不需要缴纳社会保障资金的单位应提供相关证明材料。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具有履行本合同所必需的设备和专业技术能力的承诺</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和“重大税收违法失信主体”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具备建设行政主管部门核发的建筑工程施工总承包三级及以上资质并具备有效的安全生产许可证。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拟派项目经理须具备建设行政主管部门核发的建筑工程专业二级及以上注册建造师证书及其本人有效的安全生产考核合格证书，在本单位注册且无在建工程（提供无在建承诺书）。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（1）响应⽂件的签字、盖章：响应⽂件上法定代表⼈或其委托代理⼈的签字齐全并加盖单位章；投标⽂件应逐页加盖单位公章，且公章清晰可见； （2）响应⽂件格式：应符合磋商⽂件要求； （3）报价唯⼀：只能有⼀个有效报价，不得提交选择性报价，且报价不超过限价。</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（1）响应⽂件响应程度：要求全⾯响应，不能有任何采购⼈不能接受的附加条件；（2）服务时间：应满⾜磋商⽂件要求；（3) 服务地点：采购⼈指定点；（4）有效期：应满足磋商⽂件要求。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：针对于本项目的编制完善的施工方案，方案内容包含但不限于：①施工目标:成本目标、工 期目标、质量目标②施工准备：技术准备、材料准备、机械设备、机具准备③施工平面布置与安排：现场围挡及收入口管理、交通组织安排、消防及道路安排等内容。 二、评审标准 ：1.完整性：方案须全面，对评审内容中的各项要求有详细描述及说明； 2.可实施性：切合本项目实际情况，实施步骤清晰、合理； 3.针对性：方案能够紧扣项目实际情况，内容科学合理。 三、赋分标准：上述3项评审内容全部满⾜评审标准得9分，每有⼀个评审内容缺项扣3分，每有⼀项评审内容存在缺陷，扣0.5分，扣完为⽌，不计负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确保施工的质量保证措施</w:t>
            </w:r>
          </w:p>
        </w:tc>
        <w:tc>
          <w:tcPr>
            <w:tcW w:type="dxa" w:w="2492"/>
          </w:tcPr>
          <w:p>
            <w:pPr>
              <w:pStyle w:val="null3"/>
            </w:pPr>
            <w:r>
              <w:rPr>
                <w:rFonts w:ascii="仿宋_GB2312" w:hAnsi="仿宋_GB2312" w:cs="仿宋_GB2312" w:eastAsia="仿宋_GB2312"/>
              </w:rPr>
              <w:t>一、评审内容 ：针对于本项目的编制完善的质量保证措施，方案内容包含但不限于：①质量目标管理体系 ②确保质量的技术组织措施③施工质量控制措施等内容。 二、评审标准 ：1.完整性：方案须全面，对评审内容中的各项要求有详细描述及说明； 2.可实施性：切合本项目实际情况，实施步骤清晰、合理； 3.针对性：方案能够紧扣项目实际情况，内容科学合理。 三、赋分标准：上述3项评审内容全部满⾜评审标准得9分，每有⼀个评审内容缺项扣3分，每有⼀项评审内容存在缺陷，扣0.5分，扣完为⽌，不计负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：针对于本项目的编制完善的施工机械配备和材料投入计划，方案内容包含但不限于：①劳 动力资源配置计划②施工机械设备投入计划③主要施工材料供应计划等内容。 二、评审标准 ：1.完整性：方案须全面，对评审内容中的各项要求有详细描述及说明； 2.可实施性：切合本项目实际情况，实施步骤清晰、合理； 3.针对性：方案能够紧扣项目实际情况，内容科学合理。 三、赋分标准：上述3项评审内容全部满⾜评审标准得9分，每有⼀个评审内容缺项扣3分，每有⼀项评审内容存在缺陷，扣0.5分，扣完为⽌，不计负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：针对于本项目的编制完整的安全施工措施，方案内容包含但不限于：①安全生产管理制度 ②安全施工措施③安全生产教育等内容。 二、评审标准 ：1.完整性：方案须全面，对评审内容中的各项要求有详细描述及说明； 2.可实施性：切合本项目实际情况，实施步骤清晰、合理； 3.针对性：方案能够紧扣项目实际情况，内容科学合理。 三、赋分标准：上述3项评审内容全部满⾜评审标准得9分，每有⼀个评审内容缺项扣3分，每有⼀项评审内容存在缺陷，扣0.5分，扣完为⽌，不计负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：针对于本项目的编制完整的文明施工措施，方案内容包含但不限于：①文明施工管理目标 及技术措施②文明施工现场管理：材料管理、扰民措施等内容。二、评审标准 ：1.完整性：方案须全面，对评审内容中的各项要求有详细描述及说明； 2.可实施性：切合本项目实际情况，实施步骤清晰、合理； 3.针对性：方案能够紧扣项目实际情况，内容科学合理。 三、赋分标准：上述2项评审内容全部满⾜评审标准得6分，每有⼀个评审内容缺项扣3分，每有⼀项评审内容存在缺陷，扣0.5分，扣完为⽌，不计负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：针对于本项目的编制科学的项目管理机构，方案内容包含但不限于：①管理机构的配备计划②组织机构的岗位职责等内容。二、评审标准 ：1.完整性：方案须全面，对评审内容中的各项要求有详细描述及说明；2.可实施性：切合本项目实际情况，实施步骤清晰、合理；3.针对性：方案能够紧扣项目实际情况，内容科学合理。 三、赋分标准：上述2项评审内容全部满⾜评审标准得6分，每有⼀个评审内容缺项扣3分，每有⼀项评审内容存在缺陷，扣0.5分，扣完为⽌，不计负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：针对于本项目的编制完善的施工进度计划，方案内容包含但不限于：①施工进度计划横道 图②进度计划保证措施③工期保证措施等内容。 二、评审标准 ：1.完整性：方案须全面，对评审内容中的各项要求有详细描述及说明； 2.可实施性：切合本项目实际情况，实施步骤清晰、合理； 3.针对性：方案能够紧扣项目实际情况，内容科学合理。 三、赋分标准：上述3项评审内容全部满⾜评审标准得9分，每有⼀个评审内容缺项扣3分，每有⼀项评审内容存在缺陷，扣0.5分，扣完为⽌，不计负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针对于本项目提供①新材料②新技术③新工艺的应用情况，以上内容科学具体，针对性强，每项得1分；内容基本具体，部分具有针对性得0.5分；未提供相关内容不得分。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保修方案及服务承诺</w:t>
            </w:r>
          </w:p>
        </w:tc>
        <w:tc>
          <w:tcPr>
            <w:tcW w:type="dxa" w:w="2492"/>
          </w:tcPr>
          <w:p>
            <w:pPr>
              <w:pStyle w:val="null3"/>
            </w:pPr>
            <w:r>
              <w:rPr>
                <w:rFonts w:ascii="仿宋_GB2312" w:hAnsi="仿宋_GB2312" w:cs="仿宋_GB2312" w:eastAsia="仿宋_GB2312"/>
              </w:rPr>
              <w:t>一、评审内容 ：针对于本项目的编制保修方案，方案内容包含但不限于：①工程验收方案②保修责任及保修承诺等内容。二、评审标准 ：1.完整性：方案须全面，对评审内容中的各项要求有详细描述及说明； 2.可实施性：切合本项目实际情况，实施步骤清晰、合理； 3.针对性：方案能够紧扣项目实际情况，内容科学合理。 三、赋分标准：上述2项评审内容全部满⾜评审标准得6分，每有⼀个评审内容缺项扣3分，每有⼀项评审内容存在缺陷，扣0.5分，扣完为⽌，不计负分。缺陷是指:内容不详细具体、条理不清晰、描述过于简单、与项目特点不匹配、凭空编造、逻辑漏洞、常识性错误、不可能实现的夸大情形、存在不适用项目实际情况的情形等其中的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06月01日至今类似项目业绩，每提供1份得2分，最高得4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详见附件：操场改造项目施工合同.docx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