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E77D0">
      <w:pPr>
        <w:pStyle w:val="2"/>
        <w:spacing w:before="156" w:after="156"/>
        <w:rPr>
          <w:rFonts w:ascii="宋体" w:hAnsi="宋体" w:eastAsia="宋体" w:cs="宋体"/>
          <w:color w:val="auto"/>
          <w:sz w:val="28"/>
          <w:highlight w:val="none"/>
        </w:rPr>
      </w:pPr>
      <w:bookmarkStart w:id="0" w:name="_Toc168515028"/>
      <w:bookmarkStart w:id="1" w:name="_Toc236120915"/>
      <w:r>
        <w:rPr>
          <w:rFonts w:hint="eastAsia" w:ascii="宋体" w:hAnsi="宋体" w:eastAsia="宋体" w:cs="宋体"/>
          <w:color w:val="auto"/>
          <w:sz w:val="28"/>
          <w:highlight w:val="none"/>
        </w:rPr>
        <w:t xml:space="preserve">第三章 </w:t>
      </w:r>
      <w:r>
        <w:rPr>
          <w:rFonts w:ascii="宋体" w:hAnsi="宋体" w:eastAsia="宋体" w:cs="宋体"/>
          <w:color w:val="auto"/>
          <w:sz w:val="28"/>
          <w:highlight w:val="none"/>
        </w:rPr>
        <w:t xml:space="preserve"> </w:t>
      </w:r>
      <w:r>
        <w:rPr>
          <w:rFonts w:hint="eastAsia" w:ascii="宋体" w:hAnsi="宋体" w:eastAsia="宋体" w:cs="宋体"/>
          <w:color w:val="auto"/>
          <w:sz w:val="28"/>
          <w:highlight w:val="none"/>
        </w:rPr>
        <w:t>招标项目技术、服务、商务及其他要求</w:t>
      </w:r>
      <w:bookmarkEnd w:id="0"/>
      <w:bookmarkEnd w:id="1"/>
    </w:p>
    <w:p w14:paraId="12CF0BE5">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E3E0D10">
      <w:pPr>
        <w:pStyle w:val="3"/>
        <w:spacing w:before="156" w:after="156"/>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3.1采购项目概况</w:t>
      </w:r>
    </w:p>
    <w:p w14:paraId="71248190">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本项目包含：</w:t>
      </w:r>
    </w:p>
    <w:p w14:paraId="299E46A0">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1.外立面改造：拆除现有南入口木质中式屋檐及现有南向彩钢板外立面，以适量玻璃幕墙和其它形式相结合的办法改造南向外立面。</w:t>
      </w:r>
    </w:p>
    <w:p w14:paraId="222749B5">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2.建筑功能改造：拆除现有内隔墙，在建筑中部增加两层通高中庭，首层和二层围绕通高中庭分别设置16、14间业务及配套附属用房。</w:t>
      </w:r>
    </w:p>
    <w:p w14:paraId="3D5BD8F0">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3.配套设施更新：根据现行规范对南馆现有消防系统进行更新;对建筑智能化系统进行升级;对金属屋面漏雨问题进行修缮。</w:t>
      </w:r>
    </w:p>
    <w:p w14:paraId="7670099E">
      <w:pPr>
        <w:pStyle w:val="3"/>
        <w:spacing w:before="156" w:after="156"/>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3.2服务内容及服务要求</w:t>
      </w:r>
    </w:p>
    <w:p w14:paraId="072B795D">
      <w:pPr>
        <w:pStyle w:val="4"/>
        <w:spacing w:before="156" w:after="156" w:line="360" w:lineRule="auto"/>
        <w:ind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3.2.1服务内容</w:t>
      </w:r>
    </w:p>
    <w:p w14:paraId="68B777A7">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w:t>
      </w:r>
    </w:p>
    <w:p w14:paraId="0C3BAFA6">
      <w:pPr>
        <w:spacing w:before="156" w:after="156"/>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采购包预算金额（元）:</w:t>
      </w:r>
      <w:r>
        <w:rPr>
          <w:rFonts w:hint="eastAsia" w:ascii="宋体" w:hAnsi="宋体" w:eastAsia="宋体" w:cs="宋体"/>
          <w:color w:val="auto"/>
          <w:sz w:val="24"/>
          <w:szCs w:val="24"/>
          <w:highlight w:val="none"/>
          <w:lang w:eastAsia="zh-CN"/>
        </w:rPr>
        <w:t>5,987,578.60</w:t>
      </w:r>
    </w:p>
    <w:p w14:paraId="019020AD">
      <w:pPr>
        <w:spacing w:before="156" w:after="156"/>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采购包最高限价（元）:</w:t>
      </w:r>
      <w:r>
        <w:rPr>
          <w:rFonts w:hint="eastAsia" w:ascii="宋体" w:hAnsi="宋体" w:eastAsia="宋体" w:cs="宋体"/>
          <w:color w:val="auto"/>
          <w:sz w:val="24"/>
          <w:szCs w:val="24"/>
          <w:highlight w:val="none"/>
          <w:lang w:eastAsia="zh-CN"/>
        </w:rPr>
        <w:t>5,987,578.60</w:t>
      </w:r>
    </w:p>
    <w:p w14:paraId="4F5609F3">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供应商报价不允许超过标的金额</w:t>
      </w:r>
    </w:p>
    <w:p w14:paraId="6528EDCF">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（招单价的）供应商报价不允许超过标的单价</w:t>
      </w:r>
    </w:p>
    <w:tbl>
      <w:tblPr>
        <w:tblStyle w:val="5"/>
        <w:tblW w:w="492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1717"/>
        <w:gridCol w:w="696"/>
        <w:gridCol w:w="1656"/>
        <w:gridCol w:w="456"/>
        <w:gridCol w:w="629"/>
        <w:gridCol w:w="605"/>
        <w:gridCol w:w="791"/>
        <w:gridCol w:w="608"/>
        <w:gridCol w:w="772"/>
      </w:tblGrid>
      <w:tr w14:paraId="0A555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1" w:type="pct"/>
            <w:vAlign w:val="center"/>
          </w:tcPr>
          <w:p w14:paraId="6F3B0EF4">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1050" w:type="pct"/>
            <w:vAlign w:val="center"/>
          </w:tcPr>
          <w:p w14:paraId="51E79D84">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标的名称</w:t>
            </w:r>
          </w:p>
        </w:tc>
        <w:tc>
          <w:tcPr>
            <w:tcW w:w="381" w:type="pct"/>
            <w:vAlign w:val="center"/>
          </w:tcPr>
          <w:p w14:paraId="5D45298E">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数量</w:t>
            </w:r>
          </w:p>
        </w:tc>
        <w:tc>
          <w:tcPr>
            <w:tcW w:w="907" w:type="pct"/>
            <w:vAlign w:val="center"/>
          </w:tcPr>
          <w:p w14:paraId="14D2C255">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标的金额（元）</w:t>
            </w:r>
          </w:p>
        </w:tc>
        <w:tc>
          <w:tcPr>
            <w:tcW w:w="250" w:type="pct"/>
            <w:vAlign w:val="center"/>
          </w:tcPr>
          <w:p w14:paraId="46911640">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计量单位</w:t>
            </w:r>
          </w:p>
        </w:tc>
        <w:tc>
          <w:tcPr>
            <w:tcW w:w="401" w:type="pct"/>
            <w:vAlign w:val="center"/>
          </w:tcPr>
          <w:p w14:paraId="0F37E219">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所属行业</w:t>
            </w:r>
          </w:p>
        </w:tc>
        <w:tc>
          <w:tcPr>
            <w:tcW w:w="387" w:type="pct"/>
            <w:vAlign w:val="center"/>
          </w:tcPr>
          <w:p w14:paraId="6DA303A2">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是否核心产品</w:t>
            </w:r>
          </w:p>
        </w:tc>
        <w:tc>
          <w:tcPr>
            <w:tcW w:w="498" w:type="pct"/>
            <w:vAlign w:val="center"/>
          </w:tcPr>
          <w:p w14:paraId="2411FF66">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是否允许进口产品</w:t>
            </w:r>
          </w:p>
        </w:tc>
        <w:tc>
          <w:tcPr>
            <w:tcW w:w="388" w:type="pct"/>
            <w:vAlign w:val="center"/>
          </w:tcPr>
          <w:p w14:paraId="5A4BB932">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是否属于节能产品</w:t>
            </w:r>
          </w:p>
        </w:tc>
        <w:tc>
          <w:tcPr>
            <w:tcW w:w="486" w:type="pct"/>
            <w:vAlign w:val="center"/>
          </w:tcPr>
          <w:p w14:paraId="2FE36D69">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是否属于环境标志产品</w:t>
            </w:r>
          </w:p>
        </w:tc>
      </w:tr>
      <w:tr w14:paraId="0021F5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1" w:type="pct"/>
          </w:tcPr>
          <w:p w14:paraId="4106F74C">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050" w:type="pct"/>
          </w:tcPr>
          <w:p w14:paraId="5AA9FD2C">
            <w:pPr>
              <w:pStyle w:val="7"/>
              <w:spacing w:line="360" w:lineRule="auto"/>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省足球青训中心附属用房维修改造</w:t>
            </w:r>
          </w:p>
        </w:tc>
        <w:tc>
          <w:tcPr>
            <w:tcW w:w="381" w:type="pct"/>
          </w:tcPr>
          <w:p w14:paraId="6361AB71">
            <w:pPr>
              <w:pStyle w:val="7"/>
              <w:spacing w:line="360" w:lineRule="auto"/>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1.00</w:t>
            </w:r>
          </w:p>
        </w:tc>
        <w:tc>
          <w:tcPr>
            <w:tcW w:w="907" w:type="pct"/>
          </w:tcPr>
          <w:p w14:paraId="3A7650BA">
            <w:pPr>
              <w:pStyle w:val="7"/>
              <w:spacing w:line="360" w:lineRule="auto"/>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5,987,578.60</w:t>
            </w:r>
          </w:p>
        </w:tc>
        <w:tc>
          <w:tcPr>
            <w:tcW w:w="250" w:type="pct"/>
          </w:tcPr>
          <w:p w14:paraId="4FB63869">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项</w:t>
            </w:r>
          </w:p>
        </w:tc>
        <w:tc>
          <w:tcPr>
            <w:tcW w:w="401" w:type="pct"/>
          </w:tcPr>
          <w:p w14:paraId="7ED4B493">
            <w:pPr>
              <w:pStyle w:val="7"/>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建筑业</w:t>
            </w:r>
          </w:p>
        </w:tc>
        <w:tc>
          <w:tcPr>
            <w:tcW w:w="387" w:type="pct"/>
          </w:tcPr>
          <w:p w14:paraId="3A8188A3">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否</w:t>
            </w:r>
          </w:p>
        </w:tc>
        <w:tc>
          <w:tcPr>
            <w:tcW w:w="498" w:type="pct"/>
          </w:tcPr>
          <w:p w14:paraId="2C07CA90">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否</w:t>
            </w:r>
          </w:p>
        </w:tc>
        <w:tc>
          <w:tcPr>
            <w:tcW w:w="388" w:type="pct"/>
          </w:tcPr>
          <w:p w14:paraId="02C9A54B">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否</w:t>
            </w:r>
          </w:p>
        </w:tc>
        <w:tc>
          <w:tcPr>
            <w:tcW w:w="486" w:type="pct"/>
          </w:tcPr>
          <w:p w14:paraId="561B9690">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否</w:t>
            </w:r>
          </w:p>
        </w:tc>
      </w:tr>
    </w:tbl>
    <w:p w14:paraId="789095ED">
      <w:pPr>
        <w:pStyle w:val="4"/>
        <w:spacing w:before="156" w:after="156" w:line="360" w:lineRule="auto"/>
        <w:ind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3.2.2服务要求</w:t>
      </w:r>
    </w:p>
    <w:p w14:paraId="7B72B467">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w:t>
      </w:r>
    </w:p>
    <w:p w14:paraId="3E406518">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供应商报价不允许超过标的金额</w:t>
      </w:r>
    </w:p>
    <w:p w14:paraId="5BD24845">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（招单价的）供应商报价不允许超过标的单价</w:t>
      </w:r>
    </w:p>
    <w:p w14:paraId="448576CA">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标的名称：</w:t>
      </w:r>
      <w:r>
        <w:rPr>
          <w:rFonts w:ascii="宋体" w:hAnsi="宋体" w:eastAsia="宋体" w:cs="宋体"/>
          <w:color w:val="auto"/>
          <w:sz w:val="24"/>
          <w:szCs w:val="24"/>
          <w:highlight w:val="none"/>
        </w:rPr>
        <w:t>省足球青训中心附属用房维修改造</w:t>
      </w:r>
    </w:p>
    <w:tbl>
      <w:tblPr>
        <w:tblStyle w:val="5"/>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544"/>
        <w:gridCol w:w="7249"/>
      </w:tblGrid>
      <w:tr w14:paraId="21BA6C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vAlign w:val="center"/>
          </w:tcPr>
          <w:p w14:paraId="0767559B">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参数性质</w:t>
            </w:r>
          </w:p>
        </w:tc>
        <w:tc>
          <w:tcPr>
            <w:tcW w:w="319" w:type="pct"/>
            <w:vAlign w:val="center"/>
          </w:tcPr>
          <w:p w14:paraId="320F15BC">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4252" w:type="pct"/>
            <w:vAlign w:val="center"/>
          </w:tcPr>
          <w:p w14:paraId="1A9560E6">
            <w:pPr>
              <w:pStyle w:val="7"/>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技术参数与性能指标</w:t>
            </w:r>
          </w:p>
        </w:tc>
      </w:tr>
      <w:tr w14:paraId="5D82A6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tcPr>
          <w:p w14:paraId="361904C1">
            <w:pPr>
              <w:spacing w:before="156" w:after="156"/>
              <w:ind w:firstLine="480"/>
              <w:rPr>
                <w:rFonts w:ascii="宋体" w:hAnsi="宋体" w:eastAsia="宋体" w:cs="宋体"/>
                <w:color w:val="auto"/>
                <w:sz w:val="24"/>
                <w:szCs w:val="24"/>
                <w:highlight w:val="none"/>
              </w:rPr>
            </w:pPr>
          </w:p>
        </w:tc>
        <w:tc>
          <w:tcPr>
            <w:tcW w:w="319" w:type="pct"/>
          </w:tcPr>
          <w:p w14:paraId="35CB2BC9">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4252" w:type="pct"/>
          </w:tcPr>
          <w:p w14:paraId="0A8291B9">
            <w:pPr>
              <w:pStyle w:val="7"/>
              <w:numPr>
                <w:ilvl w:val="0"/>
                <w:numId w:val="0"/>
              </w:numPr>
              <w:spacing w:line="360" w:lineRule="auto"/>
              <w:rPr>
                <w:rFonts w:hint="default" w:ascii="宋体" w:hAnsi="宋体" w:eastAsia="宋体"/>
                <w:color w:val="auto"/>
                <w:sz w:val="24"/>
                <w:szCs w:val="24"/>
                <w:highlight w:val="none"/>
                <w:lang w:eastAsia="zh-CN"/>
              </w:rPr>
            </w:pPr>
            <w:r>
              <w:rPr>
                <w:rFonts w:hint="eastAsia" w:ascii="宋体" w:hAnsi="宋体" w:eastAsia="宋体" w:cstheme="minorBidi"/>
                <w:color w:val="auto"/>
                <w:sz w:val="24"/>
                <w:szCs w:val="24"/>
                <w:highlight w:val="none"/>
                <w:lang w:val="en-US" w:eastAsia="zh-CN" w:bidi="ar-SA"/>
              </w:rPr>
              <w:t>一、</w:t>
            </w:r>
            <w:r>
              <w:rPr>
                <w:rFonts w:ascii="宋体" w:hAnsi="宋体" w:eastAsia="宋体"/>
                <w:color w:val="auto"/>
                <w:sz w:val="24"/>
                <w:szCs w:val="24"/>
                <w:highlight w:val="none"/>
                <w:lang w:eastAsia="zh-CN"/>
              </w:rPr>
              <w:t>工程概况</w:t>
            </w:r>
          </w:p>
          <w:p w14:paraId="6403C4E6">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本项目包含：</w:t>
            </w:r>
          </w:p>
          <w:p w14:paraId="75FAB58B">
            <w:pPr>
              <w:spacing w:before="156" w:after="15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1.外立面改造：拆除现有南入口木质中式屋檐及现有南向彩钢板外立面，以适量玻璃幕墙和其它形式相结合的办法改造南向外立面。</w:t>
            </w:r>
          </w:p>
          <w:p w14:paraId="1414BC13">
            <w:pPr>
              <w:spacing w:before="156" w:after="156"/>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2.建筑功能改造：拆除现有内隔墙，在建筑中部增加两层通高中庭，首层和二层围绕通高中庭分别设置16、14间业务及配套附属用房</w:t>
            </w:r>
            <w:r>
              <w:rPr>
                <w:rFonts w:hint="eastAsia" w:ascii="宋体" w:hAnsi="宋体" w:eastAsia="宋体" w:cs="宋体"/>
                <w:color w:val="auto"/>
                <w:sz w:val="24"/>
                <w:szCs w:val="24"/>
                <w:highlight w:val="none"/>
                <w:lang w:eastAsia="zh-CN"/>
              </w:rPr>
              <w:t>。</w:t>
            </w:r>
          </w:p>
          <w:p w14:paraId="6035C2AF">
            <w:pPr>
              <w:spacing w:before="156" w:after="156"/>
              <w:ind w:firstLine="480"/>
              <w:rPr>
                <w:rFonts w:ascii="宋体" w:hAnsi="宋体" w:eastAsia="宋体"/>
                <w:color w:val="auto"/>
                <w:sz w:val="24"/>
                <w:szCs w:val="24"/>
                <w:highlight w:val="none"/>
              </w:rPr>
            </w:pPr>
            <w:r>
              <w:rPr>
                <w:rFonts w:hint="eastAsia" w:ascii="宋体" w:hAnsi="宋体" w:eastAsia="宋体" w:cs="宋体"/>
                <w:color w:val="auto"/>
                <w:sz w:val="24"/>
                <w:szCs w:val="24"/>
                <w:highlight w:val="none"/>
              </w:rPr>
              <w:t>3.配套设施更新：根据现行规范对南馆现有消防系统进行更新;对建筑智能化系统进行升级;对金属屋面漏雨问题进行修缮。</w:t>
            </w:r>
          </w:p>
          <w:p w14:paraId="2B14F76F">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详细内容见</w:t>
            </w:r>
            <w:r>
              <w:rPr>
                <w:rFonts w:ascii="宋体" w:hAnsi="宋体" w:eastAsia="宋体"/>
                <w:color w:val="auto"/>
                <w:sz w:val="24"/>
                <w:szCs w:val="24"/>
                <w:highlight w:val="none"/>
                <w:lang w:eastAsia="zh-CN"/>
              </w:rPr>
              <w:t>附件</w:t>
            </w:r>
            <w:r>
              <w:rPr>
                <w:rFonts w:ascii="宋体" w:hAnsi="宋体" w:eastAsia="宋体"/>
                <w:color w:val="auto"/>
                <w:sz w:val="24"/>
                <w:szCs w:val="24"/>
                <w:highlight w:val="none"/>
              </w:rPr>
              <w:t>工程量清单</w:t>
            </w:r>
            <w:r>
              <w:rPr>
                <w:rFonts w:ascii="宋体" w:hAnsi="宋体" w:eastAsia="宋体"/>
                <w:color w:val="auto"/>
                <w:sz w:val="24"/>
                <w:szCs w:val="24"/>
                <w:highlight w:val="none"/>
                <w:lang w:eastAsia="zh-CN"/>
              </w:rPr>
              <w:t>电子版</w:t>
            </w:r>
            <w:r>
              <w:rPr>
                <w:rFonts w:ascii="宋体" w:hAnsi="宋体" w:eastAsia="宋体"/>
                <w:color w:val="auto"/>
                <w:sz w:val="24"/>
                <w:szCs w:val="24"/>
                <w:highlight w:val="none"/>
              </w:rPr>
              <w:t>。</w:t>
            </w:r>
          </w:p>
        </w:tc>
      </w:tr>
      <w:tr w14:paraId="4F3100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tcPr>
          <w:p w14:paraId="3424028B">
            <w:pPr>
              <w:spacing w:before="156" w:after="156"/>
              <w:ind w:firstLine="480"/>
              <w:rPr>
                <w:rFonts w:ascii="宋体" w:hAnsi="宋体" w:eastAsia="宋体" w:cs="宋体"/>
                <w:color w:val="auto"/>
                <w:sz w:val="24"/>
                <w:szCs w:val="24"/>
                <w:highlight w:val="none"/>
              </w:rPr>
            </w:pPr>
          </w:p>
        </w:tc>
        <w:tc>
          <w:tcPr>
            <w:tcW w:w="319" w:type="pct"/>
          </w:tcPr>
          <w:p w14:paraId="203AF8AF">
            <w:pPr>
              <w:pStyle w:val="7"/>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w:t>
            </w:r>
          </w:p>
        </w:tc>
        <w:tc>
          <w:tcPr>
            <w:tcW w:w="4252" w:type="pct"/>
          </w:tcPr>
          <w:p w14:paraId="2BEA4DC2">
            <w:pPr>
              <w:pStyle w:val="7"/>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二</w:t>
            </w:r>
            <w:r>
              <w:rPr>
                <w:rFonts w:ascii="宋体" w:hAnsi="宋体" w:eastAsia="宋体" w:cs="宋体"/>
                <w:color w:val="auto"/>
                <w:sz w:val="24"/>
                <w:szCs w:val="24"/>
                <w:highlight w:val="none"/>
              </w:rPr>
              <w:t>、技术标准和要求</w:t>
            </w:r>
          </w:p>
          <w:p w14:paraId="3AFE968B">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w:t>
            </w:r>
            <w:r>
              <w:rPr>
                <w:rFonts w:ascii="宋体" w:hAnsi="宋体" w:eastAsia="宋体"/>
                <w:color w:val="auto"/>
                <w:sz w:val="24"/>
                <w:szCs w:val="24"/>
                <w:highlight w:val="none"/>
              </w:rPr>
              <w:t>严格按照标准和工艺流程施工，严把质量关，确保施工质量达到合格，符合验收标准。</w:t>
            </w:r>
          </w:p>
          <w:p w14:paraId="4670CB32">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lang w:val="en-US" w:eastAsia="zh-CN"/>
              </w:rPr>
              <w:t>.</w:t>
            </w:r>
            <w:r>
              <w:rPr>
                <w:rFonts w:ascii="宋体" w:hAnsi="宋体" w:eastAsia="宋体"/>
                <w:color w:val="auto"/>
                <w:sz w:val="24"/>
                <w:szCs w:val="24"/>
                <w:highlight w:val="none"/>
              </w:rPr>
              <w:t>依据设计文件的要求，本招标工程项目的材料、设备、施工须达到所涉及到的现行中华人民共和国以及省、自治区、直辖市或行业的工程建设现行标准、规范的要求。</w:t>
            </w:r>
          </w:p>
          <w:p w14:paraId="28086394">
            <w:pPr>
              <w:pStyle w:val="7"/>
              <w:spacing w:line="360" w:lineRule="auto"/>
              <w:ind w:firstLine="480" w:firstLineChars="200"/>
              <w:rPr>
                <w:rFonts w:hint="default" w:ascii="宋体" w:hAnsi="宋体" w:eastAsia="宋体" w:cs="宋体"/>
                <w:color w:val="auto"/>
                <w:sz w:val="24"/>
                <w:szCs w:val="24"/>
                <w:highlight w:val="none"/>
              </w:rPr>
            </w:pPr>
            <w:r>
              <w:rPr>
                <w:rFonts w:hint="eastAsia" w:ascii="宋体" w:hAnsi="宋体" w:eastAsia="宋体"/>
                <w:color w:val="auto"/>
                <w:sz w:val="24"/>
                <w:szCs w:val="24"/>
                <w:highlight w:val="none"/>
                <w:lang w:val="en-US" w:eastAsia="zh-CN"/>
              </w:rPr>
              <w:t>3.</w:t>
            </w:r>
            <w:r>
              <w:rPr>
                <w:rFonts w:ascii="宋体" w:hAnsi="宋体" w:eastAsia="宋体"/>
                <w:color w:val="auto"/>
                <w:sz w:val="24"/>
                <w:szCs w:val="24"/>
                <w:highlight w:val="none"/>
              </w:rPr>
              <w:t>该项目的材料、设备、施工如无上述</w:t>
            </w:r>
            <w:r>
              <w:rPr>
                <w:rFonts w:hint="eastAsia" w:ascii="宋体" w:hAnsi="宋体" w:eastAsia="宋体"/>
                <w:color w:val="auto"/>
                <w:sz w:val="24"/>
                <w:szCs w:val="24"/>
                <w:highlight w:val="none"/>
                <w:lang w:val="en-US" w:eastAsia="zh-CN"/>
              </w:rPr>
              <w:t>第</w:t>
            </w:r>
            <w:r>
              <w:rPr>
                <w:rFonts w:ascii="宋体" w:hAnsi="宋体" w:eastAsia="宋体"/>
                <w:color w:val="auto"/>
                <w:sz w:val="24"/>
                <w:szCs w:val="24"/>
                <w:highlight w:val="none"/>
              </w:rPr>
              <w:t>2条的标准，在材料、设备的定货采购和施工安装时，经监理和业主批准后方可实施。</w:t>
            </w:r>
          </w:p>
        </w:tc>
      </w:tr>
      <w:tr w14:paraId="42EB67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tcPr>
          <w:p w14:paraId="40482C60">
            <w:pPr>
              <w:spacing w:before="156" w:after="156"/>
              <w:ind w:firstLine="480"/>
              <w:rPr>
                <w:rFonts w:ascii="宋体" w:hAnsi="宋体" w:eastAsia="宋体" w:cs="宋体"/>
                <w:color w:val="auto"/>
                <w:sz w:val="24"/>
                <w:szCs w:val="24"/>
                <w:highlight w:val="none"/>
              </w:rPr>
            </w:pPr>
          </w:p>
        </w:tc>
        <w:tc>
          <w:tcPr>
            <w:tcW w:w="319" w:type="pct"/>
          </w:tcPr>
          <w:p w14:paraId="452EA9BE">
            <w:pPr>
              <w:pStyle w:val="7"/>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3</w:t>
            </w:r>
          </w:p>
        </w:tc>
        <w:tc>
          <w:tcPr>
            <w:tcW w:w="4252" w:type="pct"/>
          </w:tcPr>
          <w:p w14:paraId="23DCDDEB">
            <w:pPr>
              <w:pStyle w:val="7"/>
              <w:spacing w:line="360" w:lineRule="auto"/>
              <w:rPr>
                <w:rFonts w:hint="default" w:ascii="宋体" w:hAnsi="宋体" w:eastAsia="宋体"/>
                <w:color w:val="auto"/>
                <w:sz w:val="24"/>
                <w:szCs w:val="24"/>
                <w:highlight w:val="none"/>
              </w:rPr>
            </w:pPr>
            <w:bookmarkStart w:id="2" w:name="OLE_LINK12"/>
            <w:r>
              <w:rPr>
                <w:rFonts w:ascii="宋体" w:hAnsi="宋体" w:eastAsia="宋体"/>
                <w:color w:val="auto"/>
                <w:sz w:val="24"/>
                <w:szCs w:val="24"/>
                <w:highlight w:val="none"/>
              </w:rPr>
              <w:t>三、工程量清单编制依据</w:t>
            </w:r>
            <w:bookmarkEnd w:id="2"/>
          </w:p>
          <w:p w14:paraId="795A4B01">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1.《陕西省建设工程工程量清单计价标准2025》；</w:t>
            </w:r>
          </w:p>
          <w:p w14:paraId="6D837BF5">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2.《陕西省建设工程费用规则（2025）》；</w:t>
            </w:r>
          </w:p>
          <w:p w14:paraId="01BC3B45">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3.《陕西省房屋建筑与装饰工程工程量计算标准（2025）》《陕西省通用安装工程工程量计算标准（2025）》；</w:t>
            </w:r>
          </w:p>
          <w:p w14:paraId="6905A30C">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4.《陕西省房屋建筑与装饰工程消耗量定额（2025）》《陕西省通用安装工程消耗量定额（2025）》；</w:t>
            </w:r>
          </w:p>
          <w:p w14:paraId="2385A31A">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5.《陕西省房屋建筑与装饰工程基价表（2025）》《陕西省通用安装工程基价表（2025）》；</w:t>
            </w:r>
          </w:p>
          <w:p w14:paraId="1D097BB7">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6.《陕西省建设工程施工机械台班费用定额（2025）》《陕西省建设工程施工仪器仪表台班费用定额（2025）》；</w:t>
            </w:r>
          </w:p>
          <w:p w14:paraId="39950799">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7.正常施工组织设计及施工方法；</w:t>
            </w:r>
          </w:p>
          <w:p w14:paraId="0DA36365">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8.施工图中采用的相关标准图集、施工规范及验收规范；</w:t>
            </w:r>
          </w:p>
          <w:p w14:paraId="498CE7D5">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9.建设单位提供的施工图纸及相关标准图集、图纸答疑文件等；</w:t>
            </w:r>
          </w:p>
          <w:p w14:paraId="21753C1A">
            <w:pPr>
              <w:pStyle w:val="7"/>
              <w:spacing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10.其他相关资料。</w:t>
            </w:r>
          </w:p>
        </w:tc>
      </w:tr>
      <w:tr w14:paraId="70663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tcPr>
          <w:p w14:paraId="64A68159">
            <w:pPr>
              <w:spacing w:before="156" w:after="156"/>
              <w:ind w:firstLine="480"/>
              <w:rPr>
                <w:rFonts w:ascii="宋体" w:hAnsi="宋体" w:eastAsia="宋体" w:cs="宋体"/>
                <w:color w:val="auto"/>
                <w:sz w:val="24"/>
                <w:szCs w:val="24"/>
                <w:highlight w:val="none"/>
              </w:rPr>
            </w:pPr>
          </w:p>
        </w:tc>
        <w:tc>
          <w:tcPr>
            <w:tcW w:w="319" w:type="pct"/>
          </w:tcPr>
          <w:p w14:paraId="4FE78C21">
            <w:pPr>
              <w:pStyle w:val="7"/>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4</w:t>
            </w:r>
          </w:p>
        </w:tc>
        <w:tc>
          <w:tcPr>
            <w:tcW w:w="4252" w:type="pct"/>
          </w:tcPr>
          <w:p w14:paraId="5D309D15">
            <w:pPr>
              <w:pStyle w:val="7"/>
              <w:numPr>
                <w:ilvl w:val="0"/>
                <w:numId w:val="0"/>
              </w:numPr>
              <w:spacing w:line="360" w:lineRule="auto"/>
              <w:rPr>
                <w:rFonts w:hint="default" w:ascii="宋体" w:hAnsi="宋体" w:eastAsia="宋体"/>
                <w:color w:val="auto"/>
                <w:sz w:val="24"/>
                <w:szCs w:val="24"/>
                <w:highlight w:val="none"/>
                <w:lang w:eastAsia="zh-CN"/>
              </w:rPr>
            </w:pPr>
            <w:r>
              <w:rPr>
                <w:rFonts w:hint="eastAsia" w:ascii="宋体" w:hAnsi="宋体" w:eastAsia="宋体" w:cstheme="minorBidi"/>
                <w:color w:val="auto"/>
                <w:sz w:val="24"/>
                <w:szCs w:val="24"/>
                <w:highlight w:val="none"/>
                <w:lang w:val="en-US" w:eastAsia="zh-CN" w:bidi="ar-SA"/>
              </w:rPr>
              <w:t>四、</w:t>
            </w:r>
            <w:r>
              <w:rPr>
                <w:rFonts w:ascii="宋体" w:hAnsi="宋体" w:eastAsia="宋体"/>
                <w:color w:val="auto"/>
                <w:sz w:val="24"/>
                <w:szCs w:val="24"/>
                <w:highlight w:val="none"/>
                <w:lang w:eastAsia="zh-CN"/>
              </w:rPr>
              <w:t>编制范围</w:t>
            </w:r>
          </w:p>
          <w:p w14:paraId="07BD2CC6">
            <w:pPr>
              <w:pStyle w:val="7"/>
              <w:spacing w:line="360" w:lineRule="auto"/>
              <w:ind w:firstLine="480" w:firstLineChars="200"/>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省足球青训中心附属用房维修改造</w:t>
            </w:r>
            <w:r>
              <w:rPr>
                <w:rFonts w:hint="default" w:ascii="宋体" w:hAnsi="宋体" w:eastAsia="宋体"/>
                <w:color w:val="auto"/>
                <w:sz w:val="24"/>
                <w:szCs w:val="24"/>
                <w:highlight w:val="none"/>
                <w:lang w:eastAsia="zh-CN"/>
              </w:rPr>
              <w:t>设计图纸及相关答疑。</w:t>
            </w:r>
          </w:p>
        </w:tc>
      </w:tr>
      <w:tr w14:paraId="01F78D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tcPr>
          <w:p w14:paraId="6335AB92">
            <w:pPr>
              <w:spacing w:before="156" w:after="156"/>
              <w:ind w:firstLine="480"/>
              <w:rPr>
                <w:rFonts w:ascii="宋体" w:hAnsi="宋体" w:eastAsia="宋体" w:cs="宋体"/>
                <w:color w:val="auto"/>
                <w:sz w:val="24"/>
                <w:szCs w:val="24"/>
                <w:highlight w:val="none"/>
              </w:rPr>
            </w:pPr>
          </w:p>
        </w:tc>
        <w:tc>
          <w:tcPr>
            <w:tcW w:w="319" w:type="pct"/>
          </w:tcPr>
          <w:p w14:paraId="1A392FB1">
            <w:pPr>
              <w:pStyle w:val="7"/>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5</w:t>
            </w:r>
          </w:p>
        </w:tc>
        <w:tc>
          <w:tcPr>
            <w:tcW w:w="4252" w:type="pct"/>
          </w:tcPr>
          <w:p w14:paraId="49B67BBA">
            <w:pPr>
              <w:pStyle w:val="7"/>
              <w:numPr>
                <w:ilvl w:val="0"/>
                <w:numId w:val="0"/>
              </w:numPr>
              <w:spacing w:line="360" w:lineRule="auto"/>
              <w:rPr>
                <w:rFonts w:hint="default" w:ascii="宋体" w:hAnsi="宋体" w:eastAsia="宋体"/>
                <w:color w:val="auto"/>
                <w:sz w:val="24"/>
                <w:szCs w:val="24"/>
                <w:highlight w:val="none"/>
                <w:lang w:eastAsia="zh-CN"/>
              </w:rPr>
            </w:pPr>
            <w:r>
              <w:rPr>
                <w:rFonts w:hint="eastAsia" w:ascii="宋体" w:hAnsi="宋体" w:eastAsia="宋体" w:cstheme="minorBidi"/>
                <w:color w:val="auto"/>
                <w:sz w:val="24"/>
                <w:szCs w:val="24"/>
                <w:highlight w:val="none"/>
                <w:lang w:val="en-US" w:eastAsia="zh-CN" w:bidi="ar-SA"/>
              </w:rPr>
              <w:t>五、</w:t>
            </w:r>
            <w:r>
              <w:rPr>
                <w:rFonts w:ascii="宋体" w:hAnsi="宋体" w:eastAsia="宋体"/>
                <w:color w:val="auto"/>
                <w:sz w:val="24"/>
                <w:szCs w:val="24"/>
                <w:highlight w:val="none"/>
                <w:lang w:eastAsia="zh-CN"/>
              </w:rPr>
              <w:t>其他说明</w:t>
            </w:r>
          </w:p>
          <w:p w14:paraId="3639207C">
            <w:pPr>
              <w:pStyle w:val="7"/>
              <w:spacing w:line="360" w:lineRule="auto"/>
              <w:ind w:firstLine="480" w:firstLineChars="200"/>
              <w:rPr>
                <w:rFonts w:hint="default" w:ascii="宋体" w:hAnsi="宋体" w:eastAsia="宋体"/>
                <w:color w:val="auto"/>
                <w:sz w:val="24"/>
                <w:szCs w:val="24"/>
                <w:highlight w:val="none"/>
                <w:lang w:eastAsia="zh-CN"/>
              </w:rPr>
            </w:pPr>
            <w:r>
              <w:rPr>
                <w:rFonts w:hint="default" w:ascii="宋体" w:hAnsi="宋体" w:eastAsia="宋体"/>
                <w:color w:val="auto"/>
                <w:sz w:val="24"/>
                <w:szCs w:val="24"/>
                <w:highlight w:val="none"/>
                <w:lang w:eastAsia="zh-CN"/>
              </w:rPr>
              <w:t>1.本工程计价软件采用广联达版本号为云计价平台GCCP7.0（7.5000.23.3）；</w:t>
            </w:r>
          </w:p>
          <w:p w14:paraId="67FA088D">
            <w:pPr>
              <w:pStyle w:val="7"/>
              <w:spacing w:line="360" w:lineRule="auto"/>
              <w:ind w:firstLine="480" w:firstLineChars="200"/>
              <w:rPr>
                <w:rFonts w:hint="default" w:ascii="宋体" w:hAnsi="宋体" w:eastAsia="宋体"/>
                <w:color w:val="auto"/>
                <w:sz w:val="24"/>
                <w:szCs w:val="24"/>
                <w:highlight w:val="none"/>
                <w:lang w:eastAsia="zh-CN"/>
              </w:rPr>
            </w:pPr>
            <w:r>
              <w:rPr>
                <w:rFonts w:hint="default" w:ascii="宋体" w:hAnsi="宋体" w:eastAsia="宋体"/>
                <w:color w:val="auto"/>
                <w:sz w:val="24"/>
                <w:szCs w:val="24"/>
                <w:highlight w:val="none"/>
                <w:lang w:eastAsia="zh-CN"/>
              </w:rPr>
              <w:t>2.</w:t>
            </w:r>
            <w:r>
              <w:rPr>
                <w:rFonts w:ascii="宋体" w:hAnsi="宋体" w:cs="宋体"/>
                <w:color w:val="auto"/>
                <w:sz w:val="24"/>
                <w:szCs w:val="24"/>
                <w:highlight w:val="none"/>
              </w:rPr>
              <w:t>工程量清单中如有暂列金和暂估价均作为不可竞争费用计入投标报价中</w:t>
            </w:r>
            <w:r>
              <w:rPr>
                <w:rFonts w:hint="default" w:ascii="宋体" w:hAnsi="宋体" w:eastAsia="宋体"/>
                <w:color w:val="auto"/>
                <w:sz w:val="24"/>
                <w:szCs w:val="24"/>
                <w:highlight w:val="none"/>
                <w:lang w:eastAsia="zh-CN"/>
              </w:rPr>
              <w:t>；</w:t>
            </w:r>
          </w:p>
          <w:p w14:paraId="23DDB677">
            <w:pPr>
              <w:pStyle w:val="7"/>
              <w:spacing w:line="360" w:lineRule="auto"/>
              <w:ind w:firstLine="480" w:firstLineChars="200"/>
              <w:rPr>
                <w:rFonts w:hint="default" w:ascii="宋体" w:hAnsi="宋体" w:eastAsia="宋体"/>
                <w:color w:val="auto"/>
                <w:sz w:val="24"/>
                <w:szCs w:val="24"/>
                <w:highlight w:val="none"/>
                <w:lang w:eastAsia="zh-CN"/>
              </w:rPr>
            </w:pPr>
            <w:r>
              <w:rPr>
                <w:rFonts w:hint="default" w:ascii="宋体" w:hAnsi="宋体" w:eastAsia="宋体"/>
                <w:color w:val="auto"/>
                <w:sz w:val="24"/>
                <w:szCs w:val="24"/>
                <w:highlight w:val="none"/>
                <w:lang w:eastAsia="zh-CN"/>
              </w:rPr>
              <w:t>3.清单未详尽内容需满足招标文件及图纸设计。</w:t>
            </w:r>
          </w:p>
        </w:tc>
      </w:tr>
      <w:tr w14:paraId="44B198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8" w:type="pct"/>
          </w:tcPr>
          <w:p w14:paraId="0942C191">
            <w:pPr>
              <w:spacing w:before="156" w:after="156"/>
              <w:ind w:firstLine="480"/>
              <w:rPr>
                <w:rFonts w:ascii="宋体" w:hAnsi="宋体" w:eastAsia="宋体" w:cs="宋体"/>
                <w:color w:val="auto"/>
                <w:sz w:val="24"/>
                <w:szCs w:val="24"/>
                <w:highlight w:val="none"/>
              </w:rPr>
            </w:pPr>
          </w:p>
        </w:tc>
        <w:tc>
          <w:tcPr>
            <w:tcW w:w="319" w:type="pct"/>
          </w:tcPr>
          <w:p w14:paraId="63133A02">
            <w:pPr>
              <w:pStyle w:val="7"/>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6</w:t>
            </w:r>
          </w:p>
        </w:tc>
        <w:tc>
          <w:tcPr>
            <w:tcW w:w="4252" w:type="pct"/>
          </w:tcPr>
          <w:p w14:paraId="2523114B">
            <w:pPr>
              <w:pStyle w:val="7"/>
              <w:spacing w:line="360" w:lineRule="auto"/>
              <w:rPr>
                <w:rFonts w:hint="default" w:ascii="宋体" w:hAnsi="宋体" w:eastAsia="宋体"/>
                <w:color w:val="auto"/>
                <w:sz w:val="24"/>
                <w:szCs w:val="24"/>
                <w:highlight w:val="none"/>
              </w:rPr>
            </w:pPr>
            <w:bookmarkStart w:id="3" w:name="OLE_LINK14"/>
            <w:bookmarkStart w:id="4" w:name="OLE_LINK13"/>
            <w:r>
              <w:rPr>
                <w:rFonts w:ascii="宋体" w:hAnsi="宋体" w:eastAsia="宋体"/>
                <w:color w:val="auto"/>
                <w:sz w:val="24"/>
                <w:szCs w:val="24"/>
                <w:highlight w:val="none"/>
                <w:lang w:eastAsia="zh-CN"/>
              </w:rPr>
              <w:t>六</w:t>
            </w:r>
            <w:r>
              <w:rPr>
                <w:rFonts w:ascii="宋体" w:hAnsi="宋体" w:eastAsia="宋体"/>
                <w:color w:val="auto"/>
                <w:sz w:val="24"/>
                <w:szCs w:val="24"/>
                <w:highlight w:val="none"/>
              </w:rPr>
              <w:t>、其他要求</w:t>
            </w:r>
          </w:p>
          <w:p w14:paraId="0C4D52BC">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1.报价说明</w:t>
            </w:r>
          </w:p>
          <w:p w14:paraId="5366DAA6">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lang w:eastAsia="zh-CN"/>
              </w:rPr>
              <w:t>本</w:t>
            </w:r>
            <w:r>
              <w:rPr>
                <w:rFonts w:ascii="宋体" w:hAnsi="宋体" w:eastAsia="宋体"/>
                <w:color w:val="auto"/>
                <w:sz w:val="24"/>
                <w:szCs w:val="24"/>
                <w:highlight w:val="none"/>
              </w:rPr>
              <w:t>项目工程</w:t>
            </w:r>
            <w:r>
              <w:rPr>
                <w:rFonts w:ascii="宋体" w:hAnsi="宋体" w:eastAsia="宋体"/>
                <w:color w:val="auto"/>
                <w:sz w:val="24"/>
                <w:szCs w:val="24"/>
                <w:highlight w:val="none"/>
                <w:lang w:eastAsia="zh-CN"/>
              </w:rPr>
              <w:t>最高</w:t>
            </w:r>
            <w:r>
              <w:rPr>
                <w:rFonts w:ascii="宋体" w:hAnsi="宋体" w:eastAsia="宋体"/>
                <w:color w:val="auto"/>
                <w:sz w:val="24"/>
                <w:szCs w:val="24"/>
                <w:highlight w:val="none"/>
              </w:rPr>
              <w:t>限价为</w:t>
            </w:r>
            <w:r>
              <w:rPr>
                <w:rFonts w:hint="eastAsia" w:ascii="宋体" w:hAnsi="宋体" w:eastAsia="宋体" w:cs="宋体"/>
                <w:color w:val="auto"/>
                <w:sz w:val="24"/>
                <w:szCs w:val="24"/>
                <w:highlight w:val="none"/>
                <w:lang w:eastAsia="zh-CN"/>
              </w:rPr>
              <w:t>5,987,578.60</w:t>
            </w:r>
            <w:r>
              <w:rPr>
                <w:rFonts w:ascii="宋体" w:hAnsi="宋体" w:eastAsia="宋体"/>
                <w:color w:val="auto"/>
                <w:sz w:val="24"/>
                <w:szCs w:val="24"/>
                <w:highlight w:val="none"/>
                <w:lang w:eastAsia="zh-CN"/>
              </w:rPr>
              <w:t>元</w:t>
            </w:r>
            <w:r>
              <w:rPr>
                <w:rFonts w:ascii="宋体" w:hAnsi="宋体" w:eastAsia="宋体"/>
                <w:color w:val="auto"/>
                <w:sz w:val="24"/>
                <w:szCs w:val="24"/>
                <w:highlight w:val="none"/>
              </w:rPr>
              <w:t>，投标报价大于上限价的，按废标处理。</w:t>
            </w:r>
            <w:r>
              <w:rPr>
                <w:rFonts w:ascii="宋体" w:hAnsi="宋体" w:cs="宋体"/>
                <w:color w:val="auto"/>
                <w:sz w:val="24"/>
                <w:szCs w:val="24"/>
                <w:highlight w:val="none"/>
              </w:rPr>
              <w:t>暂列金和暂估价</w:t>
            </w:r>
            <w:r>
              <w:rPr>
                <w:rFonts w:ascii="宋体" w:hAnsi="宋体" w:cs="宋体"/>
                <w:color w:val="auto"/>
                <w:sz w:val="24"/>
                <w:szCs w:val="24"/>
                <w:highlight w:val="none"/>
                <w:lang w:eastAsia="zh-CN"/>
              </w:rPr>
              <w:t>均属于</w:t>
            </w:r>
            <w:r>
              <w:rPr>
                <w:rFonts w:ascii="宋体" w:hAnsi="宋体" w:eastAsia="宋体"/>
                <w:color w:val="auto"/>
                <w:sz w:val="24"/>
                <w:szCs w:val="24"/>
                <w:highlight w:val="none"/>
              </w:rPr>
              <w:t>不可竞争费计入投标总价，暂列金根据实际发生情况据实结算。</w:t>
            </w:r>
          </w:p>
          <w:p w14:paraId="39B2B4D3">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投标报价应按照施工图纸、工程量清单、补充通知、答疑纪要、合同条款、施工现场实际情况、拟定的施工方案或施工组织设计的相关内容及要求，并在满足招标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所有价格均为人民币报价，包括施工所需设备、材料、机械、人工、验收、交付、税金、利润等费用。本次开标一览表中只允许有一个报价，任何有选择的报价将不予接受。</w:t>
            </w:r>
          </w:p>
          <w:p w14:paraId="52811346">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2.★工期：签订合同之日起</w:t>
            </w:r>
            <w:r>
              <w:rPr>
                <w:rFonts w:hint="eastAsia" w:ascii="宋体" w:hAnsi="宋体" w:eastAsia="宋体"/>
                <w:color w:val="auto"/>
                <w:sz w:val="24"/>
                <w:szCs w:val="24"/>
                <w:highlight w:val="none"/>
                <w:u w:val="none"/>
                <w:lang w:val="en-US" w:eastAsia="zh-CN"/>
              </w:rPr>
              <w:t>90</w:t>
            </w:r>
            <w:r>
              <w:rPr>
                <w:rFonts w:ascii="宋体" w:hAnsi="宋体" w:eastAsia="宋体"/>
                <w:color w:val="auto"/>
                <w:sz w:val="24"/>
                <w:szCs w:val="24"/>
                <w:highlight w:val="none"/>
              </w:rPr>
              <w:t>日历天内完成项目维修并交付使用，供应商可自报最短工期，完工后清理施工现场。投标人需提供响应工期的承诺，不得因水电等外部原因影响工期，未提供工期响应承诺函的按照符合性审查不合格处理。</w:t>
            </w:r>
          </w:p>
          <w:p w14:paraId="5642C84A">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★3.售后服务要求：</w:t>
            </w:r>
            <w:bookmarkStart w:id="5" w:name="OLE_LINK19"/>
            <w:bookmarkStart w:id="6" w:name="OLE_LINK18"/>
            <w:r>
              <w:rPr>
                <w:rFonts w:ascii="宋体" w:hAnsi="宋体" w:eastAsia="宋体"/>
                <w:color w:val="auto"/>
                <w:sz w:val="24"/>
                <w:szCs w:val="24"/>
                <w:highlight w:val="none"/>
              </w:rPr>
              <w:t>项目交付使用后，要求施工单位每</w:t>
            </w:r>
            <w:r>
              <w:rPr>
                <w:rFonts w:ascii="宋体" w:hAnsi="宋体" w:eastAsia="宋体"/>
                <w:color w:val="auto"/>
                <w:sz w:val="24"/>
                <w:szCs w:val="24"/>
                <w:highlight w:val="none"/>
                <w:lang w:eastAsia="zh-CN"/>
              </w:rPr>
              <w:t>半年</w:t>
            </w:r>
            <w:r>
              <w:rPr>
                <w:rFonts w:ascii="宋体" w:hAnsi="宋体" w:eastAsia="宋体"/>
                <w:color w:val="auto"/>
                <w:sz w:val="24"/>
                <w:szCs w:val="24"/>
                <w:highlight w:val="none"/>
              </w:rPr>
              <w:t>至少1次进行上门</w:t>
            </w:r>
            <w:r>
              <w:rPr>
                <w:rFonts w:ascii="宋体" w:hAnsi="宋体" w:eastAsia="宋体"/>
                <w:color w:val="auto"/>
                <w:sz w:val="24"/>
                <w:szCs w:val="24"/>
                <w:highlight w:val="none"/>
                <w:lang w:eastAsia="zh-CN"/>
              </w:rPr>
              <w:t>售后</w:t>
            </w:r>
            <w:r>
              <w:rPr>
                <w:rFonts w:ascii="宋体" w:hAnsi="宋体" w:eastAsia="宋体"/>
                <w:color w:val="auto"/>
                <w:sz w:val="24"/>
                <w:szCs w:val="24"/>
                <w:highlight w:val="none"/>
              </w:rPr>
              <w:t>服务，投标人须提供上门服务承诺函，未提供上门服务承诺函的按照符合性审查不合格处理。</w:t>
            </w:r>
            <w:bookmarkEnd w:id="5"/>
            <w:bookmarkEnd w:id="6"/>
          </w:p>
          <w:p w14:paraId="77D7254C">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4.合同范围</w:t>
            </w:r>
          </w:p>
          <w:p w14:paraId="7FEC48D8">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具体内容参见施工范围内容有关要求，承包范围如有变化,以甲方下发工程改造范围变更单为依据。</w:t>
            </w:r>
          </w:p>
          <w:p w14:paraId="1CD71174">
            <w:pPr>
              <w:pStyle w:val="7"/>
              <w:spacing w:line="360" w:lineRule="auto"/>
              <w:ind w:firstLine="480" w:firstLineChars="200"/>
              <w:rPr>
                <w:rFonts w:hint="default" w:ascii="宋体" w:hAnsi="宋体" w:eastAsia="宋体"/>
                <w:color w:val="auto"/>
                <w:sz w:val="24"/>
                <w:szCs w:val="24"/>
                <w:highlight w:val="none"/>
              </w:rPr>
            </w:pPr>
            <w:r>
              <w:rPr>
                <w:rFonts w:ascii="宋体" w:hAnsi="宋体" w:eastAsia="宋体"/>
                <w:color w:val="auto"/>
                <w:sz w:val="24"/>
                <w:szCs w:val="24"/>
                <w:highlight w:val="none"/>
              </w:rPr>
              <w:t>★5.工程质保期：</w:t>
            </w:r>
            <w:bookmarkEnd w:id="3"/>
            <w:bookmarkEnd w:id="4"/>
            <w:r>
              <w:rPr>
                <w:rFonts w:hint="eastAsia" w:ascii="宋体" w:hAnsi="宋体" w:cs="宋体"/>
                <w:color w:val="auto"/>
                <w:sz w:val="24"/>
                <w:szCs w:val="24"/>
                <w:highlight w:val="none"/>
                <w:lang w:val="en-US" w:eastAsia="zh-CN"/>
              </w:rPr>
              <w:t>满足</w:t>
            </w:r>
            <w:r>
              <w:rPr>
                <w:rFonts w:hint="eastAsia" w:ascii="宋体" w:hAnsi="宋体" w:eastAsia="宋体" w:cs="宋体"/>
                <w:color w:val="auto"/>
                <w:sz w:val="24"/>
                <w:szCs w:val="24"/>
                <w:highlight w:val="none"/>
              </w:rPr>
              <w:t>《建设工程质量管理条例》及国家有关规定</w:t>
            </w:r>
            <w:r>
              <w:rPr>
                <w:rFonts w:hint="eastAsia" w:ascii="宋体" w:hAnsi="宋体" w:cs="宋体"/>
                <w:color w:val="auto"/>
                <w:sz w:val="24"/>
                <w:szCs w:val="24"/>
                <w:highlight w:val="none"/>
                <w:lang w:val="en-US" w:eastAsia="zh-CN"/>
              </w:rPr>
              <w:t>的最低标准</w:t>
            </w:r>
            <w:r>
              <w:rPr>
                <w:rFonts w:ascii="宋体" w:hAnsi="宋体" w:eastAsia="宋体"/>
                <w:color w:val="auto"/>
                <w:sz w:val="24"/>
                <w:szCs w:val="24"/>
                <w:highlight w:val="none"/>
              </w:rPr>
              <w:t>。</w:t>
            </w:r>
          </w:p>
          <w:p w14:paraId="53B0BBC1">
            <w:pPr>
              <w:pStyle w:val="7"/>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6.</w:t>
            </w:r>
            <w:bookmarkStart w:id="7" w:name="OLE_LINK33"/>
            <w:bookmarkStart w:id="8" w:name="OLE_LINK34"/>
            <w:r>
              <w:rPr>
                <w:rFonts w:ascii="宋体" w:hAnsi="宋体" w:eastAsia="宋体"/>
                <w:color w:val="auto"/>
                <w:sz w:val="24"/>
                <w:szCs w:val="24"/>
                <w:highlight w:val="none"/>
              </w:rPr>
              <w:t>主要材料</w:t>
            </w:r>
            <w:r>
              <w:rPr>
                <w:rFonts w:ascii="宋体" w:hAnsi="宋体" w:eastAsia="宋体"/>
                <w:color w:val="auto"/>
                <w:sz w:val="24"/>
                <w:szCs w:val="24"/>
                <w:highlight w:val="none"/>
                <w:lang w:eastAsia="zh-CN"/>
              </w:rPr>
              <w:t>（</w:t>
            </w:r>
            <w:r>
              <w:rPr>
                <w:rFonts w:ascii="宋体" w:hAnsi="宋体" w:eastAsia="宋体" w:cs="宋体"/>
                <w:color w:val="auto"/>
                <w:sz w:val="24"/>
                <w:szCs w:val="24"/>
                <w:highlight w:val="none"/>
                <w:lang w:eastAsia="zh-CN"/>
              </w:rPr>
              <w:t>条板隔墙、防火门、水泥、塑胶地面、钢材、油漆、吊顶</w:t>
            </w:r>
            <w:r>
              <w:rPr>
                <w:rFonts w:ascii="宋体" w:hAnsi="宋体" w:eastAsia="宋体"/>
                <w:color w:val="auto"/>
                <w:sz w:val="24"/>
                <w:szCs w:val="24"/>
                <w:highlight w:val="none"/>
                <w:lang w:eastAsia="zh-CN"/>
              </w:rPr>
              <w:t>）</w:t>
            </w:r>
            <w:r>
              <w:rPr>
                <w:rFonts w:ascii="宋体" w:hAnsi="宋体" w:eastAsia="宋体"/>
                <w:color w:val="auto"/>
                <w:sz w:val="24"/>
                <w:szCs w:val="24"/>
                <w:highlight w:val="none"/>
              </w:rPr>
              <w:t>需提供相关合格证书。</w:t>
            </w:r>
            <w:bookmarkEnd w:id="7"/>
            <w:bookmarkEnd w:id="8"/>
          </w:p>
          <w:p w14:paraId="1C1E863A">
            <w:pPr>
              <w:pStyle w:val="7"/>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7.工程量清单中需要标明所投主材的品牌。</w:t>
            </w:r>
          </w:p>
          <w:p w14:paraId="77F207A2">
            <w:pPr>
              <w:pStyle w:val="7"/>
              <w:spacing w:line="360" w:lineRule="auto"/>
              <w:ind w:firstLine="240" w:firstLineChars="100"/>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8.施工工人要求:投标人针对本项目投入至少40名施工工人(此人数不包含项目经理、技术负责人等管理人员)，并保证人员配备充足，以保障工程按期保质完成。</w:t>
            </w:r>
            <w:r>
              <w:rPr>
                <w:rFonts w:ascii="宋体" w:hAnsi="宋体" w:eastAsia="宋体"/>
                <w:color w:val="auto"/>
                <w:sz w:val="24"/>
                <w:szCs w:val="24"/>
                <w:highlight w:val="none"/>
              </w:rPr>
              <w:t>投标人须提供</w:t>
            </w:r>
            <w:r>
              <w:rPr>
                <w:rFonts w:hint="eastAsia" w:ascii="宋体" w:hAnsi="宋体" w:eastAsia="宋体"/>
                <w:color w:val="auto"/>
                <w:sz w:val="24"/>
                <w:szCs w:val="24"/>
                <w:highlight w:val="none"/>
                <w:lang w:val="en-US" w:eastAsia="zh-CN"/>
              </w:rPr>
              <w:t>施工人数</w:t>
            </w:r>
            <w:r>
              <w:rPr>
                <w:rFonts w:ascii="宋体" w:hAnsi="宋体" w:eastAsia="宋体"/>
                <w:color w:val="auto"/>
                <w:sz w:val="24"/>
                <w:szCs w:val="24"/>
                <w:highlight w:val="none"/>
              </w:rPr>
              <w:t>承诺函，未提供</w:t>
            </w:r>
            <w:r>
              <w:rPr>
                <w:rFonts w:hint="eastAsia" w:ascii="宋体" w:hAnsi="宋体" w:eastAsia="宋体"/>
                <w:color w:val="auto"/>
                <w:sz w:val="24"/>
                <w:szCs w:val="24"/>
                <w:highlight w:val="none"/>
                <w:lang w:val="en-US" w:eastAsia="zh-CN"/>
              </w:rPr>
              <w:t>施工人数</w:t>
            </w:r>
            <w:r>
              <w:rPr>
                <w:rFonts w:ascii="宋体" w:hAnsi="宋体" w:eastAsia="宋体"/>
                <w:color w:val="auto"/>
                <w:sz w:val="24"/>
                <w:szCs w:val="24"/>
                <w:highlight w:val="none"/>
              </w:rPr>
              <w:t>承诺函的按照符合性审查不合格处理。</w:t>
            </w:r>
          </w:p>
        </w:tc>
      </w:tr>
    </w:tbl>
    <w:p w14:paraId="6D505F0F">
      <w:bookmarkStart w:id="9" w:name="_GoBack"/>
      <w:bookmarkEnd w:id="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E56218"/>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50" w:beforeLines="50" w:after="50" w:afterLines="50" w:line="360" w:lineRule="auto"/>
      <w:ind w:firstLine="200" w:firstLineChars="200"/>
    </w:pPr>
    <w:rPr>
      <w:rFonts w:asciiTheme="minorHAnsi" w:hAnsiTheme="minorHAnsi" w:eastAsiaTheme="minorEastAsia" w:cstheme="minorBidi"/>
      <w:sz w:val="22"/>
      <w:szCs w:val="22"/>
      <w:lang w:val="en-US" w:eastAsia="zh-CN" w:bidi="ar-SA"/>
    </w:rPr>
  </w:style>
  <w:style w:type="paragraph" w:styleId="2">
    <w:name w:val="heading 1"/>
    <w:basedOn w:val="1"/>
    <w:next w:val="1"/>
    <w:qFormat/>
    <w:uiPriority w:val="9"/>
    <w:pPr>
      <w:ind w:firstLine="0" w:firstLineChars="0"/>
      <w:contextualSpacing/>
      <w:jc w:val="center"/>
      <w:outlineLvl w:val="0"/>
    </w:pPr>
    <w:rPr>
      <w:rFonts w:asciiTheme="majorHAnsi" w:hAnsiTheme="majorHAnsi" w:eastAsiaTheme="majorEastAsia" w:cstheme="majorBidi"/>
      <w:b/>
      <w:bCs/>
      <w:sz w:val="32"/>
      <w:szCs w:val="28"/>
    </w:rPr>
  </w:style>
  <w:style w:type="paragraph" w:styleId="3">
    <w:name w:val="heading 2"/>
    <w:basedOn w:val="1"/>
    <w:next w:val="1"/>
    <w:unhideWhenUsed/>
    <w:qFormat/>
    <w:uiPriority w:val="9"/>
    <w:pPr>
      <w:spacing w:before="200" w:after="0"/>
      <w:outlineLvl w:val="1"/>
    </w:pPr>
    <w:rPr>
      <w:rFonts w:asciiTheme="majorHAnsi" w:hAnsiTheme="majorHAnsi" w:eastAsiaTheme="majorEastAsia" w:cstheme="majorBidi"/>
      <w:b/>
      <w:bCs/>
      <w:sz w:val="26"/>
      <w:szCs w:val="26"/>
    </w:rPr>
  </w:style>
  <w:style w:type="paragraph" w:styleId="4">
    <w:name w:val="heading 3"/>
    <w:basedOn w:val="1"/>
    <w:next w:val="1"/>
    <w:unhideWhenUsed/>
    <w:qFormat/>
    <w:uiPriority w:val="9"/>
    <w:pPr>
      <w:spacing w:before="200" w:after="0" w:line="271" w:lineRule="auto"/>
      <w:outlineLvl w:val="2"/>
    </w:pPr>
    <w:rPr>
      <w:rFonts w:asciiTheme="majorHAnsi" w:hAnsiTheme="majorHAnsi" w:eastAsiaTheme="majorEastAsia" w:cstheme="majorBidi"/>
      <w:b/>
      <w:bCs/>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null3"/>
    <w:autoRedefine/>
    <w:hidden/>
    <w:qFormat/>
    <w:uiPriority w:val="0"/>
    <w:pPr>
      <w:spacing w:after="200" w:line="276" w:lineRule="auto"/>
    </w:pPr>
    <w:rPr>
      <w:rFonts w:hint="eastAsia" w:asciiTheme="minorHAnsi" w:hAnsiTheme="minorHAnsi" w:eastAsiaTheme="minorEastAsia" w:cstheme="minorBidi"/>
      <w:sz w:val="22"/>
      <w:szCs w:val="22"/>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2026-08-06T09:12:29Z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