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版本号：ZCSP-华县-2026-0018720260818001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联影CT球管采购项目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ZCSP-华县-2026-00187</w:t>
      </w:r>
      <w:r>
        <w:br/>
      </w:r>
      <w:r>
        <w:br/>
      </w:r>
      <w:r>
        <w:br/>
      </w:r>
      <w:r>
        <w:br/>
      </w:r>
      <w:r>
        <w:br/>
      </w:r>
    </w:p>
    <w:p>
      <w:pPr>
        <w:pStyle w:val="null3"/>
        <w:jc w:val="center"/>
        <w:outlineLvl w:val="5"/>
      </w:pPr>
      <w:r>
        <w:rPr>
          <w:rFonts w:ascii="仿宋_GB2312" w:hAnsi="仿宋_GB2312" w:cs="仿宋_GB2312" w:eastAsia="仿宋_GB2312"/>
          <w:sz w:val="15"/>
          <w:b/>
        </w:rPr>
        <w:t>渭南市华州区人民医院</w:t>
      </w:r>
    </w:p>
    <w:p>
      <w:pPr>
        <w:pStyle w:val="null3"/>
        <w:jc w:val="center"/>
        <w:outlineLvl w:val="5"/>
      </w:pPr>
      <w:r>
        <w:rPr>
          <w:rFonts w:ascii="仿宋_GB2312" w:hAnsi="仿宋_GB2312" w:cs="仿宋_GB2312" w:eastAsia="仿宋_GB2312"/>
          <w:sz w:val="15"/>
          <w:b/>
        </w:rPr>
        <w:t>陕西嘉信至诚项目管理有限公司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陕西嘉信至诚项目管理有限公司</w:t>
      </w:r>
      <w:r>
        <w:rPr>
          <w:rFonts w:ascii="仿宋_GB2312" w:hAnsi="仿宋_GB2312" w:cs="仿宋_GB2312" w:eastAsia="仿宋_GB2312"/>
        </w:rPr>
        <w:t>（以下简称“代理机构”）受</w:t>
      </w:r>
      <w:r>
        <w:rPr>
          <w:rFonts w:ascii="仿宋_GB2312" w:hAnsi="仿宋_GB2312" w:cs="仿宋_GB2312" w:eastAsia="仿宋_GB2312"/>
        </w:rPr>
        <w:t>渭南市华州区人民医院</w:t>
      </w:r>
      <w:r>
        <w:rPr>
          <w:rFonts w:ascii="仿宋_GB2312" w:hAnsi="仿宋_GB2312" w:cs="仿宋_GB2312" w:eastAsia="仿宋_GB2312"/>
        </w:rPr>
        <w:t>委托，拟对</w:t>
      </w:r>
      <w:r>
        <w:rPr>
          <w:rFonts w:ascii="仿宋_GB2312" w:hAnsi="仿宋_GB2312" w:cs="仿宋_GB2312" w:eastAsia="仿宋_GB2312"/>
        </w:rPr>
        <w:t>联影CT球管采购项目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ZCSP-华县-2026-00187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联影CT球管采购项目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为改善医疗环境，提高医疗服务质量及医疗水平，满足群众就医需求，本项目采购联影CT球管1件。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1、法定代表人身份证明书或法定代表人授权委托书：法定代表人参与谈判时需提供法定代表人身份证明书；被授权人参与谈判时需提供法定代表人身份证明书及法定代表人授权委托书</w:t>
      </w:r>
    </w:p>
    <w:p>
      <w:pPr>
        <w:pStyle w:val="null3"/>
      </w:pPr>
      <w:r>
        <w:rPr>
          <w:rFonts w:ascii="仿宋_GB2312" w:hAnsi="仿宋_GB2312" w:cs="仿宋_GB2312" w:eastAsia="仿宋_GB2312"/>
        </w:rPr>
        <w:t>2、供应商资质：供应商为经销商的须提供有效的《医疗器械经营许可证》（或医疗器械经营备案凭证）和制造商的《医疗器械生产许可证》（或医疗器械生产备案凭证）；供应商为制造商的须提供有效的《医疗器械生产许可证》（或医疗器械生产备案凭证）；</w:t>
      </w:r>
    </w:p>
    <w:p>
      <w:pPr>
        <w:pStyle w:val="null3"/>
      </w:pPr>
      <w:r>
        <w:rPr>
          <w:rFonts w:ascii="仿宋_GB2312" w:hAnsi="仿宋_GB2312" w:cs="仿宋_GB2312" w:eastAsia="仿宋_GB2312"/>
        </w:rPr>
        <w:t>3、谈判保证金交纳凭证：谈判保证金凭证；</w:t>
      </w:r>
    </w:p>
    <w:p>
      <w:pPr>
        <w:pStyle w:val="null3"/>
      </w:pPr>
      <w:r>
        <w:rPr>
          <w:rFonts w:ascii="仿宋_GB2312" w:hAnsi="仿宋_GB2312" w:cs="仿宋_GB2312" w:eastAsia="仿宋_GB2312"/>
        </w:rPr>
        <w:t>4、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渭南市华州区人民医院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渭南市华州区子仪路东段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0913-4734003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陕西嘉信至诚项目管理有限公司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陕西省渭南市临渭区解放路与双王街十字东南角商贸楼三楼东侧（槐衙曦和公馆南门斜对面）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0913-2130688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0913-4720669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开户名称：陕西嘉信至诚项目管理有限公司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银行账号：103714785487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照《国家发展改革委关于进一步放开建设项目专业服务价格的通知》（发改价格﹝2015﹞299号）的要求，参照计价格﹝2002﹞1980号、发改价格﹝2011﹞534号文件的计费标准，以成交（中标）价为基数计算，按照标准收取。2.代理服务费由中标（成交）供应商在领取中标（成交）通知书前向采购代理机构一次性支付；</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渭南市华州区人民医院</w:t>
      </w:r>
      <w:r>
        <w:rPr>
          <w:rFonts w:ascii="仿宋_GB2312" w:hAnsi="仿宋_GB2312" w:cs="仿宋_GB2312" w:eastAsia="仿宋_GB2312"/>
        </w:rPr>
        <w:t>和</w:t>
      </w:r>
      <w:r>
        <w:rPr>
          <w:rFonts w:ascii="仿宋_GB2312" w:hAnsi="仿宋_GB2312" w:cs="仿宋_GB2312" w:eastAsia="仿宋_GB2312"/>
        </w:rPr>
        <w:t>陕西嘉信至诚项目管理有限公司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陕西嘉信至诚项目管理有限公司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渭南市华州区人民医院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陕西嘉信至诚项目管理有限公司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双方另行约定</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符合国家、行业有关安全技术标准及采购人要求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联系人：田晶</w:t>
      </w:r>
    </w:p>
    <w:p>
      <w:pPr>
        <w:pStyle w:val="null3"/>
      </w:pPr>
      <w:r>
        <w:rPr>
          <w:rFonts w:ascii="仿宋_GB2312" w:hAnsi="仿宋_GB2312" w:cs="仿宋_GB2312" w:eastAsia="仿宋_GB2312"/>
        </w:rPr>
        <w:t>联系电话：0913-2130688</w:t>
      </w:r>
    </w:p>
    <w:p>
      <w:pPr>
        <w:pStyle w:val="null3"/>
      </w:pPr>
      <w:r>
        <w:rPr>
          <w:rFonts w:ascii="仿宋_GB2312" w:hAnsi="仿宋_GB2312" w:cs="仿宋_GB2312" w:eastAsia="仿宋_GB2312"/>
        </w:rPr>
        <w:t>地址：陕西省渭南市临渭区解放路与双王街十字东南角商贸楼三楼东侧（槐衙曦和公馆南门斜对面）</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为改善医疗环境，提高医疗服务质量及医疗水平，满足群众就医需求，本项目计划采购联影CT球管1套。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联影CT球管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件</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标的名称：联影CT球管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一、技术参数与性能要求：</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产品名称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规格型号</w:t>
                  </w:r>
                </w:p>
              </w:tc>
              <w:tc>
                <w:tcPr>
                  <w:tcW w:type="dxa" w:w="511"/>
                </w:tcPr>
                <w:p>
                  <w:pPr>
                    <w:pStyle w:val="null3"/>
                  </w:pPr>
                  <w:r>
                    <w:rPr>
                      <w:rFonts w:ascii="仿宋_GB2312" w:hAnsi="仿宋_GB2312" w:cs="仿宋_GB2312" w:eastAsia="仿宋_GB2312"/>
                    </w:rPr>
                    <w:t>参数要求</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联影UCT760</w:t>
                  </w:r>
                </w:p>
                <w:p>
                  <w:pPr>
                    <w:pStyle w:val="null3"/>
                  </w:pPr>
                  <w:r>
                    <w:rPr>
                      <w:rFonts w:ascii="仿宋_GB2312" w:hAnsi="仿宋_GB2312" w:cs="仿宋_GB2312" w:eastAsia="仿宋_GB2312"/>
                    </w:rPr>
                    <w:t>球管</w:t>
                  </w:r>
                </w:p>
              </w:tc>
              <w:tc>
                <w:tcPr>
                  <w:tcW w:type="dxa" w:w="511"/>
                </w:tcPr>
                <w:p>
                  <w:pPr>
                    <w:pStyle w:val="null3"/>
                  </w:pPr>
                  <w:r>
                    <w:rPr>
                      <w:rFonts w:ascii="仿宋_GB2312" w:hAnsi="仿宋_GB2312" w:cs="仿宋_GB2312" w:eastAsia="仿宋_GB2312"/>
                    </w:rPr>
                    <w:t>1件</w:t>
                  </w:r>
                </w:p>
              </w:tc>
              <w:tc>
                <w:tcPr>
                  <w:tcW w:type="dxa" w:w="511"/>
                </w:tcPr>
                <w:p>
                  <w:pPr>
                    <w:pStyle w:val="null3"/>
                  </w:pPr>
                  <w:r>
                    <w:rPr>
                      <w:rFonts w:ascii="仿宋_GB2312" w:hAnsi="仿宋_GB2312" w:cs="仿宋_GB2312" w:eastAsia="仿宋_GB2312"/>
                    </w:rPr>
                    <w:t>MCS-7171A</w:t>
                  </w:r>
                </w:p>
              </w:tc>
              <w:tc>
                <w:tcPr>
                  <w:tcW w:type="dxa" w:w="511"/>
                </w:tcPr>
                <w:p>
                  <w:pPr>
                    <w:pStyle w:val="null3"/>
                  </w:pPr>
                  <w:r>
                    <w:rPr>
                      <w:rFonts w:ascii="仿宋_GB2312" w:hAnsi="仿宋_GB2312" w:cs="仿宋_GB2312" w:eastAsia="仿宋_GB2312"/>
                    </w:rPr>
                    <w:t>1.球管热容量：7.5MHU</w:t>
                  </w:r>
                </w:p>
                <w:p>
                  <w:pPr>
                    <w:pStyle w:val="null3"/>
                  </w:pPr>
                  <w:r>
                    <w:rPr>
                      <w:rFonts w:ascii="仿宋_GB2312" w:hAnsi="仿宋_GB2312" w:cs="仿宋_GB2312" w:eastAsia="仿宋_GB2312"/>
                    </w:rPr>
                    <w:t>2.阳极靶面直径：200mm</w:t>
                  </w:r>
                </w:p>
                <w:p>
                  <w:pPr>
                    <w:pStyle w:val="null3"/>
                  </w:pPr>
                  <w:r>
                    <w:rPr>
                      <w:rFonts w:ascii="仿宋_GB2312" w:hAnsi="仿宋_GB2312" w:cs="仿宋_GB2312" w:eastAsia="仿宋_GB2312"/>
                    </w:rPr>
                    <w:t>3.球管阳极最大散热率：1386kHU/min</w:t>
                  </w:r>
                </w:p>
                <w:p>
                  <w:pPr>
                    <w:pStyle w:val="null3"/>
                  </w:pPr>
                  <w:r>
                    <w:rPr>
                      <w:rFonts w:ascii="仿宋_GB2312" w:hAnsi="仿宋_GB2312" w:cs="仿宋_GB2312" w:eastAsia="仿宋_GB2312"/>
                    </w:rPr>
                    <w:t>4.小焦点尺寸：0.7mm×0.7mm</w:t>
                  </w:r>
                </w:p>
                <w:p>
                  <w:pPr>
                    <w:pStyle w:val="null3"/>
                  </w:pPr>
                  <w:r>
                    <w:rPr>
                      <w:rFonts w:ascii="仿宋_GB2312" w:hAnsi="仿宋_GB2312" w:cs="仿宋_GB2312" w:eastAsia="仿宋_GB2312"/>
                    </w:rPr>
                    <w:t>5.大焦点尺寸：1.0mm×1.0mm</w:t>
                  </w:r>
                </w:p>
                <w:p>
                  <w:pPr>
                    <w:pStyle w:val="null3"/>
                  </w:pPr>
                  <w:r>
                    <w:rPr>
                      <w:rFonts w:ascii="仿宋_GB2312" w:hAnsi="仿宋_GB2312" w:cs="仿宋_GB2312" w:eastAsia="仿宋_GB2312"/>
                    </w:rPr>
                    <w:t>6.最小管电压：70kV</w:t>
                  </w:r>
                </w:p>
                <w:p>
                  <w:pPr>
                    <w:pStyle w:val="null3"/>
                  </w:pPr>
                  <w:r>
                    <w:rPr>
                      <w:rFonts w:ascii="仿宋_GB2312" w:hAnsi="仿宋_GB2312" w:cs="仿宋_GB2312" w:eastAsia="仿宋_GB2312"/>
                    </w:rPr>
                    <w:t>7.最大管电压：140kV</w:t>
                  </w:r>
                </w:p>
                <w:p>
                  <w:pPr>
                    <w:pStyle w:val="null3"/>
                  </w:pPr>
                  <w:r>
                    <w:rPr>
                      <w:rFonts w:ascii="仿宋_GB2312" w:hAnsi="仿宋_GB2312" w:cs="仿宋_GB2312" w:eastAsia="仿宋_GB2312"/>
                    </w:rPr>
                    <w:t>8.管电压档位：70kV,80kV,100kV,120kV,140kV</w:t>
                  </w:r>
                </w:p>
                <w:p>
                  <w:pPr>
                    <w:pStyle w:val="null3"/>
                  </w:pPr>
                  <w:r>
                    <w:rPr>
                      <w:rFonts w:ascii="仿宋_GB2312" w:hAnsi="仿宋_GB2312" w:cs="仿宋_GB2312" w:eastAsia="仿宋_GB2312"/>
                    </w:rPr>
                    <w:t>9.最小管电流：6mA</w:t>
                  </w:r>
                </w:p>
                <w:p>
                  <w:pPr>
                    <w:pStyle w:val="null3"/>
                  </w:pPr>
                  <w:r>
                    <w:rPr>
                      <w:rFonts w:ascii="仿宋_GB2312" w:hAnsi="仿宋_GB2312" w:cs="仿宋_GB2312" w:eastAsia="仿宋_GB2312"/>
                    </w:rPr>
                    <w:t>10.最大管电流：667mA</w:t>
                  </w:r>
                </w:p>
                <w:p>
                  <w:pPr>
                    <w:pStyle w:val="null3"/>
                  </w:pPr>
                  <w:r>
                    <w:rPr>
                      <w:rFonts w:ascii="仿宋_GB2312" w:hAnsi="仿宋_GB2312" w:cs="仿宋_GB2312" w:eastAsia="仿宋_GB2312"/>
                    </w:rPr>
                    <w:t>11.最小灯丝频率：50 Hz</w:t>
                  </w:r>
                </w:p>
                <w:p>
                  <w:pPr>
                    <w:pStyle w:val="null3"/>
                  </w:pPr>
                  <w:r>
                    <w:rPr>
                      <w:rFonts w:ascii="仿宋_GB2312" w:hAnsi="仿宋_GB2312" w:cs="仿宋_GB2312" w:eastAsia="仿宋_GB2312"/>
                    </w:rPr>
                    <w:t>12.最大灯丝频率：40 kHz</w:t>
                  </w:r>
                </w:p>
                <w:p>
                  <w:pPr>
                    <w:pStyle w:val="null3"/>
                  </w:pPr>
                  <w:r>
                    <w:rPr>
                      <w:rFonts w:ascii="仿宋_GB2312" w:hAnsi="仿宋_GB2312" w:cs="仿宋_GB2312" w:eastAsia="仿宋_GB2312"/>
                    </w:rPr>
                    <w:t>13.球管灯丝最大瞬时电流：5.0 A</w:t>
                  </w:r>
                </w:p>
              </w:tc>
            </w:tr>
          </w:tbl>
          <w:p>
            <w:pPr>
              <w:pStyle w:val="null3"/>
            </w:pPr>
            <w:r>
              <w:rPr>
                <w:rFonts w:ascii="仿宋_GB2312" w:hAnsi="仿宋_GB2312" w:cs="仿宋_GB2312" w:eastAsia="仿宋_GB2312"/>
              </w:rPr>
              <w:t>二、其他要求：</w:t>
            </w:r>
          </w:p>
          <w:p>
            <w:pPr>
              <w:pStyle w:val="null3"/>
            </w:pPr>
            <w:r>
              <w:rPr>
                <w:rFonts w:ascii="仿宋_GB2312" w:hAnsi="仿宋_GB2312" w:cs="仿宋_GB2312" w:eastAsia="仿宋_GB2312"/>
              </w:rPr>
              <w:t>1.供应商应保证所有设备质量必须符合国家有关规范和相关政策。所有设备及辅材必须是未使用过的新货物，质量优良、渠道正当，配置合理。</w:t>
            </w:r>
          </w:p>
          <w:p>
            <w:pPr>
              <w:pStyle w:val="null3"/>
            </w:pPr>
            <w:r>
              <w:rPr>
                <w:rFonts w:ascii="仿宋_GB2312" w:hAnsi="仿宋_GB2312" w:cs="仿宋_GB2312" w:eastAsia="仿宋_GB2312"/>
              </w:rPr>
              <w:t>2.质保期内，供应商应提供“故障排除、原厂备件更换、7×24小时响应”，备件为原厂全新正品（型号MCS-7171A）,安装调试由具备原厂认证的工程师完成；更换后纳入现有维保体系，享受1年或25万秒次（以先到为准）质保。出现故障或异常，供应商应在4小时内到达现场处理，并将信息反馈采购人；故障严重不能及时解决时，应及时告知采购人。如不能在48小时内排除故障，应提供原厂备件更换，并负责维修，故障备件应及时修复，并做好相应的记录。</w:t>
            </w:r>
          </w:p>
          <w:p>
            <w:pPr>
              <w:pStyle w:val="null3"/>
            </w:pPr>
            <w:r>
              <w:rPr>
                <w:rFonts w:ascii="仿宋_GB2312" w:hAnsi="仿宋_GB2312" w:cs="仿宋_GB2312" w:eastAsia="仿宋_GB2312"/>
              </w:rPr>
              <w:t>3.供应商需要提供品控管理方案，对产品品质有管理管控过程，有独立品管部门和专门品管人员，确保产品生产过程中的质量控制完善。</w:t>
            </w:r>
          </w:p>
          <w:p>
            <w:pPr>
              <w:pStyle w:val="null3"/>
            </w:pPr>
            <w:r>
              <w:rPr>
                <w:rFonts w:ascii="仿宋_GB2312" w:hAnsi="仿宋_GB2312" w:cs="仿宋_GB2312" w:eastAsia="仿宋_GB2312"/>
              </w:rPr>
              <w:t>4.供应商选择运输风险小、运费低、距离短的运输路线。运杂费一次包死在总价内，包括现场所需的装卸、运输（含保险费）、现场保管费、二次倒运费、吊装费等费用。</w:t>
            </w:r>
          </w:p>
          <w:p>
            <w:pPr>
              <w:pStyle w:val="null3"/>
            </w:pPr>
            <w:r>
              <w:rPr>
                <w:rFonts w:ascii="仿宋_GB2312" w:hAnsi="仿宋_GB2312" w:cs="仿宋_GB2312" w:eastAsia="仿宋_GB2312"/>
              </w:rPr>
              <w:t>5.安装、调试及培训：供应商负责所有设备的安装、调试、培训工作，供应商必须安排技术人员对使用单位的设备管理人员进行操作应用及维护保养方面的技能培训，使其掌握基本技能。</w:t>
            </w:r>
          </w:p>
          <w:p>
            <w:pPr>
              <w:pStyle w:val="null3"/>
            </w:pPr>
            <w:r>
              <w:rPr>
                <w:rFonts w:ascii="仿宋_GB2312" w:hAnsi="仿宋_GB2312" w:cs="仿宋_GB2312" w:eastAsia="仿宋_GB2312"/>
              </w:rPr>
              <w:t>6.根据使用需求免费提供设备使用培训服务。</w:t>
            </w:r>
          </w:p>
          <w:p>
            <w:pPr>
              <w:pStyle w:val="null3"/>
            </w:pPr>
            <w:r>
              <w:rPr>
                <w:rFonts w:ascii="仿宋_GB2312" w:hAnsi="仿宋_GB2312" w:cs="仿宋_GB2312" w:eastAsia="仿宋_GB2312"/>
              </w:rPr>
              <w:t>7.所有设备以验收之日为质保起始日期，质保期出现的质量问题由供应商负责解决并承担所有费用。</w:t>
            </w:r>
          </w:p>
          <w:p>
            <w:pPr>
              <w:pStyle w:val="null3"/>
            </w:pPr>
            <w:r>
              <w:rPr>
                <w:rFonts w:ascii="仿宋_GB2312" w:hAnsi="仿宋_GB2312" w:cs="仿宋_GB2312" w:eastAsia="仿宋_GB2312"/>
              </w:rPr>
              <w:t>8.若未能在交货期内完成合同规定的义务，由此对采购人造成的延误和一切损失，由供应商承担和赔偿。</w:t>
            </w:r>
          </w:p>
          <w:p>
            <w:pPr>
              <w:pStyle w:val="null3"/>
            </w:pPr>
            <w:r>
              <w:rPr>
                <w:rFonts w:ascii="仿宋_GB2312" w:hAnsi="仿宋_GB2312" w:cs="仿宋_GB2312" w:eastAsia="仿宋_GB2312"/>
              </w:rPr>
              <w:t>9.供应商应在合同签订后3个日历日内安排人员（项目组成人员简历表所列）与使用单位就送货、调试、培训等工作进行安排、部署。</w:t>
            </w:r>
          </w:p>
          <w:p>
            <w:pPr>
              <w:pStyle w:val="null3"/>
            </w:pPr>
            <w:r>
              <w:rPr>
                <w:rFonts w:ascii="仿宋_GB2312" w:hAnsi="仿宋_GB2312" w:cs="仿宋_GB2312" w:eastAsia="仿宋_GB2312"/>
              </w:rPr>
              <w:t>10.设备在安装调试时因供应商原因出现质量问题，造成设备故障或损坏，由供应商免费修复或更换，由此引起的损失和责任由供应商负担。</w:t>
            </w:r>
          </w:p>
          <w:p>
            <w:pPr>
              <w:pStyle w:val="null3"/>
            </w:pPr>
            <w:r>
              <w:rPr>
                <w:rFonts w:ascii="仿宋_GB2312" w:hAnsi="仿宋_GB2312" w:cs="仿宋_GB2312" w:eastAsia="仿宋_GB2312"/>
              </w:rPr>
              <w:t>11.在质量保证期内，如发现设备有缺陷，不符合本项目规定或出现质量问题时，如属供应商责任，则采购人有权向供应商提出索赔。供应商在接到采购人索赔文件后，应于合理期限内无偿修理、更换、赔款或委托采购人安排修理，由此产生的到安装现场的更换费用、运费和保险费等由供应商负担。</w:t>
            </w:r>
          </w:p>
          <w:p>
            <w:pPr>
              <w:pStyle w:val="null3"/>
            </w:pPr>
            <w:r>
              <w:rPr>
                <w:rFonts w:ascii="仿宋_GB2312" w:hAnsi="仿宋_GB2312" w:cs="仿宋_GB2312" w:eastAsia="仿宋_GB2312"/>
              </w:rPr>
              <w:t>12.未按合同要求提供产品或设备质量不能满足技术要求，采购人有权终止合同，并对供方违约行为进行追究，同时按《中华人民共和国政府采购法》的有关规定进行处罚。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合同签订生效后20日历天内交货完毕，并安装调试到位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渭南市华州区人民医院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进度款，供货及安装调试完成，经采购人验收合格后，达到付款条件起30个工作日内，支付合同总金额的60.0%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进度款，余款一年内付清，达到付款条件起30个工作日内，支付合同总金额的40.0%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（一）验收标准：1.所供产品的规格、数量符合采购文件、供应商承诺及采购合同约定的要求。 2.所有设备均已运输至指定地点，并安装调试完毕。 3.采购文件、供应商承诺及采购合同约定的附件、工具、技术资料等齐全；提供产品使用说明书、合格证。 （二）验收方法：1.项目验收分初验和终验: 初验：货物到达交货地点后，由使用单位根据合同对货物的名称、品牌、规格、型号、产地、数量进行检查。 终验：所有货物(设备)安装、调试完毕，正常使用20个日历日后，由采购人进行终验（最终验收），合格后签发《终验合格单》。 验收不合格，供应商必须在接到通知后7个日历日内确保货物通过验收。如接到通知后7个日历日内验收仍不合格，采购人可提出索赔或取消其供货合同。 2.验收依据 2.1合同文本及合同补充文件（条款）； 2.2产品的合法来源渠道证明文件、佐证材料； 2.3采购文件； 2.4供应商的响应文件； 2.5货物清单； 2.6生产厂家货物的执行标准。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（一）质量保修范围：渭南市华州区人民医院联影CT球管采购项目内的全部内容； （二）质量保修期：1年或25万秒次（以先到为准）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1.付款方式：供货及安装调试完成，经采购人验收合格后付款60%，余款一年内付清。 2.成交供应商在中标（成交）结果公告发布后3个工作日内提供叁套纸质投标文件（经编标工具生成的文件直接打印并加盖公章）和叁套纸质最终版《工程量清单表》，递交的纸质版文件内容确保与线上电子文件保持一致，不允许修改和补充。2.根据《政府采购法实施条例》释义，银行、保险、石油石化、电力、电信等有行业特殊情况的，允许法人的分支机构参加政府采购活动。3.根据关于印发中小企业划型标准规定的通知 （工信部联企业〔2011〕300号）中小企业划型标准规定：（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须提供合法有效，具有独立承担民事责任的能力的证明材料。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2025年度财务审计报告（成立时间至响应文件递交截止时间不足一年的可提供成立后任意时段的资产负债表）或响应文件递交截止时间前六个月内其基本账户银行出具的资信证明（附基本账户证明）或政府采购信用担保机构出具的投标担保函；（2） 税收缴纳证明：提供响应文件递交截止时间前一年内任意一个月的缴费凭据；依法免税的应提供相关文件证明；（3）社会保障资金缴纳证明：提供响应文件递交截止时间前一年内任意一个月的社保缴费凭据或社保机构开具的社会保险参保缴费情况证明；依法不需要缴纳社会保障资金的供应商应提供相关文件证明；注：按照陕西省财政厅关于进一步优化政府采购营商环境有关事项的通知（陕财办采〔2023〕4号）中对供应商参与政府采购活动建立“承诺+信用管理”的准入管理制度要求，以上三项内容可根据本采购文件格式要求出具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响应函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法定代表人参与谈判时需提供法定代表人身份证明书；被授权人参与谈判时需提供法定代表人身份证明书及法定代表人授权委托书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为经销商的须提供有效的《医疗器械经营许可证》（或医疗器械经营备案凭证）和制造商的《医疗器械生产许可证》（或医疗器械生产备案凭证）；供应商为制造商的须提供有效的《医疗器械生产许可证》（或医疗器械生产备案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谈判保证金交纳凭证</w:t>
            </w:r>
          </w:p>
        </w:tc>
        <w:tc>
          <w:tcPr>
            <w:tcW w:type="dxa" w:w="3322"/>
          </w:tcPr>
          <w:p>
            <w:pPr>
              <w:pStyle w:val="null3"/>
            </w:pPr>
            <w:r>
              <w:rPr>
                <w:rFonts w:ascii="仿宋_GB2312" w:hAnsi="仿宋_GB2312" w:cs="仿宋_GB2312" w:eastAsia="仿宋_GB2312"/>
              </w:rPr>
              <w:t>谈判保证金凭证；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满足采购文件规定</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供应商名称应与营业执照等证件相一致</w:t>
            </w:r>
          </w:p>
        </w:tc>
        <w:tc>
          <w:tcPr>
            <w:tcW w:type="dxa" w:w="1661"/>
          </w:tcPr>
          <w:p>
            <w:pPr>
              <w:pStyle w:val="null3"/>
            </w:pPr>
            <w:r>
              <w:rPr>
                <w:rFonts w:ascii="仿宋_GB2312" w:hAnsi="仿宋_GB2312" w:cs="仿宋_GB2312" w:eastAsia="仿宋_GB2312"/>
              </w:rPr>
              <w:t>中小企业声明函 商务应答表 报价表 资格证明文件.docx 响应文件封面 政府采购供应商拒绝政府采购领域商业贿赂承诺书.docx 产品技术参数表 分项报价表.docx 残疾人福利性单位声明函 标的清单 项目实施方案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中小企业声明函 商务应答表 报价表 资格证明文件.docx 响应文件封面 政府采购供应商拒绝政府采购领域商业贿赂承诺书.docx 产品技术参数表 分项报价表.docx 残疾人福利性单位声明函 标的清单 项目实施方案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对采购文件的响应程度</w:t>
            </w:r>
          </w:p>
        </w:tc>
        <w:tc>
          <w:tcPr>
            <w:tcW w:type="dxa" w:w="3322"/>
          </w:tcPr>
          <w:p>
            <w:pPr>
              <w:pStyle w:val="null3"/>
            </w:pPr>
            <w:r>
              <w:rPr>
                <w:rFonts w:ascii="仿宋_GB2312" w:hAnsi="仿宋_GB2312" w:cs="仿宋_GB2312" w:eastAsia="仿宋_GB2312"/>
              </w:rPr>
              <w:t>满足采购文件实质性技术及商务要求</w:t>
            </w:r>
          </w:p>
        </w:tc>
        <w:tc>
          <w:tcPr>
            <w:tcW w:type="dxa" w:w="1661"/>
          </w:tcPr>
          <w:p>
            <w:pPr>
              <w:pStyle w:val="null3"/>
            </w:pPr>
            <w:r>
              <w:rPr>
                <w:rFonts w:ascii="仿宋_GB2312" w:hAnsi="仿宋_GB2312" w:cs="仿宋_GB2312" w:eastAsia="仿宋_GB2312"/>
              </w:rPr>
              <w:t>产品技术参数表 商务应答表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