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版本号：ZCHZ-2026078.1B120260821001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陕西省汉中市略阳县2026年一2028年中央财政国土绿化项目作业设计(二次)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ZCHZ-2026078.1B1</w:t>
      </w:r>
      <w:r>
        <w:br/>
      </w:r>
      <w:r>
        <w:br/>
      </w:r>
      <w:r>
        <w:br/>
      </w:r>
    </w:p>
    <w:p>
      <w:pPr>
        <w:pStyle w:val="null3"/>
        <w:jc w:val="center"/>
        <w:outlineLvl w:val="2"/>
      </w:pPr>
      <w:r>
        <w:rPr>
          <w:rFonts w:ascii="仿宋_GB2312" w:hAnsi="仿宋_GB2312" w:cs="仿宋_GB2312" w:eastAsia="仿宋_GB2312"/>
          <w:sz w:val="28"/>
          <w:b/>
        </w:rPr>
        <w:t>略阳县秦岭生态保护中心</w:t>
      </w:r>
    </w:p>
    <w:p>
      <w:pPr>
        <w:pStyle w:val="null3"/>
        <w:jc w:val="center"/>
        <w:outlineLvl w:val="2"/>
      </w:pPr>
      <w:r>
        <w:rPr>
          <w:rFonts w:ascii="仿宋_GB2312" w:hAnsi="仿宋_GB2312" w:cs="仿宋_GB2312" w:eastAsia="仿宋_GB2312"/>
          <w:sz w:val="28"/>
          <w:b/>
        </w:rPr>
        <w:t>鸿筑（陕西）项目管理有限公司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鸿筑（陕西）项目管理有限公司</w:t>
      </w:r>
      <w:r>
        <w:rPr>
          <w:rFonts w:ascii="仿宋_GB2312" w:hAnsi="仿宋_GB2312" w:cs="仿宋_GB2312" w:eastAsia="仿宋_GB2312"/>
        </w:rPr>
        <w:t>（以下简称“代理机构”）受</w:t>
      </w:r>
      <w:r>
        <w:rPr>
          <w:rFonts w:ascii="仿宋_GB2312" w:hAnsi="仿宋_GB2312" w:cs="仿宋_GB2312" w:eastAsia="仿宋_GB2312"/>
        </w:rPr>
        <w:t>略阳县秦岭生态保护中心</w:t>
      </w:r>
      <w:r>
        <w:rPr>
          <w:rFonts w:ascii="仿宋_GB2312" w:hAnsi="仿宋_GB2312" w:cs="仿宋_GB2312" w:eastAsia="仿宋_GB2312"/>
        </w:rPr>
        <w:t>委托，拟对</w:t>
      </w:r>
      <w:r>
        <w:rPr>
          <w:rFonts w:ascii="仿宋_GB2312" w:hAnsi="仿宋_GB2312" w:cs="仿宋_GB2312" w:eastAsia="仿宋_GB2312"/>
        </w:rPr>
        <w:t>陕西省汉中市略阳县2026年一2028年中央财政国土绿化项目作业设计(二次)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ZCHZ-2026078.1B1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陕西省汉中市略阳县2026年一2028年中央财政国土绿化项目作业设计(二次)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陕西省汉中市略阳县2026年一2028年中央财政国土绿化项目作业设计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采购包1（国土绿化项目作业设计）：属于专门面向中小企业采购。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须具备有效的林业调查规划设计乙级及以上资质，项目负责人须具备林业相关专业中级(含中级)及以上职称。：供应商须具备有效的林业调查规划设计乙级及以上资质，项目负责人须具备林业相关专业中级(含中级)及以上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略阳县秦岭生态保护中心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略阳县县城水灵路林业局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0916-4833420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鸿筑（陕西）项目管理有限公司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陕西省西安市未央区陕西省西安市经济技术开发区凤城十路与文景路东北角智慧国际中心1幢11504室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18992664979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采购包1：1,426,701.00元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开户名称：鸿筑(陕西)项目管理有限公司汉中分公司</w:t>
            </w:r>
          </w:p>
          <w:p>
            <w:pPr>
              <w:pStyle w:val="null3"/>
            </w:pPr>
            <w:r>
              <w:rPr>
                <w:rFonts w:ascii="仿宋_GB2312" w:hAnsi="仿宋_GB2312" w:cs="仿宋_GB2312" w:eastAsia="仿宋_GB2312"/>
              </w:rPr>
              <w:t>开户银行：中国银行股份有限公司汉中莲湖路支行</w:t>
            </w:r>
          </w:p>
          <w:p>
            <w:pPr>
              <w:pStyle w:val="null3"/>
            </w:pPr>
            <w:r>
              <w:rPr>
                <w:rFonts w:ascii="仿宋_GB2312" w:hAnsi="仿宋_GB2312" w:cs="仿宋_GB2312" w:eastAsia="仿宋_GB2312"/>
              </w:rPr>
              <w:t>银行账号：103595053442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说明：签订合同前供应商应按签约合同价的5%缴纳履约保证⾦</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开户名称：鸿筑(陕西)项目管理有限公司汉中分公司 开户银行：中国银行股份有限公司汉中莲湖路支行 银行账号：103595053442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略阳县秦岭生态保护中心</w:t>
      </w:r>
      <w:r>
        <w:rPr>
          <w:rFonts w:ascii="仿宋_GB2312" w:hAnsi="仿宋_GB2312" w:cs="仿宋_GB2312" w:eastAsia="仿宋_GB2312"/>
        </w:rPr>
        <w:t>和</w:t>
      </w:r>
      <w:r>
        <w:rPr>
          <w:rFonts w:ascii="仿宋_GB2312" w:hAnsi="仿宋_GB2312" w:cs="仿宋_GB2312" w:eastAsia="仿宋_GB2312"/>
        </w:rPr>
        <w:t>鸿筑（陕西）项目管理有限公司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略阳县秦岭生态保护中心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鸿筑（陕西）项目管理有限公司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略阳县秦岭生态保护中心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鸿筑（陕西）项目管理有限公司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鸿筑（陕西）项目管理有限公司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鸿筑（陕西）项目管理有限公司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鸿筑（陕西）项目管理有限公司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联系人：宋先生</w:t>
      </w:r>
    </w:p>
    <w:p>
      <w:pPr>
        <w:pStyle w:val="null3"/>
      </w:pPr>
      <w:r>
        <w:rPr>
          <w:rFonts w:ascii="仿宋_GB2312" w:hAnsi="仿宋_GB2312" w:cs="仿宋_GB2312" w:eastAsia="仿宋_GB2312"/>
        </w:rPr>
        <w:t>联系电话：18992664979</w:t>
      </w:r>
    </w:p>
    <w:p>
      <w:pPr>
        <w:pStyle w:val="null3"/>
      </w:pPr>
      <w:r>
        <w:rPr>
          <w:rFonts w:ascii="仿宋_GB2312" w:hAnsi="仿宋_GB2312" w:cs="仿宋_GB2312" w:eastAsia="仿宋_GB2312"/>
        </w:rPr>
        <w:t>地址：陕西省西安市未央区未央路3号星河大厦4楼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陕西省汉中市略阳县2026年一2028年中央财政国土绿化项目作业设计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1,426,701.00</w:t>
      </w:r>
    </w:p>
    <w:p>
      <w:pPr>
        <w:pStyle w:val="null3"/>
      </w:pPr>
      <w:r>
        <w:rPr>
          <w:rFonts w:ascii="仿宋_GB2312" w:hAnsi="仿宋_GB2312" w:cs="仿宋_GB2312" w:eastAsia="仿宋_GB2312"/>
        </w:rPr>
        <w:t>采购包最高限价（元）: 1,426,701.00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国土绿化项目作业设计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1,426,701.00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标的名称：国土绿化项目作业设计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一、项目基本情况</w:t>
            </w:r>
          </w:p>
          <w:p>
            <w:pPr>
              <w:pStyle w:val="null3"/>
              <w:ind w:firstLine="640"/>
              <w:jc w:val="both"/>
            </w:pPr>
            <w:r>
              <w:rPr>
                <w:rFonts w:ascii="仿宋_GB2312" w:hAnsi="仿宋_GB2312" w:cs="仿宋_GB2312" w:eastAsia="仿宋_GB2312"/>
                <w:sz w:val="32"/>
              </w:rPr>
              <w:t>1、略阳县2026年-2028年中央财政国土绿化项目按照申报实施方案，项目建设内容为森林抚育与低效林改造，建设规模 14.61万亩（森林抚育10.42万亩、低效林改造4.19万亩），建设地点在略阳县郭镇、五龙洞镇、兴州街道、徐家坪镇、观音寺镇、黑河镇、接官亭镇、两河口镇、西淮坝镇、硖口驿镇、仙台坝镇。</w:t>
            </w:r>
          </w:p>
          <w:p>
            <w:pPr>
              <w:pStyle w:val="null3"/>
              <w:ind w:firstLine="640"/>
              <w:jc w:val="both"/>
            </w:pPr>
            <w:r>
              <w:rPr>
                <w:rFonts w:ascii="仿宋_GB2312" w:hAnsi="仿宋_GB2312" w:cs="仿宋_GB2312" w:eastAsia="仿宋_GB2312"/>
                <w:sz w:val="32"/>
              </w:rPr>
              <w:t>2、具体技术措施分年度在11镇（街）作业区完成疏伐、修枝、割灌除草、林地清理、整地和补植工作，并抚育管护三年。</w:t>
            </w:r>
          </w:p>
          <w:p>
            <w:pPr>
              <w:pStyle w:val="null3"/>
              <w:ind w:firstLine="640"/>
              <w:jc w:val="both"/>
            </w:pPr>
            <w:r>
              <w:rPr>
                <w:rFonts w:ascii="仿宋_GB2312" w:hAnsi="仿宋_GB2312" w:cs="仿宋_GB2312" w:eastAsia="仿宋_GB2312"/>
                <w:sz w:val="32"/>
              </w:rPr>
              <w:t>二、项目作业设计要求</w:t>
            </w:r>
          </w:p>
          <w:p>
            <w:pPr>
              <w:pStyle w:val="null3"/>
              <w:ind w:firstLine="640"/>
              <w:jc w:val="both"/>
            </w:pPr>
            <w:r>
              <w:rPr>
                <w:rFonts w:ascii="仿宋_GB2312" w:hAnsi="仿宋_GB2312" w:cs="仿宋_GB2312" w:eastAsia="仿宋_GB2312"/>
                <w:sz w:val="32"/>
              </w:rPr>
              <w:t>1、符合最新《国土绿化项目作业设计管理规定》《国土绿化项目落地上图管理规定》，严格遵照《低效林改造技术规程》《森林抚育技术规范》《森林资源规划设计调查技术规程》最新标准执行。</w:t>
            </w:r>
          </w:p>
          <w:p>
            <w:pPr>
              <w:pStyle w:val="null3"/>
              <w:ind w:firstLine="640"/>
              <w:jc w:val="both"/>
            </w:pPr>
            <w:r>
              <w:rPr>
                <w:rFonts w:ascii="仿宋_GB2312" w:hAnsi="仿宋_GB2312" w:cs="仿宋_GB2312" w:eastAsia="仿宋_GB2312"/>
                <w:sz w:val="32"/>
              </w:rPr>
              <w:t>2、按照技术规程认真完成外业勘查、内业作业设计编制、现场施工技术交底、落地上图技术服务、技术性验收和具体施工需设计单位出具的相关书面资料等工作。在保证设计质量的前提下，控制设计成本，确保项目设计能够在申报方案的预算范围内完成。</w:t>
            </w:r>
          </w:p>
          <w:p>
            <w:pPr>
              <w:pStyle w:val="null3"/>
              <w:ind w:firstLine="640"/>
              <w:jc w:val="both"/>
            </w:pPr>
            <w:r>
              <w:rPr>
                <w:rFonts w:ascii="仿宋_GB2312" w:hAnsi="仿宋_GB2312" w:cs="仿宋_GB2312" w:eastAsia="仿宋_GB2312"/>
                <w:sz w:val="32"/>
              </w:rPr>
              <w:t>3、必须分年度提供作业设计成果（含作业设计小班调查、标准地调查等相关附图附表附件）相关设计技术资料及电子版，负责完成作业设计专家评审需要提供初步设计成果初稿和汇报资料；最后形成的项目作业设计文本符合国家技术规范和上级审批，技术服务质量要求符合该项目施工技术要求及当地实际施工技术需要，确保项目设计最终能施工建设。</w:t>
            </w:r>
          </w:p>
          <w:p>
            <w:pPr>
              <w:pStyle w:val="null3"/>
              <w:ind w:firstLine="640"/>
              <w:jc w:val="both"/>
            </w:pPr>
            <w:r>
              <w:rPr>
                <w:rFonts w:ascii="仿宋_GB2312" w:hAnsi="仿宋_GB2312" w:cs="仿宋_GB2312" w:eastAsia="仿宋_GB2312"/>
                <w:sz w:val="32"/>
              </w:rPr>
              <w:t>三、其他要求</w:t>
            </w:r>
          </w:p>
          <w:p>
            <w:pPr>
              <w:pStyle w:val="null3"/>
              <w:ind w:firstLine="640"/>
              <w:jc w:val="both"/>
            </w:pPr>
            <w:r>
              <w:rPr>
                <w:rFonts w:ascii="仿宋_GB2312" w:hAnsi="仿宋_GB2312" w:cs="仿宋_GB2312" w:eastAsia="仿宋_GB2312"/>
                <w:sz w:val="32"/>
              </w:rPr>
              <w:t>1、技术服务期限：与该项目建设期限一致，2026年至2028年。完成招投标后一个月内提供2026年度项目作业设计文本，其他年度作业设计按照年度计划按时完成。</w:t>
            </w:r>
          </w:p>
          <w:p>
            <w:pPr>
              <w:pStyle w:val="null3"/>
              <w:ind w:firstLine="640"/>
              <w:jc w:val="both"/>
            </w:pPr>
            <w:r>
              <w:rPr>
                <w:rFonts w:ascii="仿宋_GB2312" w:hAnsi="仿宋_GB2312" w:cs="仿宋_GB2312" w:eastAsia="仿宋_GB2312"/>
                <w:sz w:val="32"/>
              </w:rPr>
              <w:t>2、作业设计相关资料保密</w:t>
            </w:r>
          </w:p>
          <w:p>
            <w:pPr>
              <w:pStyle w:val="null3"/>
            </w:pPr>
            <w:r>
              <w:rPr>
                <w:rFonts w:ascii="仿宋_GB2312" w:hAnsi="仿宋_GB2312" w:cs="仿宋_GB2312" w:eastAsia="仿宋_GB2312"/>
                <w:sz w:val="32"/>
              </w:rPr>
              <w:t>设计方应当按照国家有关保密的法律法规使用和保管建设方提的数据，所有涉密林草生态综合成果数据、遥感影像数据和涉密基础测绘成果数据，应当按此协议约定的密级和保密期限使用与管理。采取有效的保密措施，严防泄密。不得向该用途外的第三方复制、转让、出借、出售该项目所提供的数据和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进度款，与中标方签订协议后，达到付款条件起5个工作日内，支付合同总金额的10.0%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进度款，中标方提交2026年度国土绿化项目作业设计方案，经市林业局专家评审审批后，提交作业设计施工图纸等相关成果资料（含电子版），达到付款条件起30个工作日内，支付合同总金额的30.0%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进度款，中标方提交2027年度国土绿化项目作业设计方案，经市林业局批复后，达到付款条件起30个工作日内，支付合同总金额的38.0%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进度款，中标方提交2028年度国土绿化项目作业设计方案，经市林业局批复后，并完成落地上图，达到付款条件起30个工作日内，支付合同总金额的22.0%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投标文件以便于存档，投标文件正本1份，副本2份，电子版文件2份(以U盘为载体，电子版内容包括Word版本、签字盖章扫描后的PDF版本响应文件)。纸质投标文件均须A4纸打印，分别各自装订成册并编制目录和页码，并线下递交投标文件。 3、如招标文件中融资相关内容与新政策要求有出入，按照最新要求执行。 4、采用转账支票或银行电汇形式提交的投标保证金必须从其基本账户转出、采用保函形式提交投标保证金，应在开标前1个工作日电话联系换取保证金、保函收据，将转账凭证或保函加盖单位公章发邮箱至代理公司。注:1.投标供应商在缴纳保证金时应注明项目名称。2.换取的收据应附在投标文件保证金格式内。3.邮箱:624181694@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供应商须具备有效的林业调查规划设计乙级及以上资质，项目负责人须具备林业相关专业中级(含中级)及以上职称。</w:t>
            </w:r>
          </w:p>
        </w:tc>
        <w:tc>
          <w:tcPr>
            <w:tcW w:type="dxa" w:w="3322"/>
          </w:tcPr>
          <w:p>
            <w:pPr>
              <w:pStyle w:val="null3"/>
            </w:pPr>
            <w:r>
              <w:rPr>
                <w:rFonts w:ascii="仿宋_GB2312" w:hAnsi="仿宋_GB2312" w:cs="仿宋_GB2312" w:eastAsia="仿宋_GB2312"/>
              </w:rPr>
              <w:t>供应商须具备有效的林业调查规划设计乙级及以上资质，项目负责人须具备林业相关专业中级(含中级)及以上职称。</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保证金交纳是否按照磋商文件格式提交</w:t>
            </w:r>
          </w:p>
        </w:tc>
        <w:tc>
          <w:tcPr>
            <w:tcW w:type="dxa" w:w="3322"/>
          </w:tcPr>
          <w:p>
            <w:pPr>
              <w:pStyle w:val="null3"/>
            </w:pPr>
            <w:r>
              <w:rPr>
                <w:rFonts w:ascii="仿宋_GB2312" w:hAnsi="仿宋_GB2312" w:cs="仿宋_GB2312" w:eastAsia="仿宋_GB2312"/>
              </w:rPr>
              <w:t>应按照磋商文件格式要求提交(以投标文件中所附的保证金证明资料为准)</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中小企业声明函 商务应答表 服务内容及服务要求应答表 报价表 控股承诺.docx 响应文件封面 汉中市政府采购供应商资格承诺函.pdf 供应商应提交的相关资格证明材料.docx 残疾人福利性单位声明函 保证金.pdf 标的清单 响应函 法定代表人证明书及授权委托书.pdf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对本项目理解及分析（5分） 内容完整、描述详尽、可实施、且有针对性得5分；内容完整、可实施得3分；方案基本完整得1分；未提供不得分。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项目理解.docx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1.总体设计方案（4分） 内容完整、可实施、且有针对性得4分；内容完整、描述详尽、可实施得2-3分；方案基本完整得1分；未提供不得分。 2.对本项目设计方案技术可行性分析（4分） 内容完整、描述详尽、可实施、且有针对性得4分；内容完整、可实施得2-3分；方案基本完整得1分；未提供不得分。 3.对本项目设计工作内容概述（4分）。 内容完整、描述详尽、可实施、且有针对性得4分；内容完整、可实施得2-3分；方案基本完整得1分；未提供不得分。 4.现场勘察方案（4分） 内容完整、可实施、且有针对性得4分；内容完整、描述详尽、可实施得2-3分；方案基本完整得1分；未提供不得分。 技术规范规定符合性（4分） 内容完整、可实施、且有针对性得4分；内容完整、描述详尽、可实施得2-3分；方案基本完整得1分；未提供不得分。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重、难点分析及关键过程分析</w:t>
            </w:r>
          </w:p>
        </w:tc>
        <w:tc>
          <w:tcPr>
            <w:tcW w:type="dxa" w:w="2492"/>
          </w:tcPr>
          <w:p>
            <w:pPr>
              <w:pStyle w:val="null3"/>
            </w:pPr>
            <w:r>
              <w:rPr>
                <w:rFonts w:ascii="仿宋_GB2312" w:hAnsi="仿宋_GB2312" w:cs="仿宋_GB2312" w:eastAsia="仿宋_GB2312"/>
              </w:rPr>
              <w:t>1.项目实施重点、难点及对策措施（2.5分） 内容完整、可实施、且有针对性得2.5分；内容完整、可实施得2分；方案基本完整得1分；未提供不得分。 关键过程分析（2.5分） 内容完整、可实施、且有针对性得2.5分；内容完整、可实施得2分；方案基本完整得1分；未提供不得分。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重、难点分析及关键过程分析.docx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1.项目工作进度计划安排（2.5分） 内容完整、条理清晰、且有针对性得2.5分；内容完整、可实施得2分；内容基本完整1分；未提供不得分。 项目进度保证措施（2.5分） 内容完整、条理清晰、且有针对性得2.5分；内容完整、可实施得2分；内容基本完整1分；未提供不得分。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1.项目质量目标（2.5分） 内容完整、条理清晰、且有针对性得2.5分；内容完整、可实施得2分；内容基本完整1分；未提供不得分。 设计阶段控制措施（2.5分） 内容完整、条理清晰、且有针对性得2.5分；内容完整、可实施得2分；内容基本完整1分；未提供不得分。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1、2026年度成果提前交付（10分）：承诺合同生效后20个日历日内提交2026年度作业设计文本得10分；21—25个日历日得5分；26—30个日历日或未作更优承诺得0分。 2、评审意见修改时限（3分）：承诺收到专家评审/审批书面意见后2个工作日内完成修改并提交复核稿得3分；3个工作日得1分；超过3个工作日或未承诺得0分。 3、现场服务响应（2分）：承诺接到现场技术服务通知后2小时内响应且8小时内到达指定现场得2分；4小时内响应且12小时内到达得1分；未同时满足对应条件或未承诺得0分。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1.项目负责人（5分）：具有林业相关正高级职称得5分，中级职称得3分，其他不得分； 2.技术负责人（3分）：具有林业相关高级及以上职称得3分，中级职称得1分，其他不得分； 3.林业调查设计人员（6分）：除项目负责人和技术负责人外，配备2名及以上林业相关专业中级及以上职称人员得6分，3名得6分，2名得4分，少于2名不得分。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设备、软件及数据资源</w:t>
            </w:r>
          </w:p>
        </w:tc>
        <w:tc>
          <w:tcPr>
            <w:tcW w:type="dxa" w:w="2492"/>
          </w:tcPr>
          <w:p>
            <w:pPr>
              <w:pStyle w:val="null3"/>
            </w:pPr>
            <w:r>
              <w:rPr>
                <w:rFonts w:ascii="仿宋_GB2312" w:hAnsi="仿宋_GB2312" w:cs="仿宋_GB2312" w:eastAsia="仿宋_GB2312"/>
              </w:rPr>
              <w:t>1.定位与外业测量设备（3分）：配备GNSS/RTK或同等高精度定位设备3套及以上得3分，2套得2分，1套得1分，无不得分。 2.无人机与遥感处理能力（2分）：同时具备无人机影像获取资源和遥感影像处理能力得2分，仅具备其中一项得1分，均无不得分；可采用自有、租赁或依法合作方式。 证明材料：自有设备提供发票或资产证明；租赁提供租赁合同。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设备、软件及数据资源.docx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供应商提供2023年7月1日至磋商截止日止类似项目业绩，每提供一个得2分，最高得6分；业绩资料提供复印件加盖公章（资料以合同或中标通知书为准）。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满足采购文件要求且报价最低的响应报价为评审基准价，其价格分为满分。其他供应商的价格分统一按照下列公式计算：报价得分=（评标基准价/响应报价）×价格分值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详见附件：设备、软件及数据资源.docx</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详见附件：重、难点分析及关键过程分析.docx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