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版本号：【KRDL】K5---260608120260820001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污水处理站运维项目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【KRDL】K5---2606081</w:t>
      </w:r>
      <w:r>
        <w:br/>
      </w:r>
      <w:r>
        <w:br/>
      </w:r>
      <w:r>
        <w:br/>
      </w:r>
    </w:p>
    <w:p>
      <w:pPr>
        <w:pStyle w:val="null3"/>
        <w:jc w:val="center"/>
        <w:outlineLvl w:val="2"/>
      </w:pPr>
      <w:r>
        <w:rPr>
          <w:rFonts w:ascii="仿宋_GB2312" w:hAnsi="仿宋_GB2312" w:cs="仿宋_GB2312" w:eastAsia="仿宋_GB2312"/>
          <w:sz w:val="28"/>
          <w:b/>
        </w:rPr>
        <w:t>西安市第八医院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西安市第八医院</w:t>
      </w:r>
      <w:r>
        <w:rPr>
          <w:rFonts w:ascii="仿宋_GB2312" w:hAnsi="仿宋_GB2312" w:cs="仿宋_GB2312" w:eastAsia="仿宋_GB2312"/>
        </w:rPr>
        <w:t>委托，拟对</w:t>
      </w:r>
      <w:r>
        <w:rPr>
          <w:rFonts w:ascii="仿宋_GB2312" w:hAnsi="仿宋_GB2312" w:cs="仿宋_GB2312" w:eastAsia="仿宋_GB2312"/>
        </w:rPr>
        <w:t>污水处理站运维项目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污水处理站运维项目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医院污水站2022年10月在原址旁边扩建日处理量400吨/天的污水处理站。主体工艺流程：格栅-化粪池-调节池-A2/O多级生化处理+竖流沉淀-消毒-达标排放。现实际日处理量约为120吨/天，除臭工艺和设备设施，除臭工艺流程：喷淋塔（加生物除臭剂每周2公斤）+风机+排气筒（15米），现对其污水处理站运维项目进行采购。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采购包1（污水处理站运维项目）：属于专门面向中小企业采购。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2025年6月1日以来任意3个月的社保缴纳证明，其他组织形式供应商(如个体工商户、合作社、自然人等)可提供法人或负责人个人2025年6月1日以来任意3个月的社保资金缴纳证明材料)</w:t>
      </w:r>
    </w:p>
    <w:p>
      <w:pPr>
        <w:pStyle w:val="null3"/>
      </w:pPr>
      <w:r>
        <w:rPr>
          <w:rFonts w:ascii="仿宋_GB2312" w:hAnsi="仿宋_GB2312" w:cs="仿宋_GB2312" w:eastAsia="仿宋_GB2312"/>
        </w:rPr>
        <w:t>4、纳税要求：纳税的缴费证明材料(供应商提供2025年6月1日以来任意3个月的纳税缴纳证明，免税企业提供税务机关出具相关的有效证明材料)</w:t>
      </w:r>
    </w:p>
    <w:p>
      <w:pPr>
        <w:pStyle w:val="null3"/>
      </w:pPr>
      <w:r>
        <w:rPr>
          <w:rFonts w:ascii="仿宋_GB2312" w:hAnsi="仿宋_GB2312" w:cs="仿宋_GB2312" w:eastAsia="仿宋_GB2312"/>
        </w:rPr>
        <w:t>5、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8、企业资质：供应商具备建设行政主管部门颁发的环保工程专业承包三级及以上资质，供应商具备有效的安全生产许可证，且未被“全国工程质量安全监管信息平台公共服务门户”网站列为暂扣或吊销状态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西安市雁塔区丈八东路2号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857号）的有关规定标准的基础上下浮30%向招标代理机构一次付清代理服务费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八医院污水站2022年10月在原址旁边扩建日处理量400吨/天的污水处理站。主体工艺流程：格栅-化粪池-调节池-A2/O多级生化处理+竖流沉淀-消毒-达标排放。现实际日处理量约为120吨/天，除臭工艺和设备设施，除臭工艺流程：喷淋塔（加生物除臭剂每周2公斤）+风机+排气筒（15米），现对其污水处理站运维项目进行采购。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污水处理站运维服务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标的名称：污水处理站运维服务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color w:val="00B0F0"/>
              </w:rPr>
              <w:t>一、</w:t>
            </w:r>
            <w:r>
              <w:rPr>
                <w:rFonts w:ascii="仿宋_GB2312" w:hAnsi="仿宋_GB2312" w:cs="仿宋_GB2312" w:eastAsia="仿宋_GB2312"/>
                <w:sz w:val="20"/>
                <w:color w:val="00B0F0"/>
              </w:rPr>
              <w:t>项目概况</w:t>
            </w:r>
          </w:p>
          <w:p>
            <w:pPr>
              <w:pStyle w:val="null3"/>
              <w:ind w:firstLine="400"/>
            </w:pPr>
            <w:r>
              <w:rPr>
                <w:rFonts w:ascii="仿宋_GB2312" w:hAnsi="仿宋_GB2312" w:cs="仿宋_GB2312" w:eastAsia="仿宋_GB2312"/>
                <w:color w:val="00B0F0"/>
              </w:rPr>
              <w:t>医院污水站</w:t>
            </w:r>
            <w:r>
              <w:rPr>
                <w:rFonts w:ascii="仿宋_GB2312" w:hAnsi="仿宋_GB2312" w:cs="仿宋_GB2312" w:eastAsia="仿宋_GB2312"/>
                <w:color w:val="00B0F0"/>
              </w:rPr>
              <w:t>2022年10月在原址旁边扩建日处理量</w:t>
            </w:r>
            <w:r>
              <w:rPr>
                <w:rFonts w:ascii="仿宋_GB2312" w:hAnsi="仿宋_GB2312" w:cs="仿宋_GB2312" w:eastAsia="仿宋_GB2312"/>
                <w:color w:val="00B0F0"/>
              </w:rPr>
              <w:t>400吨/天</w:t>
            </w:r>
            <w:r>
              <w:rPr>
                <w:rFonts w:ascii="仿宋_GB2312" w:hAnsi="仿宋_GB2312" w:cs="仿宋_GB2312" w:eastAsia="仿宋_GB2312"/>
                <w:color w:val="00B0F0"/>
              </w:rPr>
              <w:t>的污水处理站。主体工艺流程：格栅</w:t>
            </w:r>
            <w:r>
              <w:rPr>
                <w:rFonts w:ascii="仿宋_GB2312" w:hAnsi="仿宋_GB2312" w:cs="仿宋_GB2312" w:eastAsia="仿宋_GB2312"/>
                <w:color w:val="00B0F0"/>
              </w:rPr>
              <w:t>-化粪池-调节池-A2/O多级生化处理+竖流沉淀-消毒-达标排放。现实际日处理量约为</w:t>
            </w:r>
            <w:r>
              <w:rPr>
                <w:rFonts w:ascii="仿宋_GB2312" w:hAnsi="仿宋_GB2312" w:cs="仿宋_GB2312" w:eastAsia="仿宋_GB2312"/>
                <w:color w:val="00B0F0"/>
              </w:rPr>
              <w:t>120吨/天</w:t>
            </w:r>
            <w:r>
              <w:rPr>
                <w:rFonts w:ascii="仿宋_GB2312" w:hAnsi="仿宋_GB2312" w:cs="仿宋_GB2312" w:eastAsia="仿宋_GB2312"/>
                <w:color w:val="00B0F0"/>
              </w:rPr>
              <w:t>，除臭工艺和设备设施，除臭工艺流程：喷淋塔（加生物除臭剂每周</w:t>
            </w:r>
            <w:r>
              <w:rPr>
                <w:rFonts w:ascii="仿宋_GB2312" w:hAnsi="仿宋_GB2312" w:cs="仿宋_GB2312" w:eastAsia="仿宋_GB2312"/>
                <w:color w:val="00B0F0"/>
              </w:rPr>
              <w:t>2公斤）+风机+排气筒（15米），拟对医院污水站进行整体外包。</w:t>
            </w:r>
          </w:p>
          <w:p>
            <w:pPr>
              <w:pStyle w:val="null3"/>
              <w:ind w:firstLine="402"/>
            </w:pPr>
            <w:r>
              <w:rPr>
                <w:rFonts w:ascii="仿宋_GB2312" w:hAnsi="仿宋_GB2312" w:cs="仿宋_GB2312" w:eastAsia="仿宋_GB2312"/>
                <w:b/>
                <w:color w:val="00B0F0"/>
              </w:rPr>
              <w:t>二、服务内容</w:t>
            </w:r>
          </w:p>
          <w:p>
            <w:pPr>
              <w:pStyle w:val="null3"/>
              <w:ind w:firstLine="400"/>
            </w:pPr>
            <w:r>
              <w:rPr>
                <w:rFonts w:ascii="仿宋_GB2312" w:hAnsi="仿宋_GB2312" w:cs="仿宋_GB2312" w:eastAsia="仿宋_GB2312"/>
                <w:color w:val="00B0F0"/>
              </w:rPr>
              <w:t>1、供应商负责派驻专业人员对医院的污水站污水处理系统进行运营管理，保证处理后的污水达到《医疗机构水污染物排放标准》（GB18466-2005）中传染病、结核病医疗机构水污染排放限值要求。噪声排放执行《工业企业厂界环境噪声排放标准》（GB12348-2008）中2类标准。</w:t>
            </w:r>
          </w:p>
          <w:p>
            <w:pPr>
              <w:pStyle w:val="null3"/>
              <w:ind w:firstLine="400"/>
            </w:pPr>
            <w:r>
              <w:rPr>
                <w:rFonts w:ascii="仿宋_GB2312" w:hAnsi="仿宋_GB2312" w:cs="仿宋_GB2312" w:eastAsia="仿宋_GB2312"/>
                <w:color w:val="00B0F0"/>
              </w:rPr>
              <w:t>主要指标如下表：</w:t>
            </w:r>
          </w:p>
          <w:tbl>
            <w:tblPr>
              <w:tblInd w:type="dxa" w:w="120"/>
              <w:tblBorders>
                <w:top w:val="none" w:color="000000" w:sz="4"/>
                <w:left w:val="none" w:color="000000" w:sz="4"/>
                <w:bottom w:val="none" w:color="000000" w:sz="4"/>
                <w:right w:val="none" w:color="000000" w:sz="4"/>
                <w:insideH w:val="none"/>
                <w:insideV w:val="none"/>
              </w:tblBorders>
            </w:tblPr>
            <w:tblGrid>
              <w:gridCol w:w="141"/>
              <w:gridCol w:w="212"/>
              <w:gridCol w:w="242"/>
              <w:gridCol w:w="366"/>
              <w:gridCol w:w="472"/>
              <w:gridCol w:w="496"/>
              <w:gridCol w:w="295"/>
              <w:gridCol w:w="301"/>
            </w:tblGrid>
            <w:tr>
              <w:tc>
                <w:tcPr>
                  <w:tcW w:type="dxa" w:w="14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序号</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污染源</w:t>
                  </w:r>
                  <w:r>
                    <w:br/>
                  </w:r>
                  <w:r>
                    <w:rPr>
                      <w:rFonts w:ascii="仿宋_GB2312" w:hAnsi="仿宋_GB2312" w:cs="仿宋_GB2312" w:eastAsia="仿宋_GB2312"/>
                      <w:sz w:val="20"/>
                      <w:color w:val="0000FF"/>
                    </w:rPr>
                    <w:t>类别</w:t>
                  </w:r>
                </w:p>
              </w:tc>
              <w:tc>
                <w:tcPr>
                  <w:tcW w:type="dxa" w:w="2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具体</w:t>
                  </w:r>
                  <w:r>
                    <w:br/>
                  </w:r>
                  <w:r>
                    <w:rPr>
                      <w:rFonts w:ascii="仿宋_GB2312" w:hAnsi="仿宋_GB2312" w:cs="仿宋_GB2312" w:eastAsia="仿宋_GB2312"/>
                      <w:sz w:val="20"/>
                      <w:color w:val="0000FF"/>
                    </w:rPr>
                    <w:t>类别</w:t>
                  </w:r>
                </w:p>
              </w:tc>
              <w:tc>
                <w:tcPr>
                  <w:tcW w:type="dxa" w:w="3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点位</w:t>
                  </w:r>
                </w:p>
              </w:tc>
              <w:tc>
                <w:tcPr>
                  <w:tcW w:type="dxa" w:w="4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污染物名称</w:t>
                  </w:r>
                </w:p>
              </w:tc>
              <w:tc>
                <w:tcPr>
                  <w:tcW w:type="dxa" w:w="4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40"/>
                    <w:jc w:val="center"/>
                  </w:pPr>
                  <w:r>
                    <w:rPr>
                      <w:rFonts w:ascii="仿宋_GB2312" w:hAnsi="仿宋_GB2312" w:cs="仿宋_GB2312" w:eastAsia="仿宋_GB2312"/>
                      <w:sz w:val="20"/>
                      <w:color w:val="0000FF"/>
                    </w:rPr>
                    <w:t>手工监测采样方法及个数</w:t>
                  </w:r>
                  <w:r>
                    <w:br/>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检测频次</w:t>
                  </w:r>
                </w:p>
              </w:tc>
              <w:tc>
                <w:tcPr>
                  <w:tcW w:type="dxa" w:w="3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检测次数</w:t>
                  </w:r>
                  <w:r>
                    <w:rPr>
                      <w:rFonts w:ascii="仿宋_GB2312" w:hAnsi="仿宋_GB2312" w:cs="仿宋_GB2312" w:eastAsia="仿宋_GB2312"/>
                      <w:sz w:val="20"/>
                      <w:color w:val="0000FF"/>
                    </w:rPr>
                    <w:t>（</w:t>
                  </w:r>
                  <w:r>
                    <w:rPr>
                      <w:rFonts w:ascii="仿宋_GB2312" w:hAnsi="仿宋_GB2312" w:cs="仿宋_GB2312" w:eastAsia="仿宋_GB2312"/>
                      <w:sz w:val="20"/>
                      <w:color w:val="0000FF"/>
                    </w:rPr>
                    <w:t>年</w:t>
                  </w:r>
                  <w:r>
                    <w:rPr>
                      <w:rFonts w:ascii="仿宋_GB2312" w:hAnsi="仿宋_GB2312" w:cs="仿宋_GB2312" w:eastAsia="仿宋_GB2312"/>
                      <w:sz w:val="20"/>
                      <w:color w:val="0000FF"/>
                    </w:rPr>
                    <w:t>）</w:t>
                  </w:r>
                </w:p>
              </w:tc>
            </w:tr>
            <w:tr>
              <w:tc>
                <w:tcPr>
                  <w:tcW w:type="dxa" w:w="14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气</w:t>
                  </w:r>
                </w:p>
              </w:tc>
              <w:tc>
                <w:tcPr>
                  <w:tcW w:type="dxa" w:w="24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有组织</w:t>
                  </w:r>
                  <w:r>
                    <w:br/>
                  </w:r>
                  <w:r>
                    <w:rPr>
                      <w:rFonts w:ascii="仿宋_GB2312" w:hAnsi="仿宋_GB2312" w:cs="仿宋_GB2312" w:eastAsia="仿宋_GB2312"/>
                      <w:sz w:val="20"/>
                      <w:color w:val="0000FF"/>
                    </w:rPr>
                    <w:t>废气</w:t>
                  </w:r>
                </w:p>
              </w:tc>
              <w:tc>
                <w:tcPr>
                  <w:tcW w:type="dxa" w:w="36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DA001</w:t>
                  </w:r>
                  <w:r>
                    <w:rPr>
                      <w:rFonts w:ascii="仿宋_GB2312" w:hAnsi="仿宋_GB2312" w:cs="仿宋_GB2312" w:eastAsia="仿宋_GB2312"/>
                      <w:sz w:val="20"/>
                      <w:color w:val="0000FF"/>
                    </w:rPr>
                    <w:t>排气筒</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臭气浓度</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氨（氨气）</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硫化氢</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无组织</w:t>
                  </w:r>
                  <w:r>
                    <w:br/>
                  </w:r>
                  <w:r>
                    <w:rPr>
                      <w:rFonts w:ascii="仿宋_GB2312" w:hAnsi="仿宋_GB2312" w:cs="仿宋_GB2312" w:eastAsia="仿宋_GB2312"/>
                      <w:sz w:val="20"/>
                      <w:color w:val="0000FF"/>
                    </w:rPr>
                    <w:t>废气</w:t>
                  </w:r>
                </w:p>
              </w:tc>
              <w:tc>
                <w:tcPr>
                  <w:tcW w:type="dxa" w:w="36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污水处理站</w:t>
                  </w:r>
                  <w:r>
                    <w:br/>
                  </w:r>
                  <w:r>
                    <w:br/>
                  </w:r>
                  <w:r>
                    <w:rPr>
                      <w:rFonts w:ascii="仿宋_GB2312" w:hAnsi="仿宋_GB2312" w:cs="仿宋_GB2312" w:eastAsia="仿宋_GB2312"/>
                      <w:sz w:val="20"/>
                      <w:color w:val="0000FF"/>
                    </w:rPr>
                    <w:t>周</w:t>
                  </w:r>
                  <w:r>
                    <w:rPr>
                      <w:rFonts w:ascii="仿宋_GB2312" w:hAnsi="仿宋_GB2312" w:cs="仿宋_GB2312" w:eastAsia="仿宋_GB2312"/>
                      <w:sz w:val="20"/>
                      <w:color w:val="0000FF"/>
                    </w:rPr>
                    <w:t>界</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臭气浓度</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氨（氨气）</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硫化氢</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甲烷</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氯</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非连续采样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w:t>
                  </w:r>
                </w:p>
              </w:tc>
              <w:tc>
                <w:tcPr>
                  <w:tcW w:type="dxa" w:w="295"/>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212"/>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水</w:t>
                  </w:r>
                </w:p>
              </w:tc>
              <w:tc>
                <w:tcPr>
                  <w:tcW w:type="dxa" w:w="24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废水</w:t>
                  </w:r>
                </w:p>
              </w:tc>
              <w:tc>
                <w:tcPr>
                  <w:tcW w:type="dxa" w:w="366"/>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污水总排口</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DW001)</w:t>
                  </w:r>
                </w:p>
              </w:tc>
              <w:tc>
                <w:tcPr>
                  <w:tcW w:type="dxa" w:w="47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色度</w:t>
                  </w:r>
                </w:p>
              </w:tc>
              <w:tc>
                <w:tcPr>
                  <w:tcW w:type="dxa" w:w="49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混合采样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个混合样</w:t>
                  </w:r>
                </w:p>
              </w:tc>
              <w:tc>
                <w:tcPr>
                  <w:tcW w:type="dxa" w:w="29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悬浮物</w:t>
                  </w:r>
                </w:p>
              </w:tc>
              <w:tc>
                <w:tcPr>
                  <w:tcW w:type="dxa" w:w="4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4</w:t>
                  </w:r>
                  <w:r>
                    <w:rPr>
                      <w:rFonts w:ascii="仿宋_GB2312" w:hAnsi="仿宋_GB2312" w:cs="仿宋_GB2312" w:eastAsia="仿宋_GB2312"/>
                      <w:sz w:val="20"/>
                      <w:color w:val="0000FF"/>
                    </w:rPr>
                    <w:t>个瞬时时样</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周</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52</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五日生化需氧量</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4</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化学需氧量</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周</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52</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结核杆菌</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阴离子表面活性剂</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氨氮</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混合采样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个混合样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石油类</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动植物油</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挥发酚</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总氰化物</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粪大肠菌群数</w:t>
                  </w:r>
                </w:p>
              </w:tc>
              <w:tc>
                <w:tcPr>
                  <w:tcW w:type="dxa" w:w="4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月</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肠道致病菌</w:t>
                  </w:r>
                </w:p>
              </w:tc>
              <w:tc>
                <w:tcPr>
                  <w:tcW w:type="dxa" w:w="4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tcBorders>
                    <w:top w:val="non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肠道病毒</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瞬时采样</w:t>
                  </w:r>
                  <w:r>
                    <w:rPr>
                      <w:rFonts w:ascii="仿宋_GB2312" w:hAnsi="仿宋_GB2312" w:cs="仿宋_GB2312" w:eastAsia="仿宋_GB2312"/>
                      <w:sz w:val="20"/>
                      <w:color w:val="0000FF"/>
                    </w:rPr>
                    <w:t>≥</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个瞬时时样</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季度</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141"/>
                  <w:vMerge w:val="restart"/>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212"/>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水</w:t>
                  </w:r>
                </w:p>
              </w:tc>
              <w:tc>
                <w:tcPr>
                  <w:tcW w:type="dxa" w:w="242"/>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废水</w:t>
                  </w:r>
                </w:p>
              </w:tc>
              <w:tc>
                <w:tcPr>
                  <w:tcW w:type="dxa" w:w="366"/>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污水总排口</w:t>
                  </w:r>
                  <w:r>
                    <w:br/>
                  </w:r>
                  <w:r>
                    <w:rPr>
                      <w:rFonts w:ascii="仿宋_GB2312" w:hAnsi="仿宋_GB2312" w:cs="仿宋_GB2312" w:eastAsia="仿宋_GB2312"/>
                      <w:sz w:val="20"/>
                      <w:color w:val="0000FF"/>
                    </w:rPr>
                    <w:t>（</w:t>
                  </w:r>
                  <w:r>
                    <w:rPr>
                      <w:rFonts w:ascii="仿宋_GB2312" w:hAnsi="仿宋_GB2312" w:cs="仿宋_GB2312" w:eastAsia="仿宋_GB2312"/>
                      <w:sz w:val="20"/>
                      <w:color w:val="0000FF"/>
                    </w:rPr>
                    <w:t>DW001)</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PH</w:t>
                  </w:r>
                  <w:r>
                    <w:rPr>
                      <w:rFonts w:ascii="仿宋_GB2312" w:hAnsi="仿宋_GB2312" w:cs="仿宋_GB2312" w:eastAsia="仿宋_GB2312"/>
                      <w:sz w:val="20"/>
                      <w:color w:val="0000FF"/>
                    </w:rPr>
                    <w:t>值</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按标准要求取样做记录</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日</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730</w:t>
                  </w:r>
                </w:p>
              </w:tc>
            </w:tr>
            <w:tr>
              <w:tc>
                <w:tcPr>
                  <w:tcW w:type="dxa" w:w="141"/>
                  <w:vMerge/>
                  <w:tcBorders>
                    <w:top w:val="single" w:color="000000" w:sz="4"/>
                    <w:left w:val="single" w:color="000000" w:sz="4"/>
                    <w:bottom w:val="none" w:color="000000" w:sz="4"/>
                    <w:right w:val="single" w:color="000000" w:sz="4"/>
                  </w:tcBorders>
                </w:tcPr>
                <w:p/>
              </w:tc>
              <w:tc>
                <w:tcPr>
                  <w:tcW w:type="dxa" w:w="212"/>
                  <w:vMerge/>
                  <w:tcBorders>
                    <w:top w:val="none" w:color="000000" w:sz="4"/>
                    <w:left w:val="none" w:color="000000" w:sz="4"/>
                    <w:bottom w:val="none" w:color="000000" w:sz="4"/>
                    <w:right w:val="single" w:color="000000" w:sz="4"/>
                  </w:tcBorders>
                </w:tcPr>
                <w:p/>
              </w:tc>
              <w:tc>
                <w:tcPr>
                  <w:tcW w:type="dxa" w:w="242"/>
                  <w:vMerge/>
                  <w:tcBorders>
                    <w:top w:val="none" w:color="000000" w:sz="4"/>
                    <w:left w:val="none" w:color="000000" w:sz="4"/>
                    <w:bottom w:val="none" w:color="000000" w:sz="4"/>
                    <w:right w:val="none" w:color="000000" w:sz="4"/>
                  </w:tcBorders>
                </w:tcPr>
                <w:p/>
              </w:tc>
              <w:tc>
                <w:tcPr>
                  <w:tcW w:type="dxa" w:w="366"/>
                  <w:vMerge/>
                  <w:tcBorders>
                    <w:top w:val="none" w:color="000000" w:sz="4"/>
                    <w:left w:val="single" w:color="000000" w:sz="4"/>
                    <w:bottom w:val="none" w:color="000000" w:sz="4"/>
                    <w:right w:val="single" w:color="000000" w:sz="4"/>
                  </w:tcBorders>
                </w:tc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总余氯</w:t>
                  </w: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按标准要求取样做记录</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r>
                    <w:rPr>
                      <w:rFonts w:ascii="仿宋_GB2312" w:hAnsi="仿宋_GB2312" w:cs="仿宋_GB2312" w:eastAsia="仿宋_GB2312"/>
                      <w:sz w:val="20"/>
                      <w:color w:val="0000FF"/>
                    </w:rPr>
                    <w:t>次</w:t>
                  </w:r>
                  <w:r>
                    <w:rPr>
                      <w:rFonts w:ascii="仿宋_GB2312" w:hAnsi="仿宋_GB2312" w:cs="仿宋_GB2312" w:eastAsia="仿宋_GB2312"/>
                      <w:sz w:val="20"/>
                      <w:color w:val="0000FF"/>
                    </w:rPr>
                    <w:t>/</w:t>
                  </w:r>
                  <w:r>
                    <w:rPr>
                      <w:rFonts w:ascii="仿宋_GB2312" w:hAnsi="仿宋_GB2312" w:cs="仿宋_GB2312" w:eastAsia="仿宋_GB2312"/>
                      <w:sz w:val="20"/>
                      <w:color w:val="0000FF"/>
                    </w:rPr>
                    <w:t>日</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730</w:t>
                  </w:r>
                </w:p>
              </w:tc>
            </w:tr>
            <w:tr>
              <w:tc>
                <w:tcPr>
                  <w:tcW w:type="dxa" w:w="14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声</w:t>
                  </w:r>
                </w:p>
              </w:tc>
              <w:tc>
                <w:tcPr>
                  <w:tcW w:type="dxa" w:w="2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噪声</w:t>
                  </w:r>
                </w:p>
              </w:tc>
              <w:tc>
                <w:tcPr>
                  <w:tcW w:type="dxa" w:w="3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厂界四周</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季度</w:t>
                  </w:r>
                  <w:r>
                    <w:rPr>
                      <w:rFonts w:ascii="仿宋_GB2312" w:hAnsi="仿宋_GB2312" w:cs="仿宋_GB2312" w:eastAsia="仿宋_GB2312"/>
                      <w:sz w:val="20"/>
                      <w:color w:val="0000FF"/>
                    </w:rPr>
                    <w:t>/</w:t>
                  </w:r>
                  <w:r>
                    <w:rPr>
                      <w:rFonts w:ascii="仿宋_GB2312" w:hAnsi="仿宋_GB2312" w:cs="仿宋_GB2312" w:eastAsia="仿宋_GB2312"/>
                      <w:sz w:val="20"/>
                      <w:color w:val="0000FF"/>
                    </w:rPr>
                    <w:t>次</w:t>
                  </w: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bl>
          <w:p>
            <w:pPr>
              <w:pStyle w:val="null3"/>
              <w:ind w:firstLine="400"/>
            </w:pPr>
            <w:r>
              <w:rPr>
                <w:rFonts w:ascii="仿宋_GB2312" w:hAnsi="仿宋_GB2312" w:cs="仿宋_GB2312" w:eastAsia="仿宋_GB2312"/>
                <w:color w:val="0000FF"/>
              </w:rPr>
              <w:t>2、按照污水排污许</w:t>
            </w:r>
            <w:r>
              <w:rPr>
                <w:rFonts w:ascii="仿宋_GB2312" w:hAnsi="仿宋_GB2312" w:cs="仿宋_GB2312" w:eastAsia="仿宋_GB2312"/>
                <w:color w:val="0000FF"/>
              </w:rPr>
              <w:t>可证出具污水</w:t>
            </w:r>
            <w:r>
              <w:rPr>
                <w:rFonts w:ascii="仿宋_GB2312" w:hAnsi="仿宋_GB2312" w:cs="仿宋_GB2312" w:eastAsia="仿宋_GB2312"/>
                <w:color w:val="0000FF"/>
              </w:rPr>
              <w:t>检测报告（周、月、季）。</w:t>
            </w:r>
          </w:p>
          <w:p>
            <w:pPr>
              <w:pStyle w:val="null3"/>
              <w:ind w:firstLine="400"/>
            </w:pPr>
            <w:r>
              <w:rPr>
                <w:rFonts w:ascii="仿宋_GB2312" w:hAnsi="仿宋_GB2312" w:cs="仿宋_GB2312" w:eastAsia="仿宋_GB2312"/>
                <w:color w:val="0000FF"/>
              </w:rPr>
              <w:t>3、负责对系统设备、设施运行中出现的故障进行及时维修、维护。</w:t>
            </w:r>
          </w:p>
          <w:p>
            <w:pPr>
              <w:pStyle w:val="null3"/>
              <w:ind w:firstLine="400"/>
            </w:pPr>
            <w:r>
              <w:rPr>
                <w:rFonts w:ascii="仿宋_GB2312" w:hAnsi="仿宋_GB2312" w:cs="仿宋_GB2312" w:eastAsia="仿宋_GB2312"/>
                <w:color w:val="0000FF"/>
              </w:rPr>
              <w:t>4、污水站污泥处理：包含规范收集，运输、处置。</w:t>
            </w:r>
          </w:p>
          <w:p>
            <w:pPr>
              <w:pStyle w:val="null3"/>
              <w:ind w:firstLine="400"/>
            </w:pPr>
            <w:r>
              <w:rPr>
                <w:rFonts w:ascii="仿宋_GB2312" w:hAnsi="仿宋_GB2312" w:cs="仿宋_GB2312" w:eastAsia="仿宋_GB2312"/>
                <w:color w:val="0000FF"/>
              </w:rPr>
              <w:t>5、负责所有污水有关的各类网上系统数据的上传及填报，确保填报内容符合规范要求。</w:t>
            </w:r>
          </w:p>
          <w:p>
            <w:pPr>
              <w:pStyle w:val="null3"/>
              <w:ind w:firstLine="400"/>
            </w:pPr>
            <w:r>
              <w:rPr>
                <w:rFonts w:ascii="仿宋_GB2312" w:hAnsi="仿宋_GB2312" w:cs="仿宋_GB2312" w:eastAsia="仿宋_GB2312"/>
                <w:color w:val="0000FF"/>
              </w:rPr>
              <w:t>6、突发污染事件的应急预案及处置。</w:t>
            </w:r>
          </w:p>
          <w:p>
            <w:pPr>
              <w:pStyle w:val="null3"/>
              <w:ind w:firstLine="400"/>
            </w:pPr>
            <w:r>
              <w:rPr>
                <w:rFonts w:ascii="仿宋_GB2312" w:hAnsi="仿宋_GB2312" w:cs="仿宋_GB2312" w:eastAsia="仿宋_GB2312"/>
                <w:color w:val="0000FF"/>
              </w:rPr>
              <w:t>7、运维过程中发生水质污染物超标，一切责任及产生的费用和罚款均由供应商承担。</w:t>
            </w:r>
          </w:p>
          <w:p>
            <w:pPr>
              <w:pStyle w:val="null3"/>
              <w:ind w:firstLine="400"/>
            </w:pPr>
            <w:r>
              <w:rPr>
                <w:rFonts w:ascii="仿宋_GB2312" w:hAnsi="仿宋_GB2312" w:cs="仿宋_GB2312" w:eastAsia="仿宋_GB2312"/>
                <w:color w:val="0000FF"/>
              </w:rPr>
              <w:t>8、供应商派专人负责处理周边社区居民提出的投诉及与政府主管单位的沟通协调。</w:t>
            </w:r>
          </w:p>
          <w:p>
            <w:pPr>
              <w:pStyle w:val="null3"/>
              <w:ind w:firstLine="400"/>
            </w:pPr>
            <w:r>
              <w:rPr>
                <w:rFonts w:ascii="仿宋_GB2312" w:hAnsi="仿宋_GB2312" w:cs="仿宋_GB2312" w:eastAsia="仿宋_GB2312"/>
                <w:color w:val="0000FF"/>
              </w:rPr>
              <w:t>9、负责在线设备</w:t>
            </w:r>
            <w:r>
              <w:rPr>
                <w:rFonts w:ascii="仿宋_GB2312" w:hAnsi="仿宋_GB2312" w:cs="仿宋_GB2312" w:eastAsia="仿宋_GB2312"/>
                <w:color w:val="0000FF"/>
              </w:rPr>
              <w:t>（</w:t>
            </w:r>
            <w:r>
              <w:rPr>
                <w:rFonts w:ascii="仿宋_GB2312" w:hAnsi="仿宋_GB2312" w:cs="仿宋_GB2312" w:eastAsia="仿宋_GB2312"/>
                <w:color w:val="0000FF"/>
              </w:rPr>
              <w:t>PH计、流量计）</w:t>
            </w:r>
            <w:r>
              <w:rPr>
                <w:rFonts w:ascii="仿宋_GB2312" w:hAnsi="仿宋_GB2312" w:cs="仿宋_GB2312" w:eastAsia="仿宋_GB2312"/>
                <w:color w:val="0000FF"/>
              </w:rPr>
              <w:t>的校准、校验，并出具校准报告（每年一次）。</w:t>
            </w:r>
          </w:p>
          <w:p>
            <w:pPr>
              <w:pStyle w:val="null3"/>
              <w:ind w:firstLine="402"/>
            </w:pPr>
            <w:r>
              <w:rPr>
                <w:rFonts w:ascii="仿宋_GB2312" w:hAnsi="仿宋_GB2312" w:cs="仿宋_GB2312" w:eastAsia="仿宋_GB2312"/>
                <w:b/>
                <w:color w:val="0000FF"/>
              </w:rPr>
              <w:t>三、服务要求</w:t>
            </w:r>
          </w:p>
          <w:p>
            <w:pPr>
              <w:pStyle w:val="null3"/>
              <w:ind w:firstLine="400"/>
            </w:pPr>
            <w:r>
              <w:rPr>
                <w:rFonts w:ascii="仿宋_GB2312" w:hAnsi="仿宋_GB2312" w:cs="仿宋_GB2312" w:eastAsia="仿宋_GB2312"/>
                <w:color w:val="0000FF"/>
              </w:rPr>
              <w:t>1.供应商负责：</w:t>
            </w:r>
          </w:p>
          <w:p>
            <w:pPr>
              <w:pStyle w:val="null3"/>
              <w:ind w:firstLine="400"/>
            </w:pPr>
            <w:r>
              <w:rPr>
                <w:rFonts w:ascii="仿宋_GB2312" w:hAnsi="仿宋_GB2312" w:cs="仿宋_GB2312" w:eastAsia="仿宋_GB2312"/>
                <w:color w:val="0000FF"/>
              </w:rPr>
              <w:t>①药剂费：包括药剂的购买及运输费；</w:t>
            </w:r>
          </w:p>
          <w:p>
            <w:pPr>
              <w:pStyle w:val="null3"/>
              <w:ind w:firstLine="400"/>
            </w:pPr>
            <w:r>
              <w:rPr>
                <w:rFonts w:ascii="仿宋_GB2312" w:hAnsi="仿宋_GB2312" w:cs="仿宋_GB2312" w:eastAsia="仿宋_GB2312"/>
                <w:color w:val="0000FF"/>
              </w:rPr>
              <w:t>②污泥处理：污泥由供应商交由有资质的单位处置，处置费由供应商承担；</w:t>
            </w:r>
          </w:p>
          <w:p>
            <w:pPr>
              <w:pStyle w:val="null3"/>
              <w:ind w:firstLine="400"/>
            </w:pPr>
            <w:r>
              <w:rPr>
                <w:rFonts w:ascii="仿宋_GB2312" w:hAnsi="仿宋_GB2312" w:cs="仿宋_GB2312" w:eastAsia="仿宋_GB2312"/>
                <w:color w:val="0000FF"/>
              </w:rPr>
              <w:t>③在线监测维护费：包括维护费及数据上传成本。</w:t>
            </w:r>
          </w:p>
          <w:p>
            <w:pPr>
              <w:pStyle w:val="null3"/>
              <w:ind w:firstLine="400"/>
            </w:pPr>
            <w:r>
              <w:rPr>
                <w:rFonts w:ascii="仿宋_GB2312" w:hAnsi="仿宋_GB2312" w:cs="仿宋_GB2312" w:eastAsia="仿宋_GB2312"/>
                <w:color w:val="0000FF"/>
              </w:rPr>
              <w:t>在线监测的指标主要包括但不限于</w:t>
            </w:r>
            <w:r>
              <w:rPr>
                <w:rFonts w:ascii="仿宋_GB2312" w:hAnsi="仿宋_GB2312" w:cs="仿宋_GB2312" w:eastAsia="仿宋_GB2312"/>
                <w:color w:val="0000FF"/>
              </w:rPr>
              <w:t>pH、流量等，具体以环保部门要求为准；</w:t>
            </w:r>
          </w:p>
          <w:p>
            <w:pPr>
              <w:pStyle w:val="null3"/>
              <w:ind w:firstLine="400"/>
            </w:pPr>
            <w:r>
              <w:rPr>
                <w:rFonts w:ascii="仿宋_GB2312" w:hAnsi="仿宋_GB2312" w:cs="仿宋_GB2312" w:eastAsia="仿宋_GB2312"/>
                <w:color w:val="0000FF"/>
              </w:rPr>
              <w:t>④三方检测费用：包括具备CMA检测资质的监测公司出具的周/月/季度监测报告，整理保存相关的检测报告，并完成网上的各项报告的上报工作。</w:t>
            </w:r>
          </w:p>
          <w:p>
            <w:pPr>
              <w:pStyle w:val="null3"/>
              <w:ind w:firstLine="400"/>
            </w:pPr>
            <w:r>
              <w:rPr>
                <w:rFonts w:ascii="仿宋_GB2312" w:hAnsi="仿宋_GB2312" w:cs="仿宋_GB2312" w:eastAsia="仿宋_GB2312"/>
                <w:color w:val="0000FF"/>
              </w:rPr>
              <w:t>⑤负责污水站设备的维修和零配件的更换。</w:t>
            </w:r>
          </w:p>
          <w:p>
            <w:pPr>
              <w:pStyle w:val="null3"/>
              <w:ind w:firstLine="400"/>
            </w:pPr>
            <w:r>
              <w:rPr>
                <w:rFonts w:ascii="仿宋_GB2312" w:hAnsi="仿宋_GB2312" w:cs="仿宋_GB2312" w:eastAsia="仿宋_GB2312"/>
                <w:color w:val="0000FF"/>
              </w:rPr>
              <w:t>2.</w:t>
            </w:r>
            <w:r>
              <w:rPr>
                <w:rFonts w:ascii="仿宋_GB2312" w:hAnsi="仿宋_GB2312" w:cs="仿宋_GB2312" w:eastAsia="仿宋_GB2312"/>
                <w:color w:val="0000FF"/>
              </w:rPr>
              <w:t>服从医院的组织和管理，保障污水处理站的正常运行，出水水质符合市政、环保及有关部门的要求。</w:t>
            </w:r>
          </w:p>
          <w:p>
            <w:pPr>
              <w:pStyle w:val="null3"/>
              <w:ind w:firstLine="400"/>
            </w:pPr>
            <w:r>
              <w:rPr>
                <w:rFonts w:ascii="仿宋_GB2312" w:hAnsi="仿宋_GB2312" w:cs="仿宋_GB2312" w:eastAsia="仿宋_GB2312"/>
                <w:color w:val="0000FF"/>
              </w:rPr>
              <w:t>3.</w:t>
            </w:r>
            <w:r>
              <w:rPr>
                <w:rFonts w:ascii="仿宋_GB2312" w:hAnsi="仿宋_GB2312" w:cs="仿宋_GB2312" w:eastAsia="仿宋_GB2312"/>
                <w:color w:val="0000FF"/>
              </w:rPr>
              <w:t>按照竞争性磋商文件技术要求对污水处理站定期巡检、设备维护和检修、构筑物漂浮物清理、水质检测以及院方交办的临时性任务。</w:t>
            </w:r>
          </w:p>
          <w:p>
            <w:pPr>
              <w:pStyle w:val="null3"/>
              <w:ind w:firstLine="400"/>
            </w:pPr>
            <w:r>
              <w:rPr>
                <w:rFonts w:ascii="仿宋_GB2312" w:hAnsi="仿宋_GB2312" w:cs="仿宋_GB2312" w:eastAsia="仿宋_GB2312"/>
                <w:color w:val="0000FF"/>
              </w:rPr>
              <w:t>4.</w:t>
            </w:r>
            <w:r>
              <w:rPr>
                <w:rFonts w:ascii="仿宋_GB2312" w:hAnsi="仿宋_GB2312" w:cs="仿宋_GB2312" w:eastAsia="仿宋_GB2312"/>
                <w:color w:val="0000FF"/>
              </w:rPr>
              <w:t>处理系统必须每天</w:t>
            </w:r>
            <w:r>
              <w:rPr>
                <w:rFonts w:ascii="仿宋_GB2312" w:hAnsi="仿宋_GB2312" w:cs="仿宋_GB2312" w:eastAsia="仿宋_GB2312"/>
                <w:color w:val="0000FF"/>
              </w:rPr>
              <w:t>24小时有值班人员在岗（含节假日），以保证安全生产，管理人员1名，运维人员配置不得少于3人，所配备人员均需</w:t>
            </w:r>
            <w:r>
              <w:rPr>
                <w:rFonts w:ascii="仿宋_GB2312" w:hAnsi="仿宋_GB2312" w:cs="仿宋_GB2312" w:eastAsia="仿宋_GB2312"/>
                <w:color w:val="0000FF"/>
              </w:rPr>
              <w:t>有相关工作经验</w:t>
            </w:r>
            <w:r>
              <w:rPr>
                <w:rFonts w:ascii="仿宋_GB2312" w:hAnsi="仿宋_GB2312" w:cs="仿宋_GB2312" w:eastAsia="仿宋_GB2312"/>
                <w:color w:val="0000FF"/>
              </w:rPr>
              <w:t>。</w:t>
            </w:r>
          </w:p>
          <w:p>
            <w:pPr>
              <w:pStyle w:val="null3"/>
              <w:ind w:firstLine="400"/>
            </w:pPr>
            <w:r>
              <w:rPr>
                <w:rFonts w:ascii="仿宋_GB2312" w:hAnsi="仿宋_GB2312" w:cs="仿宋_GB2312" w:eastAsia="仿宋_GB2312"/>
                <w:color w:val="0000FF"/>
              </w:rPr>
              <w:t>5.</w:t>
            </w:r>
            <w:r>
              <w:rPr>
                <w:rFonts w:ascii="仿宋_GB2312" w:hAnsi="仿宋_GB2312" w:cs="仿宋_GB2312" w:eastAsia="仿宋_GB2312"/>
                <w:color w:val="0000FF"/>
              </w:rPr>
              <w:t>配备充足的运营服务人员，制定各种管理规章制度，包括工作方案、人员配置方案、工作职责、操作流程、应急预案、安全管理、设备维护保养及维修管理制度、值班管理制度等；</w:t>
            </w:r>
          </w:p>
          <w:p>
            <w:pPr>
              <w:pStyle w:val="null3"/>
              <w:ind w:firstLine="400"/>
            </w:pPr>
            <w:r>
              <w:rPr>
                <w:rFonts w:ascii="仿宋_GB2312" w:hAnsi="仿宋_GB2312" w:cs="仿宋_GB2312" w:eastAsia="仿宋_GB2312"/>
                <w:color w:val="0000FF"/>
              </w:rPr>
              <w:t>6.</w:t>
            </w:r>
            <w:r>
              <w:rPr>
                <w:rFonts w:ascii="仿宋_GB2312" w:hAnsi="仿宋_GB2312" w:cs="仿宋_GB2312" w:eastAsia="仿宋_GB2312"/>
                <w:color w:val="0000FF"/>
              </w:rPr>
              <w:t>制定维护记录表、污水处理量的月度运行监测表，对系统设备、设施运行中出现的故障进行及时维修维护，制定《设备维护保养计划》，并定期对污水处理系统设备进行维护保养等；对设施运行中出现的故障及时维修，如发生突发事件（如污水泄漏、机器故障等），维修人员必须</w:t>
            </w:r>
            <w:r>
              <w:rPr>
                <w:rFonts w:ascii="仿宋_GB2312" w:hAnsi="仿宋_GB2312" w:cs="仿宋_GB2312" w:eastAsia="仿宋_GB2312"/>
                <w:color w:val="0000FF"/>
              </w:rPr>
              <w:t>2小时内到达现场排查原因，并制定应急措施方案，做好安全防护警戒及围蔽，确保将事件影响降至最低。供应商需定期向医院提交资料审核，包括但不限于：设备维护保养、清淤清渣、运行记录、消毒药剂用量记录、废水监测结果[按排污许可要求每周/月/季度提供污水监测报告（第三方机构带有CMA或CNAS认证报告一份），检测内容按排污许可要求执行]。</w:t>
            </w:r>
          </w:p>
          <w:p>
            <w:pPr>
              <w:pStyle w:val="null3"/>
              <w:ind w:firstLine="400"/>
            </w:pPr>
            <w:r>
              <w:rPr>
                <w:rFonts w:ascii="仿宋_GB2312" w:hAnsi="仿宋_GB2312" w:cs="仿宋_GB2312" w:eastAsia="仿宋_GB2312"/>
                <w:color w:val="0000FF"/>
              </w:rPr>
              <w:t>7.</w:t>
            </w:r>
            <w:r>
              <w:rPr>
                <w:rFonts w:ascii="仿宋_GB2312" w:hAnsi="仿宋_GB2312" w:cs="仿宋_GB2312" w:eastAsia="仿宋_GB2312"/>
                <w:color w:val="0000FF"/>
              </w:rPr>
              <w:t>建立日常工作台账，记录每日的工作内容，包括但不限于开泵、关泵、清渣、投加药剂、维修、交接班时间和工作内容等。</w:t>
            </w:r>
          </w:p>
          <w:p>
            <w:pPr>
              <w:pStyle w:val="null3"/>
              <w:ind w:firstLine="400"/>
            </w:pPr>
            <w:r>
              <w:rPr>
                <w:rFonts w:ascii="仿宋_GB2312" w:hAnsi="仿宋_GB2312" w:cs="仿宋_GB2312" w:eastAsia="仿宋_GB2312"/>
                <w:color w:val="0000FF"/>
              </w:rPr>
              <w:t>8.</w:t>
            </w:r>
            <w:r>
              <w:rPr>
                <w:rFonts w:ascii="仿宋_GB2312" w:hAnsi="仿宋_GB2312" w:cs="仿宋_GB2312" w:eastAsia="仿宋_GB2312"/>
                <w:color w:val="0000FF"/>
              </w:rPr>
              <w:t>污水处理系统产生的危废（栅渣、污泥等），供应商需交由有资质的单位处置，处置费供应商承担。</w:t>
            </w:r>
          </w:p>
          <w:p>
            <w:pPr>
              <w:pStyle w:val="null3"/>
              <w:ind w:firstLine="400"/>
            </w:pPr>
            <w:r>
              <w:rPr>
                <w:rFonts w:ascii="仿宋_GB2312" w:hAnsi="仿宋_GB2312" w:cs="仿宋_GB2312" w:eastAsia="仿宋_GB2312"/>
                <w:color w:val="0000FF"/>
              </w:rPr>
              <w:t>9.</w:t>
            </w:r>
            <w:r>
              <w:rPr>
                <w:rFonts w:ascii="仿宋_GB2312" w:hAnsi="仿宋_GB2312" w:cs="仿宋_GB2312" w:eastAsia="仿宋_GB2312"/>
                <w:color w:val="0000FF"/>
              </w:rPr>
              <w:t>保证污水处理设备和设施的安全与完整，防止各类事故的发生，如因供应商管理不到位，造成污水排放指标不达标，导致环境监测部门处罚、媒体曝光等对医院造成影响，由此引起的一切经济损失及其他连带责任，由供应商负责，如连续两次造成医院排污超标，医院有权单方面取消合同关系，供应商应赔偿合同总价款</w:t>
            </w:r>
            <w:r>
              <w:rPr>
                <w:rFonts w:ascii="仿宋_GB2312" w:hAnsi="仿宋_GB2312" w:cs="仿宋_GB2312" w:eastAsia="仿宋_GB2312"/>
                <w:color w:val="0000FF"/>
              </w:rPr>
              <w:t>20%费用作为违约金。如若为其他原因引起的处罚双方协商解决。</w:t>
            </w:r>
          </w:p>
          <w:p>
            <w:pPr>
              <w:pStyle w:val="null3"/>
              <w:ind w:firstLine="400"/>
            </w:pPr>
            <w:r>
              <w:rPr>
                <w:rFonts w:ascii="仿宋_GB2312" w:hAnsi="仿宋_GB2312" w:cs="仿宋_GB2312" w:eastAsia="仿宋_GB2312"/>
                <w:color w:val="0000FF"/>
              </w:rPr>
              <w:t>10.</w:t>
            </w:r>
            <w:r>
              <w:rPr>
                <w:rFonts w:ascii="仿宋_GB2312" w:hAnsi="仿宋_GB2312" w:cs="仿宋_GB2312" w:eastAsia="仿宋_GB2312"/>
                <w:color w:val="0000FF"/>
              </w:rPr>
              <w:t>供应商必须服从医院管理，遵守医院的各项管理制度；认真履行各项相应岗位职责，遵守劳动纪律，认真遵守甲乙双方指定的各种规章制度，无条件接受医院各检查部门的检查、监督、考核。</w:t>
            </w:r>
          </w:p>
          <w:p>
            <w:pPr>
              <w:pStyle w:val="null3"/>
              <w:ind w:firstLine="400"/>
            </w:pPr>
            <w:r>
              <w:rPr>
                <w:rFonts w:ascii="仿宋_GB2312" w:hAnsi="仿宋_GB2312" w:cs="仿宋_GB2312" w:eastAsia="仿宋_GB2312"/>
                <w:color w:val="0000FF"/>
              </w:rPr>
              <w:t>11.</w:t>
            </w:r>
            <w:r>
              <w:rPr>
                <w:rFonts w:ascii="仿宋_GB2312" w:hAnsi="仿宋_GB2312" w:cs="仿宋_GB2312" w:eastAsia="仿宋_GB2312"/>
                <w:color w:val="0000FF"/>
              </w:rPr>
              <w:t>供应商应遵守有关的安全规定，采取有效措施保证供应商管理服务人员及构筑物内人员的安全，保护好环境；</w:t>
            </w:r>
          </w:p>
          <w:p>
            <w:pPr>
              <w:pStyle w:val="null3"/>
              <w:ind w:firstLine="400"/>
            </w:pPr>
            <w:r>
              <w:rPr>
                <w:rFonts w:ascii="仿宋_GB2312" w:hAnsi="仿宋_GB2312" w:cs="仿宋_GB2312" w:eastAsia="仿宋_GB2312"/>
                <w:color w:val="0000FF"/>
              </w:rPr>
              <w:t>12.</w:t>
            </w:r>
            <w:r>
              <w:rPr>
                <w:rFonts w:ascii="仿宋_GB2312" w:hAnsi="仿宋_GB2312" w:cs="仿宋_GB2312" w:eastAsia="仿宋_GB2312"/>
                <w:color w:val="0000FF"/>
              </w:rPr>
              <w:t>供应商员工必须具备各相关工作实际操</w:t>
            </w:r>
            <w:r>
              <w:rPr>
                <w:rFonts w:ascii="仿宋_GB2312" w:hAnsi="仿宋_GB2312" w:cs="仿宋_GB2312" w:eastAsia="仿宋_GB2312"/>
                <w:color w:val="0000FF"/>
              </w:rPr>
              <w:t>作经验，必须</w:t>
            </w:r>
            <w:r>
              <w:rPr>
                <w:rFonts w:ascii="仿宋_GB2312" w:hAnsi="仿宋_GB2312" w:cs="仿宋_GB2312" w:eastAsia="仿宋_GB2312"/>
                <w:color w:val="0000FF"/>
              </w:rPr>
              <w:t>严格按照有关操作规程进行操作。</w:t>
            </w:r>
          </w:p>
          <w:p>
            <w:pPr>
              <w:pStyle w:val="null3"/>
              <w:ind w:firstLine="400"/>
            </w:pPr>
            <w:r>
              <w:rPr>
                <w:rFonts w:ascii="仿宋_GB2312" w:hAnsi="仿宋_GB2312" w:cs="仿宋_GB2312" w:eastAsia="仿宋_GB2312"/>
                <w:color w:val="0000FF"/>
              </w:rPr>
              <w:t>13.</w:t>
            </w:r>
            <w:r>
              <w:rPr>
                <w:rFonts w:ascii="仿宋_GB2312" w:hAnsi="仿宋_GB2312" w:cs="仿宋_GB2312" w:eastAsia="仿宋_GB2312"/>
                <w:color w:val="0000FF"/>
              </w:rPr>
              <w:t>处理</w:t>
            </w:r>
            <w:r>
              <w:rPr>
                <w:rFonts w:ascii="仿宋_GB2312" w:hAnsi="仿宋_GB2312" w:cs="仿宋_GB2312" w:eastAsia="仿宋_GB2312"/>
                <w:color w:val="0000FF"/>
              </w:rPr>
              <w:t>协调相关各方</w:t>
            </w:r>
            <w:r>
              <w:rPr>
                <w:rFonts w:ascii="仿宋_GB2312" w:hAnsi="仿宋_GB2312" w:cs="仿宋_GB2312" w:eastAsia="仿宋_GB2312"/>
                <w:color w:val="0000FF"/>
              </w:rPr>
              <w:t>关于环保方面</w:t>
            </w:r>
            <w:r>
              <w:rPr>
                <w:rFonts w:ascii="仿宋_GB2312" w:hAnsi="仿宋_GB2312" w:cs="仿宋_GB2312" w:eastAsia="仿宋_GB2312"/>
                <w:color w:val="0000FF"/>
              </w:rPr>
              <w:t>的工作，</w:t>
            </w:r>
            <w:r>
              <w:rPr>
                <w:rFonts w:ascii="仿宋_GB2312" w:hAnsi="仿宋_GB2312" w:cs="仿宋_GB2312" w:eastAsia="仿宋_GB2312"/>
                <w:color w:val="0000FF"/>
              </w:rPr>
              <w:t>处理医院在环保方面的所有问题及工作。</w:t>
            </w:r>
          </w:p>
          <w:p>
            <w:pPr>
              <w:pStyle w:val="null3"/>
              <w:ind w:firstLine="400"/>
            </w:pPr>
            <w:r>
              <w:rPr>
                <w:rFonts w:ascii="仿宋_GB2312" w:hAnsi="仿宋_GB2312" w:cs="仿宋_GB2312" w:eastAsia="仿宋_GB2312"/>
                <w:color w:val="0000FF"/>
              </w:rPr>
              <w:t>14.运维</w:t>
            </w:r>
            <w:r>
              <w:rPr>
                <w:rFonts w:ascii="仿宋_GB2312" w:hAnsi="仿宋_GB2312" w:cs="仿宋_GB2312" w:eastAsia="仿宋_GB2312"/>
                <w:color w:val="0000FF"/>
              </w:rPr>
              <w:t>期间因设备问题需要停运维修的，需及时向环保部门申报停运手续，并及时维修设备。</w:t>
            </w:r>
          </w:p>
          <w:p>
            <w:pPr>
              <w:pStyle w:val="null3"/>
              <w:ind w:firstLine="400"/>
            </w:pPr>
            <w:r>
              <w:rPr>
                <w:rFonts w:ascii="仿宋_GB2312" w:hAnsi="仿宋_GB2312" w:cs="仿宋_GB2312" w:eastAsia="仿宋_GB2312"/>
                <w:color w:val="0000FF"/>
              </w:rPr>
              <w:t>15</w:t>
            </w:r>
            <w:r>
              <w:rPr>
                <w:rFonts w:ascii="仿宋_GB2312" w:hAnsi="仿宋_GB2312" w:cs="仿宋_GB2312" w:eastAsia="仿宋_GB2312"/>
                <w:color w:val="0000FF"/>
              </w:rPr>
              <w:t>.</w:t>
            </w:r>
            <w:r>
              <w:rPr>
                <w:rFonts w:ascii="仿宋_GB2312" w:hAnsi="仿宋_GB2312" w:cs="仿宋_GB2312" w:eastAsia="仿宋_GB2312"/>
                <w:color w:val="0000FF"/>
              </w:rPr>
              <w:t>运维</w:t>
            </w:r>
            <w:r>
              <w:rPr>
                <w:rFonts w:ascii="仿宋_GB2312" w:hAnsi="仿宋_GB2312" w:cs="仿宋_GB2312" w:eastAsia="仿宋_GB2312"/>
                <w:color w:val="0000FF"/>
              </w:rPr>
              <w:t>服务合同到期后，供应商必须将所有资料无条件移交给采购人，且保证资料的真实与完整。</w:t>
            </w:r>
          </w:p>
          <w:p>
            <w:pPr>
              <w:pStyle w:val="null3"/>
            </w:pPr>
            <w:r>
              <w:rPr>
                <w:rFonts w:ascii="仿宋_GB2312" w:hAnsi="仿宋_GB2312" w:cs="仿宋_GB2312" w:eastAsia="仿宋_GB2312"/>
                <w:sz w:val="21"/>
                <w:color w:val="0000FF"/>
              </w:rPr>
              <w:t>16.</w:t>
            </w:r>
            <w:r>
              <w:rPr>
                <w:rFonts w:ascii="仿宋_GB2312" w:hAnsi="仿宋_GB2312" w:cs="仿宋_GB2312" w:eastAsia="仿宋_GB2312"/>
                <w:sz w:val="21"/>
                <w:color w:val="0000FF"/>
              </w:rPr>
              <w:t>医院不保证项目实际发生的业务量，由不可抗力因素导致工作量的减少或增多所带来的风险由供应商自行承担。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合同期为1年，自合同签字生效之日算起。合同到期前30日内，采购人对供应商全年服务工作进行考核，考核结果合格后可续签下一年度服务合同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达到合格（达到国家强制性合格标准），具体参照采购人相关制度执行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污水处理站运行稳定、设施维护到位、出水达标排放并经考核合格后按照每季度支付运营维护费。若在运行中出现废水超标排放、设备维护不到位导致的设备损坏、人员不安全事故的发生等现象，待上述问题处理完成后支付运营维护费。供应商在医院支付维护费前应提供与当季运维费用相应数额的发票及报销所需相关材料，甲方在收到发票后20个工作日内支付当季运维费用。若乙方不提供或延期提供的甲方有权顺延付款。第一季度款项：，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污水处理站运行稳定、设施维护到位、出水达标排放并经考核合格后按照每季度支付运营维护费。若在运行中出现废水超标排放、设备维护不到位导致的设备损坏、人员不安全事故的发生等现象，待上述问题处理完成后支付运营维护费。供应商在医院支付维护费前应提供与当季运维费用相应数额的发票及报销所需相关材料，甲方在收到发票后20个工作日内支付当季运维费用。若乙方不提供或延期提供的甲方有权顺延付款。第二季度款项：，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污水处理站运行稳定、设施维护到位、出水达标排放并经考核合格后按照每季度支付运营维护费。若在运行中出现废水超标排放、设备维护不到位导致的设备损坏、人员不安全事故的发生等现象，待上述问题处理完成后支付运营维护费。供应商在医院支付维护费前应提供与当季运维费用相应数额的发票及报销所需相关材料，甲方在收到发票后20个工作日内支付当季运维费用。若乙方不提供或延期提供的甲方有权顺延付款。第三季度款项：，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污水处理站运行稳定、设施维护到位、出水达标排放并经考核合格后按照每季度支付运营维护费。若在运行中出现废水超标排放、设备维护不到位导致的设备损坏、人员不安全事故的发生等现象，待上述问题处理完成后支付运营维护费。供应商在医院支付维护费前应提供与当季运维费用相应数额的发票及报销所需相关材料，甲方在收到发票后20个工作日内支付当季运维费用。若乙方不提供或延期提供的甲方有权顺延付款。第四季度款项：，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（一）违约责任 1、合同签订完后交医院所在地环保部门备案，如污水处理不达标排放，或造成重大污染事故，造成相关部门罚款应由供应商负全部责任并承担排污费及相关罚款。如给第三方造成损失应由供应商全部承担相关责任。此外供应商应承担由此给医院造成的一切损失，包括但不限于给医院造成的实际损失、可预期利益、委托第三方产生的费用，以及医院因维权所产生的诉讼费、律师费、公证费、保全费、差旅费等全部相关费用。 2、供应商运营期间，保证医院的设备设施完好无损，正常运行，严格按照处理工艺执行，保证污水处理达标。如造成损坏必须在医院规定的时间内彻底整改，费用由供应商承担。 3、供应商运维期间未按照医院规定人数（管理人员1名，运维人员3名）上岗工作，未上岗人员费用按照西安市一类区最低标准以违约金形式在每季度运维费中扣除。 4、供应商在运维期间做好制剂材料和成品的管理。 5、医院制定污水处理站考核办法并作为合同有效附件，医院每季度付款以三个月考核评估平均分作为付款依据；平均分大于85分方可付款，小于85分每少一分以违约金1000元从季度运维费用中扣除。 6、如一方违反有关法律规定或违约，另一方有权解除合同，违约方应赔偿给另一方因违约造成的损失，包括但不限于造成的实际损失、可预期利益、委托第三方产生的费用，以及因维权所产生的诉讼费、律师费、公证费、保全费、差旅费等全部相关费用。 （二）其他商务要求： 1、合同包死总价包括：成交供应商履行合同义务所需的全部费用(包括但不限于人工费、餐饮交通费、药剂费、污泥处理费、在线监测维护费、第三方检测费、污水站设备的维修和零配件的更换费、税费、发票等一切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社保的缴费证明材料(供应商提供2025年6月1日以来任意3个月的社保缴纳证明，其他组织形式供应商(如个体工商户、合作社、自然人等)可提供法人或负责人个人2025年6月1日以来任意3个月的社保资金缴纳证明材料)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纳税的缴费证明材料(供应商提供2025年6月1日以来任意3个月的纳税缴纳证明，免税企业提供税务机关出具相关的有效证明材料)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供应商具备建设行政主管部门颁发的环保工程专业承包三级及以上资质，供应商具备有效的安全生产许可证，且未被“全国工程质量安全监管信息平台公共服务门户”网站列为暂扣或吊销状态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响应函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 法定代表人授权合法授权代表参加磋商会议的，应出具法定代表人证明书、法定代表人授权书,同时提供授权代表在响应文件递交截止时间前连续3个月（不含开标当月）的社保缴纳证明材料；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供应商是否为西安市第八医院职工投资开办或控股企业、是否为西安市第八医院职工本人或其亲属担任高管、独立董事等具有重大利益关系职务</w:t>
            </w:r>
          </w:p>
        </w:tc>
        <w:tc>
          <w:tcPr>
            <w:tcW w:type="dxa" w:w="3322"/>
          </w:tcPr>
          <w:p>
            <w:pPr>
              <w:pStyle w:val="null3"/>
            </w:pPr>
            <w:r>
              <w:rPr>
                <w:rFonts w:ascii="仿宋_GB2312" w:hAnsi="仿宋_GB2312" w:cs="仿宋_GB2312" w:eastAsia="仿宋_GB2312"/>
              </w:rPr>
              <w:t>供应商非西安市第八医院职工投资开办或控股企业；西安市第八医院职工本人或其亲属未在公司担任高管、独立董事等具有重大利益关系职务</w:t>
            </w:r>
          </w:p>
        </w:tc>
        <w:tc>
          <w:tcPr>
            <w:tcW w:type="dxa" w:w="1661"/>
          </w:tcPr>
          <w:p>
            <w:pPr>
              <w:pStyle w:val="null3"/>
            </w:pPr>
            <w:r>
              <w:rPr>
                <w:rFonts w:ascii="仿宋_GB2312" w:hAnsi="仿宋_GB2312" w:cs="仿宋_GB2312" w:eastAsia="仿宋_GB2312"/>
              </w:rPr>
              <w:t>响应文件封面 利益关系承诺函.docx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根据供应商针对服务要求响应情况进行评审，完全响应并满足服务要求的得24.5分，有一项未响应或不满足采购需求的扣0.45分，扣完为止。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24.5000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思路及要点需包含①污水处理系统运营管理方案；②设备、设施故障维修、维护方案及在线设备的校准、校验方案；③污水站污泥收集、运输、处置方案，共3项内容，每项满分3分，总分9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服务质量的保障方案</w:t>
            </w:r>
          </w:p>
        </w:tc>
        <w:tc>
          <w:tcPr>
            <w:tcW w:type="dxa" w:w="2492"/>
          </w:tcPr>
          <w:p>
            <w:pPr>
              <w:pStyle w:val="null3"/>
            </w:pPr>
            <w:r>
              <w:rPr>
                <w:rFonts w:ascii="仿宋_GB2312" w:hAnsi="仿宋_GB2312" w:cs="仿宋_GB2312" w:eastAsia="仿宋_GB2312"/>
              </w:rPr>
              <w:t>供应商提供的服务质量保障措施方案需包含①污水处理站的正常运行保障方案；②污水检测报告出具质量保障方案，共2项内容，每项满分3分，总分6分。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供应商提供的服务开展的流程及规范方案需包含①污水处理站定期巡检、设备维护；②构筑物漂浮物清理及水质检测，共2项内容，每项满分3分，总分6分。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定期维护方案</w:t>
            </w:r>
          </w:p>
        </w:tc>
        <w:tc>
          <w:tcPr>
            <w:tcW w:type="dxa" w:w="2492"/>
          </w:tcPr>
          <w:p>
            <w:pPr>
              <w:pStyle w:val="null3"/>
            </w:pPr>
            <w:r>
              <w:rPr>
                <w:rFonts w:ascii="仿宋_GB2312" w:hAnsi="仿宋_GB2312" w:cs="仿宋_GB2312" w:eastAsia="仿宋_GB2312"/>
              </w:rPr>
              <w:t>供应商提供的定期维护方案需包含①制定维护记录表、污水处理量的月度运行监测表；②定期对污水处理系统设备进行维护保养及向医院提交污水站运维资料，共2项内容，每项满分3分，总分6分。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供应商提供的服务团队配备情况需包含人员配置情况表（至少包含管理人员1名；运维人员3人）及各流程节点岗位职责划分及岗位管理机制，共1项内容，每项满分3分，总分3分。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供应商提供的项目负责人具备环保工程类专业中级职称的，计0.5分，具备环保工程类专业高级职称的，计1分； 注：评审时以供应商提供的拟派项目负责人最高职称证书的扫描件或复印件为准，提供多个职称证明材料的，以最高职称材料为准，未提供的不得分。 供应商提供的服务团队人员中具有水质检测等其他相关专业技能证书的，每提供一份证书计0.5分，共计1.5分。 注：评审时以供应商提供的服务团队人员相关专业技能证书的扫描件或复印件为准，未提供的不得分。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设备配置方案</w:t>
            </w:r>
          </w:p>
        </w:tc>
        <w:tc>
          <w:tcPr>
            <w:tcW w:type="dxa" w:w="2492"/>
          </w:tcPr>
          <w:p>
            <w:pPr>
              <w:pStyle w:val="null3"/>
            </w:pPr>
            <w:r>
              <w:rPr>
                <w:rFonts w:ascii="仿宋_GB2312" w:hAnsi="仿宋_GB2312" w:cs="仿宋_GB2312" w:eastAsia="仿宋_GB2312"/>
              </w:rPr>
              <w:t>供应商提供的设备配置方案需包含项目配套服务设备配置情况表及运维、备用方案，共1项内容，每项满分3分，总分3分。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供应商提供的应急预案需包含突发污染事件、运维过程中发生水质污染物超标、污水泄漏、机器故障等内容，共1项内容，每项满分3分，总分3分。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书面承诺，承诺内容须包含：对设施运行中出现的故障及时维修，如发生突发事件（如污水泄漏、机器故障等），维修人员必须2小时内到达现场排查原因，并制定应急措施方案，做好安全防护警戒及围蔽，确保将事件影响降至最低。 提供有效承诺的，得2分； 未提供或承诺内容不全的，不得分。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供应商提供2023年6月1日以来的同类业绩证明材料，每提供一份有效同类业绩证明材料的得1分，满分5分。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详见附件：利益关系承诺函.docx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