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034948">
      <w:pPr>
        <w:adjustRightInd w:val="0"/>
        <w:snapToGrid w:val="0"/>
        <w:spacing w:line="360" w:lineRule="auto"/>
        <w:jc w:val="right"/>
        <w:rPr>
          <w:rFonts w:ascii="宋体" w:cs="Times New Roman"/>
          <w:b/>
          <w:bCs/>
          <w:color w:val="auto"/>
          <w:sz w:val="30"/>
          <w:szCs w:val="30"/>
        </w:rPr>
      </w:pPr>
      <w:bookmarkStart w:id="0" w:name="OLE_LINK9"/>
      <w:bookmarkStart w:id="205" w:name="_GoBack"/>
      <w:bookmarkEnd w:id="205"/>
      <w:r>
        <w:rPr>
          <w:rFonts w:hint="eastAsia" w:ascii="宋体" w:hAnsi="宋体" w:cs="宋体"/>
          <w:b/>
          <w:bCs/>
          <w:color w:val="auto"/>
          <w:sz w:val="30"/>
          <w:szCs w:val="30"/>
        </w:rPr>
        <w:t>政府采购项目</w:t>
      </w:r>
    </w:p>
    <w:p w14:paraId="38D95E52">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0"/>
          <w:szCs w:val="30"/>
        </w:rPr>
        <w:t>项目编号：</w:t>
      </w:r>
      <w:r>
        <w:rPr>
          <w:rFonts w:hint="eastAsia" w:ascii="宋体" w:hAnsi="宋体" w:cs="宋体"/>
          <w:b/>
          <w:bCs/>
          <w:color w:val="auto"/>
          <w:sz w:val="30"/>
          <w:szCs w:val="30"/>
          <w:lang w:eastAsia="zh-CN"/>
        </w:rPr>
        <w:t>AKSH2026-ZCS-069</w:t>
      </w:r>
      <w:r>
        <w:rPr>
          <w:rFonts w:hint="eastAsia" w:ascii="宋体" w:cs="Times New Roman"/>
          <w:b/>
          <w:bCs/>
          <w:color w:val="auto"/>
          <w:sz w:val="44"/>
          <w:szCs w:val="44"/>
        </w:rPr>
        <w:tab/>
      </w:r>
    </w:p>
    <w:p w14:paraId="7EDF1703">
      <w:pPr>
        <w:tabs>
          <w:tab w:val="left" w:pos="7400"/>
        </w:tabs>
        <w:adjustRightInd w:val="0"/>
        <w:snapToGrid w:val="0"/>
        <w:spacing w:line="360" w:lineRule="auto"/>
        <w:rPr>
          <w:rFonts w:ascii="宋体" w:cs="Times New Roman"/>
          <w:b/>
          <w:bCs/>
          <w:color w:val="auto"/>
          <w:sz w:val="36"/>
          <w:szCs w:val="36"/>
        </w:rPr>
      </w:pPr>
    </w:p>
    <w:p w14:paraId="79738ED2">
      <w:pPr>
        <w:pStyle w:val="12"/>
        <w:rPr>
          <w:color w:val="auto"/>
        </w:rPr>
      </w:pPr>
    </w:p>
    <w:p w14:paraId="4BBE0F36">
      <w:pPr>
        <w:keepNext w:val="0"/>
        <w:keepLines w:val="0"/>
        <w:pageBreakBefore w:val="0"/>
        <w:widowControl w:val="0"/>
        <w:kinsoku/>
        <w:wordWrap/>
        <w:overflowPunct/>
        <w:topLinePunct w:val="0"/>
        <w:autoSpaceDE/>
        <w:autoSpaceDN/>
        <w:bidi w:val="0"/>
        <w:adjustRightInd/>
        <w:snapToGrid/>
        <w:spacing w:before="327" w:beforeLines="100"/>
        <w:jc w:val="center"/>
        <w:textAlignment w:val="auto"/>
        <w:rPr>
          <w:rFonts w:hint="eastAsia" w:ascii="宋体" w:hAnsi="宋体" w:eastAsia="宋体"/>
          <w:b/>
          <w:color w:val="auto"/>
          <w:sz w:val="48"/>
          <w:szCs w:val="48"/>
          <w:lang w:eastAsia="zh-CN"/>
        </w:rPr>
      </w:pPr>
      <w:r>
        <w:rPr>
          <w:rFonts w:hint="eastAsia" w:ascii="宋体" w:hAnsi="宋体"/>
          <w:b/>
          <w:color w:val="auto"/>
          <w:sz w:val="48"/>
          <w:szCs w:val="48"/>
          <w:lang w:eastAsia="zh-CN"/>
        </w:rPr>
        <w:t>涉网新型行为分析系统</w:t>
      </w:r>
    </w:p>
    <w:p w14:paraId="65D8599D">
      <w:pPr>
        <w:pStyle w:val="22"/>
        <w:rPr>
          <w:color w:val="auto"/>
        </w:rPr>
      </w:pPr>
    </w:p>
    <w:p w14:paraId="7C3C5B29">
      <w:pPr>
        <w:pStyle w:val="22"/>
        <w:rPr>
          <w:color w:val="auto"/>
        </w:rPr>
      </w:pPr>
    </w:p>
    <w:p w14:paraId="70F6A762">
      <w:pPr>
        <w:pStyle w:val="22"/>
        <w:rPr>
          <w:color w:val="auto"/>
        </w:rPr>
      </w:pPr>
    </w:p>
    <w:p w14:paraId="7319B557">
      <w:pPr>
        <w:pStyle w:val="22"/>
        <w:rPr>
          <w:color w:val="auto"/>
        </w:rPr>
      </w:pPr>
    </w:p>
    <w:p w14:paraId="53C53C4A">
      <w:pPr>
        <w:pStyle w:val="22"/>
        <w:rPr>
          <w:color w:val="auto"/>
        </w:rPr>
      </w:pPr>
    </w:p>
    <w:p w14:paraId="3D1D8710">
      <w:pPr>
        <w:pStyle w:val="22"/>
        <w:rPr>
          <w:color w:val="auto"/>
        </w:rPr>
      </w:pPr>
    </w:p>
    <w:p w14:paraId="19541153">
      <w:pPr>
        <w:pStyle w:val="22"/>
        <w:rPr>
          <w:color w:val="auto"/>
        </w:rPr>
      </w:pPr>
    </w:p>
    <w:p w14:paraId="2DAF8C77">
      <w:pPr>
        <w:pStyle w:val="22"/>
        <w:rPr>
          <w:color w:val="auto"/>
        </w:rPr>
      </w:pPr>
    </w:p>
    <w:p w14:paraId="3D9171EA">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60288" behindDoc="0" locked="0" layoutInCell="1" allowOverlap="1">
            <wp:simplePos x="0" y="0"/>
            <wp:positionH relativeFrom="column">
              <wp:posOffset>2195830</wp:posOffset>
            </wp:positionH>
            <wp:positionV relativeFrom="paragraph">
              <wp:posOffset>171450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6"/>
                    <a:stretch>
                      <a:fillRect/>
                    </a:stretch>
                  </pic:blipFill>
                  <pic:spPr>
                    <a:xfrm>
                      <a:off x="0" y="0"/>
                      <a:ext cx="1599474" cy="1157901"/>
                    </a:xfrm>
                    <a:prstGeom prst="rect">
                      <a:avLst/>
                    </a:prstGeom>
                  </pic:spPr>
                </pic:pic>
              </a:graphicData>
            </a:graphic>
          </wp:anchor>
        </w:drawing>
      </w:r>
      <w:r>
        <w:rPr>
          <w:rFonts w:hint="eastAsia" w:ascii="宋体" w:cs="Times New Roman"/>
          <w:b/>
          <w:bCs/>
          <w:color w:val="auto"/>
          <w:sz w:val="52"/>
          <w:szCs w:val="52"/>
        </w:rPr>
        <w:t xml:space="preserve"> </w:t>
      </w:r>
    </w:p>
    <w:p w14:paraId="2557C5ED">
      <w:pPr>
        <w:adjustRightInd w:val="0"/>
        <w:snapToGrid w:val="0"/>
        <w:spacing w:line="360" w:lineRule="auto"/>
        <w:jc w:val="left"/>
        <w:rPr>
          <w:rFonts w:ascii="宋体" w:cs="Times New Roman"/>
          <w:b/>
          <w:bCs/>
          <w:color w:val="auto"/>
          <w:sz w:val="52"/>
          <w:szCs w:val="52"/>
        </w:rPr>
      </w:pPr>
      <w:r>
        <w:rPr>
          <w:rFonts w:hint="eastAsia" w:ascii="宋体" w:cs="Times New Roman"/>
          <w:b/>
          <w:bCs/>
          <w:color w:val="auto"/>
          <w:sz w:val="52"/>
          <w:szCs w:val="52"/>
        </w:rPr>
        <w:t xml:space="preserve">          </w:t>
      </w:r>
    </w:p>
    <w:p w14:paraId="05F46B71">
      <w:pPr>
        <w:pStyle w:val="12"/>
        <w:rPr>
          <w:color w:val="auto"/>
        </w:rPr>
      </w:pPr>
    </w:p>
    <w:p w14:paraId="365A2F98">
      <w:pPr>
        <w:tabs>
          <w:tab w:val="left" w:pos="0"/>
        </w:tabs>
        <w:adjustRightInd w:val="0"/>
        <w:snapToGrid w:val="0"/>
        <w:spacing w:line="360" w:lineRule="auto"/>
        <w:ind w:firstLine="2811" w:firstLineChars="500"/>
        <w:rPr>
          <w:rFonts w:ascii="宋体" w:hAnsi="宋体" w:cs="宋体"/>
          <w:b/>
          <w:bCs/>
          <w:color w:val="auto"/>
          <w:sz w:val="56"/>
          <w:szCs w:val="56"/>
        </w:rPr>
      </w:pPr>
      <w:r>
        <w:rPr>
          <w:rFonts w:hint="eastAsia" w:ascii="宋体" w:hAnsi="宋体" w:cs="宋体"/>
          <w:b/>
          <w:bCs/>
          <w:color w:val="auto"/>
          <w:sz w:val="56"/>
          <w:szCs w:val="56"/>
        </w:rPr>
        <w:t>竞争性磋商文件</w:t>
      </w:r>
    </w:p>
    <w:p w14:paraId="64AE20DA">
      <w:pPr>
        <w:rPr>
          <w:color w:val="auto"/>
        </w:rPr>
      </w:pPr>
    </w:p>
    <w:p w14:paraId="0DC2664A">
      <w:pPr>
        <w:pStyle w:val="22"/>
        <w:rPr>
          <w:color w:val="auto"/>
        </w:rPr>
      </w:pPr>
    </w:p>
    <w:p w14:paraId="5AACF131">
      <w:pPr>
        <w:pStyle w:val="22"/>
        <w:rPr>
          <w:color w:val="auto"/>
        </w:rPr>
      </w:pPr>
    </w:p>
    <w:p w14:paraId="4EA2678B">
      <w:pPr>
        <w:pStyle w:val="22"/>
        <w:rPr>
          <w:color w:val="auto"/>
        </w:rPr>
      </w:pPr>
    </w:p>
    <w:p w14:paraId="11B37C5E">
      <w:pPr>
        <w:pStyle w:val="22"/>
        <w:rPr>
          <w:color w:val="auto"/>
        </w:rPr>
      </w:pPr>
    </w:p>
    <w:p w14:paraId="3D4E1FED">
      <w:pPr>
        <w:pStyle w:val="22"/>
        <w:rPr>
          <w:color w:val="auto"/>
        </w:rPr>
      </w:pPr>
    </w:p>
    <w:p w14:paraId="28729689">
      <w:pPr>
        <w:pStyle w:val="22"/>
        <w:rPr>
          <w:color w:val="auto"/>
        </w:rPr>
      </w:pPr>
    </w:p>
    <w:p w14:paraId="4AD3068D">
      <w:pPr>
        <w:pStyle w:val="22"/>
        <w:rPr>
          <w:color w:val="auto"/>
        </w:rPr>
      </w:pPr>
    </w:p>
    <w:p w14:paraId="1F9B6AE0">
      <w:pPr>
        <w:adjustRightInd w:val="0"/>
        <w:snapToGrid w:val="0"/>
        <w:spacing w:line="840" w:lineRule="auto"/>
        <w:ind w:firstLine="1928" w:firstLineChars="600"/>
        <w:jc w:val="both"/>
        <w:rPr>
          <w:rFonts w:hint="default" w:ascii="宋体" w:hAnsi="宋体" w:eastAsia="宋体" w:cs="宋体"/>
          <w:b/>
          <w:bCs/>
          <w:color w:val="auto"/>
          <w:sz w:val="32"/>
          <w:szCs w:val="32"/>
          <w:lang w:val="en-US" w:eastAsia="zh-CN"/>
        </w:rPr>
      </w:pPr>
      <w:r>
        <w:rPr>
          <w:rFonts w:hint="eastAsia" w:ascii="宋体" w:hAnsi="宋体" w:cs="宋体"/>
          <w:b/>
          <w:bCs/>
          <w:color w:val="auto"/>
          <w:sz w:val="32"/>
          <w:szCs w:val="32"/>
        </w:rPr>
        <w:t>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购</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人：</w:t>
      </w:r>
      <w:r>
        <w:rPr>
          <w:rFonts w:hint="eastAsia" w:ascii="宋体" w:hAnsi="宋体" w:cs="宋体"/>
          <w:b/>
          <w:bCs/>
          <w:color w:val="auto"/>
          <w:sz w:val="32"/>
          <w:szCs w:val="32"/>
          <w:lang w:eastAsia="zh-CN"/>
        </w:rPr>
        <w:t>安康市公安局汉滨分局</w:t>
      </w:r>
    </w:p>
    <w:p w14:paraId="1AAE9B99">
      <w:pPr>
        <w:adjustRightInd w:val="0"/>
        <w:snapToGrid w:val="0"/>
        <w:spacing w:line="840" w:lineRule="auto"/>
        <w:ind w:firstLine="1928" w:firstLineChars="600"/>
        <w:jc w:val="both"/>
        <w:rPr>
          <w:rFonts w:ascii="宋体" w:hAnsi="宋体" w:cs="宋体"/>
          <w:b/>
          <w:bCs/>
          <w:color w:val="auto"/>
          <w:sz w:val="32"/>
          <w:szCs w:val="32"/>
        </w:rPr>
      </w:pPr>
      <w:r>
        <w:rPr>
          <w:rFonts w:hint="eastAsia" w:ascii="宋体" w:hAnsi="宋体" w:cs="宋体"/>
          <w:b/>
          <w:bCs/>
          <w:color w:val="auto"/>
          <w:sz w:val="32"/>
          <w:szCs w:val="32"/>
        </w:rPr>
        <w:t>代理机构：安康尚昊招标代理有限公司</w:t>
      </w:r>
    </w:p>
    <w:p w14:paraId="38BC934B">
      <w:pPr>
        <w:adjustRightInd w:val="0"/>
        <w:snapToGrid w:val="0"/>
        <w:spacing w:line="840" w:lineRule="auto"/>
        <w:ind w:firstLine="1928" w:firstLineChars="600"/>
        <w:jc w:val="both"/>
        <w:rPr>
          <w:rFonts w:ascii="宋体" w:cs="Times New Roman"/>
          <w:b/>
          <w:bCs/>
          <w:color w:val="auto"/>
          <w:sz w:val="30"/>
          <w:szCs w:val="30"/>
        </w:rPr>
        <w:sectPr>
          <w:headerReference r:id="rId4" w:type="first"/>
          <w:headerReference r:id="rId3" w:type="default"/>
          <w:footerReference r:id="rId5" w:type="default"/>
          <w:pgSz w:w="11906" w:h="16838"/>
          <w:pgMar w:top="1417" w:right="1417" w:bottom="1417" w:left="1417" w:header="850" w:footer="992" w:gutter="0"/>
          <w:pgBorders>
            <w:top w:val="none" w:sz="0" w:space="0"/>
            <w:left w:val="none" w:sz="0" w:space="0"/>
            <w:bottom w:val="none" w:sz="0" w:space="0"/>
            <w:right w:val="none" w:sz="0" w:space="0"/>
          </w:pgBorders>
          <w:cols w:space="0" w:num="1"/>
          <w:titlePg/>
          <w:docGrid w:type="lines" w:linePitch="326" w:charSpace="0"/>
        </w:sectPr>
      </w:pPr>
      <w:r>
        <w:rPr>
          <w:rFonts w:hint="eastAsia" w:ascii="宋体" w:hAnsi="宋体" w:cs="宋体"/>
          <w:b/>
          <w:bCs/>
          <w:color w:val="auto"/>
          <w:sz w:val="32"/>
          <w:szCs w:val="32"/>
        </w:rPr>
        <w:t>时    间：二</w:t>
      </w:r>
      <w:r>
        <w:rPr>
          <w:rFonts w:hint="eastAsia" w:ascii="宋体" w:hAnsi="宋体" w:cs="宋体"/>
          <w:b/>
          <w:bCs/>
          <w:color w:val="auto"/>
          <w:sz w:val="32"/>
          <w:szCs w:val="32"/>
          <w:lang w:val="en-US" w:eastAsia="zh-CN"/>
        </w:rPr>
        <w:t>〇</w:t>
      </w:r>
      <w:r>
        <w:rPr>
          <w:rFonts w:ascii="宋体" w:hAnsi="宋体" w:cs="宋体"/>
          <w:b/>
          <w:bCs/>
          <w:color w:val="auto"/>
          <w:sz w:val="32"/>
          <w:szCs w:val="32"/>
        </w:rPr>
        <w:t>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rPr>
        <w:t>年</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rPr>
        <w:t>月</w:t>
      </w:r>
    </w:p>
    <w:p w14:paraId="467B2201">
      <w:pPr>
        <w:pStyle w:val="25"/>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5B002BCE">
      <w:pPr>
        <w:rPr>
          <w:color w:val="auto"/>
        </w:rPr>
      </w:pPr>
    </w:p>
    <w:p w14:paraId="3505B514">
      <w:pPr>
        <w:pStyle w:val="25"/>
        <w:tabs>
          <w:tab w:val="center" w:pos="4819"/>
          <w:tab w:val="left" w:pos="6069"/>
          <w:tab w:val="right" w:leader="dot" w:pos="8306"/>
        </w:tabs>
        <w:spacing w:before="0" w:after="0" w:line="480" w:lineRule="exact"/>
        <w:jc w:val="center"/>
        <w:rPr>
          <w:rFonts w:ascii="宋体" w:hAnsi="宋体" w:cs="宋体"/>
          <w:b w:val="0"/>
          <w:bCs w:val="0"/>
          <w:color w:val="auto"/>
          <w:sz w:val="48"/>
          <w:szCs w:val="52"/>
        </w:rPr>
      </w:pPr>
      <w:r>
        <w:rPr>
          <w:rFonts w:hint="eastAsia" w:ascii="宋体" w:hAnsi="宋体" w:cs="宋体"/>
          <w:b w:val="0"/>
          <w:bCs w:val="0"/>
          <w:color w:val="auto"/>
          <w:sz w:val="48"/>
          <w:szCs w:val="52"/>
        </w:rPr>
        <w:t xml:space="preserve">目 </w:t>
      </w:r>
      <w:r>
        <w:rPr>
          <w:rFonts w:ascii="宋体" w:hAnsi="宋体" w:cs="宋体"/>
          <w:b w:val="0"/>
          <w:bCs w:val="0"/>
          <w:color w:val="auto"/>
          <w:sz w:val="48"/>
          <w:szCs w:val="52"/>
        </w:rPr>
        <w:t xml:space="preserve"> </w:t>
      </w:r>
      <w:r>
        <w:rPr>
          <w:rFonts w:hint="eastAsia" w:ascii="宋体" w:hAnsi="宋体" w:cs="宋体"/>
          <w:b w:val="0"/>
          <w:bCs w:val="0"/>
          <w:color w:val="auto"/>
          <w:sz w:val="48"/>
          <w:szCs w:val="52"/>
        </w:rPr>
        <w:t>录</w:t>
      </w:r>
    </w:p>
    <w:p w14:paraId="2A2A77A6">
      <w:pPr>
        <w:rPr>
          <w:color w:val="auto"/>
          <w:sz w:val="20"/>
          <w:szCs w:val="20"/>
        </w:rPr>
      </w:pPr>
    </w:p>
    <w:p w14:paraId="2F377768">
      <w:pPr>
        <w:pStyle w:val="25"/>
        <w:tabs>
          <w:tab w:val="right" w:leader="dot" w:pos="9072"/>
        </w:tabs>
        <w:rPr>
          <w:b w:val="0"/>
          <w:bCs w:val="0"/>
          <w:color w:val="auto"/>
          <w:sz w:val="28"/>
          <w:szCs w:val="28"/>
        </w:rPr>
      </w:pPr>
      <w:bookmarkStart w:id="1" w:name="_Toc19543333"/>
      <w:bookmarkStart w:id="2" w:name="_Toc536429369"/>
      <w:bookmarkStart w:id="3" w:name="_Toc536202282"/>
      <w:bookmarkStart w:id="4" w:name="_Toc536202376"/>
      <w:bookmarkStart w:id="5" w:name="OLE_LINK3"/>
      <w:bookmarkStart w:id="6" w:name="_Toc30089"/>
      <w:bookmarkStart w:id="7" w:name="_Toc438048787"/>
      <w:r>
        <w:rPr>
          <w:rFonts w:hint="eastAsia" w:ascii="宋体" w:hAnsi="宋体" w:cs="宋体"/>
          <w:caps w:val="0"/>
          <w:color w:val="auto"/>
          <w:sz w:val="28"/>
          <w:szCs w:val="28"/>
        </w:rPr>
        <w:fldChar w:fldCharType="begin"/>
      </w:r>
      <w:r>
        <w:rPr>
          <w:rFonts w:hint="eastAsia" w:ascii="宋体" w:hAnsi="宋体" w:cs="宋体"/>
          <w:caps w:val="0"/>
          <w:color w:val="auto"/>
          <w:sz w:val="28"/>
          <w:szCs w:val="28"/>
        </w:rPr>
        <w:instrText xml:space="preserve"> TOC \o "1-1" \h \z \u </w:instrText>
      </w:r>
      <w:r>
        <w:rPr>
          <w:rFonts w:hint="eastAsia" w:ascii="宋体" w:hAnsi="宋体" w:cs="宋体"/>
          <w:caps w:val="0"/>
          <w:color w:val="auto"/>
          <w:sz w:val="28"/>
          <w:szCs w:val="28"/>
        </w:rPr>
        <w:fldChar w:fldCharType="separate"/>
      </w:r>
      <w:r>
        <w:rPr>
          <w:rFonts w:hint="eastAsia" w:ascii="宋体" w:hAnsi="宋体" w:cs="宋体"/>
          <w:b w:val="0"/>
          <w:bCs w:val="0"/>
          <w:caps w:val="0"/>
          <w:color w:val="auto"/>
          <w:sz w:val="28"/>
          <w:szCs w:val="44"/>
        </w:rPr>
        <w:fldChar w:fldCharType="begin"/>
      </w:r>
      <w:r>
        <w:rPr>
          <w:rFonts w:hint="eastAsia" w:ascii="宋体" w:hAnsi="宋体" w:cs="宋体"/>
          <w:b w:val="0"/>
          <w:bCs w:val="0"/>
          <w:caps w:val="0"/>
          <w:color w:val="auto"/>
          <w:sz w:val="28"/>
          <w:szCs w:val="44"/>
        </w:rPr>
        <w:instrText xml:space="preserve"> HYPERLINK \l _Toc8117 </w:instrText>
      </w:r>
      <w:r>
        <w:rPr>
          <w:rFonts w:hint="eastAsia" w:ascii="宋体" w:hAnsi="宋体" w:cs="宋体"/>
          <w:b w:val="0"/>
          <w:bCs w:val="0"/>
          <w:caps w:val="0"/>
          <w:color w:val="auto"/>
          <w:sz w:val="28"/>
          <w:szCs w:val="44"/>
        </w:rPr>
        <w:fldChar w:fldCharType="separate"/>
      </w:r>
      <w:r>
        <w:rPr>
          <w:rFonts w:hint="eastAsia"/>
          <w:b w:val="0"/>
          <w:bCs w:val="0"/>
          <w:color w:val="auto"/>
          <w:sz w:val="28"/>
          <w:szCs w:val="28"/>
        </w:rPr>
        <w:t>第一部分  竞争性</w:t>
      </w:r>
      <w:r>
        <w:rPr>
          <w:b w:val="0"/>
          <w:bCs w:val="0"/>
          <w:color w:val="auto"/>
          <w:sz w:val="28"/>
          <w:szCs w:val="28"/>
        </w:rPr>
        <w:t>磋商公告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_Toc8117 \h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rFonts w:hint="eastAsia" w:ascii="宋体" w:hAnsi="宋体" w:cs="宋体"/>
          <w:b w:val="0"/>
          <w:bCs w:val="0"/>
          <w:caps w:val="0"/>
          <w:color w:val="auto"/>
          <w:sz w:val="28"/>
          <w:szCs w:val="44"/>
        </w:rPr>
        <w:fldChar w:fldCharType="end"/>
      </w:r>
    </w:p>
    <w:p w14:paraId="0FD63691">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44"/>
        </w:rPr>
        <w:fldChar w:fldCharType="begin"/>
      </w:r>
      <w:r>
        <w:rPr>
          <w:rFonts w:hint="eastAsia" w:ascii="宋体" w:hAnsi="宋体" w:cs="宋体"/>
          <w:b w:val="0"/>
          <w:bCs w:val="0"/>
          <w:caps/>
          <w:color w:val="auto"/>
          <w:kern w:val="2"/>
          <w:sz w:val="28"/>
          <w:szCs w:val="44"/>
        </w:rPr>
        <w:instrText xml:space="preserve"> HYPERLINK \l _Toc28381 </w:instrText>
      </w:r>
      <w:r>
        <w:rPr>
          <w:rFonts w:hint="eastAsia" w:ascii="宋体" w:hAnsi="宋体" w:cs="宋体"/>
          <w:b w:val="0"/>
          <w:bCs w:val="0"/>
          <w:caps/>
          <w:color w:val="auto"/>
          <w:kern w:val="2"/>
          <w:sz w:val="28"/>
          <w:szCs w:val="44"/>
        </w:rPr>
        <w:fldChar w:fldCharType="separate"/>
      </w:r>
      <w:r>
        <w:rPr>
          <w:rFonts w:hint="eastAsia"/>
          <w:b w:val="0"/>
          <w:bCs w:val="0"/>
          <w:color w:val="auto"/>
          <w:sz w:val="28"/>
          <w:szCs w:val="28"/>
        </w:rPr>
        <w:t>第二部分</w:t>
      </w:r>
      <w:r>
        <w:rPr>
          <w:b w:val="0"/>
          <w:bCs w:val="0"/>
          <w:color w:val="auto"/>
          <w:sz w:val="28"/>
          <w:szCs w:val="28"/>
        </w:rPr>
        <w:t xml:space="preserve">  </w:t>
      </w:r>
      <w:r>
        <w:rPr>
          <w:rFonts w:hint="eastAsia"/>
          <w:b w:val="0"/>
          <w:bCs w:val="0"/>
          <w:color w:val="auto"/>
          <w:sz w:val="28"/>
          <w:szCs w:val="28"/>
        </w:rPr>
        <w:t>供应商须知前附表</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_Toc28381 \h </w:instrText>
      </w:r>
      <w:r>
        <w:rPr>
          <w:b w:val="0"/>
          <w:bCs w:val="0"/>
          <w:color w:val="auto"/>
          <w:sz w:val="28"/>
          <w:szCs w:val="28"/>
        </w:rPr>
        <w:fldChar w:fldCharType="separate"/>
      </w:r>
      <w:r>
        <w:rPr>
          <w:b w:val="0"/>
          <w:bCs w:val="0"/>
          <w:color w:val="auto"/>
          <w:sz w:val="28"/>
          <w:szCs w:val="28"/>
        </w:rPr>
        <w:t>5</w:t>
      </w:r>
      <w:r>
        <w:rPr>
          <w:b w:val="0"/>
          <w:bCs w:val="0"/>
          <w:color w:val="auto"/>
          <w:sz w:val="28"/>
          <w:szCs w:val="28"/>
        </w:rPr>
        <w:fldChar w:fldCharType="end"/>
      </w:r>
      <w:r>
        <w:rPr>
          <w:rFonts w:hint="eastAsia" w:ascii="宋体" w:hAnsi="宋体" w:cs="宋体"/>
          <w:b w:val="0"/>
          <w:bCs w:val="0"/>
          <w:caps/>
          <w:color w:val="auto"/>
          <w:kern w:val="2"/>
          <w:sz w:val="28"/>
          <w:szCs w:val="44"/>
        </w:rPr>
        <w:fldChar w:fldCharType="end"/>
      </w:r>
    </w:p>
    <w:p w14:paraId="541FD87C">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44"/>
        </w:rPr>
        <w:fldChar w:fldCharType="begin"/>
      </w:r>
      <w:r>
        <w:rPr>
          <w:rFonts w:hint="eastAsia" w:ascii="宋体" w:hAnsi="宋体" w:cs="宋体"/>
          <w:b w:val="0"/>
          <w:bCs w:val="0"/>
          <w:caps/>
          <w:color w:val="auto"/>
          <w:kern w:val="2"/>
          <w:sz w:val="28"/>
          <w:szCs w:val="44"/>
        </w:rPr>
        <w:instrText xml:space="preserve"> HYPERLINK \l _Toc7866 </w:instrText>
      </w:r>
      <w:r>
        <w:rPr>
          <w:rFonts w:hint="eastAsia" w:ascii="宋体" w:hAnsi="宋体" w:cs="宋体"/>
          <w:b w:val="0"/>
          <w:bCs w:val="0"/>
          <w:caps/>
          <w:color w:val="auto"/>
          <w:kern w:val="2"/>
          <w:sz w:val="28"/>
          <w:szCs w:val="44"/>
        </w:rPr>
        <w:fldChar w:fldCharType="separate"/>
      </w:r>
      <w:r>
        <w:rPr>
          <w:rFonts w:hint="eastAsia" w:ascii="宋体" w:hAnsi="宋体" w:cs="宋体"/>
          <w:b w:val="0"/>
          <w:bCs w:val="0"/>
          <w:color w:val="auto"/>
          <w:sz w:val="28"/>
          <w:szCs w:val="28"/>
        </w:rPr>
        <w:t xml:space="preserve">第三部分 </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供应商须知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_Toc7866 \h </w:instrText>
      </w:r>
      <w:r>
        <w:rPr>
          <w:b w:val="0"/>
          <w:bCs w:val="0"/>
          <w:color w:val="auto"/>
          <w:sz w:val="28"/>
          <w:szCs w:val="28"/>
        </w:rPr>
        <w:fldChar w:fldCharType="separate"/>
      </w:r>
      <w:r>
        <w:rPr>
          <w:b w:val="0"/>
          <w:bCs w:val="0"/>
          <w:color w:val="auto"/>
          <w:sz w:val="28"/>
          <w:szCs w:val="28"/>
        </w:rPr>
        <w:t>8</w:t>
      </w:r>
      <w:r>
        <w:rPr>
          <w:b w:val="0"/>
          <w:bCs w:val="0"/>
          <w:color w:val="auto"/>
          <w:sz w:val="28"/>
          <w:szCs w:val="28"/>
        </w:rPr>
        <w:fldChar w:fldCharType="end"/>
      </w:r>
      <w:r>
        <w:rPr>
          <w:rFonts w:hint="eastAsia" w:ascii="宋体" w:hAnsi="宋体" w:cs="宋体"/>
          <w:b w:val="0"/>
          <w:bCs w:val="0"/>
          <w:caps/>
          <w:color w:val="auto"/>
          <w:kern w:val="2"/>
          <w:sz w:val="28"/>
          <w:szCs w:val="44"/>
        </w:rPr>
        <w:fldChar w:fldCharType="end"/>
      </w:r>
    </w:p>
    <w:p w14:paraId="42FAFC8B">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44"/>
        </w:rPr>
        <w:fldChar w:fldCharType="begin"/>
      </w:r>
      <w:r>
        <w:rPr>
          <w:rFonts w:hint="eastAsia" w:ascii="宋体" w:hAnsi="宋体" w:cs="宋体"/>
          <w:b w:val="0"/>
          <w:bCs w:val="0"/>
          <w:caps/>
          <w:color w:val="auto"/>
          <w:kern w:val="2"/>
          <w:sz w:val="28"/>
          <w:szCs w:val="44"/>
        </w:rPr>
        <w:instrText xml:space="preserve"> HYPERLINK \l _Toc18523 </w:instrText>
      </w:r>
      <w:r>
        <w:rPr>
          <w:rFonts w:hint="eastAsia" w:ascii="宋体" w:hAnsi="宋体" w:cs="宋体"/>
          <w:b w:val="0"/>
          <w:bCs w:val="0"/>
          <w:caps/>
          <w:color w:val="auto"/>
          <w:kern w:val="2"/>
          <w:sz w:val="28"/>
          <w:szCs w:val="44"/>
        </w:rPr>
        <w:fldChar w:fldCharType="separate"/>
      </w:r>
      <w:r>
        <w:rPr>
          <w:rFonts w:hint="eastAsia"/>
          <w:b w:val="0"/>
          <w:bCs w:val="0"/>
          <w:color w:val="auto"/>
          <w:sz w:val="28"/>
          <w:szCs w:val="28"/>
        </w:rPr>
        <w:t xml:space="preserve">第四部分 </w:t>
      </w:r>
      <w:r>
        <w:rPr>
          <w:rFonts w:hint="eastAsia"/>
          <w:b w:val="0"/>
          <w:bCs w:val="0"/>
          <w:color w:val="auto"/>
          <w:sz w:val="28"/>
          <w:szCs w:val="28"/>
          <w:lang w:val="en-US" w:eastAsia="zh-CN"/>
        </w:rPr>
        <w:t xml:space="preserve"> </w:t>
      </w:r>
      <w:r>
        <w:rPr>
          <w:rFonts w:hint="eastAsia"/>
          <w:b w:val="0"/>
          <w:bCs w:val="0"/>
          <w:color w:val="auto"/>
          <w:sz w:val="28"/>
          <w:szCs w:val="28"/>
        </w:rPr>
        <w:t>评分</w:t>
      </w:r>
      <w:r>
        <w:rPr>
          <w:b w:val="0"/>
          <w:bCs w:val="0"/>
          <w:color w:val="auto"/>
          <w:sz w:val="28"/>
          <w:szCs w:val="28"/>
        </w:rPr>
        <w:t>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_Toc18523 \h </w:instrText>
      </w:r>
      <w:r>
        <w:rPr>
          <w:b w:val="0"/>
          <w:bCs w:val="0"/>
          <w:color w:val="auto"/>
          <w:sz w:val="28"/>
          <w:szCs w:val="28"/>
        </w:rPr>
        <w:fldChar w:fldCharType="separate"/>
      </w:r>
      <w:r>
        <w:rPr>
          <w:b w:val="0"/>
          <w:bCs w:val="0"/>
          <w:color w:val="auto"/>
          <w:sz w:val="28"/>
          <w:szCs w:val="28"/>
        </w:rPr>
        <w:t>24</w:t>
      </w:r>
      <w:r>
        <w:rPr>
          <w:b w:val="0"/>
          <w:bCs w:val="0"/>
          <w:color w:val="auto"/>
          <w:sz w:val="28"/>
          <w:szCs w:val="28"/>
        </w:rPr>
        <w:fldChar w:fldCharType="end"/>
      </w:r>
      <w:r>
        <w:rPr>
          <w:rFonts w:hint="eastAsia" w:ascii="宋体" w:hAnsi="宋体" w:cs="宋体"/>
          <w:b w:val="0"/>
          <w:bCs w:val="0"/>
          <w:caps/>
          <w:color w:val="auto"/>
          <w:kern w:val="2"/>
          <w:sz w:val="28"/>
          <w:szCs w:val="44"/>
        </w:rPr>
        <w:fldChar w:fldCharType="end"/>
      </w:r>
    </w:p>
    <w:p w14:paraId="6727F05C">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44"/>
        </w:rPr>
        <w:fldChar w:fldCharType="begin"/>
      </w:r>
      <w:r>
        <w:rPr>
          <w:rFonts w:hint="eastAsia" w:ascii="宋体" w:hAnsi="宋体" w:cs="宋体"/>
          <w:b w:val="0"/>
          <w:bCs w:val="0"/>
          <w:caps/>
          <w:color w:val="auto"/>
          <w:kern w:val="2"/>
          <w:sz w:val="28"/>
          <w:szCs w:val="44"/>
        </w:rPr>
        <w:instrText xml:space="preserve"> HYPERLINK \l _Toc11325 </w:instrText>
      </w:r>
      <w:r>
        <w:rPr>
          <w:rFonts w:hint="eastAsia" w:ascii="宋体" w:hAnsi="宋体" w:cs="宋体"/>
          <w:b w:val="0"/>
          <w:bCs w:val="0"/>
          <w:caps/>
          <w:color w:val="auto"/>
          <w:kern w:val="2"/>
          <w:sz w:val="28"/>
          <w:szCs w:val="44"/>
        </w:rPr>
        <w:fldChar w:fldCharType="separate"/>
      </w:r>
      <w:r>
        <w:rPr>
          <w:rFonts w:hint="eastAsia" w:ascii="宋体" w:hAnsi="宋体" w:cs="宋体"/>
          <w:b w:val="0"/>
          <w:bCs w:val="0"/>
          <w:color w:val="auto"/>
          <w:sz w:val="28"/>
          <w:szCs w:val="28"/>
        </w:rPr>
        <w:t xml:space="preserve">第五部分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rPr>
        <w:t>采购内容及要求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_Toc11325 \h </w:instrText>
      </w:r>
      <w:r>
        <w:rPr>
          <w:b w:val="0"/>
          <w:bCs w:val="0"/>
          <w:color w:val="auto"/>
          <w:sz w:val="28"/>
          <w:szCs w:val="28"/>
        </w:rPr>
        <w:fldChar w:fldCharType="separate"/>
      </w:r>
      <w:r>
        <w:rPr>
          <w:b w:val="0"/>
          <w:bCs w:val="0"/>
          <w:color w:val="auto"/>
          <w:sz w:val="28"/>
          <w:szCs w:val="28"/>
        </w:rPr>
        <w:t>28</w:t>
      </w:r>
      <w:r>
        <w:rPr>
          <w:b w:val="0"/>
          <w:bCs w:val="0"/>
          <w:color w:val="auto"/>
          <w:sz w:val="28"/>
          <w:szCs w:val="28"/>
        </w:rPr>
        <w:fldChar w:fldCharType="end"/>
      </w:r>
      <w:r>
        <w:rPr>
          <w:rFonts w:hint="eastAsia" w:ascii="宋体" w:hAnsi="宋体" w:cs="宋体"/>
          <w:b w:val="0"/>
          <w:bCs w:val="0"/>
          <w:caps/>
          <w:color w:val="auto"/>
          <w:kern w:val="2"/>
          <w:sz w:val="28"/>
          <w:szCs w:val="44"/>
        </w:rPr>
        <w:fldChar w:fldCharType="end"/>
      </w:r>
    </w:p>
    <w:p w14:paraId="7C0EC921">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44"/>
        </w:rPr>
        <w:fldChar w:fldCharType="begin"/>
      </w:r>
      <w:r>
        <w:rPr>
          <w:rFonts w:hint="eastAsia" w:ascii="宋体" w:hAnsi="宋体" w:cs="宋体"/>
          <w:b w:val="0"/>
          <w:bCs w:val="0"/>
          <w:caps/>
          <w:color w:val="auto"/>
          <w:kern w:val="2"/>
          <w:sz w:val="28"/>
          <w:szCs w:val="44"/>
        </w:rPr>
        <w:instrText xml:space="preserve"> HYPERLINK \l _Toc30964 </w:instrText>
      </w:r>
      <w:r>
        <w:rPr>
          <w:rFonts w:hint="eastAsia" w:ascii="宋体" w:hAnsi="宋体" w:cs="宋体"/>
          <w:b w:val="0"/>
          <w:bCs w:val="0"/>
          <w:caps/>
          <w:color w:val="auto"/>
          <w:kern w:val="2"/>
          <w:sz w:val="28"/>
          <w:szCs w:val="44"/>
        </w:rPr>
        <w:fldChar w:fldCharType="separate"/>
      </w:r>
      <w:r>
        <w:rPr>
          <w:rFonts w:hint="eastAsia" w:ascii="宋体" w:hAnsi="宋体" w:cs="宋体"/>
          <w:b w:val="0"/>
          <w:bCs w:val="0"/>
          <w:color w:val="auto"/>
          <w:sz w:val="28"/>
          <w:szCs w:val="28"/>
        </w:rPr>
        <w:t xml:space="preserve">第六部分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rPr>
        <w:t>商务及合同主要条款</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_Toc30964 \h </w:instrText>
      </w:r>
      <w:r>
        <w:rPr>
          <w:b w:val="0"/>
          <w:bCs w:val="0"/>
          <w:color w:val="auto"/>
          <w:sz w:val="28"/>
          <w:szCs w:val="28"/>
        </w:rPr>
        <w:fldChar w:fldCharType="separate"/>
      </w:r>
      <w:r>
        <w:rPr>
          <w:b w:val="0"/>
          <w:bCs w:val="0"/>
          <w:color w:val="auto"/>
          <w:sz w:val="28"/>
          <w:szCs w:val="28"/>
        </w:rPr>
        <w:t>30</w:t>
      </w:r>
      <w:r>
        <w:rPr>
          <w:b w:val="0"/>
          <w:bCs w:val="0"/>
          <w:color w:val="auto"/>
          <w:sz w:val="28"/>
          <w:szCs w:val="28"/>
        </w:rPr>
        <w:fldChar w:fldCharType="end"/>
      </w:r>
      <w:r>
        <w:rPr>
          <w:rFonts w:hint="eastAsia" w:ascii="宋体" w:hAnsi="宋体" w:cs="宋体"/>
          <w:b w:val="0"/>
          <w:bCs w:val="0"/>
          <w:caps/>
          <w:color w:val="auto"/>
          <w:kern w:val="2"/>
          <w:sz w:val="28"/>
          <w:szCs w:val="44"/>
        </w:rPr>
        <w:fldChar w:fldCharType="end"/>
      </w:r>
    </w:p>
    <w:p w14:paraId="16E74207">
      <w:pPr>
        <w:pStyle w:val="25"/>
        <w:tabs>
          <w:tab w:val="right" w:leader="dot" w:pos="9072"/>
        </w:tabs>
        <w:rPr>
          <w:color w:val="auto"/>
        </w:rPr>
      </w:pPr>
      <w:r>
        <w:rPr>
          <w:rFonts w:hint="eastAsia" w:ascii="宋体" w:hAnsi="宋体" w:cs="宋体"/>
          <w:b w:val="0"/>
          <w:bCs w:val="0"/>
          <w:caps/>
          <w:color w:val="auto"/>
          <w:kern w:val="2"/>
          <w:sz w:val="28"/>
          <w:szCs w:val="44"/>
        </w:rPr>
        <w:fldChar w:fldCharType="begin"/>
      </w:r>
      <w:r>
        <w:rPr>
          <w:rFonts w:hint="eastAsia" w:ascii="宋体" w:hAnsi="宋体" w:cs="宋体"/>
          <w:b w:val="0"/>
          <w:bCs w:val="0"/>
          <w:caps/>
          <w:color w:val="auto"/>
          <w:kern w:val="2"/>
          <w:sz w:val="28"/>
          <w:szCs w:val="44"/>
        </w:rPr>
        <w:instrText xml:space="preserve"> HYPERLINK \l _Toc6574 </w:instrText>
      </w:r>
      <w:r>
        <w:rPr>
          <w:rFonts w:hint="eastAsia" w:ascii="宋体" w:hAnsi="宋体" w:cs="宋体"/>
          <w:b w:val="0"/>
          <w:bCs w:val="0"/>
          <w:caps/>
          <w:color w:val="auto"/>
          <w:kern w:val="2"/>
          <w:sz w:val="28"/>
          <w:szCs w:val="44"/>
        </w:rPr>
        <w:fldChar w:fldCharType="separate"/>
      </w:r>
      <w:r>
        <w:rPr>
          <w:rFonts w:hint="eastAsia"/>
          <w:b w:val="0"/>
          <w:bCs w:val="0"/>
          <w:color w:val="auto"/>
          <w:sz w:val="28"/>
          <w:szCs w:val="52"/>
          <w:lang w:val="en-US" w:eastAsia="zh-CN"/>
        </w:rPr>
        <w:t>第七部分  响应文件格式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_Toc6574 \h </w:instrText>
      </w:r>
      <w:r>
        <w:rPr>
          <w:b w:val="0"/>
          <w:bCs w:val="0"/>
          <w:color w:val="auto"/>
          <w:sz w:val="28"/>
          <w:szCs w:val="28"/>
        </w:rPr>
        <w:fldChar w:fldCharType="separate"/>
      </w:r>
      <w:r>
        <w:rPr>
          <w:b w:val="0"/>
          <w:bCs w:val="0"/>
          <w:color w:val="auto"/>
          <w:sz w:val="28"/>
          <w:szCs w:val="28"/>
        </w:rPr>
        <w:t>35</w:t>
      </w:r>
      <w:r>
        <w:rPr>
          <w:b w:val="0"/>
          <w:bCs w:val="0"/>
          <w:color w:val="auto"/>
          <w:sz w:val="28"/>
          <w:szCs w:val="28"/>
        </w:rPr>
        <w:fldChar w:fldCharType="end"/>
      </w:r>
      <w:r>
        <w:rPr>
          <w:rFonts w:hint="eastAsia" w:ascii="宋体" w:hAnsi="宋体" w:cs="宋体"/>
          <w:b w:val="0"/>
          <w:bCs w:val="0"/>
          <w:caps/>
          <w:color w:val="auto"/>
          <w:kern w:val="2"/>
          <w:sz w:val="28"/>
          <w:szCs w:val="44"/>
        </w:rPr>
        <w:fldChar w:fldCharType="end"/>
      </w:r>
    </w:p>
    <w:p w14:paraId="3DA09F7E">
      <w:pPr>
        <w:pStyle w:val="2"/>
        <w:tabs>
          <w:tab w:val="left" w:pos="206"/>
        </w:tabs>
        <w:spacing w:line="360" w:lineRule="auto"/>
        <w:jc w:val="left"/>
        <w:rPr>
          <w:color w:val="auto"/>
        </w:rPr>
        <w:sectPr>
          <w:headerReference r:id="rId7" w:type="first"/>
          <w:footerReference r:id="rId9" w:type="first"/>
          <w:headerReference r:id="rId6" w:type="default"/>
          <w:footerReference r:id="rId8" w:type="default"/>
          <w:pgSz w:w="11906" w:h="16838"/>
          <w:pgMar w:top="1417" w:right="1417" w:bottom="1417" w:left="1417" w:header="1134" w:footer="992" w:gutter="0"/>
          <w:pgBorders>
            <w:top w:val="none" w:sz="0" w:space="0"/>
            <w:left w:val="none" w:sz="0" w:space="0"/>
            <w:bottom w:val="none" w:sz="0" w:space="0"/>
            <w:right w:val="none" w:sz="0" w:space="0"/>
          </w:pgBorders>
          <w:pgNumType w:start="1"/>
          <w:cols w:space="0" w:num="1"/>
          <w:titlePg/>
          <w:docGrid w:type="lines" w:linePitch="326" w:charSpace="0"/>
        </w:sectPr>
      </w:pPr>
      <w:r>
        <w:rPr>
          <w:rFonts w:hint="eastAsia" w:ascii="宋体" w:hAnsi="宋体" w:cs="宋体"/>
          <w:caps/>
          <w:color w:val="auto"/>
          <w:kern w:val="2"/>
          <w:szCs w:val="28"/>
        </w:rPr>
        <w:fldChar w:fldCharType="end"/>
      </w:r>
    </w:p>
    <w:p w14:paraId="77860960">
      <w:pPr>
        <w:pStyle w:val="2"/>
        <w:keepNext/>
        <w:keepLines/>
        <w:pageBreakBefore w:val="0"/>
        <w:widowControl w:val="0"/>
        <w:tabs>
          <w:tab w:val="left" w:pos="206"/>
        </w:tabs>
        <w:kinsoku/>
        <w:wordWrap/>
        <w:overflowPunct/>
        <w:topLinePunct w:val="0"/>
        <w:autoSpaceDE/>
        <w:autoSpaceDN/>
        <w:bidi w:val="0"/>
        <w:adjustRightInd/>
        <w:snapToGrid/>
        <w:spacing w:before="164" w:beforeLines="50" w:after="164" w:afterLines="50" w:line="360" w:lineRule="auto"/>
        <w:jc w:val="center"/>
        <w:textAlignment w:val="auto"/>
        <w:rPr>
          <w:color w:val="auto"/>
        </w:rPr>
      </w:pPr>
      <w:bookmarkStart w:id="8" w:name="OLE_LINK27"/>
      <w:bookmarkStart w:id="9" w:name="_Toc8117"/>
      <w:r>
        <w:rPr>
          <w:rFonts w:hint="eastAsia"/>
          <w:color w:val="auto"/>
        </w:rPr>
        <w:t xml:space="preserve">第一部分  </w:t>
      </w:r>
      <w:bookmarkStart w:id="10" w:name="OLE_LINK1"/>
      <w:bookmarkStart w:id="11" w:name="OLE_LINK4"/>
      <w:r>
        <w:rPr>
          <w:rFonts w:hint="eastAsia"/>
          <w:color w:val="auto"/>
        </w:rPr>
        <w:t>竞争性</w:t>
      </w:r>
      <w:r>
        <w:rPr>
          <w:color w:val="auto"/>
        </w:rPr>
        <w:t>磋商公告</w:t>
      </w:r>
      <w:bookmarkEnd w:id="1"/>
      <w:bookmarkEnd w:id="2"/>
      <w:bookmarkEnd w:id="3"/>
      <w:bookmarkEnd w:id="4"/>
      <w:bookmarkEnd w:id="8"/>
      <w:bookmarkEnd w:id="9"/>
    </w:p>
    <w:bookmarkEnd w:id="5"/>
    <w:bookmarkEnd w:id="10"/>
    <w:bookmarkEnd w:id="11"/>
    <w:p w14:paraId="131E77C1">
      <w:pPr>
        <w:keepNext w:val="0"/>
        <w:keepLines w:val="0"/>
        <w:pageBreakBefore w:val="0"/>
        <w:widowControl/>
        <w:kinsoku/>
        <w:wordWrap/>
        <w:overflowPunct/>
        <w:topLinePunct w:val="0"/>
        <w:autoSpaceDE/>
        <w:autoSpaceDN/>
        <w:bidi w:val="0"/>
        <w:adjustRightInd/>
        <w:snapToGrid w:val="0"/>
        <w:spacing w:line="440" w:lineRule="exact"/>
        <w:ind w:right="0" w:rightChars="0"/>
        <w:jc w:val="left"/>
        <w:textAlignment w:val="auto"/>
        <w:rPr>
          <w:rFonts w:hint="eastAsia" w:ascii="宋体" w:hAnsi="宋体" w:eastAsia="宋体" w:cs="宋体"/>
          <w:b/>
          <w:bCs/>
          <w:color w:val="auto"/>
          <w:kern w:val="0"/>
          <w:sz w:val="24"/>
          <w:szCs w:val="24"/>
          <w:lang w:val="en-US" w:eastAsia="zh-CN"/>
        </w:rPr>
      </w:pPr>
      <w:bookmarkStart w:id="12" w:name="_Toc536202283"/>
      <w:bookmarkStart w:id="13" w:name="_Toc536202377"/>
      <w:bookmarkStart w:id="14" w:name="_Toc536429370"/>
      <w:bookmarkStart w:id="15" w:name="_Toc5018"/>
      <w:bookmarkStart w:id="16" w:name="_Toc536429317"/>
      <w:r>
        <w:rPr>
          <w:rFonts w:hint="eastAsia" w:ascii="宋体" w:hAnsi="宋体" w:eastAsia="宋体" w:cs="宋体"/>
          <w:b/>
          <w:bCs/>
          <w:color w:val="auto"/>
          <w:kern w:val="0"/>
          <w:sz w:val="24"/>
          <w:szCs w:val="24"/>
          <w:lang w:val="en-US" w:eastAsia="zh-CN"/>
        </w:rPr>
        <w:t>项目概况</w:t>
      </w:r>
    </w:p>
    <w:p w14:paraId="6C299C25">
      <w:pPr>
        <w:keepNext w:val="0"/>
        <w:keepLines w:val="0"/>
        <w:pageBreakBefore w:val="0"/>
        <w:widowControl/>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涉网新型行为分析系统</w:t>
      </w:r>
      <w:r>
        <w:rPr>
          <w:rFonts w:hint="eastAsia" w:ascii="宋体" w:hAnsi="宋体" w:eastAsia="宋体" w:cs="宋体"/>
          <w:color w:val="auto"/>
          <w:kern w:val="0"/>
          <w:sz w:val="24"/>
          <w:szCs w:val="24"/>
          <w:lang w:val="en-US" w:eastAsia="zh-CN"/>
        </w:rPr>
        <w:t>的潜在供应商应在安康市高新区高新观澜8栋2单元801室获取采购文件，并于</w:t>
      </w:r>
      <w:r>
        <w:rPr>
          <w:rFonts w:hint="eastAsia" w:ascii="宋体" w:hAnsi="宋体" w:cs="宋体"/>
          <w:b w:val="0"/>
          <w:bCs w:val="0"/>
          <w:color w:val="auto"/>
          <w:kern w:val="0"/>
          <w:sz w:val="24"/>
          <w:szCs w:val="24"/>
          <w:lang w:eastAsia="zh-CN"/>
        </w:rPr>
        <w:t>2026年6月29日15时00分00秒</w:t>
      </w:r>
      <w:r>
        <w:rPr>
          <w:rFonts w:hint="eastAsia" w:ascii="宋体" w:hAnsi="宋体" w:eastAsia="宋体" w:cs="宋体"/>
          <w:color w:val="auto"/>
          <w:kern w:val="0"/>
          <w:sz w:val="24"/>
          <w:szCs w:val="24"/>
        </w:rPr>
        <w:t>（北京时间）前提交响应文件。</w:t>
      </w:r>
    </w:p>
    <w:p w14:paraId="6842AD08">
      <w:pPr>
        <w:keepNext w:val="0"/>
        <w:keepLines w:val="0"/>
        <w:pageBreakBefore w:val="0"/>
        <w:widowControl/>
        <w:numPr>
          <w:ilvl w:val="0"/>
          <w:numId w:val="0"/>
        </w:numPr>
        <w:kinsoku/>
        <w:wordWrap/>
        <w:overflowPunct/>
        <w:topLinePunct w:val="0"/>
        <w:autoSpaceDE/>
        <w:autoSpaceDN/>
        <w:bidi w:val="0"/>
        <w:adjustRightInd/>
        <w:snapToGrid w:val="0"/>
        <w:spacing w:line="440" w:lineRule="exact"/>
        <w:ind w:leftChars="0" w:right="0" w:rightChars="0" w:firstLine="482" w:firstLineChars="200"/>
        <w:jc w:val="left"/>
        <w:textAlignment w:val="auto"/>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val="en-US" w:eastAsia="zh-CN"/>
        </w:rPr>
        <w:t>一、</w:t>
      </w:r>
      <w:r>
        <w:rPr>
          <w:rFonts w:hint="eastAsia" w:ascii="宋体" w:hAnsi="宋体" w:eastAsia="宋体" w:cs="宋体"/>
          <w:b/>
          <w:bCs/>
          <w:color w:val="auto"/>
          <w:kern w:val="0"/>
          <w:sz w:val="24"/>
          <w:szCs w:val="24"/>
        </w:rPr>
        <w:t>项目基本情况</w:t>
      </w:r>
    </w:p>
    <w:p w14:paraId="7B004B49">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项目编号：</w:t>
      </w:r>
      <w:r>
        <w:rPr>
          <w:rFonts w:hint="eastAsia" w:ascii="宋体" w:hAnsi="宋体" w:cs="宋体"/>
          <w:color w:val="auto"/>
          <w:kern w:val="0"/>
          <w:sz w:val="24"/>
          <w:szCs w:val="24"/>
          <w:lang w:eastAsia="zh-CN"/>
        </w:rPr>
        <w:t>AKSH2026-ZCS-069</w:t>
      </w:r>
    </w:p>
    <w:p w14:paraId="46B20455">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项目名称：</w:t>
      </w:r>
      <w:r>
        <w:rPr>
          <w:rFonts w:hint="eastAsia" w:ascii="宋体" w:hAnsi="宋体" w:cs="宋体"/>
          <w:color w:val="auto"/>
          <w:kern w:val="0"/>
          <w:sz w:val="24"/>
          <w:szCs w:val="24"/>
          <w:lang w:val="en-US" w:eastAsia="zh-CN"/>
        </w:rPr>
        <w:t>涉网新型行为分析系统</w:t>
      </w:r>
    </w:p>
    <w:p w14:paraId="3366F4E8">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采购方式：竞争性</w:t>
      </w:r>
      <w:r>
        <w:rPr>
          <w:rFonts w:hint="eastAsia" w:ascii="宋体" w:hAnsi="宋体" w:eastAsia="宋体" w:cs="宋体"/>
          <w:color w:val="auto"/>
          <w:kern w:val="0"/>
          <w:sz w:val="24"/>
          <w:szCs w:val="24"/>
          <w:lang w:val="en-US" w:eastAsia="zh-CN"/>
        </w:rPr>
        <w:t>磋商</w:t>
      </w:r>
    </w:p>
    <w:p w14:paraId="17AB7618">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预算金额：</w:t>
      </w:r>
      <w:r>
        <w:rPr>
          <w:rFonts w:hint="eastAsia" w:ascii="宋体" w:hAnsi="宋体" w:cs="宋体"/>
          <w:color w:val="auto"/>
          <w:kern w:val="0"/>
          <w:sz w:val="24"/>
          <w:szCs w:val="24"/>
          <w:lang w:val="en-US" w:eastAsia="zh-CN" w:bidi="ar-SA"/>
        </w:rPr>
        <w:t>298000.00</w:t>
      </w:r>
      <w:r>
        <w:rPr>
          <w:rFonts w:hint="eastAsia" w:ascii="宋体" w:hAnsi="宋体" w:eastAsia="宋体" w:cs="宋体"/>
          <w:color w:val="auto"/>
          <w:kern w:val="0"/>
          <w:sz w:val="24"/>
          <w:szCs w:val="24"/>
          <w:lang w:val="en-US" w:eastAsia="zh-CN" w:bidi="ar-SA"/>
        </w:rPr>
        <w:t>元</w:t>
      </w:r>
    </w:p>
    <w:p w14:paraId="6D6B6459">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采购需求：</w:t>
      </w:r>
    </w:p>
    <w:p w14:paraId="02650188">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合同包1(</w:t>
      </w:r>
      <w:r>
        <w:rPr>
          <w:rFonts w:hint="eastAsia" w:ascii="宋体" w:hAnsi="宋体" w:cs="宋体"/>
          <w:color w:val="auto"/>
          <w:kern w:val="0"/>
          <w:sz w:val="24"/>
          <w:szCs w:val="24"/>
          <w:lang w:val="en-US" w:eastAsia="zh-CN"/>
        </w:rPr>
        <w:t>涉网新型行为分析系统</w:t>
      </w:r>
      <w:r>
        <w:rPr>
          <w:rFonts w:hint="eastAsia" w:ascii="宋体" w:hAnsi="宋体" w:eastAsia="宋体" w:cs="宋体"/>
          <w:color w:val="auto"/>
          <w:kern w:val="0"/>
          <w:sz w:val="24"/>
          <w:szCs w:val="24"/>
          <w:lang w:eastAsia="zh-CN"/>
        </w:rPr>
        <w:t>)：</w:t>
      </w:r>
    </w:p>
    <w:p w14:paraId="149DFAF2">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合同包预算金额：</w:t>
      </w:r>
      <w:r>
        <w:rPr>
          <w:rFonts w:hint="eastAsia" w:ascii="宋体" w:hAnsi="宋体" w:cs="宋体"/>
          <w:color w:val="auto"/>
          <w:kern w:val="0"/>
          <w:sz w:val="24"/>
          <w:szCs w:val="24"/>
          <w:lang w:val="en-US" w:eastAsia="zh-CN" w:bidi="ar-SA"/>
        </w:rPr>
        <w:t>298000.00</w:t>
      </w:r>
      <w:r>
        <w:rPr>
          <w:rFonts w:hint="eastAsia" w:ascii="宋体" w:hAnsi="宋体" w:eastAsia="宋体" w:cs="宋体"/>
          <w:color w:val="auto"/>
          <w:kern w:val="0"/>
          <w:sz w:val="24"/>
          <w:szCs w:val="24"/>
          <w:lang w:val="en-US" w:eastAsia="zh-CN" w:bidi="ar-SA"/>
        </w:rPr>
        <w:t>元</w:t>
      </w:r>
    </w:p>
    <w:p w14:paraId="6C2242D3">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p>
    <w:tbl>
      <w:tblPr>
        <w:tblStyle w:val="36"/>
        <w:tblW w:w="994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57"/>
        <w:gridCol w:w="1974"/>
        <w:gridCol w:w="2038"/>
        <w:gridCol w:w="1631"/>
        <w:gridCol w:w="1906"/>
        <w:gridCol w:w="1440"/>
      </w:tblGrid>
      <w:tr w14:paraId="3378EC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83" w:hRule="atLeast"/>
          <w:tblHeader/>
          <w:jc w:val="center"/>
        </w:trPr>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6D97E0">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9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41350">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6308D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261220">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EC89F0">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F25A56">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0AE6A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2" w:hRule="atLeast"/>
          <w:jc w:val="center"/>
        </w:trPr>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74F3CA">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9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F91B1A">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其他信息技术服务</w:t>
            </w:r>
          </w:p>
        </w:tc>
        <w:tc>
          <w:tcPr>
            <w:tcW w:w="20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EB7484">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lang w:val="en-US"/>
              </w:rPr>
            </w:pPr>
            <w:r>
              <w:rPr>
                <w:rFonts w:hint="eastAsia" w:ascii="宋体" w:hAnsi="宋体" w:cs="宋体"/>
                <w:color w:val="auto"/>
                <w:kern w:val="0"/>
                <w:sz w:val="24"/>
                <w:szCs w:val="24"/>
                <w:lang w:val="en-US" w:eastAsia="zh-CN"/>
              </w:rPr>
              <w:t>涉网新型行为分析系统</w:t>
            </w:r>
          </w:p>
        </w:tc>
        <w:tc>
          <w:tcPr>
            <w:tcW w:w="16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F81FD3">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1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C28B8A">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873BC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rFonts w:hint="eastAsia"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298000.00</w:t>
            </w:r>
          </w:p>
        </w:tc>
      </w:tr>
    </w:tbl>
    <w:p w14:paraId="45CD0E48">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本合同包不接受联合体投标</w:t>
      </w:r>
    </w:p>
    <w:p w14:paraId="19DEEF04">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合同履行期限：</w:t>
      </w:r>
      <w:r>
        <w:rPr>
          <w:rFonts w:hint="eastAsia" w:ascii="宋体" w:hAnsi="宋体" w:cs="宋体"/>
          <w:color w:val="000000" w:themeColor="text1"/>
          <w:kern w:val="0"/>
          <w:sz w:val="24"/>
          <w:szCs w:val="24"/>
          <w:lang w:val="en-US" w:eastAsia="zh-CN" w:bidi="ar-SA"/>
          <w14:textFill>
            <w14:solidFill>
              <w14:schemeClr w14:val="tx1"/>
            </w14:solidFill>
          </w14:textFill>
        </w:rPr>
        <w:t>合同签订生效且账号开通后一年</w:t>
      </w:r>
    </w:p>
    <w:p w14:paraId="1293B93E">
      <w:pPr>
        <w:keepNext w:val="0"/>
        <w:keepLines w:val="0"/>
        <w:pageBreakBefore w:val="0"/>
        <w:kinsoku/>
        <w:wordWrap/>
        <w:overflowPunct/>
        <w:topLinePunct w:val="0"/>
        <w:autoSpaceDE/>
        <w:autoSpaceDN/>
        <w:bidi w:val="0"/>
        <w:adjustRightInd/>
        <w:spacing w:line="440" w:lineRule="exact"/>
        <w:ind w:left="0" w:leftChars="0" w:right="0" w:righ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14:paraId="28F6C7CB">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满足《中华人民共和国政府采购法》第二十二条规定</w:t>
      </w:r>
      <w:r>
        <w:rPr>
          <w:rFonts w:hint="eastAsia" w:ascii="宋体" w:hAnsi="宋体" w:eastAsia="宋体" w:cs="宋体"/>
          <w:color w:val="auto"/>
          <w:sz w:val="24"/>
          <w:szCs w:val="24"/>
          <w:lang w:eastAsia="zh-CN"/>
        </w:rPr>
        <w:t>；</w:t>
      </w:r>
    </w:p>
    <w:p w14:paraId="0727D6C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落实政府采购政策需满足的资格要求：</w:t>
      </w:r>
    </w:p>
    <w:p w14:paraId="25A31E3C">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cs="宋体"/>
          <w:color w:val="auto"/>
          <w:sz w:val="24"/>
          <w:szCs w:val="24"/>
          <w:lang w:eastAsia="zh-CN"/>
        </w:rPr>
        <w:t>涉网新型行为分析系统</w:t>
      </w:r>
      <w:r>
        <w:rPr>
          <w:rFonts w:hint="eastAsia" w:ascii="宋体" w:hAnsi="宋体" w:eastAsia="宋体" w:cs="宋体"/>
          <w:color w:val="auto"/>
          <w:sz w:val="24"/>
          <w:szCs w:val="24"/>
        </w:rPr>
        <w:t>)落实政府采购政策需满足的资格要求如下</w:t>
      </w:r>
      <w:r>
        <w:rPr>
          <w:rFonts w:hint="eastAsia" w:ascii="宋体" w:hAnsi="宋体" w:eastAsia="宋体" w:cs="宋体"/>
          <w:color w:val="auto"/>
          <w:sz w:val="24"/>
          <w:szCs w:val="24"/>
          <w:lang w:eastAsia="zh-CN"/>
        </w:rPr>
        <w:t>：</w:t>
      </w:r>
    </w:p>
    <w:p w14:paraId="7F849E7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依据《中华人民共和国政府采购法》和《中华人民共和国政府采购法实施条例》的有关规定，落实政府采购“优先购买节能环保产品、扶持小微企业、监狱企业、福利企业”等相关政策：</w:t>
      </w:r>
    </w:p>
    <w:p w14:paraId="395F1940">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（1）《政府采购促进中小企业发展管理办法》（财库〔2020〕46号）；</w:t>
      </w:r>
    </w:p>
    <w:p w14:paraId="74DF424A">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（2）《财政部司法部关于政府采购支持监狱企业发展有关问题的通知》（财库〔2014〕68号）；</w:t>
      </w:r>
    </w:p>
    <w:p w14:paraId="0CC6BE67">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（3）《财政部发展改革委生态环境部市场监管总局关于调整优化节能产品、环境标志产品政府采购执行机制的通知》（财库〔2019〕9号）；</w:t>
      </w:r>
    </w:p>
    <w:p w14:paraId="65A58A60">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（4）《财政部民政部中国残疾人联合会关于促进残疾人就业政府采购政策的通知》（财库〔2017〕141号）；</w:t>
      </w:r>
    </w:p>
    <w:p w14:paraId="34FE432F">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（5）《财政部农业农村部国家乡村振兴局关于运用政府采购政策支持乡村产业振兴的通知》财库〔2021〕19号；</w:t>
      </w:r>
    </w:p>
    <w:p w14:paraId="54150F31">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（6）《陕西省财政厅关于加快推进我省中小企业政府采购信用融资工作的通知》（陕 财办采〔2020〕15 号）、陕西省财政厅关于印发《陕西省中小企业政府采购信用融资办法》（陕财办采〔2018〕23 号）；</w:t>
      </w:r>
    </w:p>
    <w:p w14:paraId="47EA1D85">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（7）其他需要落实的政府采购政策。</w:t>
      </w:r>
    </w:p>
    <w:p w14:paraId="5CC02B34">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本项目的特定资格要求：</w:t>
      </w:r>
    </w:p>
    <w:p w14:paraId="769D083C">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cs="宋体"/>
          <w:color w:val="auto"/>
          <w:kern w:val="0"/>
          <w:sz w:val="24"/>
          <w:szCs w:val="24"/>
          <w:lang w:val="en-US" w:eastAsia="zh-CN"/>
        </w:rPr>
        <w:t>涉网新型行为分析系统</w:t>
      </w:r>
      <w:r>
        <w:rPr>
          <w:rFonts w:hint="eastAsia" w:ascii="宋体" w:hAnsi="宋体" w:eastAsia="宋体" w:cs="宋体"/>
          <w:color w:val="auto"/>
          <w:sz w:val="24"/>
          <w:szCs w:val="24"/>
        </w:rPr>
        <w:t>)特定资格要求如下</w:t>
      </w:r>
      <w:r>
        <w:rPr>
          <w:rFonts w:hint="eastAsia" w:ascii="宋体" w:hAnsi="宋体" w:eastAsia="宋体" w:cs="宋体"/>
          <w:color w:val="auto"/>
          <w:sz w:val="24"/>
          <w:szCs w:val="24"/>
          <w:lang w:eastAsia="zh-CN"/>
        </w:rPr>
        <w:t>：</w:t>
      </w:r>
    </w:p>
    <w:p w14:paraId="4F96BDF0">
      <w:pPr>
        <w:keepNext w:val="0"/>
        <w:keepLines w:val="0"/>
        <w:pageBreakBefore w:val="0"/>
        <w:tabs>
          <w:tab w:val="left" w:pos="567"/>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6AC9AE10">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cs="宋体"/>
          <w:color w:val="auto"/>
          <w:kern w:val="0"/>
          <w:sz w:val="24"/>
          <w:szCs w:val="24"/>
          <w:lang w:eastAsia="zh-CN"/>
        </w:rPr>
        <w:t>法定代表人授权书及被授权人身份证复印件（法定代表人直接投标只需提交其身份明材料）。</w:t>
      </w:r>
    </w:p>
    <w:p w14:paraId="5C12E81E">
      <w:pPr>
        <w:keepNext w:val="0"/>
        <w:keepLines w:val="0"/>
        <w:pageBreakBefore w:val="0"/>
        <w:tabs>
          <w:tab w:val="center" w:pos="4153"/>
          <w:tab w:val="right" w:pos="8306"/>
        </w:tabs>
        <w:kinsoku/>
        <w:wordWrap/>
        <w:overflowPunct/>
        <w:topLinePunct w:val="0"/>
        <w:autoSpaceDE/>
        <w:autoSpaceDN/>
        <w:bidi w:val="0"/>
        <w:adjustRightInd/>
        <w:snapToGrid w:val="0"/>
        <w:spacing w:line="42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787041BA">
      <w:pPr>
        <w:keepNext w:val="0"/>
        <w:keepLines w:val="0"/>
        <w:pageBreakBefore w:val="0"/>
        <w:kinsoku/>
        <w:wordWrap/>
        <w:overflowPunct/>
        <w:topLinePunct w:val="0"/>
        <w:autoSpaceDE/>
        <w:autoSpaceDN/>
        <w:bidi w:val="0"/>
        <w:adjustRightInd/>
        <w:spacing w:line="42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 xml:space="preserve">书面声明：投标人必须提供参加政府采购活动前3年内在经营活动中没有重大违法记录的书面声明。 </w:t>
      </w:r>
    </w:p>
    <w:p w14:paraId="20111B7E">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cs="宋体"/>
          <w:color w:val="auto"/>
          <w:sz w:val="24"/>
          <w:szCs w:val="24"/>
        </w:rPr>
        <w:t>税收缴纳证明：</w:t>
      </w:r>
      <w:r>
        <w:rPr>
          <w:rFonts w:hint="eastAsia" w:ascii="宋体" w:hAnsi="宋体" w:cs="宋体"/>
          <w:color w:val="auto"/>
          <w:sz w:val="24"/>
          <w:szCs w:val="24"/>
          <w:lang w:eastAsia="zh-CN"/>
        </w:rPr>
        <w:t>提供2025年6月至今任意一个月缴纳的纳税证明或完税证明</w:t>
      </w:r>
      <w:r>
        <w:rPr>
          <w:rFonts w:hint="eastAsia" w:ascii="宋体" w:hAnsi="宋体" w:cs="宋体"/>
          <w:color w:val="auto"/>
          <w:sz w:val="24"/>
          <w:szCs w:val="24"/>
        </w:rPr>
        <w:t>，依法免税或缓缴的单位应提供相关证明材料，纳税证明或完税证明上应有代收机构或税务机关的公章或业务专用章。</w:t>
      </w:r>
    </w:p>
    <w:p w14:paraId="7E17EF41">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cs="宋体"/>
          <w:color w:val="auto"/>
          <w:sz w:val="24"/>
          <w:szCs w:val="24"/>
        </w:rPr>
        <w:t>财务状况报告：</w:t>
      </w:r>
      <w:r>
        <w:rPr>
          <w:rFonts w:hint="eastAsia" w:ascii="宋体" w:hAnsi="宋体" w:cs="宋体"/>
          <w:color w:val="auto"/>
          <w:sz w:val="24"/>
          <w:szCs w:val="24"/>
          <w:lang w:eastAsia="zh-CN"/>
        </w:rPr>
        <w:t>提供2025年度经审计的财务审计报告或投标截止时间前六个月内基本开户银行出具的资信证明</w:t>
      </w:r>
      <w:r>
        <w:rPr>
          <w:rFonts w:hint="eastAsia" w:ascii="宋体" w:hAnsi="宋体" w:cs="宋体"/>
          <w:color w:val="auto"/>
          <w:sz w:val="24"/>
          <w:szCs w:val="24"/>
        </w:rPr>
        <w:t>（成立时间至提交响应文件截止时间不足一年的可提供成立后任意时段的资产负债表）</w:t>
      </w:r>
      <w:r>
        <w:rPr>
          <w:rFonts w:hint="eastAsia" w:ascii="宋体" w:hAnsi="宋体" w:cs="宋体"/>
          <w:color w:val="auto"/>
          <w:sz w:val="24"/>
          <w:szCs w:val="24"/>
          <w:lang w:eastAsia="zh-CN"/>
        </w:rPr>
        <w:t>。</w:t>
      </w:r>
    </w:p>
    <w:p w14:paraId="077402B8">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cs="宋体"/>
          <w:color w:val="auto"/>
          <w:sz w:val="24"/>
          <w:szCs w:val="24"/>
        </w:rPr>
        <w:t>社会保障资金缴纳证明：</w:t>
      </w:r>
      <w:r>
        <w:rPr>
          <w:rFonts w:hint="eastAsia" w:ascii="宋体" w:hAnsi="宋体" w:cs="宋体"/>
          <w:color w:val="auto"/>
          <w:sz w:val="24"/>
          <w:szCs w:val="24"/>
          <w:lang w:eastAsia="zh-CN"/>
        </w:rPr>
        <w:t>提供2025年6月至今任意一个月社会保障资金缴存单据</w:t>
      </w:r>
      <w:r>
        <w:rPr>
          <w:rFonts w:hint="eastAsia" w:ascii="宋体" w:hAnsi="宋体" w:cs="宋体"/>
          <w:color w:val="auto"/>
          <w:sz w:val="24"/>
          <w:szCs w:val="24"/>
        </w:rPr>
        <w:t>或社保机构开具的社会保险参保缴费情况证明，依法不需要缴纳社会保障资金的单位应提供相关证明材料，单据或证明上应有社保机构或代收机构的印章</w:t>
      </w:r>
      <w:r>
        <w:rPr>
          <w:rFonts w:hint="eastAsia" w:ascii="宋体" w:hAnsi="宋体" w:cs="宋体"/>
          <w:color w:val="auto"/>
          <w:sz w:val="24"/>
          <w:szCs w:val="24"/>
          <w:lang w:eastAsia="zh-CN"/>
        </w:rPr>
        <w:t>（</w:t>
      </w:r>
      <w:r>
        <w:rPr>
          <w:rFonts w:hint="eastAsia" w:ascii="宋体" w:hAnsi="宋体" w:cs="宋体"/>
          <w:color w:val="auto"/>
          <w:sz w:val="24"/>
          <w:szCs w:val="24"/>
        </w:rPr>
        <w:t>成立时间至提交响应文件截止时间不足三个月的可不提供</w:t>
      </w:r>
      <w:r>
        <w:rPr>
          <w:rFonts w:hint="eastAsia" w:ascii="宋体" w:hAnsi="宋体" w:cs="宋体"/>
          <w:color w:val="auto"/>
          <w:sz w:val="24"/>
          <w:szCs w:val="24"/>
          <w:lang w:eastAsia="zh-CN"/>
        </w:rPr>
        <w:t>）。</w:t>
      </w:r>
    </w:p>
    <w:p w14:paraId="1BCA6636">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（8）提供具有履行合同</w:t>
      </w:r>
      <w:r>
        <w:rPr>
          <w:rFonts w:hint="eastAsia" w:ascii="宋体" w:hAnsi="宋体" w:eastAsia="宋体" w:cs="宋体"/>
          <w:color w:val="auto"/>
          <w:kern w:val="2"/>
          <w:sz w:val="24"/>
          <w:szCs w:val="24"/>
          <w:lang w:val="en-US" w:eastAsia="zh-CN" w:bidi="ar-SA"/>
        </w:rPr>
        <w:t>所必需的设备和专业技术能力的承诺书</w:t>
      </w:r>
      <w:r>
        <w:rPr>
          <w:rFonts w:hint="eastAsia" w:ascii="宋体" w:hAnsi="宋体" w:cs="宋体"/>
          <w:color w:val="auto"/>
          <w:kern w:val="2"/>
          <w:sz w:val="24"/>
          <w:szCs w:val="24"/>
          <w:lang w:val="en-US" w:eastAsia="zh-CN" w:bidi="ar-SA"/>
        </w:rPr>
        <w:t>（格式自拟）。</w:t>
      </w:r>
    </w:p>
    <w:p w14:paraId="12874A27">
      <w:pPr>
        <w:keepNext w:val="0"/>
        <w:keepLines w:val="0"/>
        <w:pageBreakBefore w:val="0"/>
        <w:kinsoku/>
        <w:wordWrap/>
        <w:overflowPunct/>
        <w:topLinePunct w:val="0"/>
        <w:autoSpaceDE/>
        <w:autoSpaceDN/>
        <w:bidi w:val="0"/>
        <w:adjustRightInd/>
        <w:spacing w:line="500" w:lineRule="exact"/>
        <w:ind w:left="0" w:leftChars="0" w:right="0" w:rightChars="0"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（9）本项目不接受联合体投标。</w:t>
      </w:r>
    </w:p>
    <w:p w14:paraId="0B985CD8">
      <w:pPr>
        <w:keepNext w:val="0"/>
        <w:keepLines w:val="0"/>
        <w:pageBreakBefore w:val="0"/>
        <w:kinsoku/>
        <w:wordWrap/>
        <w:overflowPunct/>
        <w:topLinePunct w:val="0"/>
        <w:autoSpaceDE/>
        <w:autoSpaceDN/>
        <w:bidi w:val="0"/>
        <w:adjustRightInd/>
        <w:spacing w:line="500" w:lineRule="exact"/>
        <w:ind w:left="0" w:leftChars="0" w:right="0" w:rightChars="0"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12F1062E">
      <w:pPr>
        <w:keepNext w:val="0"/>
        <w:keepLines w:val="0"/>
        <w:pageBreakBefore w:val="0"/>
        <w:kinsoku/>
        <w:wordWrap/>
        <w:overflowPunct/>
        <w:topLinePunct w:val="0"/>
        <w:autoSpaceDE/>
        <w:autoSpaceDN/>
        <w:bidi w:val="0"/>
        <w:adjustRightInd/>
        <w:snapToGrid w:val="0"/>
        <w:spacing w:line="500" w:lineRule="exact"/>
        <w:ind w:left="0" w:leftChars="0" w:right="0" w:righ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w:t>
      </w:r>
      <w:r>
        <w:rPr>
          <w:rFonts w:hint="eastAsia" w:ascii="宋体" w:hAnsi="宋体" w:eastAsia="宋体" w:cs="宋体"/>
          <w:b/>
          <w:bCs/>
          <w:color w:val="auto"/>
          <w:sz w:val="24"/>
          <w:szCs w:val="24"/>
          <w:lang w:val="en-US" w:eastAsia="zh-CN"/>
        </w:rPr>
        <w:t>采购</w:t>
      </w:r>
      <w:r>
        <w:rPr>
          <w:rFonts w:hint="eastAsia" w:ascii="宋体" w:hAnsi="宋体" w:eastAsia="宋体" w:cs="宋体"/>
          <w:b/>
          <w:bCs/>
          <w:color w:val="auto"/>
          <w:sz w:val="24"/>
          <w:szCs w:val="24"/>
        </w:rPr>
        <w:t xml:space="preserve">文件获取 </w:t>
      </w:r>
    </w:p>
    <w:p w14:paraId="38A2C791">
      <w:pPr>
        <w:keepNext w:val="0"/>
        <w:keepLines w:val="0"/>
        <w:pageBreakBefore w:val="0"/>
        <w:kinsoku/>
        <w:wordWrap/>
        <w:overflowPunct/>
        <w:topLinePunct w:val="0"/>
        <w:autoSpaceDE/>
        <w:autoSpaceDN/>
        <w:bidi w:val="0"/>
        <w:adjustRightInd/>
        <w:spacing w:line="50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时间：</w:t>
      </w:r>
      <w:r>
        <w:rPr>
          <w:rFonts w:hint="eastAsia" w:ascii="宋体" w:hAnsi="宋体" w:eastAsia="宋体" w:cs="宋体"/>
          <w:color w:val="auto"/>
          <w:kern w:val="0"/>
          <w:sz w:val="24"/>
          <w:szCs w:val="24"/>
        </w:rPr>
        <w:t>202</w:t>
      </w:r>
      <w:r>
        <w:rPr>
          <w:rFonts w:hint="eastAsia" w:ascii="宋体" w:hAnsi="宋体" w:cs="宋体"/>
          <w:color w:val="auto"/>
          <w:kern w:val="0"/>
          <w:sz w:val="24"/>
          <w:szCs w:val="24"/>
          <w:lang w:val="en-US" w:eastAsia="zh-CN"/>
        </w:rPr>
        <w:t>6</w:t>
      </w:r>
      <w:r>
        <w:rPr>
          <w:rFonts w:hint="eastAsia" w:ascii="宋体" w:hAnsi="宋体" w:eastAsia="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17</w:t>
      </w:r>
      <w:r>
        <w:rPr>
          <w:rFonts w:hint="eastAsia" w:ascii="宋体" w:hAnsi="宋体" w:eastAsia="宋体" w:cs="宋体"/>
          <w:color w:val="000000" w:themeColor="text1"/>
          <w:kern w:val="0"/>
          <w:sz w:val="24"/>
          <w:szCs w:val="24"/>
          <w14:textFill>
            <w14:solidFill>
              <w14:schemeClr w14:val="tx1"/>
            </w14:solidFill>
          </w14:textFill>
        </w:rPr>
        <w:t>日至202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24</w:t>
      </w:r>
      <w:r>
        <w:rPr>
          <w:rFonts w:hint="eastAsia" w:ascii="宋体" w:hAnsi="宋体" w:eastAsia="宋体" w:cs="宋体"/>
          <w:color w:val="000000" w:themeColor="text1"/>
          <w:kern w:val="0"/>
          <w:sz w:val="24"/>
          <w:szCs w:val="24"/>
          <w14:textFill>
            <w14:solidFill>
              <w14:schemeClr w14:val="tx1"/>
            </w14:solidFill>
          </w14:textFill>
        </w:rPr>
        <w:t>日，每天</w:t>
      </w:r>
      <w:r>
        <w:rPr>
          <w:rFonts w:hint="eastAsia" w:ascii="宋体" w:hAnsi="宋体" w:eastAsia="宋体" w:cs="宋体"/>
          <w:color w:val="auto"/>
          <w:kern w:val="0"/>
          <w:sz w:val="24"/>
          <w:szCs w:val="24"/>
        </w:rPr>
        <w:t>上午</w:t>
      </w:r>
      <w:r>
        <w:rPr>
          <w:rFonts w:hint="eastAsia" w:ascii="宋体" w:hAnsi="宋体" w:eastAsia="宋体" w:cs="宋体"/>
          <w:color w:val="auto"/>
          <w:kern w:val="0"/>
          <w:sz w:val="24"/>
          <w:szCs w:val="24"/>
          <w:lang w:val="en-US" w:eastAsia="zh-CN"/>
        </w:rPr>
        <w:t>0</w:t>
      </w:r>
      <w:r>
        <w:rPr>
          <w:rFonts w:hint="eastAsia" w:ascii="宋体" w:hAnsi="宋体" w:cs="宋体"/>
          <w:color w:val="auto"/>
          <w:kern w:val="0"/>
          <w:sz w:val="24"/>
          <w:szCs w:val="24"/>
          <w:lang w:val="en-US" w:eastAsia="zh-CN"/>
        </w:rPr>
        <w:t>8</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00至12</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00，下午14</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00至1</w:t>
      </w:r>
      <w:r>
        <w:rPr>
          <w:rFonts w:hint="eastAsia" w:ascii="宋体" w:hAnsi="宋体" w:cs="宋体"/>
          <w:color w:val="auto"/>
          <w:kern w:val="0"/>
          <w:sz w:val="24"/>
          <w:szCs w:val="24"/>
          <w:lang w:val="en-US" w:eastAsia="zh-CN"/>
        </w:rPr>
        <w:t>8</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00（北京时间）</w:t>
      </w:r>
    </w:p>
    <w:p w14:paraId="53BAF432">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途径：</w:t>
      </w:r>
      <w:r>
        <w:rPr>
          <w:rFonts w:hint="eastAsia" w:ascii="宋体" w:hAnsi="宋体" w:eastAsia="宋体" w:cs="宋体"/>
          <w:color w:val="auto"/>
          <w:kern w:val="0"/>
          <w:sz w:val="24"/>
          <w:szCs w:val="24"/>
          <w:lang w:val="en-US" w:eastAsia="zh-CN"/>
        </w:rPr>
        <w:t>安康市高新区高新观澜8栋2单元801室</w:t>
      </w:r>
    </w:p>
    <w:p w14:paraId="4570B653">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方式：</w:t>
      </w:r>
      <w:r>
        <w:rPr>
          <w:rFonts w:hint="eastAsia" w:ascii="宋体" w:hAnsi="宋体" w:eastAsia="宋体" w:cs="宋体"/>
          <w:color w:val="auto"/>
          <w:kern w:val="0"/>
          <w:sz w:val="24"/>
          <w:szCs w:val="24"/>
          <w:lang w:val="en-US" w:eastAsia="zh-CN"/>
        </w:rPr>
        <w:t>现场</w:t>
      </w:r>
      <w:r>
        <w:rPr>
          <w:rFonts w:hint="eastAsia" w:ascii="宋体" w:hAnsi="宋体" w:eastAsia="宋体" w:cs="宋体"/>
          <w:color w:val="auto"/>
          <w:kern w:val="0"/>
          <w:sz w:val="24"/>
          <w:szCs w:val="24"/>
        </w:rPr>
        <w:t>获取</w:t>
      </w:r>
    </w:p>
    <w:p w14:paraId="56AF5789">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售价：</w:t>
      </w:r>
      <w:r>
        <w:rPr>
          <w:rFonts w:hint="eastAsia" w:ascii="宋体" w:hAnsi="宋体" w:cs="宋体"/>
          <w:color w:val="auto"/>
          <w:kern w:val="0"/>
          <w:sz w:val="24"/>
          <w:szCs w:val="24"/>
          <w:lang w:val="en-US" w:eastAsia="zh-CN"/>
        </w:rPr>
        <w:t>0</w:t>
      </w:r>
      <w:r>
        <w:rPr>
          <w:rFonts w:hint="eastAsia" w:ascii="宋体" w:hAnsi="宋体" w:eastAsia="宋体" w:cs="宋体"/>
          <w:color w:val="auto"/>
          <w:kern w:val="0"/>
          <w:sz w:val="24"/>
          <w:szCs w:val="24"/>
        </w:rPr>
        <w:t>元</w:t>
      </w:r>
    </w:p>
    <w:p w14:paraId="6912260D">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b/>
          <w:bCs/>
          <w:color w:val="auto"/>
          <w:kern w:val="0"/>
          <w:sz w:val="24"/>
          <w:szCs w:val="24"/>
        </w:rPr>
      </w:pPr>
      <w:r>
        <w:rPr>
          <w:rFonts w:hint="eastAsia" w:ascii="宋体" w:hAnsi="宋体" w:eastAsia="宋体" w:cs="宋体"/>
          <w:color w:val="auto"/>
          <w:kern w:val="0"/>
          <w:sz w:val="24"/>
          <w:szCs w:val="24"/>
        </w:rPr>
        <w:t xml:space="preserve"> </w:t>
      </w:r>
      <w:r>
        <w:rPr>
          <w:rFonts w:hint="eastAsia" w:ascii="宋体" w:hAnsi="宋体" w:eastAsia="宋体" w:cs="宋体"/>
          <w:b/>
          <w:bCs/>
          <w:color w:val="auto"/>
          <w:sz w:val="24"/>
          <w:szCs w:val="24"/>
        </w:rPr>
        <w:t>四、</w:t>
      </w:r>
      <w:r>
        <w:rPr>
          <w:rFonts w:hint="eastAsia" w:ascii="宋体" w:hAnsi="宋体" w:eastAsia="宋体" w:cs="宋体"/>
          <w:b/>
          <w:bCs/>
          <w:color w:val="auto"/>
          <w:kern w:val="0"/>
          <w:sz w:val="24"/>
          <w:szCs w:val="24"/>
        </w:rPr>
        <w:t>响应文件递交</w:t>
      </w:r>
    </w:p>
    <w:p w14:paraId="4148ACD1">
      <w:pPr>
        <w:keepNext w:val="0"/>
        <w:keepLines w:val="0"/>
        <w:pageBreakBefore w:val="0"/>
        <w:widowControl/>
        <w:tabs>
          <w:tab w:val="left" w:pos="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1.</w:t>
      </w:r>
      <w:r>
        <w:rPr>
          <w:rFonts w:hint="eastAsia" w:ascii="宋体" w:hAnsi="宋体" w:eastAsia="宋体" w:cs="宋体"/>
          <w:color w:val="auto"/>
          <w:kern w:val="0"/>
          <w:sz w:val="24"/>
          <w:szCs w:val="24"/>
        </w:rPr>
        <w:t>截止时间：</w:t>
      </w:r>
      <w:r>
        <w:rPr>
          <w:rFonts w:hint="eastAsia" w:ascii="宋体" w:hAnsi="宋体" w:cs="宋体"/>
          <w:b w:val="0"/>
          <w:bCs w:val="0"/>
          <w:color w:val="auto"/>
          <w:kern w:val="0"/>
          <w:sz w:val="24"/>
          <w:szCs w:val="24"/>
          <w:lang w:eastAsia="zh-CN"/>
        </w:rPr>
        <w:t>2026年6月29日15时00分00秒</w:t>
      </w:r>
      <w:r>
        <w:rPr>
          <w:rFonts w:hint="eastAsia" w:ascii="宋体" w:hAnsi="宋体" w:eastAsia="宋体" w:cs="宋体"/>
          <w:b w:val="0"/>
          <w:bCs w:val="0"/>
          <w:color w:val="auto"/>
          <w:kern w:val="0"/>
          <w:sz w:val="24"/>
          <w:szCs w:val="24"/>
          <w:lang w:eastAsia="zh-CN"/>
        </w:rPr>
        <w:t>（</w:t>
      </w:r>
      <w:r>
        <w:rPr>
          <w:rFonts w:hint="eastAsia" w:ascii="宋体" w:hAnsi="宋体" w:eastAsia="宋体" w:cs="宋体"/>
          <w:b w:val="0"/>
          <w:bCs w:val="0"/>
          <w:color w:val="auto"/>
          <w:kern w:val="0"/>
          <w:sz w:val="24"/>
          <w:szCs w:val="24"/>
          <w:lang w:val="en-US" w:eastAsia="zh-CN"/>
        </w:rPr>
        <w:t>北京时间</w:t>
      </w:r>
      <w:r>
        <w:rPr>
          <w:rFonts w:hint="eastAsia" w:ascii="宋体" w:hAnsi="宋体" w:eastAsia="宋体" w:cs="宋体"/>
          <w:b w:val="0"/>
          <w:bCs w:val="0"/>
          <w:color w:val="auto"/>
          <w:kern w:val="0"/>
          <w:sz w:val="24"/>
          <w:szCs w:val="24"/>
          <w:lang w:eastAsia="zh-CN"/>
        </w:rPr>
        <w:t>）</w:t>
      </w:r>
    </w:p>
    <w:p w14:paraId="762E8B94">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地点：</w:t>
      </w:r>
      <w:r>
        <w:rPr>
          <w:rFonts w:hint="eastAsia" w:ascii="宋体" w:hAnsi="宋体" w:eastAsia="宋体" w:cs="宋体"/>
          <w:color w:val="auto"/>
          <w:kern w:val="0"/>
          <w:sz w:val="24"/>
          <w:szCs w:val="24"/>
          <w:lang w:val="en-US" w:eastAsia="zh-CN"/>
        </w:rPr>
        <w:t>安康市高新区高新观澜8栋2单元801室</w:t>
      </w:r>
    </w:p>
    <w:p w14:paraId="53F45FA8">
      <w:pPr>
        <w:keepNext w:val="0"/>
        <w:keepLines w:val="0"/>
        <w:pageBreakBefore w:val="0"/>
        <w:kinsoku/>
        <w:wordWrap/>
        <w:overflowPunct/>
        <w:topLinePunct w:val="0"/>
        <w:autoSpaceDE/>
        <w:autoSpaceDN/>
        <w:bidi w:val="0"/>
        <w:adjustRightInd/>
        <w:spacing w:line="440" w:lineRule="exact"/>
        <w:ind w:left="0" w:leftChars="0" w:right="0" w:rightChars="0" w:firstLine="482" w:firstLineChars="20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五、开启</w:t>
      </w:r>
    </w:p>
    <w:p w14:paraId="299FFC6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时间：</w:t>
      </w:r>
      <w:r>
        <w:rPr>
          <w:rFonts w:hint="eastAsia" w:ascii="宋体" w:hAnsi="宋体" w:cs="宋体"/>
          <w:b w:val="0"/>
          <w:bCs w:val="0"/>
          <w:color w:val="auto"/>
          <w:kern w:val="0"/>
          <w:sz w:val="24"/>
          <w:szCs w:val="24"/>
          <w:lang w:eastAsia="zh-CN"/>
        </w:rPr>
        <w:t>2026年6月29日15时00分00秒</w:t>
      </w:r>
      <w:r>
        <w:rPr>
          <w:rFonts w:hint="eastAsia" w:ascii="宋体" w:hAnsi="宋体" w:eastAsia="宋体" w:cs="宋体"/>
          <w:b w:val="0"/>
          <w:bCs w:val="0"/>
          <w:color w:val="auto"/>
          <w:kern w:val="0"/>
          <w:sz w:val="24"/>
          <w:szCs w:val="24"/>
        </w:rPr>
        <w:t>（北京时间）</w:t>
      </w:r>
    </w:p>
    <w:p w14:paraId="2EB9BD8A">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地点：</w:t>
      </w:r>
      <w:r>
        <w:rPr>
          <w:rFonts w:hint="eastAsia" w:ascii="宋体" w:hAnsi="宋体" w:eastAsia="宋体" w:cs="宋体"/>
          <w:color w:val="auto"/>
          <w:kern w:val="0"/>
          <w:sz w:val="24"/>
          <w:szCs w:val="24"/>
          <w:lang w:val="en-US" w:eastAsia="zh-CN"/>
        </w:rPr>
        <w:t>安康市高新区高新观澜8栋2单元801室</w:t>
      </w:r>
    </w:p>
    <w:p w14:paraId="475E5812">
      <w:pPr>
        <w:keepNext w:val="0"/>
        <w:keepLines w:val="0"/>
        <w:pageBreakBefore w:val="0"/>
        <w:kinsoku/>
        <w:wordWrap/>
        <w:overflowPunct/>
        <w:topLinePunct w:val="0"/>
        <w:autoSpaceDE/>
        <w:autoSpaceDN/>
        <w:bidi w:val="0"/>
        <w:adjustRightInd/>
        <w:spacing w:line="440" w:lineRule="exact"/>
        <w:ind w:left="0" w:leftChars="0" w:right="0" w:righ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kern w:val="0"/>
          <w:sz w:val="24"/>
          <w:szCs w:val="24"/>
          <w:lang w:val="en-US" w:eastAsia="zh-CN"/>
        </w:rPr>
        <w:t>六、</w:t>
      </w:r>
      <w:r>
        <w:rPr>
          <w:rFonts w:hint="eastAsia" w:ascii="宋体" w:hAnsi="宋体" w:eastAsia="宋体" w:cs="宋体"/>
          <w:b/>
          <w:bCs/>
          <w:color w:val="auto"/>
          <w:kern w:val="0"/>
          <w:sz w:val="24"/>
          <w:szCs w:val="24"/>
        </w:rPr>
        <w:t>公告期限：</w:t>
      </w:r>
      <w:r>
        <w:rPr>
          <w:rFonts w:hint="eastAsia" w:ascii="宋体" w:hAnsi="宋体" w:eastAsia="宋体" w:cs="宋体"/>
          <w:color w:val="auto"/>
          <w:kern w:val="0"/>
          <w:sz w:val="24"/>
          <w:szCs w:val="24"/>
        </w:rPr>
        <w:t>自本公告发布之日起</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个工作日</w:t>
      </w:r>
      <w:r>
        <w:rPr>
          <w:rFonts w:hint="eastAsia" w:ascii="宋体" w:hAnsi="宋体" w:eastAsia="宋体" w:cs="宋体"/>
          <w:color w:val="auto"/>
          <w:kern w:val="0"/>
          <w:sz w:val="24"/>
          <w:szCs w:val="24"/>
          <w:lang w:eastAsia="zh-CN"/>
        </w:rPr>
        <w:t>。</w:t>
      </w:r>
    </w:p>
    <w:p w14:paraId="59ED6E72">
      <w:pPr>
        <w:keepNext w:val="0"/>
        <w:keepLines w:val="0"/>
        <w:pageBreakBefore w:val="0"/>
        <w:kinsoku/>
        <w:wordWrap/>
        <w:overflowPunct/>
        <w:topLinePunct w:val="0"/>
        <w:autoSpaceDE/>
        <w:autoSpaceDN/>
        <w:bidi w:val="0"/>
        <w:adjustRightInd/>
        <w:spacing w:line="440" w:lineRule="exact"/>
        <w:ind w:left="0" w:leftChars="0" w:right="0" w:righ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七、其他补充事宜</w:t>
      </w:r>
    </w:p>
    <w:p w14:paraId="69ECE3F4">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获取须知：投标供应商请在文件获取时间以内将单位介绍信(备注经办人联系电话及电子邮箱)及身份证复印件加盖公章递交至安康尚昊招标代理有限公司(安康市高新区高新观澜8栋</w:t>
      </w: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lang w:val="en-US" w:eastAsia="zh-CN"/>
        </w:rPr>
        <w:t>单元 801室，邮箱：365060958@qq.com)。</w:t>
      </w:r>
    </w:p>
    <w:p w14:paraId="5AD0C53D">
      <w:pPr>
        <w:pStyle w:val="52"/>
        <w:keepNext w:val="0"/>
        <w:keepLines w:val="0"/>
        <w:pageBreakBefore w:val="0"/>
        <w:kinsoku/>
        <w:wordWrap/>
        <w:overflowPunct/>
        <w:topLinePunct w:val="0"/>
        <w:autoSpaceDE/>
        <w:autoSpaceDN/>
        <w:bidi w:val="0"/>
        <w:adjustRightInd/>
        <w:spacing w:line="440" w:lineRule="exact"/>
        <w:ind w:left="0" w:leftChars="0" w:right="0" w:rightChars="0" w:firstLine="482" w:firstLineChars="20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八</w:t>
      </w:r>
      <w:r>
        <w:rPr>
          <w:rFonts w:hint="eastAsia" w:ascii="宋体" w:hAnsi="宋体" w:eastAsia="宋体" w:cs="宋体"/>
          <w:b/>
          <w:bCs/>
          <w:color w:val="auto"/>
          <w:kern w:val="0"/>
          <w:sz w:val="24"/>
          <w:szCs w:val="24"/>
        </w:rPr>
        <w:t>、对本次</w:t>
      </w:r>
      <w:r>
        <w:rPr>
          <w:rFonts w:hint="eastAsia" w:ascii="宋体" w:hAnsi="宋体" w:eastAsia="宋体" w:cs="宋体"/>
          <w:b/>
          <w:bCs/>
          <w:color w:val="auto"/>
          <w:kern w:val="0"/>
          <w:sz w:val="24"/>
          <w:szCs w:val="24"/>
          <w:lang w:val="en-US" w:eastAsia="zh-CN"/>
        </w:rPr>
        <w:t>招标</w:t>
      </w:r>
      <w:r>
        <w:rPr>
          <w:rFonts w:hint="eastAsia" w:ascii="宋体" w:hAnsi="宋体" w:eastAsia="宋体" w:cs="宋体"/>
          <w:b/>
          <w:bCs/>
          <w:color w:val="auto"/>
          <w:kern w:val="0"/>
          <w:sz w:val="24"/>
          <w:szCs w:val="24"/>
        </w:rPr>
        <w:t>提出询问，请按以下方式联系</w:t>
      </w:r>
    </w:p>
    <w:p w14:paraId="003F2197">
      <w:pPr>
        <w:pStyle w:val="52"/>
        <w:keepNext w:val="0"/>
        <w:keepLines w:val="0"/>
        <w:pageBreakBefore w:val="0"/>
        <w:numPr>
          <w:ilvl w:val="0"/>
          <w:numId w:val="0"/>
        </w:numPr>
        <w:kinsoku/>
        <w:wordWrap/>
        <w:overflowPunct/>
        <w:topLinePunct w:val="0"/>
        <w:autoSpaceDE/>
        <w:autoSpaceDN/>
        <w:bidi w:val="0"/>
        <w:adjustRightInd/>
        <w:spacing w:line="440" w:lineRule="exact"/>
        <w:ind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rPr>
        <w:t>采购人信息</w:t>
      </w:r>
    </w:p>
    <w:p w14:paraId="0199A732">
      <w:pPr>
        <w:pStyle w:val="52"/>
        <w:keepNext w:val="0"/>
        <w:keepLines w:val="0"/>
        <w:pageBreakBefore w:val="0"/>
        <w:numPr>
          <w:ilvl w:val="0"/>
          <w:numId w:val="0"/>
        </w:numPr>
        <w:kinsoku/>
        <w:wordWrap/>
        <w:overflowPunct/>
        <w:topLinePunct w:val="0"/>
        <w:autoSpaceDE/>
        <w:autoSpaceDN/>
        <w:bidi w:val="0"/>
        <w:adjustRightInd/>
        <w:spacing w:line="440" w:lineRule="exact"/>
        <w:ind w:right="0" w:rightChars="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名    称：</w:t>
      </w:r>
      <w:r>
        <w:rPr>
          <w:rFonts w:hint="eastAsia" w:ascii="宋体" w:hAnsi="宋体" w:cs="宋体"/>
          <w:color w:val="auto"/>
          <w:kern w:val="0"/>
          <w:sz w:val="24"/>
          <w:szCs w:val="24"/>
          <w:lang w:eastAsia="zh-CN"/>
        </w:rPr>
        <w:t>安康市公安局汉滨分局</w:t>
      </w:r>
    </w:p>
    <w:p w14:paraId="119AB5C1">
      <w:pPr>
        <w:pStyle w:val="52"/>
        <w:keepNext w:val="0"/>
        <w:keepLines w:val="0"/>
        <w:pageBreakBefore w:val="0"/>
        <w:numPr>
          <w:ilvl w:val="0"/>
          <w:numId w:val="0"/>
        </w:numPr>
        <w:kinsoku/>
        <w:wordWrap/>
        <w:overflowPunct/>
        <w:topLinePunct w:val="0"/>
        <w:autoSpaceDE/>
        <w:autoSpaceDN/>
        <w:bidi w:val="0"/>
        <w:adjustRightInd/>
        <w:spacing w:line="440" w:lineRule="exact"/>
        <w:ind w:right="0" w:righ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0"/>
          <w:sz w:val="24"/>
          <w:szCs w:val="24"/>
          <w:lang w:val="en-US" w:eastAsia="zh-CN"/>
        </w:rPr>
        <w:t>地    址：</w:t>
      </w:r>
      <w:r>
        <w:rPr>
          <w:rFonts w:hint="eastAsia" w:ascii="宋体" w:hAnsi="宋体" w:eastAsia="宋体" w:cs="宋体"/>
          <w:color w:val="000000" w:themeColor="text1"/>
          <w:kern w:val="0"/>
          <w:sz w:val="24"/>
          <w:szCs w:val="24"/>
          <w:lang w:val="en-US" w:eastAsia="zh-CN"/>
          <w14:textFill>
            <w14:solidFill>
              <w14:schemeClr w14:val="tx1"/>
            </w14:solidFill>
          </w14:textFill>
        </w:rPr>
        <w:t>陕西省安康市汉滨区五星街50号</w:t>
      </w:r>
    </w:p>
    <w:p w14:paraId="667C94D2">
      <w:pPr>
        <w:pStyle w:val="52"/>
        <w:keepNext w:val="0"/>
        <w:keepLines w:val="0"/>
        <w:pageBreakBefore w:val="0"/>
        <w:numPr>
          <w:ilvl w:val="0"/>
          <w:numId w:val="0"/>
        </w:numPr>
        <w:kinsoku/>
        <w:wordWrap/>
        <w:overflowPunct/>
        <w:topLinePunct w:val="0"/>
        <w:autoSpaceDE/>
        <w:autoSpaceDN/>
        <w:bidi w:val="0"/>
        <w:adjustRightInd/>
        <w:spacing w:line="440" w:lineRule="exact"/>
        <w:ind w:right="0" w:rightChars="0" w:firstLine="480" w:firstLineChars="200"/>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联系方式：</w:t>
      </w:r>
      <w:r>
        <w:rPr>
          <w:rFonts w:hint="eastAsia" w:ascii="宋体" w:hAnsi="宋体" w:cs="宋体"/>
          <w:color w:val="auto"/>
          <w:kern w:val="0"/>
          <w:sz w:val="24"/>
          <w:szCs w:val="24"/>
          <w:lang w:val="en-US" w:eastAsia="zh-CN"/>
        </w:rPr>
        <w:t>19909157700</w:t>
      </w:r>
    </w:p>
    <w:p w14:paraId="26E615A0">
      <w:pPr>
        <w:pStyle w:val="52"/>
        <w:keepNext w:val="0"/>
        <w:keepLines w:val="0"/>
        <w:pageBreakBefore w:val="0"/>
        <w:numPr>
          <w:ilvl w:val="0"/>
          <w:numId w:val="0"/>
        </w:numPr>
        <w:kinsoku/>
        <w:wordWrap/>
        <w:overflowPunct/>
        <w:topLinePunct w:val="0"/>
        <w:autoSpaceDE/>
        <w:autoSpaceDN/>
        <w:bidi w:val="0"/>
        <w:adjustRightInd/>
        <w:spacing w:line="440" w:lineRule="exact"/>
        <w:ind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rPr>
        <w:t>采购代理机构信息</w:t>
      </w:r>
    </w:p>
    <w:p w14:paraId="726CFAF9">
      <w:pPr>
        <w:pStyle w:val="52"/>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名    称：安康尚昊招标代理有限公司</w:t>
      </w:r>
    </w:p>
    <w:p w14:paraId="0736E055">
      <w:pPr>
        <w:pStyle w:val="52"/>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地    址：</w:t>
      </w:r>
      <w:r>
        <w:rPr>
          <w:rFonts w:hint="eastAsia" w:ascii="宋体" w:hAnsi="宋体" w:eastAsia="宋体" w:cs="宋体"/>
          <w:color w:val="auto"/>
          <w:kern w:val="0"/>
          <w:sz w:val="24"/>
          <w:szCs w:val="24"/>
          <w:lang w:eastAsia="zh-CN"/>
        </w:rPr>
        <w:t>安康市高新区高新观澜8栋</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单元801室</w:t>
      </w:r>
    </w:p>
    <w:p w14:paraId="06768E1C">
      <w:pPr>
        <w:pStyle w:val="52"/>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联系方式：</w:t>
      </w:r>
      <w:r>
        <w:rPr>
          <w:rFonts w:hint="eastAsia" w:ascii="宋体" w:hAnsi="宋体" w:eastAsia="宋体" w:cs="宋体"/>
          <w:color w:val="auto"/>
          <w:kern w:val="0"/>
          <w:sz w:val="24"/>
          <w:szCs w:val="24"/>
          <w:lang w:val="en-US" w:eastAsia="zh-CN"/>
        </w:rPr>
        <w:t>13991519725</w:t>
      </w:r>
    </w:p>
    <w:p w14:paraId="360EA2D9">
      <w:pPr>
        <w:pStyle w:val="52"/>
        <w:keepNext w:val="0"/>
        <w:keepLines w:val="0"/>
        <w:pageBreakBefore w:val="0"/>
        <w:numPr>
          <w:ilvl w:val="0"/>
          <w:numId w:val="1"/>
        </w:numPr>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项目联系方式</w:t>
      </w:r>
    </w:p>
    <w:p w14:paraId="32D8C0BC">
      <w:pPr>
        <w:pStyle w:val="52"/>
        <w:keepNext w:val="0"/>
        <w:keepLines w:val="0"/>
        <w:pageBreakBefore w:val="0"/>
        <w:numPr>
          <w:ilvl w:val="0"/>
          <w:numId w:val="0"/>
        </w:numPr>
        <w:kinsoku/>
        <w:wordWrap/>
        <w:overflowPunct/>
        <w:topLinePunct w:val="0"/>
        <w:autoSpaceDE/>
        <w:autoSpaceDN/>
        <w:bidi w:val="0"/>
        <w:adjustRightInd/>
        <w:spacing w:line="440" w:lineRule="exact"/>
        <w:ind w:leftChars="200" w:right="0" w:rightChars="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项目联系人：郑工</w:t>
      </w:r>
    </w:p>
    <w:p w14:paraId="495A3798">
      <w:pPr>
        <w:pStyle w:val="52"/>
        <w:keepNext w:val="0"/>
        <w:keepLines w:val="0"/>
        <w:pageBreakBefore w:val="0"/>
        <w:numPr>
          <w:ilvl w:val="0"/>
          <w:numId w:val="0"/>
        </w:numPr>
        <w:kinsoku/>
        <w:wordWrap/>
        <w:overflowPunct/>
        <w:topLinePunct w:val="0"/>
        <w:autoSpaceDE/>
        <w:autoSpaceDN/>
        <w:bidi w:val="0"/>
        <w:adjustRightInd/>
        <w:spacing w:line="440" w:lineRule="exact"/>
        <w:ind w:leftChars="200" w:right="0" w:rightChars="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电话：13991519725</w:t>
      </w:r>
    </w:p>
    <w:p w14:paraId="477E6A3A">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p>
    <w:p w14:paraId="4F0DB04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p>
    <w:p w14:paraId="1946EA0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p>
    <w:p w14:paraId="2833B23A">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安康尚昊招标代理有限公司</w:t>
      </w:r>
    </w:p>
    <w:p w14:paraId="0D24D2B3">
      <w:pPr>
        <w:pStyle w:val="12"/>
        <w:rPr>
          <w:rFonts w:ascii="宋体" w:hAnsi="宋体" w:cs="宋体"/>
          <w:color w:val="000000" w:themeColor="text1"/>
          <w:kern w:val="0"/>
          <w:sz w:val="24"/>
          <w:szCs w:val="24"/>
          <w14:textFill>
            <w14:solidFill>
              <w14:schemeClr w14:val="tx1"/>
            </w14:solidFill>
          </w14:textFill>
        </w:rPr>
      </w:pP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 xml:space="preserve">   202</w:t>
      </w:r>
      <w:r>
        <w:rPr>
          <w:rFonts w:hint="eastAsia" w:ascii="宋体" w:hAnsi="宋体" w:cs="宋体"/>
          <w:color w:val="auto"/>
          <w:kern w:val="0"/>
          <w:sz w:val="24"/>
          <w:szCs w:val="24"/>
          <w:lang w:val="en-US" w:eastAsia="zh-CN"/>
        </w:rPr>
        <w:t>6</w:t>
      </w:r>
      <w:r>
        <w:rPr>
          <w:rFonts w:hint="eastAsia" w:ascii="宋体" w:hAnsi="宋体" w:eastAsia="宋体" w:cs="宋体"/>
          <w:color w:val="000000" w:themeColor="text1"/>
          <w:kern w:val="0"/>
          <w:sz w:val="24"/>
          <w:szCs w:val="24"/>
          <w:lang w:val="en-US" w:eastAsia="zh-CN" w:bidi="ar-SA"/>
          <w14:textFill>
            <w14:solidFill>
              <w14:schemeClr w14:val="tx1"/>
            </w14:solidFill>
          </w14:textFill>
        </w:rPr>
        <w:t>年</w:t>
      </w:r>
      <w:r>
        <w:rPr>
          <w:rFonts w:hint="eastAsia" w:ascii="宋体" w:hAnsi="宋体" w:cs="宋体"/>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ascii="宋体" w:hAnsi="宋体" w:cs="宋体"/>
          <w:color w:val="000000" w:themeColor="text1"/>
          <w:kern w:val="0"/>
          <w:sz w:val="24"/>
          <w:szCs w:val="24"/>
          <w:lang w:val="en-US" w:eastAsia="zh-CN" w:bidi="ar-SA"/>
          <w14:textFill>
            <w14:solidFill>
              <w14:schemeClr w14:val="tx1"/>
            </w14:solidFill>
          </w14:textFill>
        </w:rPr>
        <w:t>16</w:t>
      </w:r>
      <w:r>
        <w:rPr>
          <w:rFonts w:hint="eastAsia" w:ascii="宋体" w:hAnsi="宋体" w:eastAsia="宋体" w:cs="宋体"/>
          <w:color w:val="000000" w:themeColor="text1"/>
          <w:kern w:val="0"/>
          <w:sz w:val="24"/>
          <w:szCs w:val="24"/>
          <w:lang w:val="en-US" w:eastAsia="zh-CN" w:bidi="ar-SA"/>
          <w14:textFill>
            <w14:solidFill>
              <w14:schemeClr w14:val="tx1"/>
            </w14:solidFill>
          </w14:textFill>
        </w:rPr>
        <w:t>日</w:t>
      </w:r>
    </w:p>
    <w:p w14:paraId="69D10D53">
      <w:pPr>
        <w:pStyle w:val="31"/>
        <w:rPr>
          <w:rFonts w:ascii="宋体" w:hAnsi="宋体" w:cs="宋体"/>
          <w:color w:val="auto"/>
          <w:kern w:val="0"/>
          <w:sz w:val="24"/>
          <w:szCs w:val="24"/>
        </w:rPr>
      </w:pPr>
    </w:p>
    <w:p w14:paraId="53C75B77">
      <w:pPr>
        <w:pStyle w:val="2"/>
        <w:spacing w:line="360" w:lineRule="auto"/>
        <w:rPr>
          <w:rFonts w:hint="eastAsia"/>
          <w:color w:val="auto"/>
        </w:rPr>
        <w:sectPr>
          <w:headerReference r:id="rId11" w:type="first"/>
          <w:footerReference r:id="rId13" w:type="first"/>
          <w:headerReference r:id="rId10" w:type="default"/>
          <w:footerReference r:id="rId12" w:type="default"/>
          <w:pgSz w:w="11906" w:h="16838"/>
          <w:pgMar w:top="1417" w:right="1417" w:bottom="1417" w:left="1417" w:header="1134" w:footer="992" w:gutter="0"/>
          <w:pgBorders>
            <w:top w:val="none" w:sz="0" w:space="0"/>
            <w:left w:val="none" w:sz="0" w:space="0"/>
            <w:bottom w:val="none" w:sz="0" w:space="0"/>
            <w:right w:val="none" w:sz="0" w:space="0"/>
          </w:pgBorders>
          <w:pgNumType w:fmt="decimal" w:start="1"/>
          <w:cols w:space="0" w:num="1"/>
          <w:titlePg/>
          <w:docGrid w:type="lines" w:linePitch="326" w:charSpace="0"/>
        </w:sectPr>
      </w:pPr>
      <w:bookmarkStart w:id="17" w:name="_Toc19543334"/>
    </w:p>
    <w:p w14:paraId="650134D7">
      <w:pPr>
        <w:pStyle w:val="2"/>
        <w:spacing w:line="360" w:lineRule="auto"/>
        <w:rPr>
          <w:rFonts w:ascii="宋体" w:hAnsi="宋体" w:cs="宋体"/>
          <w:color w:val="auto"/>
        </w:rPr>
      </w:pPr>
      <w:bookmarkStart w:id="18" w:name="_Toc28381"/>
      <w:r>
        <w:rPr>
          <w:rFonts w:hint="eastAsia"/>
          <w:color w:val="auto"/>
        </w:rPr>
        <w:t>第二部分</w:t>
      </w:r>
      <w:r>
        <w:rPr>
          <w:color w:val="auto"/>
        </w:rPr>
        <w:t xml:space="preserve">  </w:t>
      </w:r>
      <w:r>
        <w:rPr>
          <w:rFonts w:hint="eastAsia"/>
          <w:color w:val="auto"/>
        </w:rPr>
        <w:t>供应商须知前附表</w:t>
      </w:r>
      <w:bookmarkEnd w:id="6"/>
      <w:bookmarkEnd w:id="7"/>
      <w:bookmarkEnd w:id="12"/>
      <w:bookmarkEnd w:id="13"/>
      <w:bookmarkEnd w:id="14"/>
      <w:bookmarkEnd w:id="15"/>
      <w:bookmarkEnd w:id="16"/>
      <w:bookmarkEnd w:id="17"/>
      <w:bookmarkEnd w:id="18"/>
    </w:p>
    <w:tbl>
      <w:tblPr>
        <w:tblStyle w:val="84"/>
        <w:tblW w:w="9643" w:type="dxa"/>
        <w:jc w:val="center"/>
        <w:tblLayout w:type="fixed"/>
        <w:tblCellMar>
          <w:top w:w="147" w:type="dxa"/>
          <w:left w:w="108" w:type="dxa"/>
          <w:bottom w:w="56" w:type="dxa"/>
          <w:right w:w="0" w:type="dxa"/>
        </w:tblCellMar>
      </w:tblPr>
      <w:tblGrid>
        <w:gridCol w:w="704"/>
        <w:gridCol w:w="1990"/>
        <w:gridCol w:w="6949"/>
      </w:tblGrid>
      <w:tr w14:paraId="17B0B565">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65E87AC">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672193B2">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2BE513BA">
            <w:pPr>
              <w:keepNext w:val="0"/>
              <w:keepLines w:val="0"/>
              <w:pageBreakBefore w:val="0"/>
              <w:kinsoku/>
              <w:wordWrap/>
              <w:overflowPunct/>
              <w:topLinePunct w:val="0"/>
              <w:autoSpaceDE/>
              <w:autoSpaceDN/>
              <w:bidi w:val="0"/>
              <w:spacing w:line="400" w:lineRule="exact"/>
              <w:ind w:left="0" w:right="0" w:firstLine="1680" w:firstLineChars="700"/>
              <w:jc w:val="both"/>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0018CEAA">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9239A72">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12E9450">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37714B5D">
            <w:pPr>
              <w:keepNext w:val="0"/>
              <w:keepLines w:val="0"/>
              <w:pageBreakBefore w:val="0"/>
              <w:kinsoku/>
              <w:wordWrap/>
              <w:overflowPunct/>
              <w:topLinePunct w:val="0"/>
              <w:autoSpaceDE/>
              <w:autoSpaceDN/>
              <w:bidi w:val="0"/>
              <w:spacing w:line="400" w:lineRule="exact"/>
              <w:ind w:left="0" w:right="0"/>
              <w:textAlignment w:val="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eastAsia="zh-CN"/>
              </w:rPr>
              <w:t>安康市公安局汉滨分局</w:t>
            </w:r>
          </w:p>
        </w:tc>
      </w:tr>
      <w:tr w14:paraId="7231993B">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F55F1A2">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C72F245">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7F5E9678">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05AE1F9D">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A78E4A8">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B8D3314">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43F6FC3A">
            <w:pPr>
              <w:pStyle w:val="83"/>
              <w:keepNext w:val="0"/>
              <w:keepLines w:val="0"/>
              <w:pageBreakBefore w:val="0"/>
              <w:widowControl/>
              <w:kinsoku/>
              <w:wordWrap/>
              <w:overflowPunct/>
              <w:topLinePunct w:val="0"/>
              <w:autoSpaceDE/>
              <w:autoSpaceDN/>
              <w:bidi w:val="0"/>
              <w:snapToGrid w:val="0"/>
              <w:spacing w:line="400" w:lineRule="exact"/>
              <w:ind w:left="0" w:right="0" w:firstLine="0" w:firstLineChars="0"/>
              <w:jc w:val="left"/>
              <w:textAlignment w:val="auto"/>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1312"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017AE5FE">
                                  <w:pPr>
                                    <w:pStyle w:val="22"/>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1312;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017AE5FE">
                            <w:pPr>
                              <w:pStyle w:val="22"/>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eastAsia="zh-CN"/>
              </w:rPr>
              <w:t>涉网新型行为分析系统</w:t>
            </w:r>
            <w:r>
              <w:rPr>
                <w:rFonts w:hint="eastAsia" w:ascii="宋体" w:hAnsi="宋体" w:cs="Times New Roman"/>
                <w:color w:val="auto"/>
                <w:sz w:val="24"/>
                <w:szCs w:val="24"/>
              </w:rPr>
              <w:t xml:space="preserve"> </w:t>
            </w:r>
          </w:p>
        </w:tc>
      </w:tr>
      <w:tr w14:paraId="723BBCBE">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A42848D">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144B4F4">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7E4FB3DE">
            <w:pPr>
              <w:keepNext w:val="0"/>
              <w:keepLines w:val="0"/>
              <w:pageBreakBefore w:val="0"/>
              <w:widowControl/>
              <w:tabs>
                <w:tab w:val="left" w:pos="1620"/>
              </w:tabs>
              <w:kinsoku/>
              <w:wordWrap/>
              <w:overflowPunct/>
              <w:topLinePunct w:val="0"/>
              <w:autoSpaceDE/>
              <w:autoSpaceDN/>
              <w:bidi w:val="0"/>
              <w:snapToGrid w:val="0"/>
              <w:spacing w:line="400" w:lineRule="exact"/>
              <w:ind w:left="0" w:right="0"/>
              <w:textAlignment w:val="auto"/>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lang w:eastAsia="zh-CN"/>
              </w:rPr>
              <w:t>涉网新型行为分析系统</w:t>
            </w:r>
            <w:r>
              <w:rPr>
                <w:rFonts w:hint="eastAsia" w:ascii="宋体" w:hAnsi="宋体" w:cs="宋体"/>
                <w:color w:val="auto"/>
                <w:kern w:val="0"/>
                <w:sz w:val="24"/>
                <w:szCs w:val="24"/>
              </w:rPr>
              <w:t>，预算</w:t>
            </w:r>
            <w:r>
              <w:rPr>
                <w:rFonts w:hint="eastAsia" w:ascii="宋体" w:hAnsi="宋体" w:cs="宋体"/>
                <w:color w:val="auto"/>
                <w:kern w:val="0"/>
                <w:sz w:val="24"/>
                <w:szCs w:val="24"/>
                <w:lang w:val="en-US" w:eastAsia="zh-CN"/>
              </w:rPr>
              <w:t>298000.00元，</w:t>
            </w:r>
            <w:r>
              <w:rPr>
                <w:rFonts w:hint="eastAsia" w:ascii="宋体" w:hAnsi="宋体" w:cs="宋体"/>
                <w:color w:val="auto"/>
                <w:kern w:val="0"/>
                <w:sz w:val="24"/>
                <w:szCs w:val="24"/>
              </w:rPr>
              <w:t>采购内容详见</w:t>
            </w:r>
            <w:r>
              <w:rPr>
                <w:rFonts w:hint="eastAsia" w:ascii="宋体" w:hAnsi="宋体" w:cs="宋体"/>
                <w:color w:val="auto"/>
                <w:kern w:val="0"/>
                <w:sz w:val="24"/>
                <w:szCs w:val="24"/>
                <w:lang w:val="en-US" w:eastAsia="zh-CN"/>
              </w:rPr>
              <w:t>磋商文件</w:t>
            </w:r>
            <w:r>
              <w:rPr>
                <w:rFonts w:hint="eastAsia" w:ascii="宋体" w:hAnsi="宋体" w:cs="宋体"/>
                <w:color w:val="auto"/>
                <w:kern w:val="0"/>
                <w:sz w:val="24"/>
                <w:szCs w:val="24"/>
              </w:rPr>
              <w:t>第五部分采购内容及要求</w:t>
            </w:r>
            <w:r>
              <w:rPr>
                <w:rFonts w:hint="eastAsia" w:ascii="宋体" w:hAnsi="宋体" w:cs="宋体"/>
                <w:color w:val="auto"/>
                <w:kern w:val="0"/>
                <w:sz w:val="24"/>
                <w:szCs w:val="24"/>
                <w:lang w:eastAsia="zh-CN"/>
              </w:rPr>
              <w:t>。</w:t>
            </w:r>
          </w:p>
        </w:tc>
      </w:tr>
      <w:tr w14:paraId="79ABE1C1">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993384B">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5EAEEE8A">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预算金额</w:t>
            </w:r>
          </w:p>
        </w:tc>
        <w:tc>
          <w:tcPr>
            <w:tcW w:w="6949" w:type="dxa"/>
            <w:tcBorders>
              <w:top w:val="single" w:color="000000" w:sz="4" w:space="0"/>
              <w:left w:val="single" w:color="000000" w:sz="4" w:space="0"/>
              <w:bottom w:val="single" w:color="000000" w:sz="4" w:space="0"/>
              <w:right w:val="single" w:color="000000" w:sz="4" w:space="0"/>
            </w:tcBorders>
          </w:tcPr>
          <w:p w14:paraId="30B01CF0">
            <w:pPr>
              <w:keepNext w:val="0"/>
              <w:keepLines w:val="0"/>
              <w:pageBreakBefore w:val="0"/>
              <w:kinsoku/>
              <w:wordWrap/>
              <w:overflowPunct/>
              <w:topLinePunct w:val="0"/>
              <w:autoSpaceDE/>
              <w:autoSpaceDN/>
              <w:bidi w:val="0"/>
              <w:spacing w:line="400" w:lineRule="exact"/>
              <w:ind w:left="0" w:right="0"/>
              <w:textAlignment w:val="auto"/>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298000.00元</w:t>
            </w:r>
          </w:p>
        </w:tc>
      </w:tr>
      <w:tr w14:paraId="05CD3605">
        <w:tblPrEx>
          <w:tblCellMar>
            <w:top w:w="147" w:type="dxa"/>
            <w:left w:w="108" w:type="dxa"/>
            <w:bottom w:w="56" w:type="dxa"/>
            <w:right w:w="0" w:type="dxa"/>
          </w:tblCellMar>
        </w:tblPrEx>
        <w:trPr>
          <w:trHeight w:val="602"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B1C0775">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5B5B9DB">
            <w:pPr>
              <w:keepNext w:val="0"/>
              <w:keepLines w:val="0"/>
              <w:pageBreakBefore w:val="0"/>
              <w:widowControl/>
              <w:tabs>
                <w:tab w:val="left" w:pos="1620"/>
              </w:tabs>
              <w:kinsoku/>
              <w:wordWrap/>
              <w:overflowPunct/>
              <w:topLinePunct w:val="0"/>
              <w:autoSpaceDE/>
              <w:autoSpaceDN/>
              <w:bidi w:val="0"/>
              <w:snapToGrid w:val="0"/>
              <w:spacing w:line="400" w:lineRule="exact"/>
              <w:ind w:left="0" w:right="0"/>
              <w:jc w:val="center"/>
              <w:textAlignment w:val="auto"/>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合同履行</w:t>
            </w:r>
            <w:r>
              <w:rPr>
                <w:rFonts w:hint="eastAsia" w:ascii="宋体" w:hAnsi="宋体" w:cs="宋体"/>
                <w:color w:val="000000" w:themeColor="text1"/>
                <w:kern w:val="0"/>
                <w:sz w:val="24"/>
                <w:szCs w:val="24"/>
                <w:lang w:eastAsia="zh-CN"/>
                <w14:textFill>
                  <w14:solidFill>
                    <w14:schemeClr w14:val="tx1"/>
                  </w14:solidFill>
                </w14:textFill>
              </w:rPr>
              <w:t>期</w:t>
            </w:r>
          </w:p>
        </w:tc>
        <w:tc>
          <w:tcPr>
            <w:tcW w:w="6949" w:type="dxa"/>
            <w:tcBorders>
              <w:top w:val="single" w:color="000000" w:sz="4" w:space="0"/>
              <w:left w:val="single" w:color="000000" w:sz="4" w:space="0"/>
              <w:bottom w:val="single" w:color="000000" w:sz="4" w:space="0"/>
              <w:right w:val="single" w:color="000000" w:sz="4" w:space="0"/>
            </w:tcBorders>
            <w:vAlign w:val="bottom"/>
          </w:tcPr>
          <w:p w14:paraId="15BCF2E2">
            <w:pPr>
              <w:keepNext w:val="0"/>
              <w:keepLines w:val="0"/>
              <w:pageBreakBefore w:val="0"/>
              <w:widowControl/>
              <w:tabs>
                <w:tab w:val="left" w:pos="1620"/>
              </w:tabs>
              <w:kinsoku/>
              <w:wordWrap/>
              <w:overflowPunct/>
              <w:topLinePunct w:val="0"/>
              <w:autoSpaceDE/>
              <w:autoSpaceDN/>
              <w:bidi w:val="0"/>
              <w:snapToGrid w:val="0"/>
              <w:spacing w:line="400" w:lineRule="exact"/>
              <w:ind w:left="0" w:right="0"/>
              <w:textAlignment w:val="auto"/>
              <w:rPr>
                <w:rFonts w:hint="default" w:cs="宋体" w:asciiTheme="minorEastAsia" w:hAnsiTheme="minorEastAsia" w:eastAsiaTheme="minorEastAsia"/>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合同签订生效且账号开通后一年</w:t>
            </w:r>
          </w:p>
        </w:tc>
      </w:tr>
      <w:tr w14:paraId="796C46E3">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1422C2B">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714513B">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服务</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47BDE43D">
            <w:pPr>
              <w:keepNext w:val="0"/>
              <w:keepLines w:val="0"/>
              <w:pageBreakBefore w:val="0"/>
              <w:kinsoku/>
              <w:wordWrap/>
              <w:overflowPunct/>
              <w:topLinePunct w:val="0"/>
              <w:autoSpaceDE/>
              <w:autoSpaceDN/>
              <w:bidi w:val="0"/>
              <w:spacing w:line="400" w:lineRule="exact"/>
              <w:ind w:left="0" w:right="0"/>
              <w:jc w:val="left"/>
              <w:textAlignment w:val="auto"/>
              <w:rPr>
                <w:rFonts w:ascii="宋体" w:hAnsi="宋体" w:cs="宋体"/>
                <w:color w:val="auto"/>
                <w:sz w:val="24"/>
                <w:szCs w:val="24"/>
              </w:rPr>
            </w:pPr>
            <w:r>
              <w:rPr>
                <w:rFonts w:hint="eastAsia" w:asciiTheme="minorEastAsia" w:hAnsiTheme="minorEastAsia" w:eastAsiaTheme="minorEastAsia"/>
                <w:color w:val="auto"/>
                <w:sz w:val="24"/>
                <w:szCs w:val="24"/>
              </w:rPr>
              <w:t>采购人指定地点</w:t>
            </w:r>
          </w:p>
        </w:tc>
      </w:tr>
      <w:tr w14:paraId="24EA05C0">
        <w:tblPrEx>
          <w:tblCellMar>
            <w:top w:w="147" w:type="dxa"/>
            <w:left w:w="108" w:type="dxa"/>
            <w:bottom w:w="56" w:type="dxa"/>
            <w:right w:w="0" w:type="dxa"/>
          </w:tblCellMar>
        </w:tblPrEx>
        <w:trPr>
          <w:trHeight w:val="54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7028208">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E8AE70B">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5CEC7AA2">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660E0C39">
        <w:tblPrEx>
          <w:tblCellMar>
            <w:top w:w="147" w:type="dxa"/>
            <w:left w:w="108" w:type="dxa"/>
            <w:bottom w:w="56" w:type="dxa"/>
            <w:right w:w="0" w:type="dxa"/>
          </w:tblCellMar>
        </w:tblPrEx>
        <w:trPr>
          <w:trHeight w:val="89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8D11FE9">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3C367A34">
            <w:pPr>
              <w:keepNext w:val="0"/>
              <w:keepLines w:val="0"/>
              <w:pageBreakBefore w:val="0"/>
              <w:kinsoku/>
              <w:wordWrap/>
              <w:overflowPunct/>
              <w:topLinePunct w:val="0"/>
              <w:autoSpaceDE/>
              <w:autoSpaceDN/>
              <w:bidi w:val="0"/>
              <w:spacing w:line="400" w:lineRule="exact"/>
              <w:ind w:left="0" w:right="0"/>
              <w:jc w:val="center"/>
              <w:textAlignment w:val="auto"/>
              <w:rPr>
                <w:rFonts w:hint="default"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投标人</w:t>
            </w:r>
            <w:r>
              <w:rPr>
                <w:rFonts w:hint="eastAsia" w:asciiTheme="minorEastAsia" w:hAnsiTheme="minorEastAsia" w:eastAsiaTheme="minorEastAsia"/>
                <w:color w:val="auto"/>
                <w:sz w:val="24"/>
                <w:szCs w:val="24"/>
                <w:lang w:val="en-US" w:eastAsia="zh-CN"/>
              </w:rPr>
              <w:t>资格要求</w:t>
            </w:r>
          </w:p>
        </w:tc>
        <w:tc>
          <w:tcPr>
            <w:tcW w:w="6949" w:type="dxa"/>
            <w:tcBorders>
              <w:top w:val="single" w:color="000000" w:sz="4" w:space="0"/>
              <w:left w:val="single" w:color="000000" w:sz="4" w:space="0"/>
              <w:bottom w:val="single" w:color="000000" w:sz="4" w:space="0"/>
              <w:right w:val="single" w:color="000000" w:sz="4" w:space="0"/>
            </w:tcBorders>
          </w:tcPr>
          <w:p w14:paraId="785C5D52">
            <w:pPr>
              <w:keepNext w:val="0"/>
              <w:keepLines w:val="0"/>
              <w:pageBreakBefore w:val="0"/>
              <w:tabs>
                <w:tab w:val="left" w:pos="567"/>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645D55C9">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cs="宋体"/>
                <w:color w:val="auto"/>
                <w:kern w:val="0"/>
                <w:sz w:val="24"/>
                <w:szCs w:val="24"/>
                <w:lang w:eastAsia="zh-CN"/>
              </w:rPr>
              <w:t>法定代表人授权书及被授权人身份证复印件（法定代表人直接投标只需提交其身份明材料）。</w:t>
            </w:r>
          </w:p>
          <w:p w14:paraId="37917467">
            <w:pPr>
              <w:keepNext w:val="0"/>
              <w:keepLines w:val="0"/>
              <w:pageBreakBefore w:val="0"/>
              <w:tabs>
                <w:tab w:val="center" w:pos="4153"/>
                <w:tab w:val="right" w:pos="8306"/>
              </w:tabs>
              <w:kinsoku/>
              <w:wordWrap/>
              <w:overflowPunct/>
              <w:topLinePunct w:val="0"/>
              <w:autoSpaceDE/>
              <w:autoSpaceDN/>
              <w:bidi w:val="0"/>
              <w:adjustRightInd/>
              <w:snapToGrid w:val="0"/>
              <w:spacing w:line="42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3AF93297">
            <w:pPr>
              <w:keepNext w:val="0"/>
              <w:keepLines w:val="0"/>
              <w:pageBreakBefore w:val="0"/>
              <w:kinsoku/>
              <w:wordWrap/>
              <w:overflowPunct/>
              <w:topLinePunct w:val="0"/>
              <w:autoSpaceDE/>
              <w:autoSpaceDN/>
              <w:bidi w:val="0"/>
              <w:adjustRightInd/>
              <w:spacing w:line="42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 xml:space="preserve">书面声明：投标人必须提供参加政府采购活动前3年内在经营活动中没有重大违法记录的书面声明。 </w:t>
            </w:r>
          </w:p>
          <w:p w14:paraId="62BE05D6">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cs="宋体"/>
                <w:color w:val="auto"/>
                <w:sz w:val="24"/>
                <w:szCs w:val="24"/>
              </w:rPr>
              <w:t>税收缴纳证明：</w:t>
            </w:r>
            <w:r>
              <w:rPr>
                <w:rFonts w:hint="eastAsia" w:ascii="宋体" w:hAnsi="宋体" w:cs="宋体"/>
                <w:color w:val="auto"/>
                <w:sz w:val="24"/>
                <w:szCs w:val="24"/>
                <w:lang w:eastAsia="zh-CN"/>
              </w:rPr>
              <w:t>提供2025年6月至今任意一个月缴纳的纳税证明或完税证明</w:t>
            </w:r>
            <w:r>
              <w:rPr>
                <w:rFonts w:hint="eastAsia" w:ascii="宋体" w:hAnsi="宋体" w:cs="宋体"/>
                <w:color w:val="auto"/>
                <w:sz w:val="24"/>
                <w:szCs w:val="24"/>
              </w:rPr>
              <w:t>，依法免税或缓缴的单位应提供相关证明材料，纳税证明或完税证明上应有代收机构或税务机关的公章或业务专用章。</w:t>
            </w:r>
          </w:p>
          <w:p w14:paraId="13EEAD20">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cs="宋体"/>
                <w:color w:val="auto"/>
                <w:sz w:val="24"/>
                <w:szCs w:val="24"/>
              </w:rPr>
              <w:t>财务状况报告：</w:t>
            </w:r>
            <w:r>
              <w:rPr>
                <w:rFonts w:hint="eastAsia" w:ascii="宋体" w:hAnsi="宋体" w:cs="宋体"/>
                <w:color w:val="auto"/>
                <w:sz w:val="24"/>
                <w:szCs w:val="24"/>
                <w:lang w:eastAsia="zh-CN"/>
              </w:rPr>
              <w:t>提供2025年度经审计的财务审计报告或投标截止时间前六个月内基本开户银行出具的资信证明</w:t>
            </w:r>
            <w:r>
              <w:rPr>
                <w:rFonts w:hint="eastAsia" w:ascii="宋体" w:hAnsi="宋体" w:cs="宋体"/>
                <w:color w:val="auto"/>
                <w:sz w:val="24"/>
                <w:szCs w:val="24"/>
              </w:rPr>
              <w:t>（成立时间至提交响应文件截止时间不足一年的可提供成立后任意时段的资产负债表）</w:t>
            </w:r>
            <w:r>
              <w:rPr>
                <w:rFonts w:hint="eastAsia" w:ascii="宋体" w:hAnsi="宋体" w:cs="宋体"/>
                <w:color w:val="auto"/>
                <w:sz w:val="24"/>
                <w:szCs w:val="24"/>
                <w:lang w:eastAsia="zh-CN"/>
              </w:rPr>
              <w:t>。</w:t>
            </w:r>
          </w:p>
          <w:p w14:paraId="7A490A21">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cs="宋体"/>
                <w:color w:val="auto"/>
                <w:sz w:val="24"/>
                <w:szCs w:val="24"/>
              </w:rPr>
              <w:t>社会保障资金缴纳证明：</w:t>
            </w:r>
            <w:r>
              <w:rPr>
                <w:rFonts w:hint="eastAsia" w:ascii="宋体" w:hAnsi="宋体" w:cs="宋体"/>
                <w:color w:val="auto"/>
                <w:sz w:val="24"/>
                <w:szCs w:val="24"/>
                <w:lang w:eastAsia="zh-CN"/>
              </w:rPr>
              <w:t>提供2025年6月至今任意一个月社会保障资金缴存单据</w:t>
            </w:r>
            <w:r>
              <w:rPr>
                <w:rFonts w:hint="eastAsia" w:ascii="宋体" w:hAnsi="宋体" w:cs="宋体"/>
                <w:color w:val="auto"/>
                <w:sz w:val="24"/>
                <w:szCs w:val="24"/>
              </w:rPr>
              <w:t>或社保机构开具的社会保险参保缴费情况证明，依法不需要缴纳社会保障资金的单位应提供相关证明材料，单据或证明上应有社保机构或代收机构的印章</w:t>
            </w:r>
            <w:r>
              <w:rPr>
                <w:rFonts w:hint="eastAsia" w:ascii="宋体" w:hAnsi="宋体" w:cs="宋体"/>
                <w:color w:val="auto"/>
                <w:sz w:val="24"/>
                <w:szCs w:val="24"/>
                <w:lang w:eastAsia="zh-CN"/>
              </w:rPr>
              <w:t>（</w:t>
            </w:r>
            <w:r>
              <w:rPr>
                <w:rFonts w:hint="eastAsia" w:ascii="宋体" w:hAnsi="宋体" w:cs="宋体"/>
                <w:color w:val="auto"/>
                <w:sz w:val="24"/>
                <w:szCs w:val="24"/>
              </w:rPr>
              <w:t>成立时间至提交响应文件截止时间不足三个月的可不提供</w:t>
            </w:r>
            <w:r>
              <w:rPr>
                <w:rFonts w:hint="eastAsia" w:ascii="宋体" w:hAnsi="宋体" w:cs="宋体"/>
                <w:color w:val="auto"/>
                <w:sz w:val="24"/>
                <w:szCs w:val="24"/>
                <w:lang w:eastAsia="zh-CN"/>
              </w:rPr>
              <w:t>）。</w:t>
            </w:r>
          </w:p>
          <w:p w14:paraId="3BF62780">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（8）提供具有履行合同</w:t>
            </w:r>
            <w:r>
              <w:rPr>
                <w:rFonts w:hint="eastAsia" w:ascii="宋体" w:hAnsi="宋体" w:eastAsia="宋体" w:cs="宋体"/>
                <w:color w:val="auto"/>
                <w:kern w:val="2"/>
                <w:sz w:val="24"/>
                <w:szCs w:val="24"/>
                <w:lang w:val="en-US" w:eastAsia="zh-CN" w:bidi="ar-SA"/>
              </w:rPr>
              <w:t>所必需的设备和专业技术能力的承诺书</w:t>
            </w:r>
            <w:r>
              <w:rPr>
                <w:rFonts w:hint="eastAsia" w:ascii="宋体" w:hAnsi="宋体" w:cs="宋体"/>
                <w:color w:val="auto"/>
                <w:kern w:val="2"/>
                <w:sz w:val="24"/>
                <w:szCs w:val="24"/>
                <w:lang w:val="en-US" w:eastAsia="zh-CN" w:bidi="ar-SA"/>
              </w:rPr>
              <w:t>（格式自拟）。</w:t>
            </w:r>
          </w:p>
          <w:p w14:paraId="128B545C">
            <w:pPr>
              <w:keepNext w:val="0"/>
              <w:keepLines w:val="0"/>
              <w:pageBreakBefore w:val="0"/>
              <w:kinsoku/>
              <w:wordWrap/>
              <w:overflowPunct/>
              <w:topLinePunct w:val="0"/>
              <w:autoSpaceDE/>
              <w:autoSpaceDN/>
              <w:bidi w:val="0"/>
              <w:adjustRightInd/>
              <w:spacing w:line="500" w:lineRule="exact"/>
              <w:ind w:left="0" w:leftChars="0" w:right="0" w:rightChars="0"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（9）本项目不接受联合体投标。</w:t>
            </w:r>
          </w:p>
          <w:p w14:paraId="1ACC5A9A">
            <w:pPr>
              <w:keepNext w:val="0"/>
              <w:keepLines w:val="0"/>
              <w:pageBreakBefore w:val="0"/>
              <w:kinsoku/>
              <w:wordWrap/>
              <w:overflowPunct/>
              <w:topLinePunct w:val="0"/>
              <w:autoSpaceDE/>
              <w:autoSpaceDN/>
              <w:bidi w:val="0"/>
              <w:spacing w:line="400" w:lineRule="exact"/>
              <w:ind w:left="0" w:right="0" w:firstLine="480" w:firstLineChars="200"/>
              <w:textAlignment w:val="auto"/>
              <w:rPr>
                <w:rFonts w:hint="eastAsia" w:cs="宋体" w:asciiTheme="minorEastAsia" w:hAnsiTheme="minorEastAsia" w:eastAsiaTheme="minorEastAsia"/>
                <w:color w:val="auto"/>
                <w:kern w:val="0"/>
                <w:sz w:val="24"/>
                <w:szCs w:val="24"/>
              </w:rPr>
            </w:pPr>
            <w:r>
              <w:rPr>
                <w:rFonts w:hint="eastAsia" w:ascii="宋体" w:hAnsi="宋体" w:cs="宋体"/>
                <w:color w:val="auto"/>
                <w:sz w:val="24"/>
                <w:szCs w:val="24"/>
                <w:lang w:val="en-US" w:eastAsia="zh-CN"/>
              </w:rPr>
              <w:t>（10）</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0ED94D11">
            <w:pPr>
              <w:keepNext w:val="0"/>
              <w:keepLines w:val="0"/>
              <w:pageBreakBefore w:val="0"/>
              <w:kinsoku/>
              <w:wordWrap/>
              <w:overflowPunct/>
              <w:topLinePunct w:val="0"/>
              <w:autoSpaceDE/>
              <w:autoSpaceDN/>
              <w:bidi w:val="0"/>
              <w:spacing w:line="400" w:lineRule="exact"/>
              <w:ind w:left="0" w:right="0" w:firstLine="482" w:firstLineChars="200"/>
              <w:textAlignment w:val="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3D4B62BD">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61B7900">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488DBB1C">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21DCE8DA">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5F5AD5F5">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不接受联合体磋商</w:t>
            </w:r>
          </w:p>
        </w:tc>
      </w:tr>
      <w:tr w14:paraId="0173B195">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F26E0F5">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036BCC2">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28B4292A">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73153829">
        <w:tblPrEx>
          <w:tblCellMar>
            <w:top w:w="147" w:type="dxa"/>
            <w:left w:w="108" w:type="dxa"/>
            <w:bottom w:w="56" w:type="dxa"/>
            <w:right w:w="0" w:type="dxa"/>
          </w:tblCellMar>
        </w:tblPrEx>
        <w:trPr>
          <w:trHeight w:val="45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C9B6C60">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D62071A">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3CB82ABC">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宋体" w:hAnsi="宋体" w:cs="宋体"/>
                <w:b w:val="0"/>
                <w:bCs w:val="0"/>
                <w:color w:val="auto"/>
                <w:kern w:val="0"/>
                <w:sz w:val="24"/>
                <w:szCs w:val="24"/>
                <w:lang w:eastAsia="zh-CN"/>
              </w:rPr>
              <w:t>2026年6月29日15时00分00秒</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28E1957A">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宋体" w:hAnsi="宋体" w:cs="宋体"/>
                <w:color w:val="auto"/>
                <w:sz w:val="24"/>
                <w:szCs w:val="24"/>
              </w:rPr>
              <w:t>安康市高新区</w:t>
            </w:r>
            <w:r>
              <w:rPr>
                <w:rFonts w:hint="eastAsia" w:ascii="宋体" w:hAnsi="宋体" w:cs="宋体"/>
                <w:color w:val="auto"/>
                <w:sz w:val="24"/>
                <w:szCs w:val="24"/>
                <w:lang w:eastAsia="zh-CN"/>
              </w:rPr>
              <w:t>高新观澜8栋</w:t>
            </w:r>
            <w:r>
              <w:rPr>
                <w:rFonts w:hint="eastAsia" w:ascii="宋体" w:hAnsi="宋体" w:cs="宋体"/>
                <w:color w:val="auto"/>
                <w:sz w:val="24"/>
                <w:szCs w:val="24"/>
              </w:rPr>
              <w:t>2单元801室</w:t>
            </w:r>
          </w:p>
          <w:p w14:paraId="068C7569">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74B441F1">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BF4CE10">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0D8FCECD">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磋商响应文件递交截止时间</w:t>
            </w:r>
            <w:r>
              <w:rPr>
                <w:rFonts w:hint="eastAsia"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44FF3EF">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宋体" w:hAnsi="宋体" w:cs="宋体"/>
                <w:b w:val="0"/>
                <w:bCs w:val="0"/>
                <w:color w:val="auto"/>
                <w:kern w:val="0"/>
                <w:sz w:val="24"/>
                <w:szCs w:val="24"/>
                <w:lang w:eastAsia="zh-CN"/>
              </w:rPr>
              <w:t>2026年6月29日15时00分00秒</w:t>
            </w:r>
            <w:r>
              <w:rPr>
                <w:rFonts w:hint="eastAsia" w:asciiTheme="minorEastAsia" w:hAnsiTheme="minorEastAsia" w:eastAsiaTheme="minorEastAsia"/>
                <w:color w:val="auto"/>
                <w:sz w:val="24"/>
                <w:szCs w:val="24"/>
              </w:rPr>
              <w:t>止</w:t>
            </w:r>
          </w:p>
          <w:p w14:paraId="48B12847">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递交地点：</w:t>
            </w:r>
            <w:r>
              <w:rPr>
                <w:rFonts w:hint="eastAsia" w:ascii="宋体" w:hAnsi="宋体" w:cs="宋体"/>
                <w:color w:val="auto"/>
                <w:sz w:val="24"/>
                <w:szCs w:val="24"/>
              </w:rPr>
              <w:t>安康市高新区</w:t>
            </w:r>
            <w:r>
              <w:rPr>
                <w:rFonts w:hint="eastAsia" w:ascii="宋体" w:hAnsi="宋体" w:cs="宋体"/>
                <w:color w:val="auto"/>
                <w:sz w:val="24"/>
                <w:szCs w:val="24"/>
                <w:lang w:eastAsia="zh-CN"/>
              </w:rPr>
              <w:t>高新观澜8栋</w:t>
            </w:r>
            <w:r>
              <w:rPr>
                <w:rFonts w:hint="eastAsia" w:ascii="宋体" w:hAnsi="宋体" w:cs="宋体"/>
                <w:color w:val="auto"/>
                <w:sz w:val="24"/>
                <w:szCs w:val="24"/>
              </w:rPr>
              <w:t>2单元801室</w:t>
            </w:r>
            <w:r>
              <w:rPr>
                <w:rFonts w:hint="eastAsia" w:asciiTheme="minorEastAsia" w:hAnsiTheme="minorEastAsia" w:eastAsiaTheme="minorEastAsia"/>
                <w:color w:val="auto"/>
                <w:sz w:val="24"/>
                <w:szCs w:val="24"/>
              </w:rPr>
              <w:t xml:space="preserve">  </w:t>
            </w:r>
          </w:p>
        </w:tc>
      </w:tr>
      <w:tr w14:paraId="31A70B65">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6320CD3">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23623CA">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5FB627B1">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u w:val="none" w:color="auto"/>
              </w:rPr>
              <w:t>90</w:t>
            </w:r>
            <w:r>
              <w:rPr>
                <w:rFonts w:asciiTheme="minorEastAsia" w:hAnsiTheme="minorEastAsia" w:eastAsiaTheme="minorEastAsia"/>
                <w:color w:val="auto"/>
                <w:sz w:val="24"/>
                <w:szCs w:val="24"/>
              </w:rPr>
              <w:t xml:space="preserve">日历天（从提交响应文件日起计算） </w:t>
            </w:r>
          </w:p>
        </w:tc>
      </w:tr>
      <w:tr w14:paraId="2D54CF9D">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72A7CFF7">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B875B2B">
            <w:pPr>
              <w:keepNext w:val="0"/>
              <w:keepLines w:val="0"/>
              <w:pageBreakBefore w:val="0"/>
              <w:kinsoku/>
              <w:wordWrap/>
              <w:overflowPunct/>
              <w:topLinePunct w:val="0"/>
              <w:autoSpaceDE/>
              <w:autoSpaceDN/>
              <w:bidi w:val="0"/>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tcPr>
          <w:p w14:paraId="497C41B0">
            <w:pPr>
              <w:keepNext w:val="0"/>
              <w:keepLines w:val="0"/>
              <w:pageBreakBefore w:val="0"/>
              <w:kinsoku/>
              <w:wordWrap/>
              <w:overflowPunct/>
              <w:topLinePunct w:val="0"/>
              <w:autoSpaceDE/>
              <w:autoSpaceDN/>
              <w:bidi w:val="0"/>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，电子版壹份</w:t>
            </w:r>
          </w:p>
        </w:tc>
      </w:tr>
      <w:tr w14:paraId="0F78EAFA">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77CACF">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center"/>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CBFA2CB">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asciiTheme="minorEastAsia" w:hAnsiTheme="minorEastAsia" w:eastAsiaTheme="minorEastAsia"/>
                <w:color w:val="auto"/>
                <w:sz w:val="24"/>
                <w:szCs w:val="24"/>
              </w:rPr>
            </w:pPr>
            <w:r>
              <w:rPr>
                <w:rFonts w:hint="eastAsia" w:ascii="宋体" w:hAnsi="宋体" w:cs="宋体" w:eastAsiaTheme="minorEastAsia"/>
                <w:color w:val="auto"/>
                <w:kern w:val="0"/>
                <w:sz w:val="24"/>
                <w:szCs w:val="24"/>
              </w:rPr>
              <w:t>装订要求</w:t>
            </w:r>
          </w:p>
        </w:tc>
        <w:tc>
          <w:tcPr>
            <w:tcW w:w="6949" w:type="dxa"/>
            <w:tcBorders>
              <w:top w:val="single" w:color="000000" w:sz="4" w:space="0"/>
              <w:left w:val="single" w:color="000000" w:sz="4" w:space="0"/>
              <w:bottom w:val="single" w:color="000000" w:sz="4" w:space="0"/>
              <w:right w:val="single" w:color="000000" w:sz="4" w:space="0"/>
            </w:tcBorders>
          </w:tcPr>
          <w:p w14:paraId="36708FF5">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asciiTheme="minorEastAsia" w:hAnsiTheme="minorEastAsia" w:eastAsiaTheme="minorEastAsia"/>
                <w:color w:val="auto"/>
                <w:sz w:val="24"/>
                <w:szCs w:val="24"/>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tc>
      </w:tr>
      <w:tr w14:paraId="470EBA22">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A77C400">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7201EFB">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评分办法</w:t>
            </w:r>
          </w:p>
        </w:tc>
        <w:tc>
          <w:tcPr>
            <w:tcW w:w="6949" w:type="dxa"/>
            <w:tcBorders>
              <w:top w:val="single" w:color="000000" w:sz="4" w:space="0"/>
              <w:left w:val="single" w:color="000000" w:sz="4" w:space="0"/>
              <w:bottom w:val="single" w:color="000000" w:sz="4" w:space="0"/>
              <w:right w:val="single" w:color="000000" w:sz="4" w:space="0"/>
            </w:tcBorders>
          </w:tcPr>
          <w:p w14:paraId="2DC366EA">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综合评分法 </w:t>
            </w:r>
          </w:p>
        </w:tc>
      </w:tr>
      <w:tr w14:paraId="2ED4AE9A">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055BDD5">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28D2BFF">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161DD581">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根据《中华人民共和国政府采购法》《</w:t>
            </w:r>
            <w:r>
              <w:rPr>
                <w:rFonts w:hint="eastAsia" w:asciiTheme="minorEastAsia" w:hAnsiTheme="minorEastAsia" w:eastAsiaTheme="minorEastAsia"/>
                <w:color w:val="auto"/>
                <w:sz w:val="24"/>
                <w:szCs w:val="24"/>
                <w:lang w:val="en-US" w:eastAsia="zh-CN"/>
              </w:rPr>
              <w:t>政府采购竞争性磋商采购方式管理暂行办法</w:t>
            </w:r>
            <w:r>
              <w:rPr>
                <w:rFonts w:asciiTheme="minorEastAsia" w:hAnsiTheme="minorEastAsia" w:eastAsiaTheme="minorEastAsia"/>
                <w:color w:val="auto"/>
                <w:sz w:val="24"/>
                <w:szCs w:val="24"/>
              </w:rPr>
              <w:t>》等有关法律规定组建磋商小组</w:t>
            </w:r>
          </w:p>
        </w:tc>
      </w:tr>
      <w:tr w14:paraId="165BC109">
        <w:tblPrEx>
          <w:tblCellMar>
            <w:top w:w="147" w:type="dxa"/>
            <w:left w:w="108" w:type="dxa"/>
            <w:bottom w:w="56" w:type="dxa"/>
            <w:right w:w="0" w:type="dxa"/>
          </w:tblCellMar>
        </w:tblPrEx>
        <w:trPr>
          <w:trHeight w:val="67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95DA023">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D32B1F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5C6465FF">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合同签订后付</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合同总价款的</w:t>
            </w:r>
            <w:r>
              <w:rPr>
                <w:rFonts w:hint="eastAsia" w:asciiTheme="minorEastAsia" w:hAnsiTheme="minorEastAsia" w:eastAsiaTheme="minorEastAsia"/>
                <w:color w:val="000000" w:themeColor="text1"/>
                <w:sz w:val="24"/>
                <w:szCs w:val="24"/>
                <w:lang w:eastAsia="zh-CN"/>
                <w14:textFill>
                  <w14:solidFill>
                    <w14:schemeClr w14:val="tx1"/>
                  </w14:solidFill>
                </w14:textFill>
              </w:rPr>
              <w:t>40%，安装调试验收合格后</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付合同总价款的</w:t>
            </w:r>
            <w:r>
              <w:rPr>
                <w:rFonts w:hint="eastAsia" w:asciiTheme="minorEastAsia" w:hAnsiTheme="minorEastAsia" w:eastAsiaTheme="minorEastAsia"/>
                <w:color w:val="000000" w:themeColor="text1"/>
                <w:sz w:val="24"/>
                <w:szCs w:val="24"/>
                <w:lang w:eastAsia="zh-CN"/>
                <w14:textFill>
                  <w14:solidFill>
                    <w14:schemeClr w14:val="tx1"/>
                  </w14:solidFill>
                </w14:textFill>
              </w:rPr>
              <w:t>60%。付款前，成交供应商应为采购人开具全额的增值税电子发票</w:t>
            </w:r>
          </w:p>
        </w:tc>
      </w:tr>
      <w:tr w14:paraId="77FF5AB6">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12C89B">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46C1A5E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答疑</w:t>
            </w:r>
          </w:p>
        </w:tc>
        <w:tc>
          <w:tcPr>
            <w:tcW w:w="6949" w:type="dxa"/>
            <w:tcBorders>
              <w:top w:val="single" w:color="000000" w:sz="4" w:space="0"/>
              <w:left w:val="single" w:color="000000" w:sz="4" w:space="0"/>
              <w:bottom w:val="single" w:color="000000" w:sz="4" w:space="0"/>
              <w:right w:val="single" w:color="000000" w:sz="4" w:space="0"/>
            </w:tcBorders>
          </w:tcPr>
          <w:p w14:paraId="19EFB046">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如有疑问，投标人需书面提出，经采购人收集问题后，统一答疑 </w:t>
            </w:r>
          </w:p>
        </w:tc>
      </w:tr>
      <w:tr w14:paraId="48F35699">
        <w:tblPrEx>
          <w:tblCellMar>
            <w:top w:w="147" w:type="dxa"/>
            <w:left w:w="108" w:type="dxa"/>
            <w:bottom w:w="56" w:type="dxa"/>
            <w:right w:w="0" w:type="dxa"/>
          </w:tblCellMar>
        </w:tblPrEx>
        <w:trPr>
          <w:trHeight w:val="156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1A38AB1">
            <w:pPr>
              <w:pStyle w:val="83"/>
              <w:keepNext w:val="0"/>
              <w:keepLines w:val="0"/>
              <w:pageBreakBefore w:val="0"/>
              <w:numPr>
                <w:ilvl w:val="0"/>
                <w:numId w:val="2"/>
              </w:numPr>
              <w:kinsoku/>
              <w:wordWrap/>
              <w:overflowPunct/>
              <w:topLinePunct w:val="0"/>
              <w:autoSpaceDE/>
              <w:autoSpaceDN/>
              <w:bidi w:val="0"/>
              <w:spacing w:line="400" w:lineRule="exact"/>
              <w:ind w:left="425" w:leftChars="0" w:right="0" w:hanging="425" w:firstLineChars="0"/>
              <w:jc w:val="both"/>
              <w:textAlignment w:val="auto"/>
              <w:rPr>
                <w:rFonts w:asciiTheme="minorEastAsia" w:hAnsiTheme="minorEastAsia" w:eastAsiaTheme="minorEastAsia"/>
                <w:color w:val="auto"/>
                <w:sz w:val="24"/>
                <w:szCs w:val="24"/>
              </w:rPr>
            </w:pPr>
            <w:bookmarkStart w:id="19" w:name="_Toc19272"/>
            <w:bookmarkStart w:id="20" w:name="_Toc536202378"/>
            <w:bookmarkStart w:id="21" w:name="_Toc536429318"/>
            <w:bookmarkStart w:id="22" w:name="_Toc536202284"/>
            <w:bookmarkStart w:id="23" w:name="_Toc21495"/>
            <w:bookmarkStart w:id="24" w:name="_Toc536429371"/>
          </w:p>
        </w:tc>
        <w:tc>
          <w:tcPr>
            <w:tcW w:w="1990" w:type="dxa"/>
            <w:tcBorders>
              <w:top w:val="single" w:color="000000" w:sz="4" w:space="0"/>
              <w:left w:val="single" w:color="000000" w:sz="4" w:space="0"/>
              <w:bottom w:val="single" w:color="000000" w:sz="4" w:space="0"/>
              <w:right w:val="single" w:color="000000" w:sz="4" w:space="0"/>
            </w:tcBorders>
            <w:vAlign w:val="center"/>
          </w:tcPr>
          <w:p w14:paraId="75B8E0CC">
            <w:pPr>
              <w:keepNext w:val="0"/>
              <w:keepLines w:val="0"/>
              <w:pageBreakBefore w:val="0"/>
              <w:kinsoku/>
              <w:wordWrap/>
              <w:overflowPunct/>
              <w:topLinePunct w:val="0"/>
              <w:autoSpaceDE/>
              <w:autoSpaceDN/>
              <w:bidi w:val="0"/>
              <w:spacing w:line="400" w:lineRule="exact"/>
              <w:ind w:left="0" w:right="0" w:rightChars="0"/>
              <w:jc w:val="center"/>
              <w:textAlignment w:val="auto"/>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其他说明事项</w:t>
            </w:r>
          </w:p>
        </w:tc>
        <w:tc>
          <w:tcPr>
            <w:tcW w:w="6949" w:type="dxa"/>
            <w:tcBorders>
              <w:top w:val="single" w:color="000000" w:sz="4" w:space="0"/>
              <w:left w:val="single" w:color="000000" w:sz="4" w:space="0"/>
              <w:bottom w:val="single" w:color="000000" w:sz="4" w:space="0"/>
              <w:right w:val="single" w:color="000000" w:sz="4" w:space="0"/>
            </w:tcBorders>
            <w:vAlign w:val="top"/>
          </w:tcPr>
          <w:p w14:paraId="13A2ABCE">
            <w:pPr>
              <w:keepNext w:val="0"/>
              <w:keepLines w:val="0"/>
              <w:pageBreakBefore w:val="0"/>
              <w:kinsoku/>
              <w:wordWrap/>
              <w:overflowPunct/>
              <w:topLinePunct w:val="0"/>
              <w:autoSpaceDE/>
              <w:autoSpaceDN/>
              <w:bidi w:val="0"/>
              <w:adjustRightInd w:val="0"/>
              <w:snapToGrid w:val="0"/>
              <w:spacing w:line="400" w:lineRule="exact"/>
              <w:ind w:left="0" w:right="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2"/>
                <w:sz w:val="24"/>
                <w:szCs w:val="24"/>
                <w:lang w:val="en-US" w:eastAsia="zh-CN" w:bidi="ar"/>
              </w:rPr>
              <w:t>依据《关于印发中小企业划型标准规定的通知》（工信部联企业〔2011〕300 号），</w:t>
            </w:r>
            <w:r>
              <w:rPr>
                <w:rFonts w:hint="eastAsia" w:ascii="宋体" w:hAnsi="宋体" w:eastAsia="宋体" w:cs="宋体"/>
                <w:color w:val="auto"/>
                <w:sz w:val="24"/>
                <w:szCs w:val="22"/>
                <w:lang w:val="en-US" w:eastAsia="zh-CN"/>
              </w:rPr>
              <w:t>采购标的对应的中小企业划分标准所属行业为软件和信息技术服务业。</w:t>
            </w:r>
          </w:p>
          <w:p w14:paraId="2D6759FE">
            <w:pPr>
              <w:keepNext w:val="0"/>
              <w:keepLines w:val="0"/>
              <w:pageBreakBefore w:val="0"/>
              <w:kinsoku/>
              <w:wordWrap/>
              <w:overflowPunct/>
              <w:topLinePunct w:val="0"/>
              <w:autoSpaceDE/>
              <w:autoSpaceDN/>
              <w:bidi w:val="0"/>
              <w:adjustRightInd w:val="0"/>
              <w:snapToGrid w:val="0"/>
              <w:spacing w:line="400" w:lineRule="exact"/>
              <w:ind w:left="0" w:right="0"/>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2"/>
                <w:lang w:val="en-US" w:eastAsia="zh-CN"/>
              </w:rPr>
              <w:t>软件和信息技术服务业的划型标准为：</w:t>
            </w:r>
            <w:r>
              <w:rPr>
                <w:rFonts w:hint="eastAsia" w:ascii="宋体" w:hAnsi="宋体" w:eastAsia="宋体" w:cs="宋体"/>
                <w:i w:val="0"/>
                <w:iCs w:val="0"/>
                <w:caps w:val="0"/>
                <w:color w:val="auto"/>
                <w:spacing w:val="0"/>
                <w:sz w:val="24"/>
                <w:szCs w:val="24"/>
                <w:shd w:val="clear"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bl>
    <w:p w14:paraId="6CC288DE">
      <w:pPr>
        <w:pStyle w:val="12"/>
        <w:rPr>
          <w:color w:val="auto"/>
          <w:kern w:val="44"/>
          <w:sz w:val="32"/>
          <w:szCs w:val="32"/>
        </w:rPr>
      </w:pPr>
      <w:r>
        <w:rPr>
          <w:color w:val="auto"/>
        </w:rPr>
        <w:br w:type="page"/>
      </w:r>
    </w:p>
    <w:p w14:paraId="10F77888">
      <w:pPr>
        <w:pStyle w:val="2"/>
        <w:keepLines w:val="0"/>
        <w:spacing w:line="400" w:lineRule="exact"/>
        <w:rPr>
          <w:rFonts w:ascii="宋体"/>
          <w:color w:val="auto"/>
        </w:rPr>
      </w:pPr>
      <w:bookmarkStart w:id="25" w:name="_Toc7866"/>
      <w:bookmarkStart w:id="26" w:name="_Toc19543335"/>
      <w:r>
        <w:rPr>
          <w:rFonts w:hint="eastAsia" w:ascii="宋体" w:hAnsi="宋体" w:cs="宋体"/>
          <w:color w:val="auto"/>
        </w:rPr>
        <w:t xml:space="preserve">第三部分 </w:t>
      </w:r>
      <w:r>
        <w:rPr>
          <w:rFonts w:ascii="宋体" w:hAnsi="宋体" w:cs="宋体"/>
          <w:color w:val="auto"/>
        </w:rPr>
        <w:t xml:space="preserve">  </w:t>
      </w:r>
      <w:r>
        <w:rPr>
          <w:rFonts w:hint="eastAsia" w:ascii="宋体" w:hAnsi="宋体" w:cs="宋体"/>
          <w:color w:val="auto"/>
        </w:rPr>
        <w:t>供应商须知</w:t>
      </w:r>
      <w:bookmarkEnd w:id="19"/>
      <w:bookmarkEnd w:id="20"/>
      <w:bookmarkEnd w:id="21"/>
      <w:bookmarkEnd w:id="22"/>
      <w:bookmarkEnd w:id="23"/>
      <w:bookmarkEnd w:id="24"/>
      <w:bookmarkEnd w:id="25"/>
      <w:bookmarkEnd w:id="26"/>
    </w:p>
    <w:p w14:paraId="294B5550">
      <w:pPr>
        <w:widowControl/>
        <w:numPr>
          <w:ilvl w:val="0"/>
          <w:numId w:val="3"/>
        </w:numPr>
        <w:spacing w:line="400" w:lineRule="exact"/>
        <w:ind w:firstLine="643" w:firstLineChars="200"/>
        <w:jc w:val="center"/>
        <w:outlineLvl w:val="1"/>
        <w:rPr>
          <w:rFonts w:ascii="宋体" w:cs="Times New Roman"/>
          <w:b/>
          <w:bCs/>
          <w:color w:val="auto"/>
          <w:kern w:val="0"/>
          <w:sz w:val="32"/>
          <w:szCs w:val="32"/>
        </w:rPr>
      </w:pPr>
      <w:bookmarkStart w:id="27" w:name="_Toc19543336"/>
      <w:bookmarkStart w:id="28" w:name="_Toc536202285"/>
      <w:bookmarkStart w:id="29" w:name="_Toc536202379"/>
      <w:bookmarkStart w:id="30" w:name="_Toc536429319"/>
      <w:bookmarkStart w:id="31" w:name="_Toc26739"/>
      <w:bookmarkStart w:id="32" w:name="_Toc17059"/>
      <w:bookmarkStart w:id="33" w:name="_Toc536429372"/>
      <w:r>
        <w:rPr>
          <w:rFonts w:hint="eastAsia" w:ascii="宋体" w:hAnsi="宋体" w:cs="宋体"/>
          <w:b/>
          <w:bCs/>
          <w:color w:val="auto"/>
          <w:kern w:val="0"/>
          <w:sz w:val="32"/>
          <w:szCs w:val="32"/>
        </w:rPr>
        <w:t>总 则</w:t>
      </w:r>
      <w:bookmarkEnd w:id="27"/>
      <w:bookmarkEnd w:id="28"/>
      <w:bookmarkEnd w:id="29"/>
      <w:bookmarkEnd w:id="30"/>
      <w:bookmarkEnd w:id="31"/>
      <w:bookmarkEnd w:id="32"/>
      <w:bookmarkEnd w:id="33"/>
    </w:p>
    <w:p w14:paraId="2D361977">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cs="宋体"/>
          <w:b/>
          <w:bCs/>
          <w:color w:val="auto"/>
          <w:sz w:val="24"/>
          <w:szCs w:val="24"/>
        </w:rPr>
        <w:t>适用范围</w:t>
      </w:r>
    </w:p>
    <w:p w14:paraId="45C210B9">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1.1本磋商文件适用于本次采购活动的全过程。</w:t>
      </w:r>
    </w:p>
    <w:p w14:paraId="548A5FC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22A1FB4D">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cs="宋体"/>
          <w:b/>
          <w:bCs/>
          <w:color w:val="auto"/>
          <w:sz w:val="24"/>
          <w:szCs w:val="24"/>
        </w:rPr>
        <w:t>定义</w:t>
      </w:r>
    </w:p>
    <w:p w14:paraId="1C537252">
      <w:pPr>
        <w:widowControl/>
        <w:snapToGrid w:val="0"/>
        <w:spacing w:line="360" w:lineRule="auto"/>
        <w:ind w:firstLine="480" w:firstLineChars="200"/>
        <w:jc w:val="left"/>
        <w:rPr>
          <w:rFonts w:hint="default" w:ascii="宋体" w:hAnsi="宋体" w:eastAsia="宋体" w:cs="宋体"/>
          <w:bCs/>
          <w:color w:val="auto"/>
          <w:sz w:val="24"/>
          <w:szCs w:val="24"/>
          <w:lang w:val="en-US" w:eastAsia="zh-CN"/>
        </w:rPr>
      </w:pPr>
      <w:r>
        <w:rPr>
          <w:rFonts w:hint="eastAsia" w:ascii="宋体" w:hAnsi="宋体" w:cs="宋体"/>
          <w:bCs/>
          <w:color w:val="auto"/>
          <w:sz w:val="24"/>
          <w:szCs w:val="24"/>
        </w:rPr>
        <w:t>2.1采购人：</w:t>
      </w:r>
      <w:r>
        <w:rPr>
          <w:rFonts w:hint="eastAsia" w:ascii="宋体" w:hAnsi="宋体" w:cs="宋体"/>
          <w:bCs/>
          <w:color w:val="auto"/>
          <w:sz w:val="24"/>
          <w:szCs w:val="24"/>
          <w:lang w:eastAsia="zh-CN"/>
        </w:rPr>
        <w:t>安康市公安局汉滨分局</w:t>
      </w:r>
    </w:p>
    <w:p w14:paraId="72B5F9AD">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2.2采购代理机构：安康尚昊招标代理有限公司</w:t>
      </w:r>
    </w:p>
    <w:p w14:paraId="28CC604A">
      <w:pPr>
        <w:widowControl/>
        <w:snapToGrid w:val="0"/>
        <w:spacing w:line="336" w:lineRule="auto"/>
        <w:ind w:right="-90" w:rightChars="-43" w:firstLine="480" w:firstLineChars="200"/>
        <w:jc w:val="left"/>
        <w:rPr>
          <w:rFonts w:ascii="宋体" w:hAnsi="宋体" w:cs="宋体"/>
          <w:bCs/>
          <w:color w:val="auto"/>
          <w:sz w:val="24"/>
          <w:szCs w:val="24"/>
        </w:rPr>
      </w:pPr>
      <w:r>
        <w:rPr>
          <w:rFonts w:hint="eastAsia" w:ascii="宋体" w:hAnsi="宋体" w:cs="宋体"/>
          <w:bCs/>
          <w:color w:val="auto"/>
          <w:sz w:val="24"/>
          <w:szCs w:val="24"/>
        </w:rPr>
        <w:t>2.3监管机构：</w:t>
      </w:r>
      <w:r>
        <w:rPr>
          <w:rFonts w:hint="eastAsia" w:ascii="宋体" w:hAnsi="宋体" w:cs="宋体"/>
          <w:bCs/>
          <w:color w:val="auto"/>
          <w:sz w:val="24"/>
          <w:szCs w:val="24"/>
          <w:lang w:val="en-US" w:eastAsia="zh-CN"/>
        </w:rPr>
        <w:t>安康市</w:t>
      </w:r>
      <w:r>
        <w:rPr>
          <w:rFonts w:hint="eastAsia" w:ascii="宋体" w:hAnsi="宋体" w:cs="宋体"/>
          <w:bCs/>
          <w:color w:val="auto"/>
          <w:sz w:val="24"/>
          <w:szCs w:val="24"/>
        </w:rPr>
        <w:t>财政局</w:t>
      </w:r>
    </w:p>
    <w:p w14:paraId="5E05EEC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2.4供应商：指无条件接受磋商文件的各项要求，具备相应履约能力、具有《中华人民共和国政府采购法》第</w:t>
      </w:r>
      <w:r>
        <w:rPr>
          <w:rFonts w:hint="eastAsia" w:ascii="宋体" w:hAnsi="宋体" w:cs="宋体"/>
          <w:bCs/>
          <w:color w:val="auto"/>
          <w:sz w:val="24"/>
          <w:szCs w:val="24"/>
          <w:lang w:val="en-US" w:eastAsia="zh-CN"/>
        </w:rPr>
        <w:t>二十二条</w:t>
      </w:r>
      <w:r>
        <w:rPr>
          <w:rFonts w:hint="eastAsia" w:ascii="宋体" w:hAnsi="宋体" w:cs="宋体"/>
          <w:bCs/>
          <w:color w:val="auto"/>
          <w:sz w:val="24"/>
          <w:szCs w:val="24"/>
        </w:rPr>
        <w:t>规定的相关条件并向磋商小组提交响应文件的供应商。</w:t>
      </w:r>
    </w:p>
    <w:p w14:paraId="27B934C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2.5货物：是指本次投标所需的各种形态和种类的物品。</w:t>
      </w:r>
    </w:p>
    <w:p w14:paraId="758CFF3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2.6服务：指除了货物和工程外的其他政府采购对象，包含除货物以外规定由供应商承担的与货物有关的辅助服务。</w:t>
      </w:r>
    </w:p>
    <w:p w14:paraId="306DA57E">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cs="宋体"/>
          <w:b/>
          <w:bCs/>
          <w:color w:val="auto"/>
          <w:sz w:val="24"/>
          <w:szCs w:val="24"/>
        </w:rPr>
        <w:t>合格的供应商</w:t>
      </w:r>
    </w:p>
    <w:p w14:paraId="163B420D">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3.1具有本项目生产、制造、加工、供应或实施能力，符合、承认并承诺履行本磋商文件各项规定的国内供应商。</w:t>
      </w:r>
    </w:p>
    <w:p w14:paraId="499C51A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3.2供应商应遵守有关的国家</w:t>
      </w:r>
      <w:r>
        <w:rPr>
          <w:rFonts w:hint="eastAsia" w:ascii="宋体" w:hAnsi="宋体" w:cs="宋体"/>
          <w:bCs/>
          <w:color w:val="auto"/>
          <w:sz w:val="24"/>
          <w:szCs w:val="24"/>
          <w:lang w:eastAsia="zh-CN"/>
        </w:rPr>
        <w:t>法律法规</w:t>
      </w:r>
      <w:r>
        <w:rPr>
          <w:rFonts w:hint="eastAsia" w:ascii="宋体" w:hAnsi="宋体" w:cs="宋体"/>
          <w:bCs/>
          <w:color w:val="auto"/>
          <w:sz w:val="24"/>
          <w:szCs w:val="24"/>
        </w:rPr>
        <w:t>和条例，具备《中华人民共和国政府采购法》和本文件中规定的条件：</w:t>
      </w:r>
    </w:p>
    <w:p w14:paraId="24B743CA">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（1）具有独立承担民事责任的能力；</w:t>
      </w:r>
    </w:p>
    <w:p w14:paraId="55AAD2C9">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（2）具有良好的商业信誉和健全的财务会计制度；</w:t>
      </w:r>
    </w:p>
    <w:p w14:paraId="5D6BCFE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（3）具有履行合同所必需的产品和专业技术能力；</w:t>
      </w:r>
    </w:p>
    <w:p w14:paraId="59E1ADFE">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（4）具有依法缴纳税收和社会保障资金的良好记录；</w:t>
      </w:r>
    </w:p>
    <w:p w14:paraId="7E52A9F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（5）参加此项采购活动前三年内，在经营活动中没有重大违法记录；</w:t>
      </w:r>
    </w:p>
    <w:p w14:paraId="6EC3E38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（6）法律、行政法规规定的其他条件。</w:t>
      </w:r>
    </w:p>
    <w:p w14:paraId="4A1C9372">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3.3供应商</w:t>
      </w:r>
      <w:r>
        <w:rPr>
          <w:rFonts w:hint="eastAsia" w:ascii="宋体" w:hAnsi="宋体" w:cs="宋体"/>
          <w:bCs/>
          <w:color w:val="auto"/>
          <w:sz w:val="24"/>
          <w:szCs w:val="24"/>
          <w:lang w:val="en-US" w:eastAsia="zh-CN"/>
        </w:rPr>
        <w:t>获取</w:t>
      </w:r>
      <w:r>
        <w:rPr>
          <w:rFonts w:hint="eastAsia" w:ascii="宋体" w:hAnsi="宋体" w:cs="宋体"/>
          <w:bCs/>
          <w:color w:val="auto"/>
          <w:sz w:val="24"/>
          <w:szCs w:val="24"/>
        </w:rPr>
        <w:t>磋商文件时应提供有效联系方式。</w:t>
      </w:r>
    </w:p>
    <w:p w14:paraId="439A215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 xml:space="preserve">3.4如供应商代表不是法定代表人，须持有《法定代表人授权委托书》 </w:t>
      </w:r>
      <w:r>
        <w:rPr>
          <w:rFonts w:hint="eastAsia" w:ascii="宋体" w:hAnsi="宋体" w:cs="宋体"/>
          <w:bCs/>
          <w:color w:val="auto"/>
          <w:sz w:val="24"/>
          <w:szCs w:val="24"/>
          <w:lang w:eastAsia="zh-CN"/>
        </w:rPr>
        <w:t>（</w:t>
      </w:r>
      <w:r>
        <w:rPr>
          <w:rFonts w:hint="eastAsia" w:ascii="宋体" w:hAnsi="宋体" w:cs="宋体"/>
          <w:bCs/>
          <w:color w:val="auto"/>
          <w:sz w:val="24"/>
          <w:szCs w:val="24"/>
        </w:rPr>
        <w:t>按磋商文件提供的格式填写</w:t>
      </w:r>
      <w:r>
        <w:rPr>
          <w:rFonts w:hint="eastAsia" w:ascii="宋体" w:hAnsi="宋体" w:cs="宋体"/>
          <w:bCs/>
          <w:color w:val="auto"/>
          <w:sz w:val="24"/>
          <w:szCs w:val="24"/>
          <w:lang w:eastAsia="zh-CN"/>
        </w:rPr>
        <w:t>）</w:t>
      </w:r>
      <w:r>
        <w:rPr>
          <w:rFonts w:hint="eastAsia" w:ascii="宋体" w:hAnsi="宋体" w:cs="宋体"/>
          <w:bCs/>
          <w:color w:val="auto"/>
          <w:sz w:val="24"/>
          <w:szCs w:val="24"/>
        </w:rPr>
        <w:t>。</w:t>
      </w:r>
    </w:p>
    <w:p w14:paraId="622D2B3C">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3.5供应商应独立于采购人，不得直接或间接地与采购人为采购本次招标的货物或服务进行设计、编制技术规格</w:t>
      </w:r>
      <w:r>
        <w:rPr>
          <w:rFonts w:hint="eastAsia" w:ascii="宋体" w:hAnsi="宋体" w:cs="宋体"/>
          <w:bCs/>
          <w:color w:val="auto"/>
          <w:sz w:val="24"/>
          <w:szCs w:val="24"/>
          <w:lang w:eastAsia="zh-CN"/>
        </w:rPr>
        <w:t>和其他</w:t>
      </w:r>
      <w:r>
        <w:rPr>
          <w:rFonts w:hint="eastAsia" w:ascii="宋体" w:hAnsi="宋体" w:cs="宋体"/>
          <w:bCs/>
          <w:color w:val="auto"/>
          <w:sz w:val="24"/>
          <w:szCs w:val="24"/>
        </w:rPr>
        <w:t>文件所委托的咨询公司或其附属机构有任何关联。</w:t>
      </w:r>
    </w:p>
    <w:p w14:paraId="0060959E">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3.6供应商不得存在下列情形之一：</w:t>
      </w:r>
    </w:p>
    <w:p w14:paraId="2CE4E4CD">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（1）与采购人或采购代理机构存在隶属关系或者其他利害关系；</w:t>
      </w:r>
    </w:p>
    <w:p w14:paraId="3A29CD9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（2）与其他供应商的法定代表人（或者负责人）为同一人，或者与其他供应商存在直接控股、管理关系；</w:t>
      </w:r>
    </w:p>
    <w:p w14:paraId="1C98FBDC">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w:t>
      </w:r>
      <w:r>
        <w:rPr>
          <w:rFonts w:hint="eastAsia" w:ascii="宋体" w:hAnsi="宋体" w:eastAsia="宋体" w:cs="宋体"/>
          <w:b w:val="0"/>
          <w:bCs w:val="0"/>
          <w:color w:val="auto"/>
          <w:sz w:val="24"/>
          <w:szCs w:val="24"/>
        </w:rPr>
        <w:t>受到刑事处罚，或者受到 200万元以上罚款，责令停产停业、在一年至三年内禁止参加政府采购活动或吊销许可证、营业执照等情形之一的行政处罚，或者存在财政部门认定的其他重大违法记录</w:t>
      </w:r>
      <w:r>
        <w:rPr>
          <w:rFonts w:hint="eastAsia" w:ascii="宋体" w:hAnsi="宋体" w:cs="宋体"/>
          <w:b w:val="0"/>
          <w:bCs w:val="0"/>
          <w:color w:val="auto"/>
          <w:sz w:val="24"/>
          <w:szCs w:val="24"/>
          <w:lang w:eastAsia="zh-CN"/>
        </w:rPr>
        <w:t>；</w:t>
      </w:r>
    </w:p>
    <w:p w14:paraId="7E3C024F">
      <w:pPr>
        <w:widowControl/>
        <w:snapToGrid w:val="0"/>
        <w:spacing w:line="360" w:lineRule="auto"/>
        <w:ind w:firstLine="480" w:firstLineChars="200"/>
        <w:jc w:val="left"/>
        <w:rPr>
          <w:rFonts w:hint="eastAsia" w:ascii="宋体" w:hAnsi="宋体" w:eastAsia="宋体" w:cs="宋体"/>
          <w:bCs/>
          <w:color w:val="auto"/>
          <w:sz w:val="24"/>
          <w:szCs w:val="24"/>
          <w:lang w:eastAsia="zh-CN"/>
        </w:rPr>
      </w:pPr>
      <w:r>
        <w:rPr>
          <w:rFonts w:hint="eastAsia" w:ascii="宋体" w:hAnsi="宋体" w:cs="宋体"/>
          <w:bCs/>
          <w:color w:val="auto"/>
          <w:sz w:val="24"/>
          <w:szCs w:val="24"/>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cs="宋体"/>
          <w:bCs/>
          <w:color w:val="auto"/>
          <w:sz w:val="24"/>
          <w:szCs w:val="24"/>
          <w:lang w:eastAsia="zh-CN"/>
        </w:rPr>
        <w:t>。</w:t>
      </w:r>
    </w:p>
    <w:p w14:paraId="092DB8E2">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政府采购政策支持</w:t>
      </w:r>
    </w:p>
    <w:p w14:paraId="320E60C6">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7C0B7FB4">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5F568E8">
      <w:pPr>
        <w:tabs>
          <w:tab w:val="left" w:pos="0"/>
        </w:tabs>
        <w:autoSpaceDE w:val="0"/>
        <w:autoSpaceDN w:val="0"/>
        <w:adjustRightInd w:val="0"/>
        <w:snapToGrid w:val="0"/>
        <w:spacing w:line="360" w:lineRule="auto"/>
        <w:ind w:firstLine="480" w:firstLineChars="200"/>
        <w:rPr>
          <w:rFonts w:hint="eastAsia" w:ascii="宋体" w:hAnsi="宋体" w:eastAsia="宋体"/>
          <w:color w:val="auto"/>
          <w:sz w:val="24"/>
          <w:szCs w:val="24"/>
          <w:lang w:eastAsia="zh-CN"/>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r>
        <w:rPr>
          <w:rFonts w:hint="eastAsia" w:ascii="宋体" w:hAnsi="宋体"/>
          <w:color w:val="auto"/>
          <w:sz w:val="24"/>
          <w:szCs w:val="24"/>
          <w:lang w:eastAsia="zh-CN"/>
        </w:rPr>
        <w:t>。</w:t>
      </w:r>
    </w:p>
    <w:p w14:paraId="142F8ACB">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7AD759DC">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09F2294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60D97D61">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767DD4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424C69C2">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6BD2DED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A8F725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3E22FEA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66A0F77F">
      <w:pPr>
        <w:keepNext w:val="0"/>
        <w:keepLines w:val="0"/>
        <w:pageBreakBefore w:val="0"/>
        <w:widowControl w:val="0"/>
        <w:kinsoku/>
        <w:wordWrap/>
        <w:overflowPunct/>
        <w:topLinePunct w:val="0"/>
        <w:autoSpaceDE/>
        <w:autoSpaceDN/>
        <w:bidi w:val="0"/>
        <w:adjustRightInd/>
        <w:snapToGrid/>
        <w:spacing w:line="460" w:lineRule="exact"/>
        <w:ind w:right="0" w:rightChars="0" w:firstLine="480" w:firstLineChars="200"/>
        <w:textAlignment w:val="auto"/>
        <w:rPr>
          <w:rFonts w:ascii="Calibri" w:hAnsi="Calibri"/>
          <w:color w:val="auto"/>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w:t>
      </w:r>
      <w:r>
        <w:rPr>
          <w:rFonts w:ascii="宋体" w:hAnsi="宋体"/>
          <w:color w:val="auto"/>
          <w:sz w:val="24"/>
          <w:szCs w:val="24"/>
        </w:rPr>
        <w:t>关于信用记录的查询和使用</w:t>
      </w:r>
    </w:p>
    <w:p w14:paraId="73FC452B">
      <w:pPr>
        <w:keepNext w:val="0"/>
        <w:keepLines w:val="0"/>
        <w:pageBreakBefore w:val="0"/>
        <w:widowControl w:val="0"/>
        <w:kinsoku/>
        <w:wordWrap/>
        <w:overflowPunct/>
        <w:topLinePunct w:val="0"/>
        <w:autoSpaceDE/>
        <w:autoSpaceDN/>
        <w:bidi w:val="0"/>
        <w:adjustRightInd/>
        <w:snapToGrid/>
        <w:spacing w:line="460" w:lineRule="exact"/>
        <w:ind w:right="0" w:rightChars="0" w:firstLine="480" w:firstLineChars="200"/>
        <w:textAlignment w:val="auto"/>
        <w:rPr>
          <w:rFonts w:ascii="宋体" w:hAnsi="宋体"/>
          <w:color w:val="auto"/>
          <w:sz w:val="24"/>
          <w:szCs w:val="24"/>
        </w:rPr>
      </w:pPr>
      <w:r>
        <w:rPr>
          <w:rFonts w:hint="eastAsia" w:ascii="宋体" w:hAnsi="宋体"/>
          <w:color w:val="auto"/>
          <w:sz w:val="24"/>
          <w:szCs w:val="24"/>
          <w:lang w:val="en-US" w:eastAsia="zh-CN"/>
        </w:rPr>
        <w:fldChar w:fldCharType="begin"/>
      </w:r>
      <w:r>
        <w:rPr>
          <w:rFonts w:hint="eastAsia" w:ascii="宋体" w:hAnsi="宋体"/>
          <w:color w:val="auto"/>
          <w:sz w:val="24"/>
          <w:szCs w:val="24"/>
          <w:lang w:val="en-US" w:eastAsia="zh-CN"/>
        </w:rPr>
        <w:instrText xml:space="preserve"> EQ \o\ac(</w:instrText>
      </w:r>
      <w:r>
        <w:rPr>
          <w:rFonts w:hint="eastAsia" w:ascii="宋体" w:hAnsi="宋体" w:eastAsia="宋体" w:cs="Calibri"/>
          <w:color w:val="auto"/>
          <w:kern w:val="2"/>
          <w:sz w:val="24"/>
          <w:szCs w:val="24"/>
          <w:lang w:val="en-US" w:eastAsia="zh-CN" w:bidi="ar-SA"/>
        </w:rPr>
        <w:instrText xml:space="preserve">○</w:instrText>
      </w:r>
      <w:r>
        <w:rPr>
          <w:rFonts w:hint="eastAsia" w:ascii="宋体" w:hAnsi="宋体"/>
          <w:color w:val="auto"/>
          <w:sz w:val="24"/>
          <w:szCs w:val="24"/>
          <w:lang w:val="en-US" w:eastAsia="zh-CN"/>
        </w:rPr>
        <w:instrText xml:space="preserve">,</w:instrText>
      </w:r>
      <w:r>
        <w:rPr>
          <w:rFonts w:hint="eastAsia" w:ascii="宋体" w:hAnsi="宋体" w:eastAsia="宋体" w:cs="Calibri"/>
          <w:color w:val="auto"/>
          <w:kern w:val="2"/>
          <w:position w:val="3"/>
          <w:sz w:val="16"/>
          <w:szCs w:val="24"/>
          <w:lang w:val="en-US" w:eastAsia="zh-CN" w:bidi="ar-SA"/>
        </w:rPr>
        <w:instrText xml:space="preserve">1</w:instrText>
      </w:r>
      <w:r>
        <w:rPr>
          <w:rFonts w:hint="eastAsia" w:ascii="宋体" w:hAnsi="宋体"/>
          <w:color w:val="auto"/>
          <w:sz w:val="24"/>
          <w:szCs w:val="24"/>
          <w:lang w:val="en-US" w:eastAsia="zh-CN"/>
        </w:rPr>
        <w:instrText xml:space="preserve">)</w:instrText>
      </w:r>
      <w:r>
        <w:rPr>
          <w:rFonts w:hint="eastAsia" w:ascii="宋体" w:hAnsi="宋体"/>
          <w:color w:val="auto"/>
          <w:sz w:val="24"/>
          <w:szCs w:val="24"/>
          <w:lang w:val="en-US" w:eastAsia="zh-CN"/>
        </w:rPr>
        <w:fldChar w:fldCharType="end"/>
      </w:r>
      <w:r>
        <w:rPr>
          <w:rFonts w:hint="eastAsia" w:ascii="宋体" w:hAnsi="宋体"/>
          <w:color w:val="auto"/>
          <w:sz w:val="24"/>
          <w:szCs w:val="24"/>
        </w:rPr>
        <w:t>采购人将在</w:t>
      </w:r>
      <w:r>
        <w:rPr>
          <w:rFonts w:ascii="宋体" w:hAnsi="宋体"/>
          <w:color w:val="auto"/>
          <w:sz w:val="24"/>
          <w:szCs w:val="24"/>
        </w:rPr>
        <w:t>资格审查</w:t>
      </w:r>
      <w:r>
        <w:rPr>
          <w:rFonts w:hint="eastAsia" w:ascii="宋体" w:hAnsi="宋体"/>
          <w:color w:val="auto"/>
          <w:sz w:val="24"/>
          <w:szCs w:val="24"/>
        </w:rPr>
        <w:t>阶段通过【</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color w:val="auto"/>
        </w:rPr>
        <w:fldChar w:fldCharType="begin"/>
      </w:r>
      <w:r>
        <w:rPr>
          <w:color w:val="auto"/>
        </w:rPr>
        <w:instrText xml:space="preserve"> HYPERLINK "http://www.ccgp.gov.cn/cr/list" </w:instrText>
      </w:r>
      <w:r>
        <w:rPr>
          <w:color w:val="auto"/>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w:t>
      </w:r>
      <w:r>
        <w:rPr>
          <w:rFonts w:hint="eastAsia" w:ascii="宋体" w:hAnsi="宋体"/>
          <w:color w:val="auto"/>
          <w:sz w:val="24"/>
          <w:szCs w:val="24"/>
          <w:lang w:val="en-US" w:eastAsia="zh-CN"/>
        </w:rPr>
        <w:t>信用记录</w:t>
      </w:r>
      <w:r>
        <w:rPr>
          <w:rFonts w:hint="eastAsia" w:ascii="宋体" w:hAnsi="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3A3BD644">
      <w:pPr>
        <w:keepNext w:val="0"/>
        <w:keepLines w:val="0"/>
        <w:pageBreakBefore w:val="0"/>
        <w:widowControl w:val="0"/>
        <w:kinsoku/>
        <w:wordWrap/>
        <w:overflowPunct/>
        <w:topLinePunct w:val="0"/>
        <w:autoSpaceDE/>
        <w:autoSpaceDN/>
        <w:bidi w:val="0"/>
        <w:adjustRightInd/>
        <w:snapToGrid/>
        <w:spacing w:line="460" w:lineRule="exact"/>
        <w:ind w:right="0" w:rightChars="0" w:firstLine="480" w:firstLineChars="200"/>
        <w:textAlignment w:val="auto"/>
        <w:rPr>
          <w:rFonts w:ascii="宋体" w:hAnsi="宋体"/>
          <w:color w:val="auto"/>
          <w:sz w:val="24"/>
          <w:szCs w:val="24"/>
        </w:rPr>
      </w:pPr>
      <w:r>
        <w:rPr>
          <w:rFonts w:hint="eastAsia" w:ascii="宋体" w:hAnsi="宋体"/>
          <w:color w:val="auto"/>
          <w:sz w:val="24"/>
          <w:szCs w:val="24"/>
          <w:lang w:val="en-US" w:eastAsia="zh-CN"/>
        </w:rPr>
        <w:fldChar w:fldCharType="begin"/>
      </w:r>
      <w:r>
        <w:rPr>
          <w:rFonts w:hint="eastAsia" w:ascii="宋体" w:hAnsi="宋体"/>
          <w:color w:val="auto"/>
          <w:sz w:val="24"/>
          <w:szCs w:val="24"/>
          <w:lang w:val="en-US" w:eastAsia="zh-CN"/>
        </w:rPr>
        <w:instrText xml:space="preserve"> EQ \o\ac(</w:instrText>
      </w:r>
      <w:r>
        <w:rPr>
          <w:rFonts w:hint="eastAsia" w:ascii="宋体" w:hAnsi="宋体" w:eastAsia="宋体" w:cs="Calibri"/>
          <w:color w:val="auto"/>
          <w:kern w:val="2"/>
          <w:sz w:val="24"/>
          <w:szCs w:val="24"/>
          <w:lang w:val="en-US" w:eastAsia="zh-CN" w:bidi="ar-SA"/>
        </w:rPr>
        <w:instrText xml:space="preserve">○</w:instrText>
      </w:r>
      <w:r>
        <w:rPr>
          <w:rFonts w:hint="eastAsia" w:ascii="宋体" w:hAnsi="宋体"/>
          <w:color w:val="auto"/>
          <w:sz w:val="24"/>
          <w:szCs w:val="24"/>
          <w:lang w:val="en-US" w:eastAsia="zh-CN"/>
        </w:rPr>
        <w:instrText xml:space="preserve">,</w:instrText>
      </w:r>
      <w:r>
        <w:rPr>
          <w:rFonts w:hint="eastAsia" w:ascii="宋体" w:hAnsi="宋体" w:eastAsia="宋体" w:cs="Calibri"/>
          <w:color w:val="auto"/>
          <w:kern w:val="2"/>
          <w:position w:val="3"/>
          <w:sz w:val="16"/>
          <w:szCs w:val="24"/>
          <w:lang w:val="en-US" w:eastAsia="zh-CN" w:bidi="ar-SA"/>
        </w:rPr>
        <w:instrText xml:space="preserve">2</w:instrText>
      </w:r>
      <w:r>
        <w:rPr>
          <w:rFonts w:hint="eastAsia" w:ascii="宋体" w:hAnsi="宋体"/>
          <w:color w:val="auto"/>
          <w:sz w:val="24"/>
          <w:szCs w:val="24"/>
          <w:lang w:val="en-US" w:eastAsia="zh-CN"/>
        </w:rPr>
        <w:instrText xml:space="preserve">)</w:instrText>
      </w:r>
      <w:r>
        <w:rPr>
          <w:rFonts w:hint="eastAsia" w:ascii="宋体" w:hAnsi="宋体"/>
          <w:color w:val="auto"/>
          <w:sz w:val="24"/>
          <w:szCs w:val="24"/>
          <w:lang w:val="en-US" w:eastAsia="zh-CN"/>
        </w:rPr>
        <w:fldChar w:fldCharType="end"/>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39ECBF00">
      <w:pPr>
        <w:keepNext w:val="0"/>
        <w:keepLines w:val="0"/>
        <w:pageBreakBefore w:val="0"/>
        <w:widowControl w:val="0"/>
        <w:kinsoku/>
        <w:wordWrap/>
        <w:overflowPunct/>
        <w:topLinePunct w:val="0"/>
        <w:autoSpaceDE/>
        <w:autoSpaceDN/>
        <w:bidi w:val="0"/>
        <w:adjustRightInd/>
        <w:snapToGrid/>
        <w:spacing w:line="460" w:lineRule="exact"/>
        <w:ind w:right="0" w:rightChars="0" w:firstLine="480" w:firstLineChars="200"/>
        <w:textAlignment w:val="auto"/>
        <w:rPr>
          <w:rFonts w:ascii="宋体" w:hAnsi="宋体"/>
          <w:color w:val="auto"/>
          <w:sz w:val="24"/>
          <w:szCs w:val="24"/>
        </w:rPr>
      </w:pPr>
      <w:r>
        <w:rPr>
          <w:rFonts w:hint="eastAsia" w:ascii="宋体" w:hAnsi="宋体"/>
          <w:color w:val="auto"/>
          <w:sz w:val="24"/>
          <w:szCs w:val="24"/>
          <w:lang w:val="en-US" w:eastAsia="zh-CN"/>
        </w:rPr>
        <w:fldChar w:fldCharType="begin"/>
      </w:r>
      <w:r>
        <w:rPr>
          <w:rFonts w:hint="eastAsia" w:ascii="宋体" w:hAnsi="宋体"/>
          <w:color w:val="auto"/>
          <w:sz w:val="24"/>
          <w:szCs w:val="24"/>
          <w:lang w:val="en-US" w:eastAsia="zh-CN"/>
        </w:rPr>
        <w:instrText xml:space="preserve"> EQ \o\ac(</w:instrText>
      </w:r>
      <w:r>
        <w:rPr>
          <w:rFonts w:hint="eastAsia" w:ascii="宋体" w:hAnsi="宋体" w:eastAsia="宋体" w:cs="Calibri"/>
          <w:color w:val="auto"/>
          <w:kern w:val="2"/>
          <w:sz w:val="24"/>
          <w:szCs w:val="24"/>
          <w:lang w:val="en-US" w:eastAsia="zh-CN" w:bidi="ar-SA"/>
        </w:rPr>
        <w:instrText xml:space="preserve">○</w:instrText>
      </w:r>
      <w:r>
        <w:rPr>
          <w:rFonts w:hint="eastAsia" w:ascii="宋体" w:hAnsi="宋体"/>
          <w:color w:val="auto"/>
          <w:sz w:val="24"/>
          <w:szCs w:val="24"/>
          <w:lang w:val="en-US" w:eastAsia="zh-CN"/>
        </w:rPr>
        <w:instrText xml:space="preserve">,</w:instrText>
      </w:r>
      <w:r>
        <w:rPr>
          <w:rFonts w:hint="eastAsia" w:ascii="宋体" w:hAnsi="宋体" w:eastAsia="宋体" w:cs="Calibri"/>
          <w:color w:val="auto"/>
          <w:kern w:val="2"/>
          <w:position w:val="3"/>
          <w:sz w:val="16"/>
          <w:szCs w:val="24"/>
          <w:lang w:val="en-US" w:eastAsia="zh-CN" w:bidi="ar-SA"/>
        </w:rPr>
        <w:instrText xml:space="preserve">3</w:instrText>
      </w:r>
      <w:r>
        <w:rPr>
          <w:rFonts w:hint="eastAsia" w:ascii="宋体" w:hAnsi="宋体"/>
          <w:color w:val="auto"/>
          <w:sz w:val="24"/>
          <w:szCs w:val="24"/>
          <w:lang w:val="en-US" w:eastAsia="zh-CN"/>
        </w:rPr>
        <w:instrText xml:space="preserve">)</w:instrText>
      </w:r>
      <w:r>
        <w:rPr>
          <w:rFonts w:hint="eastAsia" w:ascii="宋体" w:hAnsi="宋体"/>
          <w:color w:val="auto"/>
          <w:sz w:val="24"/>
          <w:szCs w:val="24"/>
          <w:lang w:val="en-US" w:eastAsia="zh-CN"/>
        </w:rPr>
        <w:fldChar w:fldCharType="end"/>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信用记录查询的结果，将以纸质截图或将截图保存至电子介质的形式留存。投标人未如实</w:t>
      </w:r>
      <w:r>
        <w:rPr>
          <w:rFonts w:hint="eastAsia" w:ascii="宋体" w:hAnsi="宋体"/>
          <w:color w:val="auto"/>
          <w:sz w:val="24"/>
          <w:szCs w:val="24"/>
          <w:lang w:val="en-US" w:eastAsia="zh-CN"/>
        </w:rPr>
        <w:t>提供</w:t>
      </w:r>
      <w:r>
        <w:rPr>
          <w:rFonts w:hint="eastAsia" w:ascii="宋体" w:hAnsi="宋体"/>
          <w:color w:val="auto"/>
          <w:sz w:val="24"/>
          <w:szCs w:val="24"/>
        </w:rPr>
        <w:t>的，视为“投标人提供虚假材料谋取中标、成交的”行为。</w:t>
      </w:r>
    </w:p>
    <w:p w14:paraId="646EB1FD">
      <w:pPr>
        <w:keepNext w:val="0"/>
        <w:keepLines w:val="0"/>
        <w:pageBreakBefore w:val="0"/>
        <w:widowControl/>
        <w:kinsoku/>
        <w:wordWrap/>
        <w:overflowPunct/>
        <w:topLinePunct w:val="0"/>
        <w:autoSpaceDE/>
        <w:autoSpaceDN/>
        <w:bidi w:val="0"/>
        <w:adjustRightInd/>
        <w:snapToGrid w:val="0"/>
        <w:spacing w:line="460" w:lineRule="exact"/>
        <w:ind w:right="0" w:rightChars="0"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074C18DA">
      <w:pPr>
        <w:keepNext w:val="0"/>
        <w:keepLines w:val="0"/>
        <w:pageBreakBefore w:val="0"/>
        <w:widowControl/>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w:t>
      </w:r>
    </w:p>
    <w:p w14:paraId="5B96ACF6">
      <w:pPr>
        <w:keepNext w:val="0"/>
        <w:keepLines w:val="0"/>
        <w:pageBreakBefore w:val="0"/>
        <w:widowControl/>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 w:val="0"/>
          <w:bCs w:val="0"/>
          <w:color w:val="auto"/>
          <w:sz w:val="24"/>
          <w:szCs w:val="24"/>
          <w:lang w:val="zh-CN" w:eastAsia="zh-CN"/>
        </w:rPr>
        <w:t>http：//www.ccgp-shaanxi.gov.cn/zcdservice/zcd/shanxi/s</w:t>
      </w:r>
    </w:p>
    <w:p w14:paraId="2418E1B1">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cs="宋体"/>
          <w:b/>
          <w:bCs/>
          <w:color w:val="auto"/>
          <w:sz w:val="24"/>
          <w:szCs w:val="24"/>
        </w:rPr>
        <w:t>费用承担</w:t>
      </w:r>
    </w:p>
    <w:p w14:paraId="0D501D54">
      <w:pPr>
        <w:widowControl/>
        <w:snapToGrid w:val="0"/>
        <w:spacing w:line="360" w:lineRule="auto"/>
        <w:ind w:firstLine="480" w:firstLineChars="200"/>
        <w:jc w:val="left"/>
        <w:rPr>
          <w:color w:val="auto"/>
          <w:sz w:val="24"/>
          <w:szCs w:val="24"/>
        </w:rPr>
      </w:pPr>
      <w:r>
        <w:rPr>
          <w:rFonts w:hint="eastAsia"/>
          <w:color w:val="auto"/>
          <w:sz w:val="24"/>
          <w:szCs w:val="24"/>
        </w:rPr>
        <w:t>无论磋商结果如何，供应商自行承担所有与参加磋商有关的全部费用。</w:t>
      </w:r>
    </w:p>
    <w:p w14:paraId="649B115F">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cs="宋体"/>
          <w:b/>
          <w:bCs/>
          <w:color w:val="auto"/>
          <w:sz w:val="24"/>
          <w:szCs w:val="24"/>
        </w:rPr>
        <w:t>保密</w:t>
      </w:r>
    </w:p>
    <w:p w14:paraId="2996977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参与磋商活动的各方应对磋商文件和响应文件的商业和技术等秘密保密，违者应对由此造成的后果承担法律责任。</w:t>
      </w:r>
    </w:p>
    <w:p w14:paraId="53A240EA">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cs="宋体"/>
          <w:b/>
          <w:bCs/>
          <w:color w:val="auto"/>
          <w:sz w:val="24"/>
          <w:szCs w:val="24"/>
        </w:rPr>
        <w:t>语言文字</w:t>
      </w:r>
    </w:p>
    <w:p w14:paraId="78462D1B">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除专用术语外，与磋商文件有关的语言均使用中文；必要时专用术语应附有中文注释。</w:t>
      </w:r>
    </w:p>
    <w:p w14:paraId="3FA24C89">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8.</w:t>
      </w:r>
      <w:r>
        <w:rPr>
          <w:rFonts w:hint="eastAsia" w:ascii="宋体" w:hAnsi="宋体" w:cs="宋体"/>
          <w:b/>
          <w:bCs/>
          <w:color w:val="auto"/>
          <w:sz w:val="24"/>
          <w:szCs w:val="24"/>
        </w:rPr>
        <w:t>计量单位</w:t>
      </w:r>
    </w:p>
    <w:p w14:paraId="6CF4DA20">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所有计量均采用中华人民共和国法定计量单位。</w:t>
      </w:r>
    </w:p>
    <w:p w14:paraId="6D0B4DC9">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9.</w:t>
      </w:r>
      <w:r>
        <w:rPr>
          <w:rFonts w:hint="eastAsia" w:ascii="宋体" w:hAnsi="宋体" w:cs="宋体"/>
          <w:b/>
          <w:bCs/>
          <w:color w:val="auto"/>
          <w:sz w:val="24"/>
          <w:szCs w:val="24"/>
        </w:rPr>
        <w:t>踏勘现场</w:t>
      </w:r>
    </w:p>
    <w:p w14:paraId="617A8A4E">
      <w:pPr>
        <w:pStyle w:val="12"/>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自行勘察，未勘察现场造成的一切后果由投标人自行承担（一切费用自理）。</w:t>
      </w:r>
    </w:p>
    <w:p w14:paraId="68E15358">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rPr>
        <w:t>10</w:t>
      </w:r>
      <w:r>
        <w:rPr>
          <w:rFonts w:hint="eastAsia" w:ascii="宋体" w:hAnsi="宋体" w:cs="宋体"/>
          <w:b/>
          <w:bCs/>
          <w:color w:val="auto"/>
          <w:sz w:val="24"/>
          <w:szCs w:val="24"/>
          <w:lang w:val="en-US" w:eastAsia="zh-CN"/>
        </w:rPr>
        <w:t>.</w:t>
      </w:r>
      <w:r>
        <w:rPr>
          <w:rFonts w:hint="eastAsia" w:ascii="宋体" w:hAnsi="宋体" w:cs="宋体"/>
          <w:b/>
          <w:bCs/>
          <w:color w:val="auto"/>
          <w:sz w:val="24"/>
          <w:szCs w:val="24"/>
        </w:rPr>
        <w:t>偏离</w:t>
      </w:r>
    </w:p>
    <w:p w14:paraId="6A95C32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除供应商须知前附表另有规定外，供应商递交的响应文件不允许严重负偏离。</w:t>
      </w:r>
    </w:p>
    <w:p w14:paraId="62C6CA63">
      <w:pPr>
        <w:widowControl/>
        <w:numPr>
          <w:ilvl w:val="0"/>
          <w:numId w:val="3"/>
        </w:numPr>
        <w:spacing w:line="360" w:lineRule="auto"/>
        <w:ind w:firstLine="643" w:firstLineChars="200"/>
        <w:jc w:val="center"/>
        <w:outlineLvl w:val="1"/>
        <w:rPr>
          <w:rFonts w:ascii="宋体" w:hAnsi="宋体" w:cs="宋体"/>
          <w:b/>
          <w:bCs/>
          <w:color w:val="auto"/>
          <w:kern w:val="0"/>
          <w:sz w:val="32"/>
          <w:szCs w:val="32"/>
        </w:rPr>
      </w:pPr>
      <w:bookmarkStart w:id="34" w:name="_Toc536202288"/>
      <w:bookmarkStart w:id="35" w:name="_Toc19543337"/>
      <w:bookmarkStart w:id="36" w:name="_Toc536429373"/>
      <w:bookmarkStart w:id="37" w:name="_Toc536429320"/>
      <w:bookmarkStart w:id="38" w:name="_Toc3976"/>
      <w:bookmarkStart w:id="39" w:name="_Toc536202380"/>
      <w:r>
        <w:rPr>
          <w:rFonts w:hint="eastAsia" w:ascii="宋体" w:hAnsi="宋体" w:cs="宋体"/>
          <w:b/>
          <w:bCs/>
          <w:color w:val="auto"/>
          <w:kern w:val="0"/>
          <w:sz w:val="32"/>
          <w:szCs w:val="32"/>
        </w:rPr>
        <w:t>竞争性磋商文件</w:t>
      </w:r>
      <w:bookmarkEnd w:id="34"/>
      <w:bookmarkEnd w:id="35"/>
      <w:bookmarkEnd w:id="36"/>
      <w:bookmarkEnd w:id="37"/>
      <w:bookmarkEnd w:id="38"/>
      <w:bookmarkEnd w:id="39"/>
    </w:p>
    <w:p w14:paraId="6D2C7AA2">
      <w:pPr>
        <w:pStyle w:val="4"/>
        <w:numPr>
          <w:ilvl w:val="0"/>
          <w:numId w:val="0"/>
        </w:numPr>
        <w:spacing w:line="360" w:lineRule="auto"/>
        <w:ind w:firstLine="482" w:firstLineChars="200"/>
        <w:rPr>
          <w:rFonts w:ascii="宋体" w:hAnsi="宋体" w:cs="宋体"/>
          <w:color w:val="auto"/>
          <w:sz w:val="24"/>
          <w:szCs w:val="28"/>
        </w:rPr>
      </w:pPr>
      <w:bookmarkStart w:id="40" w:name="_Toc536202289"/>
      <w:bookmarkStart w:id="41" w:name="_Toc5801"/>
      <w:r>
        <w:rPr>
          <w:rFonts w:hint="eastAsia" w:ascii="宋体" w:hAnsi="宋体" w:cs="宋体"/>
          <w:color w:val="auto"/>
          <w:sz w:val="24"/>
          <w:szCs w:val="28"/>
          <w:lang w:val="en-US" w:eastAsia="zh-CN"/>
        </w:rPr>
        <w:t>1.</w:t>
      </w:r>
      <w:r>
        <w:rPr>
          <w:rFonts w:hint="eastAsia" w:ascii="宋体" w:hAnsi="宋体" w:cs="宋体"/>
          <w:color w:val="auto"/>
          <w:sz w:val="24"/>
          <w:szCs w:val="28"/>
        </w:rPr>
        <w:t>竞争性磋商文件的构成</w:t>
      </w:r>
      <w:bookmarkEnd w:id="40"/>
      <w:bookmarkEnd w:id="41"/>
    </w:p>
    <w:p w14:paraId="2AF098D9">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2B597C2C">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竞争性磋商公告；</w:t>
      </w:r>
    </w:p>
    <w:p w14:paraId="05324FB0">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供应商须知前附表；</w:t>
      </w:r>
    </w:p>
    <w:p w14:paraId="17F9A84A">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供应商须知；</w:t>
      </w:r>
    </w:p>
    <w:p w14:paraId="07CC4B32">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评分标准；</w:t>
      </w:r>
    </w:p>
    <w:p w14:paraId="558B940B">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采购内容及要求；</w:t>
      </w:r>
    </w:p>
    <w:p w14:paraId="699484D5">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val="en-US" w:eastAsia="zh-CN"/>
        </w:rPr>
        <w:t>商务及</w:t>
      </w:r>
      <w:r>
        <w:rPr>
          <w:rFonts w:hint="eastAsia" w:ascii="宋体" w:hAnsi="宋体" w:cs="宋体"/>
          <w:color w:val="auto"/>
          <w:sz w:val="24"/>
          <w:szCs w:val="28"/>
        </w:rPr>
        <w:t>合同条款；</w:t>
      </w:r>
    </w:p>
    <w:p w14:paraId="0CF070B8">
      <w:pPr>
        <w:numPr>
          <w:ilvl w:val="0"/>
          <w:numId w:val="4"/>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响应文件格式。</w:t>
      </w:r>
    </w:p>
    <w:p w14:paraId="3A7AF27A">
      <w:pPr>
        <w:pStyle w:val="4"/>
        <w:numPr>
          <w:ilvl w:val="0"/>
          <w:numId w:val="0"/>
        </w:numPr>
        <w:spacing w:line="360" w:lineRule="auto"/>
        <w:ind w:firstLine="482" w:firstLineChars="200"/>
        <w:rPr>
          <w:rFonts w:ascii="宋体" w:hAnsi="宋体" w:cs="宋体"/>
          <w:color w:val="auto"/>
          <w:sz w:val="24"/>
          <w:szCs w:val="28"/>
        </w:rPr>
      </w:pPr>
      <w:bookmarkStart w:id="42" w:name="_Toc536202290"/>
      <w:r>
        <w:rPr>
          <w:rFonts w:hint="eastAsia" w:ascii="宋体" w:hAnsi="宋体" w:cs="宋体"/>
          <w:color w:val="auto"/>
          <w:sz w:val="24"/>
          <w:szCs w:val="28"/>
          <w:lang w:val="en-US" w:eastAsia="zh-CN"/>
        </w:rPr>
        <w:t>2.</w:t>
      </w:r>
      <w:r>
        <w:rPr>
          <w:rFonts w:hint="eastAsia" w:ascii="宋体" w:hAnsi="宋体" w:cs="宋体"/>
          <w:color w:val="auto"/>
          <w:sz w:val="24"/>
          <w:szCs w:val="28"/>
        </w:rPr>
        <w:t>磋商文件的检查及阅读</w:t>
      </w:r>
      <w:bookmarkEnd w:id="42"/>
    </w:p>
    <w:p w14:paraId="4136761A">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供应商应认真阅读和充分理解竞争性磋商文件中所有的事项、格式条款和规范要求。供应商没有对竞争性磋商文件全面</w:t>
      </w:r>
      <w:r>
        <w:rPr>
          <w:rFonts w:hint="eastAsia" w:ascii="宋体" w:hAnsi="宋体" w:cs="宋体"/>
          <w:color w:val="auto"/>
          <w:sz w:val="24"/>
          <w:szCs w:val="28"/>
          <w:lang w:eastAsia="zh-CN"/>
        </w:rPr>
        <w:t>作出</w:t>
      </w:r>
      <w:r>
        <w:rPr>
          <w:rFonts w:hint="eastAsia" w:ascii="宋体" w:hAnsi="宋体" w:cs="宋体"/>
          <w:color w:val="auto"/>
          <w:sz w:val="24"/>
          <w:szCs w:val="28"/>
        </w:rPr>
        <w:t>实质性响应是供应商的风险。没有按照竞争性磋商文件要求作出实质性响应的响应文件应作无效文件处理。</w:t>
      </w:r>
    </w:p>
    <w:p w14:paraId="4B1CE1C3">
      <w:pPr>
        <w:pStyle w:val="4"/>
        <w:numPr>
          <w:ilvl w:val="0"/>
          <w:numId w:val="0"/>
        </w:numPr>
        <w:spacing w:line="360" w:lineRule="auto"/>
        <w:ind w:firstLine="482" w:firstLineChars="200"/>
        <w:rPr>
          <w:rFonts w:ascii="宋体" w:hAnsi="宋体" w:cs="宋体"/>
          <w:color w:val="auto"/>
          <w:sz w:val="24"/>
          <w:szCs w:val="28"/>
        </w:rPr>
      </w:pPr>
      <w:bookmarkStart w:id="43" w:name="_Toc536202292"/>
      <w:r>
        <w:rPr>
          <w:rFonts w:hint="eastAsia" w:ascii="宋体" w:hAnsi="宋体" w:cs="宋体"/>
          <w:color w:val="auto"/>
          <w:sz w:val="24"/>
          <w:szCs w:val="28"/>
          <w:lang w:val="en-US" w:eastAsia="zh-CN"/>
        </w:rPr>
        <w:t>3.</w:t>
      </w:r>
      <w:r>
        <w:rPr>
          <w:rFonts w:hint="eastAsia" w:ascii="宋体" w:hAnsi="宋体" w:cs="宋体"/>
          <w:color w:val="auto"/>
          <w:sz w:val="24"/>
          <w:szCs w:val="28"/>
        </w:rPr>
        <w:t>现场踏勘及磋商文件答疑</w:t>
      </w:r>
      <w:bookmarkEnd w:id="43"/>
    </w:p>
    <w:p w14:paraId="64302FDB">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招标代理机构将视情况确定是否有必要召开标前答疑会。如果召开标前答疑会，招标代理机构将通知所有已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5B44F840">
      <w:pPr>
        <w:pStyle w:val="4"/>
        <w:numPr>
          <w:ilvl w:val="0"/>
          <w:numId w:val="0"/>
        </w:numPr>
        <w:spacing w:line="360" w:lineRule="auto"/>
        <w:ind w:firstLine="482" w:firstLineChars="200"/>
        <w:rPr>
          <w:rFonts w:ascii="宋体" w:hAnsi="宋体" w:cs="宋体"/>
          <w:color w:val="auto"/>
          <w:sz w:val="24"/>
          <w:szCs w:val="28"/>
        </w:rPr>
      </w:pPr>
      <w:bookmarkStart w:id="44" w:name="_Toc19797"/>
      <w:bookmarkStart w:id="45" w:name="_Toc536202293"/>
      <w:r>
        <w:rPr>
          <w:rFonts w:hint="eastAsia" w:ascii="宋体" w:hAnsi="宋体" w:cs="宋体"/>
          <w:color w:val="auto"/>
          <w:sz w:val="24"/>
          <w:szCs w:val="28"/>
          <w:lang w:val="en-US" w:eastAsia="zh-CN"/>
        </w:rPr>
        <w:t>4.</w:t>
      </w:r>
      <w:r>
        <w:rPr>
          <w:rFonts w:hint="eastAsia" w:ascii="宋体" w:hAnsi="宋体" w:cs="宋体"/>
          <w:color w:val="auto"/>
          <w:sz w:val="24"/>
          <w:szCs w:val="28"/>
        </w:rPr>
        <w:t>竞争性磋商文件的澄清</w:t>
      </w:r>
      <w:bookmarkEnd w:id="44"/>
      <w:bookmarkEnd w:id="45"/>
    </w:p>
    <w:p w14:paraId="73D159C7">
      <w:pPr>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8"/>
          <w:lang w:eastAsia="zh-CN"/>
        </w:rPr>
        <w:t>或</w:t>
      </w:r>
      <w:r>
        <w:rPr>
          <w:rFonts w:hint="eastAsia" w:ascii="宋体" w:hAnsi="宋体" w:cs="宋体"/>
          <w:color w:val="auto"/>
          <w:sz w:val="24"/>
          <w:szCs w:val="28"/>
        </w:rPr>
        <w:t>因市场行情了解不清造成的后果和风险均由供应商自负。</w:t>
      </w:r>
    </w:p>
    <w:p w14:paraId="795398FC">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cs="宋体"/>
          <w:color w:val="auto"/>
          <w:sz w:val="24"/>
          <w:szCs w:val="24"/>
        </w:rPr>
        <w:t>七个工作日内</w:t>
      </w:r>
      <w:r>
        <w:rPr>
          <w:rFonts w:hint="eastAsia" w:ascii="宋体" w:hAnsi="宋体" w:cs="宋体"/>
          <w:color w:val="auto"/>
          <w:sz w:val="24"/>
          <w:szCs w:val="28"/>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2BCC360E">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4.3对于在规定时间内收到的投标人依法提出的询问或者质疑，采购代理机构将按程序及时</w:t>
      </w:r>
      <w:r>
        <w:rPr>
          <w:rFonts w:hint="eastAsia" w:ascii="宋体" w:hAnsi="宋体" w:cs="宋体"/>
          <w:color w:val="auto"/>
          <w:sz w:val="24"/>
          <w:szCs w:val="24"/>
          <w:lang w:eastAsia="zh-CN"/>
        </w:rPr>
        <w:t>作出</w:t>
      </w:r>
      <w:r>
        <w:rPr>
          <w:rFonts w:hint="eastAsia" w:ascii="宋体" w:hAnsi="宋体" w:cs="宋体"/>
          <w:color w:val="auto"/>
          <w:sz w:val="24"/>
          <w:szCs w:val="24"/>
        </w:rPr>
        <w:t>答复，若对</w:t>
      </w:r>
      <w:r>
        <w:rPr>
          <w:rFonts w:hint="eastAsia" w:ascii="宋体" w:hAnsi="宋体" w:cs="宋体"/>
          <w:color w:val="auto"/>
          <w:sz w:val="24"/>
          <w:szCs w:val="24"/>
          <w:lang w:eastAsia="zh-CN"/>
        </w:rPr>
        <w:t>磋商文件</w:t>
      </w:r>
      <w:r>
        <w:rPr>
          <w:rFonts w:hint="eastAsia" w:ascii="宋体" w:hAnsi="宋体" w:cs="宋体"/>
          <w:color w:val="auto"/>
          <w:sz w:val="24"/>
          <w:szCs w:val="24"/>
        </w:rPr>
        <w:t>做出实质性变动，则按照相关规定延长投标截止时间。</w:t>
      </w:r>
    </w:p>
    <w:p w14:paraId="00159879">
      <w:pPr>
        <w:pStyle w:val="8"/>
        <w:spacing w:line="360" w:lineRule="auto"/>
        <w:rPr>
          <w:rFonts w:ascii="宋体" w:hAnsi="宋体" w:cs="宋体"/>
          <w:color w:val="auto"/>
        </w:rPr>
      </w:pPr>
      <w:r>
        <w:rPr>
          <w:rFonts w:hint="eastAsia" w:ascii="宋体" w:hAnsi="宋体" w:cs="宋体"/>
          <w:color w:val="auto"/>
          <w:sz w:val="24"/>
          <w:szCs w:val="24"/>
        </w:rPr>
        <w:t>4.4投标人提出质疑应当有明确的请求和必要的证明材料。</w:t>
      </w:r>
    </w:p>
    <w:p w14:paraId="4D578D00">
      <w:pPr>
        <w:pStyle w:val="4"/>
        <w:numPr>
          <w:ilvl w:val="0"/>
          <w:numId w:val="0"/>
        </w:numPr>
        <w:spacing w:line="360" w:lineRule="auto"/>
        <w:ind w:firstLine="482" w:firstLineChars="200"/>
        <w:rPr>
          <w:rFonts w:ascii="宋体" w:hAnsi="宋体" w:cs="宋体"/>
          <w:color w:val="auto"/>
          <w:sz w:val="24"/>
          <w:szCs w:val="28"/>
        </w:rPr>
      </w:pPr>
      <w:bookmarkStart w:id="46" w:name="_Toc6390"/>
      <w:bookmarkStart w:id="47" w:name="_Toc536202294"/>
      <w:r>
        <w:rPr>
          <w:rFonts w:hint="eastAsia" w:ascii="宋体" w:hAnsi="宋体" w:cs="宋体"/>
          <w:color w:val="auto"/>
          <w:sz w:val="24"/>
          <w:szCs w:val="28"/>
          <w:lang w:val="en-US" w:eastAsia="zh-CN"/>
        </w:rPr>
        <w:t>5.</w:t>
      </w:r>
      <w:r>
        <w:rPr>
          <w:rFonts w:hint="eastAsia" w:ascii="宋体" w:hAnsi="宋体" w:cs="宋体"/>
          <w:color w:val="auto"/>
          <w:sz w:val="24"/>
          <w:szCs w:val="28"/>
        </w:rPr>
        <w:t>竞争性磋商文件的修改</w:t>
      </w:r>
      <w:bookmarkEnd w:id="46"/>
      <w:bookmarkEnd w:id="47"/>
    </w:p>
    <w:p w14:paraId="389109A9">
      <w:pPr>
        <w:overflowPunct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8"/>
        </w:rPr>
        <w:t>5.1 在磋商截止时间五日前，无论出于何种原因，代理机构可主动或在解答供应商提出的澄清问题时，对竞争性磋商文件进行修改，</w:t>
      </w:r>
      <w:r>
        <w:rPr>
          <w:rFonts w:hint="eastAsia" w:ascii="宋体" w:hAnsi="宋体" w:cs="宋体"/>
          <w:color w:val="auto"/>
          <w:sz w:val="24"/>
          <w:szCs w:val="24"/>
        </w:rPr>
        <w:t>不足5日的，顺延提交响应文件的截止时间</w:t>
      </w:r>
      <w:r>
        <w:rPr>
          <w:rFonts w:hint="eastAsia" w:ascii="宋体" w:hAnsi="宋体" w:cs="宋体"/>
          <w:color w:val="auto"/>
          <w:sz w:val="24"/>
          <w:szCs w:val="28"/>
        </w:rPr>
        <w:t>，并</w:t>
      </w:r>
      <w:r>
        <w:rPr>
          <w:rFonts w:hint="eastAsia" w:ascii="宋体" w:hAnsi="宋体" w:cs="宋体"/>
          <w:color w:val="auto"/>
          <w:sz w:val="24"/>
          <w:szCs w:val="24"/>
        </w:rPr>
        <w:t>在发布磋商公告的媒体上发布变更公告，并以书面形式通知所有</w:t>
      </w:r>
      <w:r>
        <w:rPr>
          <w:rFonts w:hint="eastAsia" w:ascii="宋体" w:hAnsi="宋体" w:cs="宋体"/>
          <w:color w:val="auto"/>
          <w:sz w:val="24"/>
          <w:szCs w:val="24"/>
          <w:lang w:val="en-US" w:eastAsia="zh-CN"/>
        </w:rPr>
        <w:t>获取</w:t>
      </w:r>
      <w:r>
        <w:rPr>
          <w:rFonts w:hint="eastAsia" w:ascii="宋体" w:hAnsi="宋体" w:cs="宋体"/>
          <w:color w:val="auto"/>
          <w:sz w:val="24"/>
          <w:szCs w:val="24"/>
        </w:rPr>
        <w:t>磋商文件的单位。该澄清或者修改的内容为</w:t>
      </w:r>
      <w:r>
        <w:rPr>
          <w:rFonts w:hint="eastAsia" w:ascii="宋体" w:hAnsi="宋体" w:cs="宋体"/>
          <w:color w:val="auto"/>
          <w:sz w:val="24"/>
          <w:szCs w:val="24"/>
          <w:lang w:eastAsia="zh-CN"/>
        </w:rPr>
        <w:t>磋商文件</w:t>
      </w:r>
      <w:r>
        <w:rPr>
          <w:rFonts w:hint="eastAsia" w:ascii="宋体" w:hAnsi="宋体" w:cs="宋体"/>
          <w:color w:val="auto"/>
          <w:sz w:val="24"/>
          <w:szCs w:val="24"/>
        </w:rPr>
        <w:t>的组成部分。</w:t>
      </w:r>
    </w:p>
    <w:p w14:paraId="24B6A2B8">
      <w:pPr>
        <w:overflowPunct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5.2</w:t>
      </w:r>
      <w:r>
        <w:rPr>
          <w:rFonts w:hint="eastAsia" w:ascii="宋体" w:hAnsi="宋体" w:cs="宋体"/>
          <w:color w:val="auto"/>
          <w:sz w:val="24"/>
          <w:szCs w:val="24"/>
          <w:lang w:eastAsia="zh-CN"/>
        </w:rPr>
        <w:t>磋商文件</w:t>
      </w:r>
      <w:r>
        <w:rPr>
          <w:rFonts w:hint="eastAsia" w:ascii="宋体" w:hAnsi="宋体" w:cs="宋体"/>
          <w:color w:val="auto"/>
          <w:sz w:val="24"/>
          <w:szCs w:val="24"/>
        </w:rPr>
        <w:t>的修改书将构成</w:t>
      </w:r>
      <w:r>
        <w:rPr>
          <w:rFonts w:hint="eastAsia" w:ascii="宋体" w:hAnsi="宋体" w:cs="宋体"/>
          <w:color w:val="auto"/>
          <w:sz w:val="24"/>
          <w:szCs w:val="24"/>
          <w:lang w:eastAsia="zh-CN"/>
        </w:rPr>
        <w:t>磋商文件</w:t>
      </w:r>
      <w:r>
        <w:rPr>
          <w:rFonts w:hint="eastAsia" w:ascii="宋体" w:hAnsi="宋体" w:cs="宋体"/>
          <w:color w:val="auto"/>
          <w:sz w:val="24"/>
          <w:szCs w:val="24"/>
        </w:rPr>
        <w:t>的一部分，对采购人和投标人都具有约束力。</w:t>
      </w:r>
    </w:p>
    <w:p w14:paraId="57B2E5BC">
      <w:pPr>
        <w:spacing w:line="360" w:lineRule="auto"/>
        <w:ind w:firstLine="480" w:firstLineChars="200"/>
        <w:rPr>
          <w:rFonts w:ascii="宋体" w:hAnsi="宋体" w:cs="宋体"/>
          <w:color w:val="auto"/>
          <w:sz w:val="24"/>
          <w:szCs w:val="28"/>
        </w:rPr>
      </w:pPr>
      <w:r>
        <w:rPr>
          <w:rFonts w:hint="eastAsia" w:ascii="宋体" w:hAnsi="宋体" w:cs="宋体"/>
          <w:color w:val="auto"/>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cs="宋体"/>
          <w:color w:val="auto"/>
          <w:sz w:val="24"/>
          <w:szCs w:val="24"/>
        </w:rPr>
        <w:t>磋商文件的单位。</w:t>
      </w:r>
    </w:p>
    <w:p w14:paraId="0E2EE9F3">
      <w:pPr>
        <w:pStyle w:val="4"/>
        <w:numPr>
          <w:ilvl w:val="0"/>
          <w:numId w:val="0"/>
        </w:numPr>
        <w:spacing w:line="360" w:lineRule="auto"/>
        <w:ind w:firstLine="482" w:firstLineChars="200"/>
        <w:rPr>
          <w:rFonts w:ascii="宋体" w:hAnsi="宋体" w:cs="宋体"/>
          <w:color w:val="auto"/>
          <w:sz w:val="24"/>
          <w:szCs w:val="28"/>
        </w:rPr>
      </w:pPr>
      <w:bookmarkStart w:id="48" w:name="_Toc536202295"/>
      <w:bookmarkStart w:id="49" w:name="_Toc31188"/>
      <w:r>
        <w:rPr>
          <w:rFonts w:hint="eastAsia" w:ascii="宋体" w:hAnsi="宋体" w:cs="宋体"/>
          <w:color w:val="auto"/>
          <w:sz w:val="24"/>
          <w:szCs w:val="28"/>
          <w:lang w:val="en-US" w:eastAsia="zh-CN"/>
        </w:rPr>
        <w:t>6.</w:t>
      </w:r>
      <w:r>
        <w:rPr>
          <w:rFonts w:hint="eastAsia" w:ascii="宋体" w:hAnsi="宋体" w:cs="宋体"/>
          <w:color w:val="auto"/>
          <w:sz w:val="24"/>
          <w:szCs w:val="28"/>
        </w:rPr>
        <w:t>质疑</w:t>
      </w:r>
    </w:p>
    <w:p w14:paraId="69C3CBF0">
      <w:pPr>
        <w:pStyle w:val="4"/>
        <w:spacing w:line="360" w:lineRule="auto"/>
        <w:ind w:firstLine="480" w:firstLineChars="200"/>
        <w:rPr>
          <w:rFonts w:ascii="宋体" w:hAnsi="宋体" w:cs="宋体"/>
          <w:b w:val="0"/>
          <w:color w:val="auto"/>
          <w:sz w:val="24"/>
          <w:szCs w:val="28"/>
        </w:rPr>
      </w:pPr>
      <w:r>
        <w:rPr>
          <w:rFonts w:hint="eastAsia" w:ascii="宋体" w:hAnsi="宋体" w:cs="宋体"/>
          <w:b w:val="0"/>
          <w:color w:val="auto"/>
          <w:sz w:val="24"/>
          <w:szCs w:val="28"/>
        </w:rPr>
        <w:t>供应商认为磋商文件、招标过程和中标结果使自己的权益受到损害的，可以按《政府采购法》第</w:t>
      </w:r>
      <w:r>
        <w:rPr>
          <w:rFonts w:hint="eastAsia" w:ascii="宋体" w:hAnsi="宋体" w:cs="宋体"/>
          <w:b w:val="0"/>
          <w:color w:val="auto"/>
          <w:sz w:val="24"/>
          <w:szCs w:val="28"/>
          <w:lang w:val="en-US" w:eastAsia="zh-CN"/>
        </w:rPr>
        <w:t>五十二</w:t>
      </w:r>
      <w:r>
        <w:rPr>
          <w:rFonts w:hint="eastAsia" w:ascii="宋体" w:hAnsi="宋体" w:cs="宋体"/>
          <w:b w:val="0"/>
          <w:color w:val="auto"/>
          <w:sz w:val="24"/>
          <w:szCs w:val="28"/>
        </w:rPr>
        <w:t>条执行。</w:t>
      </w:r>
    </w:p>
    <w:p w14:paraId="43B24E2C">
      <w:pPr>
        <w:pStyle w:val="4"/>
        <w:numPr>
          <w:ilvl w:val="0"/>
          <w:numId w:val="0"/>
        </w:numPr>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val="en-US" w:eastAsia="zh-CN"/>
        </w:rPr>
        <w:t>7.</w:t>
      </w:r>
      <w:r>
        <w:rPr>
          <w:rFonts w:hint="eastAsia" w:ascii="宋体" w:hAnsi="宋体" w:cs="宋体"/>
          <w:color w:val="auto"/>
          <w:sz w:val="24"/>
          <w:szCs w:val="28"/>
        </w:rPr>
        <w:t>竞争性磋商文件的获取</w:t>
      </w:r>
      <w:bookmarkEnd w:id="48"/>
      <w:bookmarkEnd w:id="49"/>
    </w:p>
    <w:p w14:paraId="1997D409">
      <w:pPr>
        <w:widowControl/>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供应商必须从代理机构</w:t>
      </w:r>
      <w:r>
        <w:rPr>
          <w:rFonts w:hint="eastAsia" w:ascii="宋体" w:hAnsi="宋体" w:cs="宋体"/>
          <w:color w:val="auto"/>
          <w:sz w:val="24"/>
          <w:szCs w:val="28"/>
          <w:lang w:val="en-US" w:eastAsia="zh-CN"/>
        </w:rPr>
        <w:t>获取</w:t>
      </w:r>
      <w:r>
        <w:rPr>
          <w:rFonts w:hint="eastAsia" w:ascii="宋体" w:hAnsi="宋体" w:cs="宋体"/>
          <w:color w:val="auto"/>
          <w:sz w:val="24"/>
          <w:szCs w:val="28"/>
        </w:rPr>
        <w:t>竞争性磋商文件，供应商自行转让或复制竞争性磋商文件视为无效。</w:t>
      </w:r>
      <w:r>
        <w:rPr>
          <w:rFonts w:hint="eastAsia" w:ascii="宋体" w:hAnsi="宋体" w:cs="宋体"/>
          <w:color w:val="auto"/>
          <w:sz w:val="24"/>
          <w:szCs w:val="28"/>
          <w:lang w:val="en-US" w:eastAsia="zh-CN"/>
        </w:rPr>
        <w:t>本</w:t>
      </w:r>
      <w:r>
        <w:rPr>
          <w:rFonts w:hint="eastAsia" w:ascii="宋体" w:hAnsi="宋体" w:cs="宋体"/>
          <w:color w:val="auto"/>
          <w:sz w:val="24"/>
          <w:szCs w:val="28"/>
        </w:rPr>
        <w:t>竞争性磋商文件仅作为本次竞争性磋商使用。</w:t>
      </w:r>
    </w:p>
    <w:p w14:paraId="4F80A956">
      <w:pPr>
        <w:pStyle w:val="8"/>
        <w:spacing w:line="360" w:lineRule="auto"/>
        <w:ind w:firstLine="482" w:firstLineChars="200"/>
        <w:jc w:val="left"/>
        <w:rPr>
          <w:rFonts w:ascii="宋体" w:hAnsi="宋体" w:cs="宋体"/>
          <w:color w:val="auto"/>
          <w:sz w:val="24"/>
          <w:szCs w:val="28"/>
        </w:rPr>
      </w:pPr>
      <w:bookmarkStart w:id="50" w:name="_Toc5095"/>
      <w:bookmarkStart w:id="51" w:name="_Toc536202296"/>
      <w:r>
        <w:rPr>
          <w:rFonts w:hint="eastAsia" w:ascii="宋体" w:hAnsi="宋体" w:cs="宋体"/>
          <w:b/>
          <w:bCs/>
          <w:color w:val="auto"/>
          <w:sz w:val="24"/>
          <w:szCs w:val="28"/>
          <w:lang w:eastAsia="zh-CN"/>
        </w:rPr>
        <w:t>8.</w:t>
      </w:r>
      <w:r>
        <w:rPr>
          <w:rFonts w:hint="eastAsia" w:ascii="宋体" w:hAnsi="宋体" w:cs="宋体"/>
          <w:b/>
          <w:bCs/>
          <w:color w:val="auto"/>
          <w:sz w:val="24"/>
          <w:szCs w:val="28"/>
        </w:rPr>
        <w:t>竞争性磋商文件的解释权归代理机构</w:t>
      </w:r>
      <w:bookmarkEnd w:id="50"/>
      <w:bookmarkEnd w:id="51"/>
      <w:r>
        <w:rPr>
          <w:rFonts w:hint="eastAsia" w:ascii="宋体" w:hAnsi="宋体" w:cs="宋体"/>
          <w:color w:val="auto"/>
          <w:sz w:val="24"/>
          <w:szCs w:val="28"/>
        </w:rPr>
        <w:t>（如发现磋商文件内容与现行法律法规不相符的情况，以现行法律法规为准。</w:t>
      </w:r>
      <w:r>
        <w:rPr>
          <w:rFonts w:hint="eastAsia" w:ascii="宋体" w:hAnsi="宋体" w:cs="宋体"/>
          <w:color w:val="auto"/>
          <w:sz w:val="24"/>
          <w:szCs w:val="28"/>
          <w:lang w:eastAsia="zh-CN"/>
        </w:rPr>
        <w:t>）</w:t>
      </w:r>
    </w:p>
    <w:p w14:paraId="3EC7DCF8">
      <w:pPr>
        <w:widowControl/>
        <w:numPr>
          <w:ilvl w:val="0"/>
          <w:numId w:val="3"/>
        </w:numPr>
        <w:spacing w:line="360" w:lineRule="auto"/>
        <w:ind w:firstLine="643" w:firstLineChars="200"/>
        <w:jc w:val="center"/>
        <w:outlineLvl w:val="1"/>
        <w:rPr>
          <w:rFonts w:ascii="宋体" w:hAnsi="宋体"/>
          <w:b w:val="0"/>
          <w:bCs w:val="0"/>
          <w:color w:val="auto"/>
          <w:sz w:val="32"/>
          <w:szCs w:val="32"/>
        </w:rPr>
      </w:pPr>
      <w:bookmarkStart w:id="52" w:name="_Toc536429374"/>
      <w:bookmarkStart w:id="53" w:name="_Toc536202297"/>
      <w:bookmarkStart w:id="54" w:name="_Toc622"/>
      <w:bookmarkStart w:id="55" w:name="_Toc536202381"/>
      <w:bookmarkStart w:id="56" w:name="_Toc536429321"/>
      <w:bookmarkStart w:id="57" w:name="_Toc19543338"/>
      <w:r>
        <w:rPr>
          <w:rFonts w:hint="eastAsia" w:ascii="宋体" w:hAnsi="宋体" w:cs="宋体"/>
          <w:b/>
          <w:bCs/>
          <w:color w:val="auto"/>
          <w:kern w:val="0"/>
          <w:sz w:val="32"/>
          <w:szCs w:val="32"/>
        </w:rPr>
        <w:t>响应文件</w:t>
      </w:r>
      <w:bookmarkEnd w:id="52"/>
      <w:bookmarkEnd w:id="53"/>
      <w:bookmarkEnd w:id="54"/>
      <w:bookmarkEnd w:id="55"/>
      <w:bookmarkEnd w:id="56"/>
      <w:bookmarkEnd w:id="57"/>
    </w:p>
    <w:p w14:paraId="51614F27">
      <w:pPr>
        <w:widowControl/>
        <w:numPr>
          <w:ilvl w:val="0"/>
          <w:numId w:val="0"/>
        </w:numPr>
        <w:spacing w:line="360" w:lineRule="auto"/>
        <w:ind w:firstLine="480" w:firstLineChars="200"/>
        <w:jc w:val="both"/>
        <w:outlineLvl w:val="1"/>
        <w:rPr>
          <w:rFonts w:hint="eastAsia" w:ascii="宋体" w:hAnsi="宋体"/>
          <w:b w:val="0"/>
          <w:bCs w:val="0"/>
          <w:color w:val="auto"/>
          <w:sz w:val="24"/>
          <w:szCs w:val="21"/>
        </w:rPr>
      </w:pPr>
      <w:r>
        <w:rPr>
          <w:rFonts w:hint="eastAsia" w:ascii="宋体" w:hAnsi="宋体"/>
          <w:b w:val="0"/>
          <w:bCs w:val="0"/>
          <w:color w:val="auto"/>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auto"/>
          <w:sz w:val="24"/>
          <w:szCs w:val="21"/>
          <w:lang w:eastAsia="zh-CN"/>
        </w:rPr>
        <w:t>作出</w:t>
      </w:r>
      <w:r>
        <w:rPr>
          <w:rFonts w:hint="eastAsia" w:ascii="宋体" w:hAnsi="宋体"/>
          <w:b w:val="0"/>
          <w:bCs w:val="0"/>
          <w:color w:val="auto"/>
          <w:sz w:val="24"/>
          <w:szCs w:val="21"/>
        </w:rPr>
        <w:t>实质性响应，其磋商将被拒绝。</w:t>
      </w:r>
    </w:p>
    <w:p w14:paraId="550B545E">
      <w:pPr>
        <w:widowControl/>
        <w:numPr>
          <w:ilvl w:val="0"/>
          <w:numId w:val="0"/>
        </w:numPr>
        <w:spacing w:line="360" w:lineRule="auto"/>
        <w:ind w:firstLine="480" w:firstLineChars="200"/>
        <w:jc w:val="both"/>
        <w:outlineLvl w:val="1"/>
        <w:rPr>
          <w:rFonts w:ascii="宋体" w:hAnsi="宋体"/>
          <w:b w:val="0"/>
          <w:bCs w:val="0"/>
          <w:color w:val="auto"/>
          <w:sz w:val="24"/>
          <w:szCs w:val="21"/>
        </w:rPr>
      </w:pPr>
      <w:r>
        <w:rPr>
          <w:rFonts w:hint="eastAsia" w:ascii="宋体" w:hAnsi="宋体"/>
          <w:b w:val="0"/>
          <w:bCs w:val="0"/>
          <w:color w:val="auto"/>
          <w:sz w:val="24"/>
          <w:szCs w:val="21"/>
        </w:rPr>
        <w:t>投标人提交的磋商响应文件（包括产品的技术资料）以及投标人与采购代理机构就有关磋商的所有来往函电均应以中文书写。</w:t>
      </w:r>
    </w:p>
    <w:p w14:paraId="0CEF9192">
      <w:pPr>
        <w:pStyle w:val="4"/>
        <w:numPr>
          <w:ilvl w:val="0"/>
          <w:numId w:val="0"/>
        </w:numPr>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val="en-US" w:eastAsia="zh-CN"/>
        </w:rPr>
        <w:t>1.</w:t>
      </w:r>
      <w:r>
        <w:rPr>
          <w:rFonts w:hint="eastAsia" w:ascii="宋体" w:hAnsi="宋体" w:cs="宋体"/>
          <w:color w:val="auto"/>
          <w:sz w:val="24"/>
          <w:szCs w:val="28"/>
        </w:rPr>
        <w:t>响应文件构成和格式</w:t>
      </w:r>
    </w:p>
    <w:p w14:paraId="2CACEE17">
      <w:pPr>
        <w:widowControl/>
        <w:spacing w:line="360" w:lineRule="auto"/>
        <w:ind w:firstLine="480" w:firstLineChars="200"/>
        <w:outlineLvl w:val="1"/>
        <w:rPr>
          <w:rFonts w:ascii="宋体" w:hAnsi="宋体" w:cs="宋体"/>
          <w:bCs/>
          <w:color w:val="auto"/>
          <w:kern w:val="0"/>
          <w:sz w:val="24"/>
          <w:szCs w:val="24"/>
        </w:rPr>
      </w:pPr>
      <w:r>
        <w:rPr>
          <w:rFonts w:hint="eastAsia" w:ascii="宋体" w:hAnsi="宋体" w:cs="宋体"/>
          <w:bCs/>
          <w:color w:val="auto"/>
          <w:kern w:val="0"/>
          <w:sz w:val="24"/>
          <w:szCs w:val="24"/>
        </w:rPr>
        <w:t>投标人应按照本须知响应文件构成和格式及第七部分提供的格式编写</w:t>
      </w: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，不得缺少</w:t>
      </w: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要求填写的表格或提交的资料。</w:t>
      </w:r>
    </w:p>
    <w:p w14:paraId="65270A69">
      <w:pPr>
        <w:pStyle w:val="4"/>
        <w:numPr>
          <w:ilvl w:val="0"/>
          <w:numId w:val="0"/>
        </w:numPr>
        <w:spacing w:line="360" w:lineRule="auto"/>
        <w:ind w:firstLine="482" w:firstLineChars="200"/>
        <w:rPr>
          <w:rFonts w:ascii="宋体" w:hAnsi="宋体" w:cs="宋体"/>
          <w:color w:val="auto"/>
          <w:sz w:val="24"/>
          <w:szCs w:val="28"/>
        </w:rPr>
      </w:pPr>
      <w:bookmarkStart w:id="58" w:name="_Toc536202299"/>
      <w:r>
        <w:rPr>
          <w:rFonts w:hint="eastAsia" w:ascii="宋体" w:hAnsi="宋体" w:cs="宋体"/>
          <w:color w:val="auto"/>
          <w:sz w:val="24"/>
          <w:szCs w:val="28"/>
          <w:lang w:val="en-US" w:eastAsia="zh-CN"/>
        </w:rPr>
        <w:t>2.</w:t>
      </w:r>
      <w:r>
        <w:rPr>
          <w:rFonts w:hint="eastAsia" w:ascii="宋体" w:hAnsi="宋体" w:cs="宋体"/>
          <w:color w:val="auto"/>
          <w:sz w:val="24"/>
          <w:szCs w:val="28"/>
        </w:rPr>
        <w:t>磋商报价</w:t>
      </w:r>
      <w:bookmarkEnd w:id="58"/>
    </w:p>
    <w:p w14:paraId="2531B2A2">
      <w:pPr>
        <w:spacing w:line="360" w:lineRule="auto"/>
        <w:ind w:firstLine="480" w:firstLineChars="200"/>
        <w:rPr>
          <w:rFonts w:ascii="宋体" w:hAnsi="宋体" w:cs="宋体"/>
          <w:color w:val="auto"/>
          <w:sz w:val="28"/>
          <w:szCs w:val="22"/>
        </w:rPr>
      </w:pPr>
      <w:bookmarkStart w:id="59" w:name="_Toc536202300"/>
      <w:bookmarkStart w:id="60" w:name="_Toc29200"/>
      <w:r>
        <w:rPr>
          <w:rFonts w:hint="eastAsia" w:ascii="宋体" w:hAnsi="宋体" w:cs="宋体"/>
          <w:color w:val="auto"/>
          <w:sz w:val="24"/>
        </w:rPr>
        <w:t>（1）磋商报价为供应商充分考虑磋商文件的各项条款和所掌握的市场情况及本项目的实际情况，根据自身情况自主报价。</w:t>
      </w:r>
    </w:p>
    <w:p w14:paraId="1BD3F0A5">
      <w:pPr>
        <w:spacing w:line="360" w:lineRule="auto"/>
        <w:ind w:firstLine="480" w:firstLineChars="200"/>
        <w:rPr>
          <w:rFonts w:ascii="宋体" w:hAnsi="宋体" w:cs="宋体"/>
          <w:color w:val="auto"/>
          <w:sz w:val="24"/>
        </w:rPr>
      </w:pPr>
      <w:r>
        <w:rPr>
          <w:rFonts w:hint="eastAsia" w:ascii="宋体" w:hAnsi="宋体" w:cs="宋体"/>
          <w:color w:val="auto"/>
          <w:sz w:val="24"/>
        </w:rPr>
        <w:t>（2）供应商应在响应报价表中标明本次招标所要求的货物、服务且验收合格的所有费用。</w:t>
      </w:r>
    </w:p>
    <w:p w14:paraId="6EB1BCA9">
      <w:pPr>
        <w:spacing w:line="360" w:lineRule="auto"/>
        <w:ind w:firstLine="480" w:firstLineChars="200"/>
        <w:rPr>
          <w:rFonts w:ascii="宋体" w:hAnsi="宋体" w:cs="宋体"/>
          <w:color w:val="auto"/>
          <w:sz w:val="24"/>
        </w:rPr>
      </w:pPr>
      <w:r>
        <w:rPr>
          <w:rFonts w:hint="eastAsia" w:ascii="宋体" w:hAnsi="宋体" w:cs="宋体"/>
          <w:color w:val="auto"/>
          <w:sz w:val="24"/>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cs="宋体"/>
          <w:color w:val="auto"/>
          <w:spacing w:val="4"/>
          <w:sz w:val="24"/>
        </w:rPr>
        <w:t>供应商应考虑全部材料的风险，供应商一旦成交，采购人将不再对此部分进行调整；供应商的报价应将此差异考虑在综合单价内，</w:t>
      </w:r>
      <w:r>
        <w:rPr>
          <w:rFonts w:hint="eastAsia" w:ascii="宋体" w:hAnsi="宋体" w:cs="宋体"/>
          <w:color w:val="auto"/>
          <w:sz w:val="24"/>
          <w:szCs w:val="24"/>
        </w:rPr>
        <w:t>采购人及学院不再</w:t>
      </w:r>
      <w:r>
        <w:rPr>
          <w:rFonts w:hint="eastAsia" w:ascii="宋体" w:hAnsi="宋体" w:cs="宋体"/>
          <w:color w:val="auto"/>
          <w:sz w:val="24"/>
          <w:szCs w:val="24"/>
          <w:lang w:eastAsia="zh-CN"/>
        </w:rPr>
        <w:t>承担其他任何</w:t>
      </w:r>
      <w:r>
        <w:rPr>
          <w:rFonts w:hint="eastAsia" w:ascii="宋体" w:hAnsi="宋体" w:cs="宋体"/>
          <w:color w:val="auto"/>
          <w:sz w:val="24"/>
          <w:szCs w:val="24"/>
        </w:rPr>
        <w:t>费用</w:t>
      </w:r>
      <w:r>
        <w:rPr>
          <w:rFonts w:hint="eastAsia" w:ascii="宋体" w:hAnsi="宋体" w:cs="宋体"/>
          <w:color w:val="auto"/>
          <w:spacing w:val="4"/>
          <w:sz w:val="24"/>
        </w:rPr>
        <w:t>。</w:t>
      </w:r>
    </w:p>
    <w:p w14:paraId="1542B486">
      <w:pPr>
        <w:spacing w:line="360" w:lineRule="auto"/>
        <w:ind w:firstLine="480" w:firstLineChars="200"/>
        <w:rPr>
          <w:rFonts w:ascii="宋体" w:hAnsi="宋体" w:cs="宋体"/>
          <w:color w:val="auto"/>
          <w:sz w:val="24"/>
        </w:rPr>
      </w:pPr>
      <w:r>
        <w:rPr>
          <w:rFonts w:hint="eastAsia" w:ascii="宋体" w:hAnsi="宋体" w:cs="宋体"/>
          <w:color w:val="auto"/>
          <w:sz w:val="24"/>
        </w:rPr>
        <w:t>（4）响应报价表应有法定代表人或被授权人的签字。</w:t>
      </w:r>
    </w:p>
    <w:p w14:paraId="67A0F19D">
      <w:pPr>
        <w:pStyle w:val="4"/>
        <w:numPr>
          <w:ilvl w:val="0"/>
          <w:numId w:val="0"/>
        </w:numPr>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val="en-US" w:eastAsia="zh-CN"/>
        </w:rPr>
        <w:t>3.</w:t>
      </w:r>
      <w:r>
        <w:rPr>
          <w:rFonts w:hint="eastAsia" w:ascii="宋体" w:hAnsi="宋体" w:cs="宋体"/>
          <w:color w:val="auto"/>
          <w:sz w:val="24"/>
          <w:szCs w:val="28"/>
        </w:rPr>
        <w:t>磋商货币</w:t>
      </w:r>
      <w:bookmarkEnd w:id="59"/>
      <w:bookmarkEnd w:id="60"/>
    </w:p>
    <w:p w14:paraId="4337C9D7">
      <w:pPr>
        <w:widowControl/>
        <w:spacing w:line="360" w:lineRule="auto"/>
        <w:ind w:firstLine="480" w:firstLineChars="200"/>
        <w:rPr>
          <w:rFonts w:ascii="宋体" w:hAnsi="宋体" w:cs="宋体"/>
          <w:color w:val="auto"/>
          <w:kern w:val="0"/>
          <w:sz w:val="24"/>
          <w:szCs w:val="28"/>
        </w:rPr>
      </w:pPr>
      <w:r>
        <w:rPr>
          <w:rFonts w:hint="eastAsia" w:ascii="宋体" w:hAnsi="宋体" w:cs="宋体"/>
          <w:color w:val="auto"/>
          <w:kern w:val="0"/>
          <w:sz w:val="24"/>
          <w:szCs w:val="28"/>
        </w:rPr>
        <w:t>采购人只接受人民币作为唯一磋商货币。以人民币为投标货币。以元为报价单位，保留小数点后两位。</w:t>
      </w:r>
    </w:p>
    <w:p w14:paraId="60243A54">
      <w:pPr>
        <w:pStyle w:val="4"/>
        <w:numPr>
          <w:ilvl w:val="0"/>
          <w:numId w:val="0"/>
        </w:numPr>
        <w:spacing w:line="360" w:lineRule="auto"/>
        <w:ind w:firstLine="482" w:firstLineChars="200"/>
        <w:rPr>
          <w:rFonts w:ascii="宋体" w:hAnsi="宋体" w:cs="宋体"/>
          <w:color w:val="auto"/>
          <w:sz w:val="24"/>
          <w:szCs w:val="28"/>
        </w:rPr>
      </w:pPr>
      <w:bookmarkStart w:id="61" w:name="_Toc536202302"/>
      <w:r>
        <w:rPr>
          <w:rFonts w:hint="eastAsia" w:ascii="宋体" w:hAnsi="宋体" w:cs="宋体"/>
          <w:color w:val="auto"/>
          <w:sz w:val="24"/>
          <w:szCs w:val="28"/>
          <w:lang w:val="en-US" w:eastAsia="zh-CN"/>
        </w:rPr>
        <w:t>4.</w:t>
      </w:r>
      <w:r>
        <w:rPr>
          <w:rFonts w:hint="eastAsia" w:ascii="宋体" w:hAnsi="宋体" w:cs="宋体"/>
          <w:color w:val="auto"/>
          <w:sz w:val="24"/>
          <w:szCs w:val="28"/>
        </w:rPr>
        <w:t>响应有效期</w:t>
      </w:r>
      <w:bookmarkEnd w:id="61"/>
    </w:p>
    <w:p w14:paraId="4125EE8D">
      <w:pPr>
        <w:adjustRightInd w:val="0"/>
        <w:snapToGrid w:val="0"/>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13061BC8">
      <w:pPr>
        <w:pStyle w:val="4"/>
        <w:numPr>
          <w:ilvl w:val="0"/>
          <w:numId w:val="0"/>
        </w:numPr>
        <w:spacing w:line="360" w:lineRule="auto"/>
        <w:ind w:firstLine="482" w:firstLineChars="200"/>
        <w:rPr>
          <w:rFonts w:ascii="宋体" w:hAnsi="宋体" w:cs="宋体"/>
          <w:color w:val="auto"/>
          <w:sz w:val="24"/>
          <w:szCs w:val="28"/>
        </w:rPr>
      </w:pPr>
      <w:bookmarkStart w:id="62" w:name="_Toc536202303"/>
      <w:bookmarkStart w:id="63" w:name="_Toc24827"/>
      <w:r>
        <w:rPr>
          <w:rFonts w:hint="eastAsia" w:ascii="宋体" w:hAnsi="宋体" w:cs="宋体"/>
          <w:color w:val="auto"/>
          <w:sz w:val="24"/>
          <w:szCs w:val="28"/>
          <w:lang w:val="en-US" w:eastAsia="zh-CN"/>
        </w:rPr>
        <w:t>5.</w:t>
      </w:r>
      <w:r>
        <w:rPr>
          <w:rFonts w:hint="eastAsia" w:ascii="宋体" w:hAnsi="宋体" w:cs="宋体"/>
          <w:color w:val="auto"/>
          <w:sz w:val="24"/>
          <w:szCs w:val="28"/>
        </w:rPr>
        <w:t>响应文件的格式、装订、密封和签署</w:t>
      </w:r>
      <w:bookmarkEnd w:id="62"/>
      <w:bookmarkEnd w:id="63"/>
    </w:p>
    <w:p w14:paraId="5493A283">
      <w:pPr>
        <w:spacing w:line="312" w:lineRule="auto"/>
        <w:ind w:firstLine="480" w:firstLineChars="200"/>
        <w:jc w:val="left"/>
        <w:rPr>
          <w:rFonts w:ascii="宋体" w:hAnsi="宋体" w:cs="宋体"/>
          <w:color w:val="auto"/>
          <w:sz w:val="24"/>
          <w:szCs w:val="28"/>
        </w:rPr>
      </w:pPr>
      <w:r>
        <w:rPr>
          <w:rFonts w:hint="eastAsia" w:ascii="宋体" w:hAnsi="宋体" w:cs="宋体"/>
          <w:color w:val="auto"/>
          <w:sz w:val="24"/>
          <w:szCs w:val="28"/>
        </w:rPr>
        <w:t>5.1供应商须依据竞争性磋商文件内容和响应文件格式的要求编制响应文件；响应文件的正本和副本须用A4纸打印，并编制目录和页码，确保纸质</w:t>
      </w:r>
      <w:r>
        <w:rPr>
          <w:rFonts w:hint="eastAsia" w:ascii="宋体" w:hAnsi="宋体" w:cs="宋体"/>
          <w:color w:val="auto"/>
          <w:sz w:val="24"/>
          <w:szCs w:val="28"/>
          <w:lang w:eastAsia="zh-CN"/>
        </w:rPr>
        <w:t>响应文件</w:t>
      </w:r>
      <w:r>
        <w:rPr>
          <w:rFonts w:hint="eastAsia" w:ascii="宋体" w:hAnsi="宋体" w:cs="宋体"/>
          <w:color w:val="auto"/>
          <w:sz w:val="24"/>
          <w:szCs w:val="28"/>
        </w:rPr>
        <w:t>应与电子</w:t>
      </w:r>
      <w:r>
        <w:rPr>
          <w:rFonts w:hint="eastAsia" w:ascii="宋体" w:hAnsi="宋体" w:cs="宋体"/>
          <w:color w:val="auto"/>
          <w:sz w:val="24"/>
          <w:szCs w:val="28"/>
          <w:lang w:eastAsia="zh-CN"/>
        </w:rPr>
        <w:t>响应文件</w:t>
      </w:r>
      <w:r>
        <w:rPr>
          <w:rFonts w:hint="eastAsia" w:ascii="宋体" w:hAnsi="宋体" w:cs="宋体"/>
          <w:color w:val="auto"/>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37D4063D">
      <w:pPr>
        <w:spacing w:line="312" w:lineRule="auto"/>
        <w:ind w:firstLine="480" w:firstLineChars="200"/>
        <w:jc w:val="left"/>
        <w:rPr>
          <w:rFonts w:ascii="宋体" w:hAnsi="宋体" w:cs="宋体"/>
          <w:color w:val="auto"/>
          <w:sz w:val="24"/>
          <w:szCs w:val="28"/>
        </w:rPr>
      </w:pPr>
      <w:r>
        <w:rPr>
          <w:rFonts w:hint="eastAsia" w:ascii="宋体" w:hAnsi="宋体" w:cs="宋体"/>
          <w:color w:val="auto"/>
          <w:sz w:val="24"/>
          <w:szCs w:val="28"/>
        </w:rPr>
        <w:t>5.2响应文件的装订</w:t>
      </w:r>
    </w:p>
    <w:p w14:paraId="04205758">
      <w:pPr>
        <w:spacing w:line="360" w:lineRule="auto"/>
        <w:ind w:firstLine="480" w:firstLineChars="200"/>
        <w:jc w:val="left"/>
        <w:rPr>
          <w:rFonts w:ascii="宋体" w:hAnsi="宋体" w:cs="宋体"/>
          <w:color w:val="auto"/>
          <w:sz w:val="24"/>
          <w:szCs w:val="28"/>
          <w:highlight w:val="yellow"/>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p w14:paraId="3C56D603">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5.3响应文件的签署</w:t>
      </w:r>
    </w:p>
    <w:p w14:paraId="5FFEC134">
      <w:pPr>
        <w:numPr>
          <w:ilvl w:val="0"/>
          <w:numId w:val="5"/>
        </w:numPr>
        <w:spacing w:line="360" w:lineRule="auto"/>
        <w:jc w:val="left"/>
        <w:rPr>
          <w:rFonts w:ascii="宋体" w:hAnsi="宋体" w:cs="宋体"/>
          <w:color w:val="auto"/>
          <w:sz w:val="24"/>
          <w:szCs w:val="28"/>
        </w:rPr>
      </w:pPr>
      <w:r>
        <w:rPr>
          <w:rFonts w:hint="eastAsia" w:ascii="宋体" w:hAnsi="宋体" w:cs="宋体"/>
          <w:color w:val="auto"/>
          <w:sz w:val="24"/>
          <w:szCs w:val="28"/>
        </w:rPr>
        <w:t>供应商应在</w:t>
      </w:r>
      <w:r>
        <w:rPr>
          <w:rFonts w:hint="eastAsia" w:ascii="宋体" w:hAnsi="宋体" w:cs="宋体"/>
          <w:color w:val="auto"/>
          <w:sz w:val="24"/>
          <w:szCs w:val="28"/>
          <w:lang w:eastAsia="zh-CN"/>
        </w:rPr>
        <w:t>响应文件</w:t>
      </w:r>
      <w:r>
        <w:rPr>
          <w:rFonts w:hint="eastAsia" w:ascii="宋体" w:hAnsi="宋体" w:cs="宋体"/>
          <w:color w:val="auto"/>
          <w:sz w:val="24"/>
          <w:szCs w:val="28"/>
        </w:rPr>
        <w:t>正副本中指定的页面落款处填写供应商全称，并按要求加盖公章及签字</w:t>
      </w:r>
      <w:r>
        <w:rPr>
          <w:rFonts w:hint="eastAsia" w:ascii="宋体" w:hAnsi="宋体" w:cs="宋体"/>
          <w:color w:val="auto"/>
          <w:sz w:val="24"/>
          <w:szCs w:val="28"/>
          <w:lang w:eastAsia="zh-CN"/>
        </w:rPr>
        <w:t>（</w:t>
      </w:r>
      <w:r>
        <w:rPr>
          <w:rFonts w:hint="eastAsia" w:ascii="宋体" w:hAnsi="宋体" w:cs="宋体"/>
          <w:color w:val="auto"/>
          <w:sz w:val="24"/>
          <w:szCs w:val="28"/>
        </w:rPr>
        <w:t>包括</w:t>
      </w:r>
      <w:r>
        <w:rPr>
          <w:rFonts w:hint="eastAsia" w:ascii="宋体" w:hAnsi="宋体" w:cs="宋体"/>
          <w:color w:val="auto"/>
          <w:sz w:val="24"/>
          <w:szCs w:val="28"/>
          <w:lang w:eastAsia="zh-CN"/>
        </w:rPr>
        <w:t>响应文件</w:t>
      </w:r>
      <w:r>
        <w:rPr>
          <w:rFonts w:hint="eastAsia" w:ascii="宋体" w:hAnsi="宋体" w:cs="宋体"/>
          <w:color w:val="auto"/>
          <w:sz w:val="24"/>
          <w:szCs w:val="28"/>
        </w:rPr>
        <w:t>的封面）侧面还需加盖骑缝章。</w:t>
      </w:r>
    </w:p>
    <w:p w14:paraId="3117739E">
      <w:pPr>
        <w:numPr>
          <w:ilvl w:val="0"/>
          <w:numId w:val="5"/>
        </w:num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响应文件应字迹清楚、内容齐全、不得涂改或增删。如有修改和增删，必须有供应商公章及法定代表人或其授权代表签字。</w:t>
      </w:r>
    </w:p>
    <w:p w14:paraId="090050D9">
      <w:pPr>
        <w:numPr>
          <w:ilvl w:val="0"/>
          <w:numId w:val="5"/>
        </w:num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因响应文件字迹潦草或表达不清所引起的不利后果由供应商承担。</w:t>
      </w:r>
    </w:p>
    <w:p w14:paraId="6347A65A">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5.4响应文件的密封</w:t>
      </w:r>
    </w:p>
    <w:p w14:paraId="0FAF9CC3">
      <w:pPr>
        <w:spacing w:line="360" w:lineRule="auto"/>
        <w:ind w:firstLine="480" w:firstLineChars="200"/>
        <w:jc w:val="left"/>
        <w:rPr>
          <w:rFonts w:ascii="宋体" w:hAnsi="宋体" w:cs="宋体"/>
          <w:color w:val="auto"/>
          <w:kern w:val="0"/>
          <w:sz w:val="24"/>
          <w:szCs w:val="28"/>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sz w:val="24"/>
          <w:szCs w:val="28"/>
        </w:rPr>
        <w:t>、响应文件正本、副本应分开封装在单独的封袋中（封袋不得有破损），且在封袋正面标明“正本”“副本”</w:t>
      </w:r>
      <w:r>
        <w:rPr>
          <w:rFonts w:hint="eastAsia" w:ascii="宋体" w:hAnsi="宋体" w:cs="宋体"/>
          <w:color w:val="auto"/>
          <w:sz w:val="24"/>
          <w:szCs w:val="28"/>
          <w:lang w:eastAsia="zh-CN"/>
        </w:rPr>
        <w:t>“</w:t>
      </w:r>
      <w:r>
        <w:rPr>
          <w:rFonts w:hint="eastAsia" w:ascii="宋体" w:hAnsi="宋体" w:cs="宋体"/>
          <w:color w:val="auto"/>
          <w:kern w:val="2"/>
          <w:sz w:val="24"/>
          <w:szCs w:val="24"/>
          <w:lang w:val="en-US" w:eastAsia="zh-CN" w:bidi="ar-SA"/>
        </w:rPr>
        <w:t>资格证明文件</w:t>
      </w:r>
      <w:r>
        <w:rPr>
          <w:rFonts w:hint="eastAsia" w:ascii="宋体" w:hAnsi="宋体" w:cs="宋体"/>
          <w:color w:val="auto"/>
          <w:sz w:val="24"/>
          <w:szCs w:val="28"/>
          <w:lang w:eastAsia="zh-CN"/>
        </w:rPr>
        <w:t>”</w:t>
      </w:r>
      <w:r>
        <w:rPr>
          <w:rFonts w:hint="eastAsia" w:ascii="宋体" w:hAnsi="宋体" w:eastAsia="宋体" w:cs="宋体"/>
          <w:color w:val="auto"/>
          <w:sz w:val="24"/>
          <w:szCs w:val="28"/>
        </w:rPr>
        <w:t>，电子版放置“正本”密封袋内。封袋应加贴封条，并在封线处加盖供应商鲜章，封袋正面要粘贴供应商全称、项目名称、编号等标识</w:t>
      </w:r>
      <w:r>
        <w:rPr>
          <w:rFonts w:hint="eastAsia" w:ascii="宋体" w:hAnsi="宋体" w:cs="宋体"/>
          <w:color w:val="auto"/>
          <w:sz w:val="24"/>
          <w:szCs w:val="28"/>
          <w:lang w:eastAsia="zh-CN"/>
        </w:rPr>
        <w:t>且</w:t>
      </w:r>
      <w:r>
        <w:rPr>
          <w:rFonts w:hint="eastAsia" w:ascii="宋体" w:hAnsi="宋体" w:eastAsia="宋体" w:cs="宋体"/>
          <w:color w:val="auto"/>
          <w:kern w:val="0"/>
          <w:sz w:val="24"/>
          <w:szCs w:val="28"/>
        </w:rPr>
        <w:t>响应文件袋上应加盖供应商公章，如果未按上述规定进行密封，供应商的响应文件有权被拒绝</w:t>
      </w:r>
      <w:r>
        <w:rPr>
          <w:rFonts w:hint="eastAsia" w:ascii="宋体" w:hAnsi="宋体" w:eastAsia="宋体" w:cs="宋体"/>
          <w:color w:val="auto"/>
          <w:sz w:val="24"/>
          <w:szCs w:val="28"/>
        </w:rPr>
        <w:t>。</w:t>
      </w:r>
    </w:p>
    <w:p w14:paraId="7C722B2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如果供应商未按上述要求密封及加写标记，误投或过早启封的响应文件，将自行承担其响应文件被视为无效响应文件的风险。</w:t>
      </w:r>
    </w:p>
    <w:p w14:paraId="6B49E153">
      <w:pPr>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5.5本次磋商只接受简体中文文字的响应文件；如响应文件中出现外文资料，必须配以中文译文。否则，由此引发的一切责任由供应商自负。</w:t>
      </w:r>
    </w:p>
    <w:p w14:paraId="78769497">
      <w:pPr>
        <w:widowControl/>
        <w:spacing w:line="360" w:lineRule="auto"/>
        <w:ind w:firstLine="480" w:firstLineChars="200"/>
        <w:rPr>
          <w:rFonts w:ascii="宋体" w:hAnsi="宋体" w:cs="宋体"/>
          <w:color w:val="auto"/>
          <w:kern w:val="0"/>
          <w:sz w:val="24"/>
          <w:szCs w:val="28"/>
        </w:rPr>
      </w:pPr>
      <w:r>
        <w:rPr>
          <w:rFonts w:hint="eastAsia" w:ascii="宋体" w:hAnsi="宋体" w:cs="宋体"/>
          <w:color w:val="auto"/>
          <w:kern w:val="0"/>
          <w:sz w:val="24"/>
          <w:szCs w:val="28"/>
        </w:rPr>
        <w:t>5.6拒绝接受以电话、传真、电子邮件形式的磋商。</w:t>
      </w:r>
    </w:p>
    <w:p w14:paraId="3A6895F5">
      <w:pPr>
        <w:widowControl/>
        <w:numPr>
          <w:ilvl w:val="0"/>
          <w:numId w:val="3"/>
        </w:numPr>
        <w:spacing w:line="360" w:lineRule="auto"/>
        <w:ind w:firstLine="643" w:firstLineChars="200"/>
        <w:jc w:val="center"/>
        <w:outlineLvl w:val="1"/>
        <w:rPr>
          <w:rFonts w:ascii="宋体" w:hAnsi="宋体" w:cs="宋体"/>
          <w:b/>
          <w:bCs/>
          <w:color w:val="auto"/>
          <w:kern w:val="0"/>
          <w:sz w:val="32"/>
          <w:szCs w:val="32"/>
        </w:rPr>
      </w:pPr>
      <w:bookmarkStart w:id="64" w:name="_Toc4747"/>
      <w:bookmarkStart w:id="65" w:name="_Toc536202305"/>
      <w:bookmarkStart w:id="66" w:name="_Toc3565"/>
      <w:bookmarkStart w:id="67" w:name="_Toc536429322"/>
      <w:bookmarkStart w:id="68" w:name="_Toc536202382"/>
      <w:bookmarkStart w:id="69" w:name="_Toc536429375"/>
      <w:bookmarkStart w:id="70" w:name="_Toc19543339"/>
      <w:bookmarkStart w:id="71" w:name="_Toc3736"/>
      <w:r>
        <w:rPr>
          <w:rFonts w:hint="eastAsia" w:ascii="宋体" w:hAnsi="宋体" w:cs="宋体"/>
          <w:b/>
          <w:bCs/>
          <w:color w:val="auto"/>
          <w:kern w:val="0"/>
          <w:sz w:val="32"/>
          <w:szCs w:val="32"/>
        </w:rPr>
        <w:t>响应文件的递交</w:t>
      </w:r>
      <w:bookmarkEnd w:id="64"/>
      <w:bookmarkEnd w:id="65"/>
      <w:bookmarkEnd w:id="66"/>
      <w:bookmarkEnd w:id="67"/>
      <w:bookmarkEnd w:id="68"/>
      <w:bookmarkEnd w:id="69"/>
      <w:bookmarkEnd w:id="70"/>
      <w:r>
        <w:rPr>
          <w:rFonts w:hint="eastAsia" w:ascii="宋体" w:hAnsi="宋体" w:cs="宋体"/>
          <w:b/>
          <w:bCs/>
          <w:color w:val="auto"/>
          <w:kern w:val="0"/>
          <w:sz w:val="32"/>
          <w:szCs w:val="32"/>
        </w:rPr>
        <w:t xml:space="preserve"> </w:t>
      </w:r>
    </w:p>
    <w:bookmarkEnd w:id="71"/>
    <w:p w14:paraId="5B26F291">
      <w:pPr>
        <w:pStyle w:val="4"/>
        <w:numPr>
          <w:ilvl w:val="0"/>
          <w:numId w:val="0"/>
        </w:numPr>
        <w:spacing w:line="360" w:lineRule="auto"/>
        <w:ind w:firstLine="482" w:firstLineChars="200"/>
        <w:rPr>
          <w:rFonts w:ascii="宋体" w:hAnsi="宋体" w:cs="宋体"/>
          <w:color w:val="auto"/>
          <w:sz w:val="24"/>
          <w:szCs w:val="28"/>
        </w:rPr>
      </w:pPr>
      <w:bookmarkStart w:id="72" w:name="_Toc3685"/>
      <w:bookmarkStart w:id="73" w:name="_Toc536202306"/>
      <w:r>
        <w:rPr>
          <w:rFonts w:hint="eastAsia" w:ascii="宋体" w:hAnsi="宋体" w:cs="宋体"/>
          <w:color w:val="auto"/>
          <w:sz w:val="24"/>
          <w:szCs w:val="28"/>
          <w:lang w:val="en-US" w:eastAsia="zh-CN"/>
        </w:rPr>
        <w:t>1.</w:t>
      </w:r>
      <w:r>
        <w:rPr>
          <w:rFonts w:hint="eastAsia" w:ascii="宋体" w:hAnsi="宋体" w:cs="宋体"/>
          <w:color w:val="auto"/>
          <w:sz w:val="24"/>
          <w:szCs w:val="28"/>
        </w:rPr>
        <w:t>响应文件递交</w:t>
      </w:r>
      <w:bookmarkEnd w:id="72"/>
      <w:bookmarkEnd w:id="73"/>
    </w:p>
    <w:p w14:paraId="4BA40816">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4E019329">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1.2代理机构在宣布递交响应文件时间截止之后，拒绝接收任何人送达、递交的响应文件及其他资料；</w:t>
      </w:r>
    </w:p>
    <w:p w14:paraId="2CE86C12">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1.3代理机构不接受邮寄的响应文件；</w:t>
      </w:r>
    </w:p>
    <w:p w14:paraId="61FE2E0E">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1.4无论供应商成交与否，其响应文件恕不退还。</w:t>
      </w:r>
    </w:p>
    <w:p w14:paraId="61BDE10B">
      <w:pPr>
        <w:pStyle w:val="4"/>
        <w:numPr>
          <w:ilvl w:val="0"/>
          <w:numId w:val="0"/>
        </w:numPr>
        <w:spacing w:line="360" w:lineRule="auto"/>
        <w:ind w:firstLine="482" w:firstLineChars="200"/>
        <w:rPr>
          <w:rFonts w:ascii="宋体" w:hAnsi="宋体" w:cs="宋体"/>
          <w:color w:val="auto"/>
          <w:sz w:val="24"/>
          <w:szCs w:val="28"/>
        </w:rPr>
      </w:pPr>
      <w:bookmarkStart w:id="74" w:name="_Toc536202307"/>
      <w:bookmarkStart w:id="75" w:name="_Toc12741"/>
      <w:r>
        <w:rPr>
          <w:rFonts w:hint="eastAsia" w:ascii="宋体" w:hAnsi="宋体" w:cs="宋体"/>
          <w:color w:val="auto"/>
          <w:sz w:val="24"/>
          <w:szCs w:val="28"/>
          <w:lang w:val="en-US" w:eastAsia="zh-CN"/>
        </w:rPr>
        <w:t>2.</w:t>
      </w:r>
      <w:r>
        <w:rPr>
          <w:rFonts w:hint="eastAsia" w:ascii="宋体" w:hAnsi="宋体" w:cs="宋体"/>
          <w:color w:val="auto"/>
          <w:sz w:val="24"/>
          <w:szCs w:val="28"/>
        </w:rPr>
        <w:t>响应文件的修改和撤回</w:t>
      </w:r>
      <w:bookmarkEnd w:id="74"/>
      <w:bookmarkEnd w:id="75"/>
    </w:p>
    <w:p w14:paraId="06EE6E3F">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2.1供应商在递交响应文件以后，在规定的投标截止时间之前</w:t>
      </w:r>
      <w:r>
        <w:rPr>
          <w:rFonts w:hint="eastAsia" w:ascii="宋体" w:hAnsi="宋体" w:cs="宋体"/>
          <w:color w:val="auto"/>
          <w:sz w:val="24"/>
          <w:szCs w:val="28"/>
          <w:lang w:eastAsia="zh-CN"/>
        </w:rPr>
        <w:t>，</w:t>
      </w:r>
      <w:r>
        <w:rPr>
          <w:rFonts w:hint="eastAsia" w:ascii="宋体" w:hAnsi="宋体" w:cs="宋体"/>
          <w:color w:val="auto"/>
          <w:sz w:val="24"/>
          <w:szCs w:val="28"/>
        </w:rPr>
        <w:t>可以书面形式补充、修改或撤回已递交的响应文件，并以书面形式通知招标代理机构。补充、修改的内容应当按磋商文件要求密封、签署、盖章，并作为响应文件的组成部分；</w:t>
      </w:r>
    </w:p>
    <w:p w14:paraId="24F49DEE">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1332FB35">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131EAE95">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2.4投标截止时间之后，供应商不得补充、修改响应文件。</w:t>
      </w:r>
    </w:p>
    <w:p w14:paraId="11E78F2B">
      <w:pPr>
        <w:widowControl/>
        <w:numPr>
          <w:ilvl w:val="0"/>
          <w:numId w:val="3"/>
        </w:numPr>
        <w:spacing w:line="360" w:lineRule="auto"/>
        <w:ind w:firstLine="643" w:firstLineChars="200"/>
        <w:jc w:val="center"/>
        <w:outlineLvl w:val="1"/>
        <w:rPr>
          <w:rFonts w:ascii="宋体" w:hAnsi="宋体" w:cs="宋体"/>
          <w:b/>
          <w:bCs/>
          <w:color w:val="auto"/>
          <w:kern w:val="0"/>
          <w:sz w:val="32"/>
          <w:szCs w:val="32"/>
        </w:rPr>
      </w:pPr>
      <w:bookmarkStart w:id="76" w:name="_Toc19543340"/>
      <w:bookmarkStart w:id="77" w:name="_Toc536429323"/>
      <w:bookmarkStart w:id="78" w:name="_Toc536429376"/>
      <w:bookmarkStart w:id="79" w:name="_Toc536202308"/>
      <w:bookmarkStart w:id="80" w:name="_Toc14415"/>
      <w:bookmarkStart w:id="81" w:name="_Toc175"/>
      <w:bookmarkStart w:id="82" w:name="_Toc536202383"/>
      <w:bookmarkStart w:id="83" w:name="_Toc27066"/>
      <w:r>
        <w:rPr>
          <w:rFonts w:hint="eastAsia" w:ascii="宋体" w:hAnsi="宋体" w:cs="宋体"/>
          <w:b/>
          <w:bCs/>
          <w:color w:val="auto"/>
          <w:kern w:val="0"/>
          <w:sz w:val="32"/>
          <w:szCs w:val="32"/>
        </w:rPr>
        <w:t>磋商、评审、定标</w:t>
      </w:r>
      <w:bookmarkEnd w:id="76"/>
      <w:bookmarkEnd w:id="77"/>
      <w:bookmarkEnd w:id="78"/>
      <w:bookmarkEnd w:id="79"/>
      <w:bookmarkEnd w:id="80"/>
      <w:bookmarkEnd w:id="81"/>
      <w:bookmarkEnd w:id="82"/>
      <w:bookmarkEnd w:id="83"/>
    </w:p>
    <w:p w14:paraId="2B93F24D">
      <w:pPr>
        <w:pStyle w:val="4"/>
        <w:numPr>
          <w:ilvl w:val="0"/>
          <w:numId w:val="0"/>
        </w:numPr>
        <w:spacing w:line="360" w:lineRule="auto"/>
        <w:ind w:firstLine="482" w:firstLineChars="200"/>
        <w:rPr>
          <w:rFonts w:ascii="宋体" w:hAnsi="宋体" w:cs="宋体"/>
          <w:color w:val="auto"/>
          <w:sz w:val="24"/>
          <w:szCs w:val="28"/>
        </w:rPr>
      </w:pPr>
      <w:bookmarkStart w:id="84" w:name="_Toc536202309"/>
      <w:r>
        <w:rPr>
          <w:rFonts w:hint="eastAsia" w:ascii="宋体" w:hAnsi="宋体" w:cs="宋体"/>
          <w:color w:val="auto"/>
          <w:sz w:val="24"/>
          <w:szCs w:val="28"/>
          <w:lang w:val="en-US" w:eastAsia="zh-CN"/>
        </w:rPr>
        <w:t>1.</w:t>
      </w:r>
      <w:r>
        <w:rPr>
          <w:rFonts w:hint="eastAsia" w:ascii="宋体" w:hAnsi="宋体" w:cs="宋体"/>
          <w:color w:val="auto"/>
          <w:sz w:val="24"/>
          <w:szCs w:val="28"/>
        </w:rPr>
        <w:t>磋商</w:t>
      </w:r>
      <w:bookmarkEnd w:id="84"/>
    </w:p>
    <w:p w14:paraId="7F50D631">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1.1采购代理机构按磋商公告中规定的时间和地点接收供应商递交的响应文件，主持磋商会议，邀请供应商代表及采购人代表参加。</w:t>
      </w:r>
      <w:r>
        <w:rPr>
          <w:rFonts w:hint="eastAsia" w:ascii="宋体" w:hAnsi="宋体" w:cs="宋体"/>
          <w:color w:val="auto"/>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5E988838">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1.2磋商时，当众查验</w:t>
      </w:r>
      <w:r>
        <w:rPr>
          <w:rFonts w:hint="eastAsia" w:ascii="宋体" w:hAnsi="宋体" w:cs="宋体"/>
          <w:color w:val="auto"/>
          <w:sz w:val="24"/>
          <w:szCs w:val="28"/>
          <w:lang w:eastAsia="zh-CN"/>
        </w:rPr>
        <w:t>响应文件</w:t>
      </w:r>
      <w:r>
        <w:rPr>
          <w:rFonts w:hint="eastAsia" w:ascii="宋体" w:hAnsi="宋体" w:cs="宋体"/>
          <w:color w:val="auto"/>
          <w:sz w:val="24"/>
          <w:szCs w:val="28"/>
        </w:rPr>
        <w:t>密封情况，由投标人或者其推选的代表检查</w:t>
      </w:r>
      <w:r>
        <w:rPr>
          <w:rFonts w:hint="eastAsia" w:ascii="宋体" w:hAnsi="宋体" w:cs="宋体"/>
          <w:color w:val="auto"/>
          <w:sz w:val="24"/>
          <w:szCs w:val="28"/>
          <w:lang w:eastAsia="zh-CN"/>
        </w:rPr>
        <w:t>响应文件</w:t>
      </w:r>
      <w:r>
        <w:rPr>
          <w:rFonts w:hint="eastAsia" w:ascii="宋体" w:hAnsi="宋体" w:cs="宋体"/>
          <w:color w:val="auto"/>
          <w:sz w:val="24"/>
          <w:szCs w:val="28"/>
        </w:rPr>
        <w:t>的密封情况，以确认各投标人的</w:t>
      </w:r>
      <w:r>
        <w:rPr>
          <w:rFonts w:hint="eastAsia" w:ascii="宋体" w:hAnsi="宋体" w:cs="宋体"/>
          <w:color w:val="auto"/>
          <w:sz w:val="24"/>
          <w:szCs w:val="28"/>
          <w:lang w:eastAsia="zh-CN"/>
        </w:rPr>
        <w:t>响应文件</w:t>
      </w:r>
      <w:r>
        <w:rPr>
          <w:rFonts w:hint="eastAsia" w:ascii="宋体" w:hAnsi="宋体" w:cs="宋体"/>
          <w:color w:val="auto"/>
          <w:sz w:val="24"/>
          <w:szCs w:val="28"/>
        </w:rPr>
        <w:t>密封情况是否与递交时一致，没有被提前启封等异常情况。</w:t>
      </w:r>
    </w:p>
    <w:p w14:paraId="0A429FF5">
      <w:pPr>
        <w:overflowPunct w:val="0"/>
        <w:adjustRightInd w:val="0"/>
        <w:snapToGrid w:val="0"/>
        <w:spacing w:line="360" w:lineRule="auto"/>
        <w:ind w:firstLine="600" w:firstLineChars="250"/>
        <w:rPr>
          <w:rFonts w:ascii="宋体" w:hAnsi="宋体" w:cs="宋体"/>
          <w:color w:val="auto"/>
          <w:sz w:val="24"/>
          <w:szCs w:val="24"/>
        </w:rPr>
      </w:pPr>
      <w:r>
        <w:rPr>
          <w:rFonts w:hint="eastAsia" w:ascii="宋体" w:hAnsi="宋体" w:cs="宋体"/>
          <w:color w:val="auto"/>
          <w:sz w:val="24"/>
          <w:szCs w:val="28"/>
        </w:rPr>
        <w:t>1.3经确认无误后，</w:t>
      </w:r>
      <w:r>
        <w:rPr>
          <w:rFonts w:hint="eastAsia" w:ascii="宋体" w:hAnsi="宋体" w:cs="宋体"/>
          <w:color w:val="auto"/>
          <w:sz w:val="24"/>
          <w:szCs w:val="24"/>
        </w:rPr>
        <w:t>对密封合格的</w:t>
      </w:r>
      <w:r>
        <w:rPr>
          <w:rFonts w:hint="eastAsia" w:ascii="宋体" w:hAnsi="宋体" w:cs="宋体"/>
          <w:color w:val="auto"/>
          <w:sz w:val="24"/>
          <w:szCs w:val="24"/>
          <w:lang w:eastAsia="zh-CN"/>
        </w:rPr>
        <w:t>响应文件</w:t>
      </w:r>
      <w:r>
        <w:rPr>
          <w:rFonts w:hint="eastAsia" w:ascii="宋体" w:hAnsi="宋体" w:cs="宋体"/>
          <w:color w:val="auto"/>
          <w:sz w:val="24"/>
          <w:szCs w:val="24"/>
        </w:rPr>
        <w:t>由代理机构工作人员现场拆封开启，密封不合格的</w:t>
      </w:r>
      <w:r>
        <w:rPr>
          <w:rFonts w:hint="eastAsia" w:ascii="宋体" w:hAnsi="宋体" w:cs="宋体"/>
          <w:color w:val="auto"/>
          <w:sz w:val="24"/>
          <w:szCs w:val="24"/>
          <w:lang w:eastAsia="zh-CN"/>
        </w:rPr>
        <w:t>响应文件</w:t>
      </w:r>
      <w:r>
        <w:rPr>
          <w:rFonts w:hint="eastAsia" w:ascii="宋体" w:hAnsi="宋体" w:cs="宋体"/>
          <w:color w:val="auto"/>
          <w:sz w:val="24"/>
          <w:szCs w:val="24"/>
        </w:rPr>
        <w:t>以及按照“响应文件的修改和撤回”规定，提交了可接受的“撤回”通知书的</w:t>
      </w:r>
      <w:r>
        <w:rPr>
          <w:rFonts w:hint="eastAsia" w:ascii="宋体" w:hAnsi="宋体" w:cs="宋体"/>
          <w:color w:val="auto"/>
          <w:sz w:val="24"/>
          <w:szCs w:val="24"/>
          <w:lang w:eastAsia="zh-CN"/>
        </w:rPr>
        <w:t>响应文件</w:t>
      </w:r>
      <w:r>
        <w:rPr>
          <w:rFonts w:hint="eastAsia" w:ascii="宋体" w:hAnsi="宋体" w:cs="宋体"/>
          <w:color w:val="auto"/>
          <w:sz w:val="24"/>
          <w:szCs w:val="24"/>
        </w:rPr>
        <w:t>将不予拆封。</w:t>
      </w:r>
    </w:p>
    <w:p w14:paraId="0AC56282">
      <w:pPr>
        <w:spacing w:line="360" w:lineRule="auto"/>
        <w:ind w:firstLine="480" w:firstLineChars="200"/>
        <w:rPr>
          <w:rFonts w:ascii="宋体" w:hAnsi="宋体" w:cs="宋体"/>
          <w:color w:val="auto"/>
          <w:sz w:val="24"/>
          <w:szCs w:val="28"/>
        </w:rPr>
      </w:pPr>
      <w:r>
        <w:rPr>
          <w:rFonts w:hint="eastAsia" w:ascii="宋体" w:hAnsi="宋体" w:cs="宋体"/>
          <w:color w:val="auto"/>
          <w:sz w:val="24"/>
          <w:szCs w:val="24"/>
        </w:rPr>
        <w:t>1.4</w:t>
      </w:r>
      <w:r>
        <w:rPr>
          <w:rFonts w:hint="eastAsia" w:ascii="宋体" w:hAnsi="宋体" w:cs="宋体"/>
          <w:color w:val="auto"/>
          <w:sz w:val="24"/>
          <w:szCs w:val="24"/>
          <w:lang w:eastAsia="zh-CN"/>
        </w:rPr>
        <w:t>响应文件</w:t>
      </w:r>
      <w:r>
        <w:rPr>
          <w:rFonts w:hint="eastAsia" w:ascii="宋体" w:hAnsi="宋体" w:cs="宋体"/>
          <w:color w:val="auto"/>
          <w:sz w:val="24"/>
          <w:szCs w:val="24"/>
        </w:rPr>
        <w:t>拆封后，宣读投标人名称</w:t>
      </w:r>
      <w:r>
        <w:rPr>
          <w:rFonts w:hint="eastAsia" w:ascii="宋体" w:hAnsi="宋体" w:cs="宋体"/>
          <w:bCs/>
          <w:color w:val="auto"/>
          <w:sz w:val="24"/>
          <w:szCs w:val="24"/>
        </w:rPr>
        <w:t>。</w:t>
      </w:r>
    </w:p>
    <w:p w14:paraId="627BE15D">
      <w:pPr>
        <w:pStyle w:val="4"/>
        <w:spacing w:line="360" w:lineRule="auto"/>
        <w:ind w:firstLine="482" w:firstLineChars="200"/>
        <w:rPr>
          <w:rFonts w:ascii="宋体" w:hAnsi="宋体" w:cs="宋体"/>
          <w:color w:val="auto"/>
          <w:sz w:val="24"/>
          <w:szCs w:val="28"/>
        </w:rPr>
      </w:pPr>
      <w:bookmarkStart w:id="85" w:name="_Toc536202310"/>
      <w:r>
        <w:rPr>
          <w:rFonts w:hint="eastAsia" w:ascii="宋体" w:hAnsi="宋体" w:cs="宋体"/>
          <w:color w:val="auto"/>
          <w:sz w:val="24"/>
          <w:szCs w:val="28"/>
          <w:lang w:eastAsia="zh-CN"/>
        </w:rPr>
        <w:t>2.</w:t>
      </w:r>
      <w:r>
        <w:rPr>
          <w:rFonts w:hint="eastAsia" w:ascii="宋体" w:hAnsi="宋体" w:cs="宋体"/>
          <w:color w:val="auto"/>
          <w:sz w:val="24"/>
          <w:szCs w:val="28"/>
        </w:rPr>
        <w:t>磋商小组</w:t>
      </w:r>
      <w:bookmarkEnd w:id="85"/>
    </w:p>
    <w:p w14:paraId="4F50F08C">
      <w:pPr>
        <w:spacing w:line="360" w:lineRule="auto"/>
        <w:ind w:firstLine="480" w:firstLineChars="200"/>
        <w:rPr>
          <w:rFonts w:ascii="宋体" w:hAnsi="宋体" w:cs="宋体"/>
          <w:color w:val="auto"/>
          <w:sz w:val="24"/>
        </w:rPr>
      </w:pPr>
      <w:bookmarkStart w:id="86" w:name="_Toc386129876"/>
      <w:bookmarkStart w:id="87" w:name="_Toc536202311"/>
      <w:bookmarkStart w:id="88" w:name="_Toc28085"/>
      <w:bookmarkStart w:id="89" w:name="_Toc27940"/>
      <w:bookmarkStart w:id="90" w:name="_Toc385958808"/>
      <w:r>
        <w:rPr>
          <w:rFonts w:hint="eastAsia" w:ascii="宋体" w:hAnsi="宋体" w:cs="宋体"/>
          <w:color w:val="auto"/>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E7DC7DF">
      <w:pPr>
        <w:spacing w:line="360" w:lineRule="auto"/>
        <w:ind w:firstLine="458" w:firstLineChars="191"/>
        <w:rPr>
          <w:rFonts w:ascii="宋体" w:hAnsi="宋体" w:cs="宋体"/>
          <w:color w:val="auto"/>
          <w:sz w:val="24"/>
        </w:rPr>
      </w:pPr>
      <w:r>
        <w:rPr>
          <w:rFonts w:hint="eastAsia" w:ascii="宋体" w:hAnsi="宋体" w:cs="宋体"/>
          <w:color w:val="auto"/>
          <w:sz w:val="24"/>
        </w:rPr>
        <w:t>（1）要严格遵守政府采购相关法律制度，依法履行各自职责，公正、客观、审慎地组织和参与评审工作；</w:t>
      </w:r>
    </w:p>
    <w:p w14:paraId="588F86F7">
      <w:pPr>
        <w:tabs>
          <w:tab w:val="left" w:pos="1200"/>
        </w:tabs>
        <w:spacing w:line="360" w:lineRule="auto"/>
        <w:ind w:firstLine="480" w:firstLineChars="200"/>
        <w:rPr>
          <w:rFonts w:ascii="宋体" w:hAnsi="宋体" w:cs="宋体"/>
          <w:color w:val="auto"/>
          <w:sz w:val="24"/>
        </w:rPr>
      </w:pPr>
      <w:r>
        <w:rPr>
          <w:rFonts w:hint="eastAsia" w:ascii="宋体" w:hAnsi="宋体" w:cs="宋体"/>
          <w:color w:val="auto"/>
          <w:sz w:val="24"/>
        </w:rPr>
        <w:t>（2）对所有响应文件逐一进行资格性、符合性审查，并</w:t>
      </w:r>
      <w:r>
        <w:rPr>
          <w:rFonts w:hint="eastAsia" w:ascii="宋体" w:hAnsi="宋体" w:cs="宋体"/>
          <w:color w:val="auto"/>
          <w:sz w:val="24"/>
          <w:lang w:eastAsia="zh-CN"/>
        </w:rPr>
        <w:t>作出评价</w:t>
      </w:r>
      <w:r>
        <w:rPr>
          <w:rFonts w:hint="eastAsia" w:ascii="宋体" w:hAnsi="宋体" w:cs="宋体"/>
          <w:color w:val="auto"/>
          <w:sz w:val="24"/>
        </w:rPr>
        <w:t>；</w:t>
      </w:r>
    </w:p>
    <w:p w14:paraId="5341979C">
      <w:pPr>
        <w:tabs>
          <w:tab w:val="left" w:pos="1200"/>
        </w:tabs>
        <w:spacing w:line="360" w:lineRule="auto"/>
        <w:ind w:firstLine="458" w:firstLineChars="191"/>
        <w:rPr>
          <w:rFonts w:ascii="宋体" w:hAnsi="宋体" w:cs="宋体"/>
          <w:color w:val="auto"/>
          <w:sz w:val="24"/>
        </w:rPr>
      </w:pPr>
      <w:r>
        <w:rPr>
          <w:rFonts w:hint="eastAsia" w:ascii="宋体" w:hAnsi="宋体" w:cs="宋体"/>
          <w:color w:val="auto"/>
          <w:sz w:val="24"/>
        </w:rPr>
        <w:t>（3）按磋商文件规定的评审方法和标准，进行比较和评价；对供应商的价格分等客观评分项的评分应当一致；</w:t>
      </w:r>
    </w:p>
    <w:p w14:paraId="0C93E100">
      <w:pPr>
        <w:spacing w:line="360" w:lineRule="auto"/>
        <w:ind w:firstLine="480" w:firstLineChars="200"/>
        <w:rPr>
          <w:rFonts w:ascii="宋体" w:hAnsi="宋体" w:cs="宋体"/>
          <w:color w:val="auto"/>
          <w:sz w:val="24"/>
        </w:rPr>
      </w:pPr>
      <w:r>
        <w:rPr>
          <w:rFonts w:hint="eastAsia" w:ascii="宋体" w:hAnsi="宋体" w:cs="宋体"/>
          <w:color w:val="auto"/>
          <w:sz w:val="24"/>
        </w:rPr>
        <w:t>（4）要求供应商对响应文件有关事项作出解释或澄清；</w:t>
      </w:r>
    </w:p>
    <w:p w14:paraId="6568D296">
      <w:pPr>
        <w:spacing w:line="360" w:lineRule="auto"/>
        <w:ind w:firstLine="480" w:firstLineChars="200"/>
        <w:rPr>
          <w:rFonts w:ascii="宋体" w:hAnsi="宋体" w:cs="宋体"/>
          <w:color w:val="auto"/>
          <w:sz w:val="24"/>
        </w:rPr>
      </w:pPr>
      <w:r>
        <w:rPr>
          <w:rFonts w:hint="eastAsia" w:ascii="宋体" w:hAnsi="宋体" w:cs="宋体"/>
          <w:color w:val="auto"/>
          <w:sz w:val="24"/>
        </w:rPr>
        <w:t>（5）要依法独立评审，按照磋商文件的要求和评标标准进行评标，推荐成交候选供应商名单，对评审意见承担个人责任；</w:t>
      </w:r>
    </w:p>
    <w:p w14:paraId="1B35110D">
      <w:pPr>
        <w:spacing w:line="360" w:lineRule="auto"/>
        <w:ind w:firstLine="480" w:firstLineChars="200"/>
        <w:rPr>
          <w:rFonts w:ascii="宋体" w:hAnsi="宋体" w:cs="宋体"/>
          <w:color w:val="auto"/>
          <w:sz w:val="24"/>
        </w:rPr>
      </w:pPr>
      <w:r>
        <w:rPr>
          <w:rFonts w:hint="eastAsia" w:ascii="宋体" w:hAnsi="宋体" w:cs="宋体"/>
          <w:color w:val="auto"/>
          <w:sz w:val="24"/>
        </w:rPr>
        <w:t>（6）对需要共同认定的事项存在争议的，按照少数服从多数的原则</w:t>
      </w:r>
      <w:r>
        <w:rPr>
          <w:rFonts w:hint="eastAsia" w:ascii="宋体" w:hAnsi="宋体" w:cs="宋体"/>
          <w:color w:val="auto"/>
          <w:sz w:val="24"/>
          <w:lang w:eastAsia="zh-CN"/>
        </w:rPr>
        <w:t>作出</w:t>
      </w:r>
      <w:r>
        <w:rPr>
          <w:rFonts w:hint="eastAsia" w:ascii="宋体" w:hAnsi="宋体" w:cs="宋体"/>
          <w:color w:val="auto"/>
          <w:sz w:val="24"/>
        </w:rPr>
        <w:t xml:space="preserve">结论。持不同意见的磋商小组成员应当在评审报告上签署不同意见并说明理由，否则视为同意； </w:t>
      </w:r>
    </w:p>
    <w:p w14:paraId="651040A2">
      <w:pPr>
        <w:spacing w:line="360" w:lineRule="auto"/>
        <w:ind w:firstLine="480" w:firstLineChars="200"/>
        <w:rPr>
          <w:rFonts w:ascii="宋体" w:hAnsi="宋体" w:cs="宋体"/>
          <w:color w:val="auto"/>
          <w:sz w:val="24"/>
        </w:rPr>
      </w:pPr>
      <w:r>
        <w:rPr>
          <w:rFonts w:hint="eastAsia" w:ascii="宋体" w:hAnsi="宋体" w:cs="宋体"/>
          <w:color w:val="auto"/>
          <w:sz w:val="24"/>
        </w:rPr>
        <w:t>（7）对评审情况以及在评审过程中获悉的国家秘密、商业秘密负有保密责任；</w:t>
      </w:r>
    </w:p>
    <w:p w14:paraId="1059A56C">
      <w:pPr>
        <w:spacing w:line="360" w:lineRule="auto"/>
        <w:ind w:firstLine="480" w:firstLineChars="200"/>
        <w:rPr>
          <w:rFonts w:ascii="宋体" w:hAnsi="宋体" w:cs="宋体"/>
          <w:color w:val="auto"/>
          <w:sz w:val="24"/>
        </w:rPr>
      </w:pPr>
      <w:r>
        <w:rPr>
          <w:rFonts w:hint="eastAsia" w:ascii="宋体" w:hAnsi="宋体" w:cs="宋体"/>
          <w:color w:val="auto"/>
          <w:sz w:val="24"/>
        </w:rPr>
        <w:t>（8） 配合财政部门的投诉处理工作；</w:t>
      </w:r>
    </w:p>
    <w:p w14:paraId="536DAEA8">
      <w:pPr>
        <w:spacing w:line="360" w:lineRule="auto"/>
        <w:ind w:firstLine="480" w:firstLineChars="200"/>
        <w:rPr>
          <w:rFonts w:ascii="宋体" w:hAnsi="宋体" w:cs="宋体"/>
          <w:color w:val="auto"/>
          <w:sz w:val="24"/>
        </w:rPr>
      </w:pPr>
      <w:r>
        <w:rPr>
          <w:rFonts w:hint="eastAsia" w:ascii="宋体" w:hAnsi="宋体" w:cs="宋体"/>
          <w:color w:val="auto"/>
          <w:sz w:val="24"/>
        </w:rPr>
        <w:t>（9）配合采购人、采购代理机构答复供应商提出的质疑。</w:t>
      </w:r>
    </w:p>
    <w:bookmarkEnd w:id="86"/>
    <w:bookmarkEnd w:id="87"/>
    <w:bookmarkEnd w:id="88"/>
    <w:bookmarkEnd w:id="89"/>
    <w:bookmarkEnd w:id="90"/>
    <w:p w14:paraId="25D0D947">
      <w:pPr>
        <w:spacing w:line="360" w:lineRule="auto"/>
        <w:ind w:firstLine="482" w:firstLineChars="200"/>
        <w:rPr>
          <w:rFonts w:ascii="宋体" w:hAnsi="宋体" w:cs="宋体"/>
          <w:b/>
          <w:color w:val="auto"/>
          <w:sz w:val="24"/>
        </w:rPr>
      </w:pPr>
      <w:bookmarkStart w:id="91" w:name="_Toc536202313"/>
      <w:r>
        <w:rPr>
          <w:rFonts w:hint="eastAsia" w:ascii="宋体" w:hAnsi="宋体" w:cs="宋体"/>
          <w:b/>
          <w:color w:val="auto"/>
          <w:sz w:val="24"/>
          <w:lang w:eastAsia="zh-CN"/>
        </w:rPr>
        <w:t>3.</w:t>
      </w:r>
      <w:r>
        <w:rPr>
          <w:rFonts w:hint="eastAsia" w:ascii="宋体" w:hAnsi="宋体" w:cs="宋体"/>
          <w:b/>
          <w:color w:val="auto"/>
          <w:sz w:val="24"/>
        </w:rPr>
        <w:t>响应文件的初审</w:t>
      </w:r>
    </w:p>
    <w:p w14:paraId="77403871">
      <w:pPr>
        <w:spacing w:line="360" w:lineRule="auto"/>
        <w:ind w:firstLine="360" w:firstLineChars="150"/>
        <w:rPr>
          <w:rFonts w:hint="eastAsia" w:ascii="宋体" w:hAnsi="宋体" w:cs="宋体"/>
          <w:color w:val="auto"/>
          <w:sz w:val="24"/>
        </w:rPr>
      </w:pPr>
      <w:r>
        <w:rPr>
          <w:rFonts w:hint="eastAsia" w:ascii="宋体" w:hAnsi="宋体" w:cs="宋体"/>
          <w:color w:val="auto"/>
          <w:sz w:val="24"/>
        </w:rPr>
        <w:t>（1）初审分为资格性审查和符合性审查。</w:t>
      </w:r>
    </w:p>
    <w:p w14:paraId="29DF2AE2">
      <w:pPr>
        <w:spacing w:line="360" w:lineRule="auto"/>
        <w:ind w:firstLine="360" w:firstLineChars="150"/>
        <w:rPr>
          <w:rFonts w:ascii="宋体" w:hAnsi="宋体" w:cs="宋体"/>
          <w:color w:val="auto"/>
          <w:sz w:val="24"/>
        </w:rPr>
      </w:pPr>
      <w:r>
        <w:rPr>
          <w:rFonts w:hint="eastAsia" w:ascii="宋体" w:hAnsi="宋体" w:cs="宋体"/>
          <w:color w:val="auto"/>
          <w:sz w:val="24"/>
        </w:rPr>
        <w:t>（2）资格性审查：依据磋商文件</w:t>
      </w:r>
      <w:r>
        <w:rPr>
          <w:rFonts w:hint="eastAsia" w:ascii="宋体" w:hAnsi="宋体" w:cs="宋体"/>
          <w:color w:val="auto"/>
          <w:sz w:val="24"/>
          <w:lang w:val="en-US" w:eastAsia="zh-CN"/>
        </w:rPr>
        <w:t>须知前附表中第9项</w:t>
      </w:r>
      <w:r>
        <w:rPr>
          <w:rFonts w:asciiTheme="minorEastAsia" w:hAnsiTheme="minorEastAsia" w:eastAsiaTheme="minorEastAsia"/>
          <w:color w:val="auto"/>
          <w:sz w:val="24"/>
          <w:szCs w:val="24"/>
        </w:rPr>
        <w:t>投标人</w:t>
      </w:r>
      <w:r>
        <w:rPr>
          <w:rFonts w:hint="eastAsia" w:asciiTheme="minorEastAsia" w:hAnsiTheme="minorEastAsia" w:eastAsiaTheme="minorEastAsia"/>
          <w:color w:val="auto"/>
          <w:sz w:val="24"/>
          <w:szCs w:val="24"/>
          <w:lang w:val="en-US" w:eastAsia="zh-CN"/>
        </w:rPr>
        <w:t>资格要求</w:t>
      </w:r>
      <w:r>
        <w:rPr>
          <w:rFonts w:hint="eastAsia" w:ascii="宋体" w:hAnsi="宋体" w:cs="宋体"/>
          <w:color w:val="auto"/>
          <w:sz w:val="24"/>
        </w:rPr>
        <w:t>，对供应商的资格证明文件进行审查，以确定供应商是否具备磋商资格。</w:t>
      </w:r>
    </w:p>
    <w:p w14:paraId="15768FE8">
      <w:pPr>
        <w:spacing w:line="360" w:lineRule="auto"/>
        <w:ind w:firstLine="360" w:firstLineChars="150"/>
        <w:rPr>
          <w:rFonts w:hint="default" w:ascii="宋体" w:hAnsi="宋体" w:eastAsia="宋体" w:cs="宋体"/>
          <w:color w:val="auto"/>
          <w:sz w:val="24"/>
          <w:lang w:val="en-US" w:eastAsia="zh-CN"/>
        </w:rPr>
      </w:pPr>
      <w:r>
        <w:rPr>
          <w:rFonts w:hint="eastAsia" w:ascii="宋体" w:hAnsi="宋体" w:cs="宋体"/>
          <w:color w:val="auto"/>
          <w:sz w:val="24"/>
        </w:rPr>
        <w:t>（3）符合性审查：依据磋商文件规定，从响应文件的有效性、完整性和对磋商文件的响应程度进行审查。</w:t>
      </w:r>
    </w:p>
    <w:tbl>
      <w:tblPr>
        <w:tblStyle w:val="3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4A77A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154BA97">
            <w:pPr>
              <w:keepNext w:val="0"/>
              <w:keepLines w:val="0"/>
              <w:widowControl/>
              <w:suppressLineNumbers w:val="0"/>
              <w:spacing w:before="0" w:beforeAutospacing="0" w:after="0" w:afterAutospacing="0" w:line="288" w:lineRule="auto"/>
              <w:ind w:left="0" w:right="0"/>
              <w:rPr>
                <w:rFonts w:hint="default" w:ascii="宋体" w:hAnsi="宋体" w:cs="宋体"/>
                <w:b/>
                <w:bCs/>
                <w:color w:val="auto"/>
                <w:kern w:val="0"/>
                <w:sz w:val="24"/>
                <w:szCs w:val="24"/>
              </w:rPr>
            </w:pPr>
            <w:r>
              <w:rPr>
                <w:rFonts w:hint="eastAsia" w:ascii="宋体" w:hAnsi="宋体" w:cs="宋体"/>
                <w:b/>
                <w:bCs/>
                <w:color w:val="auto"/>
                <w:kern w:val="0"/>
                <w:sz w:val="24"/>
                <w:szCs w:val="24"/>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7768D45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E942FEA">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6F3C725">
            <w:pPr>
              <w:keepNext w:val="0"/>
              <w:keepLines w:val="0"/>
              <w:widowControl/>
              <w:suppressLineNumbers w:val="0"/>
              <w:spacing w:before="0" w:beforeAutospacing="0" w:after="0" w:afterAutospacing="0" w:line="288" w:lineRule="auto"/>
              <w:ind w:left="0" w:right="0"/>
              <w:rPr>
                <w:rFonts w:hint="default" w:ascii="宋体" w:hAnsi="宋体" w:cs="宋体"/>
                <w:b/>
                <w:bCs/>
                <w:color w:val="auto"/>
                <w:kern w:val="0"/>
                <w:sz w:val="24"/>
                <w:szCs w:val="24"/>
              </w:rPr>
            </w:pPr>
            <w:r>
              <w:rPr>
                <w:rFonts w:hint="eastAsia" w:ascii="宋体" w:hAnsi="宋体" w:cs="宋体"/>
                <w:b/>
                <w:bCs/>
                <w:color w:val="auto"/>
                <w:kern w:val="0"/>
                <w:sz w:val="24"/>
                <w:szCs w:val="24"/>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4B44E36">
            <w:pPr>
              <w:keepNext w:val="0"/>
              <w:keepLines w:val="0"/>
              <w:widowControl/>
              <w:suppressLineNumbers w:val="0"/>
              <w:spacing w:before="0" w:beforeAutospacing="0" w:after="0" w:afterAutospacing="0" w:line="288" w:lineRule="auto"/>
              <w:ind w:left="0" w:right="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未通过原因</w:t>
            </w:r>
          </w:p>
        </w:tc>
      </w:tr>
      <w:tr w14:paraId="1D7FB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7488748A">
            <w:pPr>
              <w:keepNext w:val="0"/>
              <w:keepLines w:val="0"/>
              <w:widowControl/>
              <w:suppressLineNumbers w:val="0"/>
              <w:spacing w:before="0" w:beforeAutospacing="0" w:after="0" w:afterAutospacing="0" w:line="288" w:lineRule="auto"/>
              <w:ind w:left="0" w:right="0" w:firstLine="200" w:firstLineChars="0"/>
              <w:rPr>
                <w:rFonts w:hint="eastAsia" w:ascii="宋体" w:hAnsi="宋体" w:cs="宋体"/>
                <w:bCs/>
                <w:color w:val="auto"/>
                <w:kern w:val="0"/>
                <w:sz w:val="24"/>
                <w:szCs w:val="24"/>
                <w:lang w:val="en-US" w:eastAsia="zh-CN"/>
              </w:rPr>
            </w:pPr>
            <w:r>
              <w:rPr>
                <w:rFonts w:hint="eastAsia" w:ascii="宋体" w:hAnsi="宋体" w:cs="宋体"/>
                <w:bCs/>
                <w:color w:val="auto"/>
                <w:kern w:val="0"/>
                <w:sz w:val="24"/>
                <w:szCs w:val="24"/>
              </w:rPr>
              <w:t>1</w:t>
            </w:r>
          </w:p>
        </w:tc>
        <w:tc>
          <w:tcPr>
            <w:tcW w:w="2359" w:type="dxa"/>
            <w:tcBorders>
              <w:top w:val="single" w:color="auto" w:sz="4" w:space="0"/>
              <w:left w:val="single" w:color="auto" w:sz="4" w:space="0"/>
              <w:bottom w:val="single" w:color="auto" w:sz="4" w:space="0"/>
              <w:right w:val="single" w:color="auto" w:sz="4" w:space="0"/>
            </w:tcBorders>
            <w:vAlign w:val="top"/>
          </w:tcPr>
          <w:p w14:paraId="0A5D55EE">
            <w:pPr>
              <w:keepNext w:val="0"/>
              <w:keepLines w:val="0"/>
              <w:widowControl/>
              <w:suppressLineNumbers w:val="0"/>
              <w:spacing w:before="0" w:beforeAutospacing="0" w:after="0" w:afterAutospacing="0" w:line="288" w:lineRule="auto"/>
              <w:ind w:left="0" w:right="0" w:firstLine="200" w:firstLineChars="0"/>
              <w:rPr>
                <w:rFonts w:hint="eastAsia"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56D983A9">
            <w:pPr>
              <w:keepNext w:val="0"/>
              <w:keepLines w:val="0"/>
              <w:widowControl/>
              <w:suppressLineNumbers w:val="0"/>
              <w:spacing w:before="0" w:beforeAutospacing="0" w:after="0" w:afterAutospacing="0" w:line="288" w:lineRule="auto"/>
              <w:ind w:left="0" w:right="0"/>
              <w:jc w:val="left"/>
              <w:rPr>
                <w:rFonts w:hint="eastAsia" w:ascii="宋体" w:hAnsi="宋体" w:cs="宋体"/>
                <w:bCs/>
                <w:color w:val="auto"/>
                <w:kern w:val="0"/>
                <w:sz w:val="24"/>
                <w:szCs w:val="24"/>
              </w:rPr>
            </w:pPr>
            <w:r>
              <w:rPr>
                <w:rFonts w:hint="eastAsia" w:ascii="宋体" w:hAnsi="宋体" w:cs="宋体"/>
                <w:color w:val="auto"/>
                <w:sz w:val="24"/>
                <w:szCs w:val="24"/>
              </w:rPr>
              <w:t>均符合</w:t>
            </w:r>
            <w:r>
              <w:rPr>
                <w:rFonts w:hint="eastAsia" w:ascii="宋体" w:hAnsi="宋体" w:cs="宋体"/>
                <w:color w:val="auto"/>
                <w:sz w:val="24"/>
                <w:szCs w:val="24"/>
                <w:lang w:eastAsia="zh-CN"/>
              </w:rPr>
              <w:t>磋商文件</w:t>
            </w:r>
            <w:r>
              <w:rPr>
                <w:rFonts w:hint="eastAsia" w:ascii="宋体" w:hAnsi="宋体" w:cs="宋体"/>
                <w:color w:val="auto"/>
                <w:sz w:val="24"/>
                <w:szCs w:val="24"/>
              </w:rPr>
              <w:t>要求。</w:t>
            </w:r>
          </w:p>
        </w:tc>
        <w:tc>
          <w:tcPr>
            <w:tcW w:w="1002" w:type="dxa"/>
            <w:tcBorders>
              <w:top w:val="single" w:color="auto" w:sz="4" w:space="0"/>
              <w:left w:val="single" w:color="auto" w:sz="4" w:space="0"/>
              <w:bottom w:val="single" w:color="auto" w:sz="4" w:space="0"/>
              <w:right w:val="single" w:color="auto" w:sz="4" w:space="0"/>
            </w:tcBorders>
          </w:tcPr>
          <w:p w14:paraId="1290F6D3">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3F1688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C56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DED319B">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val="en-US" w:eastAsia="zh-CN"/>
              </w:rPr>
              <w:t>2</w:t>
            </w:r>
          </w:p>
        </w:tc>
        <w:tc>
          <w:tcPr>
            <w:tcW w:w="2359" w:type="dxa"/>
            <w:tcBorders>
              <w:top w:val="single" w:color="auto" w:sz="4" w:space="0"/>
              <w:left w:val="single" w:color="auto" w:sz="4" w:space="0"/>
              <w:bottom w:val="single" w:color="auto" w:sz="4" w:space="0"/>
              <w:right w:val="single" w:color="auto" w:sz="4" w:space="0"/>
            </w:tcBorders>
          </w:tcPr>
          <w:p w14:paraId="5C38FE1C">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封面、投标函、法定代表人委托授权书三处的项目名称、项目编号、标段</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lang w:val="en-US" w:eastAsia="zh-CN"/>
              </w:rPr>
              <w:t>未划分标段的除外</w:t>
            </w:r>
            <w:r>
              <w:rPr>
                <w:rFonts w:hint="eastAsia" w:ascii="宋体" w:hAnsi="宋体" w:cs="宋体"/>
                <w:bCs/>
                <w:color w:val="auto"/>
                <w:kern w:val="0"/>
                <w:sz w:val="24"/>
                <w:szCs w:val="24"/>
                <w:lang w:eastAsia="zh-CN"/>
              </w:rPr>
              <w:t>）</w:t>
            </w:r>
          </w:p>
        </w:tc>
        <w:tc>
          <w:tcPr>
            <w:tcW w:w="3770" w:type="dxa"/>
            <w:tcBorders>
              <w:top w:val="single" w:color="auto" w:sz="4" w:space="0"/>
              <w:left w:val="single" w:color="auto" w:sz="4" w:space="0"/>
              <w:bottom w:val="single" w:color="auto" w:sz="4" w:space="0"/>
              <w:right w:val="single" w:color="auto" w:sz="4" w:space="0"/>
            </w:tcBorders>
            <w:vAlign w:val="center"/>
          </w:tcPr>
          <w:p w14:paraId="6A49D873">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bCs/>
                <w:color w:val="auto"/>
                <w:kern w:val="0"/>
                <w:sz w:val="24"/>
                <w:szCs w:val="24"/>
              </w:rPr>
              <w:t>三处均无遗漏，且与所投项目名称、项目编号、标段完全一致。</w:t>
            </w:r>
          </w:p>
        </w:tc>
        <w:tc>
          <w:tcPr>
            <w:tcW w:w="1002" w:type="dxa"/>
            <w:tcBorders>
              <w:top w:val="single" w:color="auto" w:sz="4" w:space="0"/>
              <w:left w:val="single" w:color="auto" w:sz="4" w:space="0"/>
              <w:bottom w:val="single" w:color="auto" w:sz="4" w:space="0"/>
              <w:right w:val="single" w:color="auto" w:sz="4" w:space="0"/>
            </w:tcBorders>
          </w:tcPr>
          <w:p w14:paraId="360425B0">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5A3B662">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95D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590D3699">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val="en-US" w:eastAsia="zh-CN"/>
              </w:rPr>
              <w:t>3</w:t>
            </w:r>
          </w:p>
        </w:tc>
        <w:tc>
          <w:tcPr>
            <w:tcW w:w="2359" w:type="dxa"/>
            <w:tcBorders>
              <w:top w:val="single" w:color="auto" w:sz="4" w:space="0"/>
              <w:left w:val="single" w:color="auto" w:sz="4" w:space="0"/>
              <w:bottom w:val="single" w:color="auto" w:sz="4" w:space="0"/>
              <w:right w:val="single" w:color="auto" w:sz="4" w:space="0"/>
            </w:tcBorders>
            <w:vAlign w:val="center"/>
          </w:tcPr>
          <w:p w14:paraId="030FD818">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签署、盖章</w:t>
            </w:r>
          </w:p>
        </w:tc>
        <w:tc>
          <w:tcPr>
            <w:tcW w:w="3770" w:type="dxa"/>
            <w:tcBorders>
              <w:top w:val="single" w:color="auto" w:sz="4" w:space="0"/>
              <w:left w:val="single" w:color="auto" w:sz="4" w:space="0"/>
              <w:bottom w:val="single" w:color="auto" w:sz="4" w:space="0"/>
              <w:right w:val="single" w:color="auto" w:sz="4" w:space="0"/>
            </w:tcBorders>
          </w:tcPr>
          <w:p w14:paraId="4C515336">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color w:val="auto"/>
                <w:sz w:val="24"/>
                <w:szCs w:val="24"/>
              </w:rPr>
              <w:t>均按</w:t>
            </w:r>
            <w:r>
              <w:rPr>
                <w:rFonts w:hint="eastAsia" w:ascii="宋体" w:hAnsi="宋体" w:cs="宋体"/>
                <w:color w:val="auto"/>
                <w:sz w:val="24"/>
                <w:szCs w:val="24"/>
                <w:lang w:eastAsia="zh-CN"/>
              </w:rPr>
              <w:t>磋商文件</w:t>
            </w:r>
            <w:r>
              <w:rPr>
                <w:rFonts w:hint="eastAsia" w:ascii="宋体" w:hAnsi="宋体" w:cs="宋体"/>
                <w:color w:val="auto"/>
                <w:sz w:val="24"/>
                <w:szCs w:val="24"/>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tcPr>
          <w:p w14:paraId="05F9B8A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35DACE32">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7F98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0610000E">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val="en-US" w:eastAsia="zh-CN"/>
              </w:rPr>
              <w:t>4</w:t>
            </w:r>
          </w:p>
        </w:tc>
        <w:tc>
          <w:tcPr>
            <w:tcW w:w="2359" w:type="dxa"/>
            <w:tcBorders>
              <w:top w:val="single" w:color="auto" w:sz="4" w:space="0"/>
              <w:left w:val="single" w:color="auto" w:sz="4" w:space="0"/>
              <w:bottom w:val="single" w:color="auto" w:sz="4" w:space="0"/>
              <w:right w:val="single" w:color="auto" w:sz="4" w:space="0"/>
            </w:tcBorders>
            <w:vAlign w:val="center"/>
          </w:tcPr>
          <w:p w14:paraId="60FB34D0">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highlight w:val="red"/>
              </w:rPr>
            </w:pPr>
            <w:r>
              <w:rPr>
                <w:rFonts w:hint="eastAsia" w:ascii="宋体" w:hAnsi="宋体" w:cs="宋体"/>
                <w:bCs/>
                <w:color w:val="auto"/>
                <w:kern w:val="0"/>
                <w:sz w:val="24"/>
                <w:szCs w:val="24"/>
                <w:lang w:val="en-US" w:eastAsia="zh-CN"/>
              </w:rPr>
              <w:t>响应</w:t>
            </w:r>
            <w:r>
              <w:rPr>
                <w:rFonts w:hint="eastAsia" w:ascii="宋体" w:hAnsi="宋体" w:cs="宋体"/>
                <w:bCs/>
                <w:color w:val="auto"/>
                <w:kern w:val="0"/>
                <w:sz w:val="24"/>
                <w:szCs w:val="24"/>
              </w:rPr>
              <w:t>文件组成</w:t>
            </w:r>
          </w:p>
        </w:tc>
        <w:tc>
          <w:tcPr>
            <w:tcW w:w="3770" w:type="dxa"/>
            <w:tcBorders>
              <w:top w:val="single" w:color="auto" w:sz="4" w:space="0"/>
              <w:left w:val="single" w:color="auto" w:sz="4" w:space="0"/>
              <w:bottom w:val="single" w:color="auto" w:sz="4" w:space="0"/>
              <w:right w:val="single" w:color="auto" w:sz="4" w:space="0"/>
            </w:tcBorders>
          </w:tcPr>
          <w:p w14:paraId="76EA6DF5">
            <w:pPr>
              <w:pStyle w:val="22"/>
              <w:keepNext w:val="0"/>
              <w:keepLines w:val="0"/>
              <w:numPr>
                <w:ilvl w:val="0"/>
                <w:numId w:val="0"/>
              </w:numPr>
              <w:suppressLineNumbers w:val="0"/>
              <w:spacing w:before="0" w:beforeAutospacing="0" w:after="0" w:afterAutospacing="0" w:line="288" w:lineRule="auto"/>
              <w:ind w:left="0" w:right="0" w:rightChars="0"/>
              <w:rPr>
                <w:rFonts w:hint="eastAsia" w:ascii="宋体" w:hAnsi="宋体" w:cs="宋体"/>
                <w:color w:val="auto"/>
                <w:sz w:val="24"/>
                <w:szCs w:val="24"/>
              </w:rPr>
            </w:pPr>
            <w:r>
              <w:rPr>
                <w:rFonts w:hint="eastAsia" w:ascii="宋体" w:hAnsi="宋体" w:cs="宋体"/>
                <w:color w:val="auto"/>
                <w:sz w:val="24"/>
                <w:szCs w:val="24"/>
                <w:lang w:eastAsia="zh-CN"/>
              </w:rPr>
              <w:t>响应文件</w:t>
            </w:r>
            <w:r>
              <w:rPr>
                <w:rFonts w:hint="eastAsia" w:ascii="宋体" w:hAnsi="宋体" w:cs="宋体"/>
                <w:color w:val="auto"/>
                <w:sz w:val="24"/>
                <w:szCs w:val="24"/>
              </w:rPr>
              <w:t>应包含以下内容：</w:t>
            </w:r>
          </w:p>
          <w:p w14:paraId="1896E396">
            <w:pPr>
              <w:pStyle w:val="22"/>
              <w:keepNext w:val="0"/>
              <w:keepLines w:val="0"/>
              <w:numPr>
                <w:ilvl w:val="0"/>
                <w:numId w:val="0"/>
              </w:numPr>
              <w:suppressLineNumbers w:val="0"/>
              <w:spacing w:before="0" w:beforeAutospacing="0" w:after="0" w:afterAutospacing="0" w:line="288" w:lineRule="auto"/>
              <w:ind w:left="0" w:right="0" w:rightChars="0"/>
              <w:rPr>
                <w:rFonts w:hint="default" w:ascii="宋体" w:hAnsi="宋体" w:cs="宋体"/>
                <w:color w:val="auto"/>
                <w:kern w:val="0"/>
                <w:sz w:val="24"/>
                <w:szCs w:val="24"/>
              </w:rPr>
            </w:pPr>
            <w:r>
              <w:rPr>
                <w:rFonts w:hint="default" w:ascii="宋体" w:hAnsi="宋体" w:cs="宋体"/>
                <w:color w:val="auto"/>
                <w:kern w:val="0"/>
                <w:sz w:val="24"/>
                <w:szCs w:val="24"/>
              </w:rPr>
              <w:t>第一章   响应函</w:t>
            </w:r>
          </w:p>
          <w:p w14:paraId="52DEB5AB">
            <w:pPr>
              <w:pStyle w:val="22"/>
              <w:keepNext w:val="0"/>
              <w:keepLines w:val="0"/>
              <w:numPr>
                <w:ilvl w:val="0"/>
                <w:numId w:val="0"/>
              </w:numPr>
              <w:suppressLineNumbers w:val="0"/>
              <w:spacing w:before="0" w:beforeAutospacing="0" w:after="0" w:afterAutospacing="0" w:line="288" w:lineRule="auto"/>
              <w:ind w:left="0" w:right="0" w:rightChars="0"/>
              <w:rPr>
                <w:rFonts w:hint="default" w:ascii="宋体" w:hAnsi="宋体" w:cs="宋体"/>
                <w:color w:val="auto"/>
                <w:kern w:val="0"/>
                <w:sz w:val="24"/>
                <w:szCs w:val="24"/>
              </w:rPr>
            </w:pPr>
            <w:r>
              <w:rPr>
                <w:rFonts w:hint="default" w:ascii="宋体" w:hAnsi="宋体" w:cs="宋体"/>
                <w:color w:val="auto"/>
                <w:kern w:val="0"/>
                <w:sz w:val="24"/>
                <w:szCs w:val="24"/>
              </w:rPr>
              <w:t>第二章   响应报价表</w:t>
            </w:r>
          </w:p>
          <w:p w14:paraId="511F5F3C">
            <w:pPr>
              <w:pStyle w:val="22"/>
              <w:keepNext w:val="0"/>
              <w:keepLines w:val="0"/>
              <w:numPr>
                <w:ilvl w:val="0"/>
                <w:numId w:val="0"/>
              </w:numPr>
              <w:suppressLineNumbers w:val="0"/>
              <w:spacing w:before="0" w:beforeAutospacing="0" w:after="0" w:afterAutospacing="0" w:line="288" w:lineRule="auto"/>
              <w:ind w:left="0" w:right="0" w:rightChars="0"/>
              <w:rPr>
                <w:rFonts w:hint="default" w:ascii="宋体" w:hAnsi="宋体" w:cs="宋体"/>
                <w:color w:val="auto"/>
                <w:kern w:val="0"/>
                <w:sz w:val="24"/>
                <w:szCs w:val="24"/>
              </w:rPr>
            </w:pPr>
            <w:r>
              <w:rPr>
                <w:rFonts w:hint="default" w:ascii="宋体" w:hAnsi="宋体" w:cs="宋体"/>
                <w:color w:val="auto"/>
                <w:kern w:val="0"/>
                <w:sz w:val="24"/>
                <w:szCs w:val="24"/>
              </w:rPr>
              <w:t xml:space="preserve">第三章  </w:t>
            </w:r>
            <w:r>
              <w:rPr>
                <w:rFonts w:hint="default" w:ascii="宋体" w:hAnsi="宋体" w:cs="宋体"/>
                <w:color w:val="auto"/>
                <w:kern w:val="0"/>
                <w:sz w:val="24"/>
                <w:szCs w:val="24"/>
                <w:lang w:val="en-US" w:eastAsia="zh-CN"/>
              </w:rPr>
              <w:t xml:space="preserve"> </w:t>
            </w:r>
            <w:r>
              <w:rPr>
                <w:rFonts w:hint="default" w:ascii="宋体" w:hAnsi="宋体" w:cs="宋体"/>
                <w:color w:val="auto"/>
                <w:kern w:val="0"/>
                <w:sz w:val="24"/>
                <w:szCs w:val="24"/>
              </w:rPr>
              <w:t>资</w:t>
            </w:r>
            <w:r>
              <w:rPr>
                <w:rFonts w:hint="default" w:ascii="宋体" w:hAnsi="宋体" w:cs="宋体"/>
                <w:color w:val="auto"/>
                <w:kern w:val="0"/>
                <w:sz w:val="24"/>
                <w:szCs w:val="24"/>
                <w:lang w:val="en-US" w:eastAsia="zh-CN"/>
              </w:rPr>
              <w:t>格</w:t>
            </w:r>
            <w:r>
              <w:rPr>
                <w:rFonts w:hint="default" w:ascii="宋体" w:hAnsi="宋体" w:cs="宋体"/>
                <w:color w:val="auto"/>
                <w:kern w:val="0"/>
                <w:sz w:val="24"/>
                <w:szCs w:val="24"/>
              </w:rPr>
              <w:t>证明文件</w:t>
            </w:r>
          </w:p>
          <w:p w14:paraId="06176E5F">
            <w:pPr>
              <w:pStyle w:val="22"/>
              <w:keepNext w:val="0"/>
              <w:keepLines w:val="0"/>
              <w:numPr>
                <w:ilvl w:val="0"/>
                <w:numId w:val="0"/>
              </w:numPr>
              <w:suppressLineNumbers w:val="0"/>
              <w:spacing w:before="0" w:beforeAutospacing="0" w:after="0" w:afterAutospacing="0" w:line="288" w:lineRule="auto"/>
              <w:ind w:left="0" w:right="0" w:rightChars="0"/>
              <w:rPr>
                <w:rFonts w:hint="default" w:ascii="宋体" w:hAnsi="宋体" w:cs="宋体"/>
                <w:color w:val="auto"/>
                <w:kern w:val="0"/>
                <w:sz w:val="24"/>
                <w:szCs w:val="24"/>
                <w:lang w:val="en-US" w:eastAsia="zh-CN"/>
              </w:rPr>
            </w:pPr>
            <w:r>
              <w:rPr>
                <w:rFonts w:hint="default" w:ascii="宋体" w:hAnsi="宋体" w:cs="宋体"/>
                <w:color w:val="auto"/>
                <w:kern w:val="0"/>
                <w:sz w:val="24"/>
                <w:szCs w:val="24"/>
              </w:rPr>
              <w:t>第</w:t>
            </w:r>
            <w:r>
              <w:rPr>
                <w:rFonts w:hint="default" w:ascii="宋体" w:hAnsi="宋体" w:cs="宋体"/>
                <w:color w:val="auto"/>
                <w:kern w:val="0"/>
                <w:sz w:val="24"/>
                <w:szCs w:val="24"/>
                <w:lang w:val="en-US" w:eastAsia="zh-CN"/>
              </w:rPr>
              <w:t>四</w:t>
            </w:r>
            <w:r>
              <w:rPr>
                <w:rFonts w:hint="default" w:ascii="宋体" w:hAnsi="宋体" w:cs="宋体"/>
                <w:color w:val="auto"/>
                <w:kern w:val="0"/>
                <w:sz w:val="24"/>
                <w:szCs w:val="24"/>
              </w:rPr>
              <w:t>章</w:t>
            </w:r>
            <w:r>
              <w:rPr>
                <w:rFonts w:hint="default" w:ascii="宋体" w:hAnsi="宋体" w:cs="宋体"/>
                <w:color w:val="auto"/>
                <w:kern w:val="0"/>
                <w:sz w:val="24"/>
                <w:szCs w:val="24"/>
                <w:lang w:val="en-US" w:eastAsia="zh-CN"/>
              </w:rPr>
              <w:t xml:space="preserve">   技术</w:t>
            </w:r>
            <w:r>
              <w:rPr>
                <w:rFonts w:hint="default" w:ascii="宋体" w:hAnsi="宋体" w:cs="宋体"/>
                <w:color w:val="auto"/>
                <w:kern w:val="0"/>
                <w:sz w:val="24"/>
                <w:szCs w:val="24"/>
                <w:lang w:eastAsia="zh-CN"/>
              </w:rPr>
              <w:t>商务偏离表</w:t>
            </w:r>
          </w:p>
          <w:p w14:paraId="106C3D85">
            <w:pPr>
              <w:pStyle w:val="22"/>
              <w:keepNext w:val="0"/>
              <w:keepLines w:val="0"/>
              <w:numPr>
                <w:ilvl w:val="0"/>
                <w:numId w:val="0"/>
              </w:numPr>
              <w:suppressLineNumbers w:val="0"/>
              <w:spacing w:before="0" w:beforeAutospacing="0" w:after="0" w:afterAutospacing="0" w:line="288" w:lineRule="auto"/>
              <w:ind w:left="0" w:right="0" w:rightChars="0"/>
              <w:rPr>
                <w:rFonts w:hint="default" w:ascii="宋体" w:hAnsi="宋体" w:cs="宋体"/>
                <w:color w:val="auto"/>
                <w:kern w:val="0"/>
                <w:sz w:val="24"/>
                <w:szCs w:val="24"/>
              </w:rPr>
            </w:pPr>
            <w:r>
              <w:rPr>
                <w:rFonts w:hint="default" w:ascii="宋体" w:hAnsi="宋体" w:cs="宋体"/>
                <w:color w:val="auto"/>
                <w:kern w:val="0"/>
                <w:sz w:val="24"/>
                <w:szCs w:val="24"/>
              </w:rPr>
              <w:t>第</w:t>
            </w:r>
            <w:r>
              <w:rPr>
                <w:rFonts w:hint="default" w:ascii="宋体" w:hAnsi="宋体" w:cs="宋体"/>
                <w:color w:val="auto"/>
                <w:kern w:val="0"/>
                <w:sz w:val="24"/>
                <w:szCs w:val="24"/>
                <w:lang w:val="en-US" w:eastAsia="zh-CN"/>
              </w:rPr>
              <w:t>五</w:t>
            </w:r>
            <w:r>
              <w:rPr>
                <w:rFonts w:hint="default" w:ascii="宋体" w:hAnsi="宋体" w:cs="宋体"/>
                <w:color w:val="auto"/>
                <w:kern w:val="0"/>
                <w:sz w:val="24"/>
                <w:szCs w:val="24"/>
              </w:rPr>
              <w:t>章</w:t>
            </w:r>
            <w:r>
              <w:rPr>
                <w:rFonts w:hint="default" w:ascii="宋体" w:hAnsi="宋体" w:cs="宋体"/>
                <w:color w:val="auto"/>
                <w:kern w:val="0"/>
                <w:sz w:val="24"/>
                <w:szCs w:val="24"/>
                <w:lang w:val="en-US" w:eastAsia="zh-CN"/>
              </w:rPr>
              <w:t xml:space="preserve">   响应</w:t>
            </w:r>
            <w:r>
              <w:rPr>
                <w:rFonts w:hint="default" w:ascii="宋体" w:hAnsi="宋体" w:cs="宋体"/>
                <w:color w:val="auto"/>
                <w:kern w:val="0"/>
                <w:sz w:val="24"/>
                <w:szCs w:val="24"/>
              </w:rPr>
              <w:t>方案</w:t>
            </w:r>
          </w:p>
          <w:p w14:paraId="108B09EF">
            <w:pPr>
              <w:pStyle w:val="22"/>
              <w:keepNext w:val="0"/>
              <w:keepLines w:val="0"/>
              <w:numPr>
                <w:ilvl w:val="0"/>
                <w:numId w:val="0"/>
              </w:numPr>
              <w:suppressLineNumbers w:val="0"/>
              <w:spacing w:before="0" w:beforeAutospacing="0" w:after="0" w:afterAutospacing="0" w:line="288" w:lineRule="auto"/>
              <w:ind w:left="0" w:right="0" w:rightChars="0"/>
              <w:rPr>
                <w:rFonts w:hint="default" w:ascii="宋体" w:hAnsi="宋体" w:cs="宋体"/>
                <w:color w:val="auto"/>
                <w:kern w:val="0"/>
                <w:sz w:val="24"/>
                <w:szCs w:val="24"/>
              </w:rPr>
            </w:pPr>
            <w:r>
              <w:rPr>
                <w:rFonts w:hint="default" w:ascii="宋体" w:hAnsi="宋体" w:cs="宋体"/>
                <w:color w:val="auto"/>
                <w:kern w:val="0"/>
                <w:sz w:val="24"/>
                <w:szCs w:val="24"/>
              </w:rPr>
              <w:t>第</w:t>
            </w:r>
            <w:r>
              <w:rPr>
                <w:rFonts w:hint="default" w:ascii="宋体" w:hAnsi="宋体" w:cs="宋体"/>
                <w:color w:val="auto"/>
                <w:kern w:val="0"/>
                <w:sz w:val="24"/>
                <w:szCs w:val="24"/>
                <w:lang w:val="en-US" w:eastAsia="zh-CN"/>
              </w:rPr>
              <w:t>六</w:t>
            </w:r>
            <w:r>
              <w:rPr>
                <w:rFonts w:hint="default" w:ascii="宋体" w:hAnsi="宋体" w:cs="宋体"/>
                <w:color w:val="auto"/>
                <w:kern w:val="0"/>
                <w:sz w:val="24"/>
                <w:szCs w:val="24"/>
              </w:rPr>
              <w:t>章   供应商承诺书</w:t>
            </w:r>
          </w:p>
        </w:tc>
        <w:tc>
          <w:tcPr>
            <w:tcW w:w="1002" w:type="dxa"/>
            <w:tcBorders>
              <w:top w:val="single" w:color="auto" w:sz="4" w:space="0"/>
              <w:left w:val="single" w:color="auto" w:sz="4" w:space="0"/>
              <w:bottom w:val="single" w:color="auto" w:sz="4" w:space="0"/>
              <w:right w:val="single" w:color="auto" w:sz="4" w:space="0"/>
            </w:tcBorders>
          </w:tcPr>
          <w:p w14:paraId="1019E148">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FEA191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193F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4566DA44">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val="en-US" w:eastAsia="zh-CN"/>
              </w:rPr>
              <w:t>5</w:t>
            </w:r>
          </w:p>
        </w:tc>
        <w:tc>
          <w:tcPr>
            <w:tcW w:w="2359" w:type="dxa"/>
            <w:tcBorders>
              <w:top w:val="single" w:color="auto" w:sz="4" w:space="0"/>
              <w:left w:val="single" w:color="auto" w:sz="4" w:space="0"/>
              <w:bottom w:val="single" w:color="auto" w:sz="4" w:space="0"/>
              <w:right w:val="single" w:color="auto" w:sz="4" w:space="0"/>
            </w:tcBorders>
            <w:vAlign w:val="center"/>
          </w:tcPr>
          <w:p w14:paraId="6D6DEB54">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690C6E0A">
            <w:pPr>
              <w:keepNext w:val="0"/>
              <w:keepLines w:val="0"/>
              <w:widowControl/>
              <w:suppressLineNumbers w:val="0"/>
              <w:spacing w:before="0" w:beforeAutospacing="0" w:after="0" w:afterAutospacing="0" w:line="288" w:lineRule="auto"/>
              <w:ind w:left="0" w:right="0"/>
              <w:jc w:val="left"/>
              <w:rPr>
                <w:rFonts w:hint="default" w:ascii="宋体" w:hAnsi="宋体" w:cs="宋体"/>
                <w:b/>
                <w:bCs/>
                <w:color w:val="auto"/>
                <w:kern w:val="0"/>
                <w:sz w:val="24"/>
                <w:szCs w:val="24"/>
              </w:rPr>
            </w:pPr>
            <w:r>
              <w:rPr>
                <w:rFonts w:hint="eastAsia" w:ascii="宋体" w:hAnsi="宋体" w:cs="宋体"/>
                <w:color w:val="auto"/>
                <w:sz w:val="24"/>
                <w:szCs w:val="24"/>
              </w:rPr>
              <w:t>计量单位、语言、报价货币、投标有效期均符合</w:t>
            </w:r>
            <w:r>
              <w:rPr>
                <w:rFonts w:hint="eastAsia" w:ascii="宋体" w:hAnsi="宋体" w:cs="宋体"/>
                <w:color w:val="auto"/>
                <w:sz w:val="24"/>
                <w:szCs w:val="24"/>
                <w:lang w:eastAsia="zh-CN"/>
              </w:rPr>
              <w:t>磋商文件</w:t>
            </w:r>
            <w:r>
              <w:rPr>
                <w:rFonts w:hint="eastAsia" w:ascii="宋体" w:hAnsi="宋体" w:cs="宋体"/>
                <w:color w:val="auto"/>
                <w:sz w:val="24"/>
                <w:szCs w:val="24"/>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7929AB84">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3ECB15C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228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17E66E19">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val="en-US" w:eastAsia="zh-CN"/>
              </w:rPr>
              <w:t>6</w:t>
            </w:r>
          </w:p>
        </w:tc>
        <w:tc>
          <w:tcPr>
            <w:tcW w:w="2359" w:type="dxa"/>
            <w:tcBorders>
              <w:top w:val="single" w:color="auto" w:sz="4" w:space="0"/>
              <w:left w:val="single" w:color="auto" w:sz="4" w:space="0"/>
              <w:bottom w:val="single" w:color="auto" w:sz="4" w:space="0"/>
              <w:right w:val="single" w:color="auto" w:sz="4" w:space="0"/>
            </w:tcBorders>
            <w:vAlign w:val="center"/>
          </w:tcPr>
          <w:p w14:paraId="4EC8EE1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投标报价</w:t>
            </w:r>
          </w:p>
        </w:tc>
        <w:tc>
          <w:tcPr>
            <w:tcW w:w="3770" w:type="dxa"/>
            <w:tcBorders>
              <w:top w:val="single" w:color="auto" w:sz="4" w:space="0"/>
              <w:left w:val="single" w:color="auto" w:sz="4" w:space="0"/>
              <w:bottom w:val="single" w:color="auto" w:sz="4" w:space="0"/>
              <w:right w:val="single" w:color="auto" w:sz="4" w:space="0"/>
            </w:tcBorders>
          </w:tcPr>
          <w:p w14:paraId="16F85F9B">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bCs/>
                <w:color w:val="auto"/>
                <w:kern w:val="0"/>
                <w:sz w:val="24"/>
                <w:szCs w:val="24"/>
              </w:rPr>
              <w:t>（1）投标报价符合唯一性要求：</w:t>
            </w:r>
          </w:p>
          <w:p w14:paraId="6609FD01">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bCs/>
                <w:color w:val="auto"/>
                <w:kern w:val="0"/>
                <w:sz w:val="24"/>
                <w:szCs w:val="24"/>
              </w:rPr>
              <w:t>（2）开标一览表填写符合要求；</w:t>
            </w:r>
          </w:p>
          <w:p w14:paraId="05BEB26A">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bCs/>
                <w:color w:val="auto"/>
                <w:kern w:val="0"/>
                <w:sz w:val="24"/>
                <w:szCs w:val="24"/>
              </w:rPr>
              <w:t>（3）未超出采购预算或</w:t>
            </w: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规定的最高限价；</w:t>
            </w:r>
          </w:p>
        </w:tc>
        <w:tc>
          <w:tcPr>
            <w:tcW w:w="1002" w:type="dxa"/>
            <w:tcBorders>
              <w:top w:val="single" w:color="auto" w:sz="4" w:space="0"/>
              <w:left w:val="single" w:color="auto" w:sz="4" w:space="0"/>
              <w:bottom w:val="single" w:color="auto" w:sz="4" w:space="0"/>
              <w:right w:val="single" w:color="auto" w:sz="4" w:space="0"/>
            </w:tcBorders>
          </w:tcPr>
          <w:p w14:paraId="3FB0D007">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4861EE42">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108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67A3F1FA">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val="en-US" w:eastAsia="zh-CN"/>
              </w:rPr>
              <w:t>7</w:t>
            </w:r>
          </w:p>
        </w:tc>
        <w:tc>
          <w:tcPr>
            <w:tcW w:w="2359" w:type="dxa"/>
            <w:tcBorders>
              <w:top w:val="single" w:color="auto" w:sz="4" w:space="0"/>
              <w:left w:val="single" w:color="auto" w:sz="4" w:space="0"/>
              <w:bottom w:val="single" w:color="auto" w:sz="4" w:space="0"/>
              <w:right w:val="single" w:color="auto" w:sz="4" w:space="0"/>
            </w:tcBorders>
            <w:vAlign w:val="center"/>
          </w:tcPr>
          <w:p w14:paraId="2AFA778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0459F257">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rPr>
              <w:t>完全响应</w:t>
            </w:r>
            <w:r>
              <w:rPr>
                <w:rFonts w:hint="eastAsia" w:ascii="宋体" w:hAnsi="宋体" w:cs="宋体"/>
                <w:color w:val="auto"/>
                <w:sz w:val="24"/>
                <w:szCs w:val="24"/>
                <w:lang w:eastAsia="zh-CN"/>
              </w:rPr>
              <w:t>磋商文件</w:t>
            </w:r>
            <w:r>
              <w:rPr>
                <w:rFonts w:hint="eastAsia" w:ascii="宋体" w:hAnsi="宋体" w:cs="宋体"/>
                <w:color w:val="auto"/>
                <w:sz w:val="24"/>
                <w:szCs w:val="24"/>
              </w:rPr>
              <w:t>要求的各项实质性条款。</w:t>
            </w:r>
          </w:p>
        </w:tc>
        <w:tc>
          <w:tcPr>
            <w:tcW w:w="1002" w:type="dxa"/>
            <w:tcBorders>
              <w:top w:val="single" w:color="auto" w:sz="4" w:space="0"/>
              <w:left w:val="single" w:color="auto" w:sz="4" w:space="0"/>
              <w:bottom w:val="single" w:color="auto" w:sz="4" w:space="0"/>
              <w:right w:val="single" w:color="auto" w:sz="4" w:space="0"/>
            </w:tcBorders>
          </w:tcPr>
          <w:p w14:paraId="1561D10B">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58CC721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E09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39B69F8E">
            <w:pPr>
              <w:keepNext w:val="0"/>
              <w:keepLines w:val="0"/>
              <w:widowControl/>
              <w:suppressLineNumbers w:val="0"/>
              <w:spacing w:before="0" w:beforeAutospacing="0" w:after="0" w:afterAutospacing="0" w:line="288" w:lineRule="auto"/>
              <w:ind w:left="0" w:right="0" w:firstLine="200"/>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8</w:t>
            </w:r>
          </w:p>
        </w:tc>
        <w:tc>
          <w:tcPr>
            <w:tcW w:w="2359" w:type="dxa"/>
            <w:tcBorders>
              <w:top w:val="single" w:color="auto" w:sz="4" w:space="0"/>
              <w:left w:val="single" w:color="auto" w:sz="4" w:space="0"/>
              <w:bottom w:val="single" w:color="auto" w:sz="4" w:space="0"/>
              <w:right w:val="single" w:color="auto" w:sz="4" w:space="0"/>
            </w:tcBorders>
            <w:vAlign w:val="center"/>
          </w:tcPr>
          <w:p w14:paraId="5AC71490">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auto"/>
                <w:kern w:val="0"/>
                <w:sz w:val="24"/>
                <w:szCs w:val="24"/>
              </w:rPr>
            </w:pPr>
            <w:r>
              <w:rPr>
                <w:rFonts w:hint="eastAsia" w:ascii="宋体" w:hAnsi="宋体" w:cs="宋体"/>
                <w:bCs/>
                <w:color w:val="auto"/>
                <w:sz w:val="24"/>
                <w:szCs w:val="24"/>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6BB6ADFB">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rPr>
              <w:t>完整响应</w:t>
            </w:r>
            <w:r>
              <w:rPr>
                <w:rFonts w:hint="eastAsia" w:ascii="宋体" w:hAnsi="宋体" w:cs="宋体"/>
                <w:color w:val="auto"/>
                <w:sz w:val="24"/>
                <w:szCs w:val="24"/>
                <w:lang w:eastAsia="zh-CN"/>
              </w:rPr>
              <w:t>磋商文件</w:t>
            </w:r>
            <w:r>
              <w:rPr>
                <w:rFonts w:hint="eastAsia" w:ascii="宋体" w:hAnsi="宋体" w:cs="宋体"/>
                <w:color w:val="auto"/>
                <w:sz w:val="24"/>
                <w:szCs w:val="24"/>
              </w:rPr>
              <w:t>合同主要条款。</w:t>
            </w:r>
          </w:p>
        </w:tc>
        <w:tc>
          <w:tcPr>
            <w:tcW w:w="1002" w:type="dxa"/>
            <w:tcBorders>
              <w:top w:val="single" w:color="auto" w:sz="4" w:space="0"/>
              <w:left w:val="single" w:color="auto" w:sz="4" w:space="0"/>
              <w:bottom w:val="single" w:color="auto" w:sz="4" w:space="0"/>
              <w:right w:val="single" w:color="auto" w:sz="4" w:space="0"/>
            </w:tcBorders>
          </w:tcPr>
          <w:p w14:paraId="440BC63A">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481020B5">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bl>
    <w:p w14:paraId="1B58EB22">
      <w:pPr>
        <w:pStyle w:val="12"/>
        <w:rPr>
          <w:color w:val="auto"/>
        </w:rPr>
      </w:pPr>
    </w:p>
    <w:p w14:paraId="045B9E2F">
      <w:pPr>
        <w:spacing w:line="360" w:lineRule="auto"/>
        <w:ind w:firstLine="360" w:firstLineChars="150"/>
        <w:rPr>
          <w:rFonts w:ascii="宋体" w:hAnsi="宋体" w:cs="宋体"/>
          <w:color w:val="auto"/>
          <w:sz w:val="24"/>
        </w:rPr>
      </w:pPr>
      <w:r>
        <w:rPr>
          <w:rFonts w:hint="eastAsia" w:ascii="宋体" w:hAnsi="宋体" w:cs="宋体"/>
          <w:color w:val="auto"/>
          <w:sz w:val="24"/>
        </w:rPr>
        <w:t>（4）磋商时，响应文件中出现下列情况，修正原则为：</w:t>
      </w:r>
    </w:p>
    <w:p w14:paraId="5F156920">
      <w:pPr>
        <w:spacing w:line="360" w:lineRule="auto"/>
        <w:ind w:firstLine="600" w:firstLineChars="250"/>
        <w:rPr>
          <w:rFonts w:ascii="宋体" w:hAnsi="宋体" w:cs="宋体"/>
          <w:color w:val="auto"/>
          <w:sz w:val="24"/>
        </w:rPr>
      </w:pPr>
      <w:r>
        <w:rPr>
          <w:rFonts w:hint="eastAsia" w:ascii="宋体" w:hAnsi="宋体" w:cs="宋体"/>
          <w:color w:val="auto"/>
          <w:sz w:val="24"/>
        </w:rPr>
        <w:t>A</w:t>
      </w:r>
      <w:r>
        <w:rPr>
          <w:rFonts w:hint="eastAsia" w:ascii="宋体" w:hAnsi="宋体" w:cs="宋体"/>
          <w:color w:val="auto"/>
          <w:sz w:val="24"/>
          <w:lang w:eastAsia="zh-CN"/>
        </w:rPr>
        <w:t>.</w:t>
      </w:r>
      <w:r>
        <w:rPr>
          <w:rFonts w:hint="eastAsia" w:ascii="宋体" w:hAnsi="宋体" w:cs="宋体"/>
          <w:color w:val="auto"/>
          <w:sz w:val="24"/>
        </w:rPr>
        <w:t>响应文件中响应报价表内容与响应文件中明细内容不一致的，以响应报价表为准；</w:t>
      </w:r>
    </w:p>
    <w:p w14:paraId="014E0DE8">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B</w:t>
      </w:r>
      <w:r>
        <w:rPr>
          <w:rFonts w:hint="eastAsia" w:ascii="宋体" w:hAnsi="宋体" w:cs="宋体"/>
          <w:color w:val="auto"/>
          <w:sz w:val="24"/>
          <w:lang w:eastAsia="zh-CN"/>
        </w:rPr>
        <w:t>.</w:t>
      </w:r>
      <w:r>
        <w:rPr>
          <w:rFonts w:hint="eastAsia" w:ascii="宋体" w:hAnsi="宋体" w:cs="宋体"/>
          <w:color w:val="auto"/>
          <w:sz w:val="24"/>
        </w:rPr>
        <w:t>大写金额和小写金额不一致的，以大写金额为准；</w:t>
      </w:r>
    </w:p>
    <w:p w14:paraId="473FEB3A">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C</w:t>
      </w:r>
      <w:r>
        <w:rPr>
          <w:rFonts w:hint="eastAsia" w:ascii="宋体" w:hAnsi="宋体" w:cs="宋体"/>
          <w:color w:val="auto"/>
          <w:sz w:val="24"/>
          <w:lang w:eastAsia="zh-CN"/>
        </w:rPr>
        <w:t>.</w:t>
      </w:r>
      <w:r>
        <w:rPr>
          <w:rFonts w:hint="eastAsia" w:ascii="宋体" w:hAnsi="宋体" w:cs="宋体"/>
          <w:color w:val="auto"/>
          <w:sz w:val="24"/>
        </w:rPr>
        <w:t>单价金额小数点或者百分比有明显错位的，以响应报价表的总价为准，并修改单价；</w:t>
      </w:r>
    </w:p>
    <w:p w14:paraId="7AF697E3">
      <w:pPr>
        <w:spacing w:line="360" w:lineRule="auto"/>
        <w:ind w:firstLine="600" w:firstLineChars="250"/>
        <w:rPr>
          <w:rFonts w:ascii="宋体" w:hAnsi="宋体" w:cs="宋体"/>
          <w:color w:val="auto"/>
          <w:sz w:val="24"/>
        </w:rPr>
      </w:pPr>
      <w:r>
        <w:rPr>
          <w:rFonts w:hint="eastAsia" w:ascii="宋体" w:hAnsi="宋体" w:cs="宋体"/>
          <w:color w:val="auto"/>
          <w:sz w:val="24"/>
        </w:rPr>
        <w:t>D</w:t>
      </w:r>
      <w:r>
        <w:rPr>
          <w:rFonts w:hint="eastAsia" w:ascii="宋体" w:hAnsi="宋体" w:cs="宋体"/>
          <w:color w:val="auto"/>
          <w:sz w:val="24"/>
          <w:lang w:eastAsia="zh-CN"/>
        </w:rPr>
        <w:t>.</w:t>
      </w:r>
      <w:r>
        <w:rPr>
          <w:rFonts w:hint="eastAsia" w:ascii="宋体" w:hAnsi="宋体" w:cs="宋体"/>
          <w:color w:val="auto"/>
          <w:sz w:val="24"/>
        </w:rPr>
        <w:t xml:space="preserve">总价金额与按单价汇总金额不一致的，以单价金额计算结果为准； </w:t>
      </w:r>
    </w:p>
    <w:p w14:paraId="0D6ACA80">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E</w:t>
      </w:r>
      <w:r>
        <w:rPr>
          <w:rFonts w:hint="eastAsia" w:ascii="宋体" w:hAnsi="宋体" w:cs="宋体"/>
          <w:color w:val="auto"/>
          <w:sz w:val="24"/>
          <w:lang w:eastAsia="zh-CN"/>
        </w:rPr>
        <w:t>.</w:t>
      </w:r>
      <w:r>
        <w:rPr>
          <w:rFonts w:hint="eastAsia" w:ascii="宋体" w:hAnsi="宋体" w:cs="宋体"/>
          <w:color w:val="auto"/>
          <w:sz w:val="24"/>
        </w:rPr>
        <w:t>响应文件正本与副本不一致的，以正本为准；</w:t>
      </w:r>
    </w:p>
    <w:p w14:paraId="357619B9">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F</w:t>
      </w:r>
      <w:r>
        <w:rPr>
          <w:rFonts w:hint="eastAsia" w:ascii="宋体" w:hAnsi="宋体" w:cs="宋体"/>
          <w:color w:val="auto"/>
          <w:sz w:val="24"/>
          <w:lang w:eastAsia="zh-CN"/>
        </w:rPr>
        <w:t>.</w:t>
      </w:r>
      <w:r>
        <w:rPr>
          <w:rFonts w:hint="eastAsia" w:ascii="宋体" w:hAnsi="宋体" w:cs="宋体"/>
          <w:color w:val="auto"/>
          <w:sz w:val="24"/>
        </w:rPr>
        <w:t>多处内容交叉不符时，以磋商小组评审结果为准；</w:t>
      </w:r>
    </w:p>
    <w:p w14:paraId="0EC5D601">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G</w:t>
      </w:r>
      <w:r>
        <w:rPr>
          <w:rFonts w:hint="eastAsia" w:ascii="宋体" w:hAnsi="宋体" w:cs="宋体"/>
          <w:color w:val="auto"/>
          <w:sz w:val="24"/>
          <w:lang w:eastAsia="zh-CN"/>
        </w:rPr>
        <w:t>.</w:t>
      </w:r>
      <w:r>
        <w:rPr>
          <w:rFonts w:hint="eastAsia" w:ascii="宋体" w:hAnsi="宋体" w:cs="宋体"/>
          <w:color w:val="auto"/>
          <w:sz w:val="24"/>
        </w:rPr>
        <w:t>文字与图表不符的，以文字为准。</w:t>
      </w:r>
    </w:p>
    <w:p w14:paraId="5C7B6B75">
      <w:pPr>
        <w:spacing w:line="360" w:lineRule="auto"/>
        <w:ind w:firstLine="480" w:firstLineChars="200"/>
        <w:rPr>
          <w:rFonts w:ascii="宋体" w:hAnsi="宋体" w:cs="宋体"/>
          <w:color w:val="auto"/>
          <w:sz w:val="24"/>
        </w:rPr>
      </w:pPr>
      <w:r>
        <w:rPr>
          <w:rFonts w:hint="eastAsia" w:ascii="宋体" w:hAnsi="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74899D3">
      <w:pPr>
        <w:spacing w:line="360" w:lineRule="auto"/>
        <w:ind w:firstLine="480" w:firstLineChars="200"/>
        <w:rPr>
          <w:rFonts w:ascii="宋体" w:hAnsi="宋体" w:cs="宋体"/>
          <w:color w:val="auto"/>
          <w:sz w:val="24"/>
        </w:rPr>
      </w:pPr>
      <w:r>
        <w:rPr>
          <w:rFonts w:hint="eastAsia" w:ascii="宋体" w:hAnsi="宋体" w:cs="宋体"/>
          <w:color w:val="auto"/>
          <w:sz w:val="24"/>
        </w:rPr>
        <w:t>（5）磋商开始后，直到向成交供应商授予合同为止，凡审查、澄清、评价和比较磋商的有关资料，磋商小组成员均不得向供应商及与磋商无关的其他人透露。</w:t>
      </w:r>
    </w:p>
    <w:p w14:paraId="55ACD02C">
      <w:pPr>
        <w:kinsoku w:val="0"/>
        <w:spacing w:line="360" w:lineRule="auto"/>
        <w:ind w:firstLine="482" w:firstLineChars="200"/>
        <w:rPr>
          <w:rFonts w:ascii="宋体" w:hAnsi="宋体" w:cs="宋体"/>
          <w:b/>
          <w:color w:val="auto"/>
          <w:sz w:val="24"/>
        </w:rPr>
      </w:pPr>
      <w:r>
        <w:rPr>
          <w:rFonts w:hint="eastAsia" w:ascii="宋体" w:hAnsi="宋体" w:cs="宋体"/>
          <w:b/>
          <w:color w:val="auto"/>
          <w:sz w:val="24"/>
          <w:lang w:eastAsia="zh-CN"/>
        </w:rPr>
        <w:t>4.</w:t>
      </w:r>
      <w:r>
        <w:rPr>
          <w:rFonts w:hint="eastAsia" w:ascii="宋体" w:hAnsi="宋体" w:cs="宋体"/>
          <w:b/>
          <w:color w:val="auto"/>
          <w:sz w:val="24"/>
        </w:rPr>
        <w:t>有下列情形之一的，视为供应商串通投标，磋商小组应当认定其响应文件无效：</w:t>
      </w:r>
    </w:p>
    <w:p w14:paraId="6A6F1A6C">
      <w:pPr>
        <w:spacing w:line="360" w:lineRule="auto"/>
        <w:ind w:firstLine="600" w:firstLineChars="250"/>
        <w:rPr>
          <w:rFonts w:ascii="宋体" w:hAnsi="宋体" w:cs="宋体"/>
          <w:color w:val="auto"/>
          <w:kern w:val="0"/>
          <w:sz w:val="22"/>
          <w:szCs w:val="22"/>
        </w:rPr>
      </w:pPr>
      <w:r>
        <w:rPr>
          <w:rFonts w:hint="eastAsia" w:ascii="宋体" w:hAnsi="宋体" w:cs="宋体"/>
          <w:color w:val="auto"/>
          <w:sz w:val="24"/>
        </w:rPr>
        <w:t>A</w:t>
      </w:r>
      <w:r>
        <w:rPr>
          <w:rFonts w:hint="eastAsia" w:ascii="宋体" w:hAnsi="宋体" w:cs="宋体"/>
          <w:color w:val="auto"/>
          <w:sz w:val="24"/>
          <w:lang w:eastAsia="zh-CN"/>
        </w:rPr>
        <w:t>.</w:t>
      </w:r>
      <w:r>
        <w:rPr>
          <w:rFonts w:hint="eastAsia" w:ascii="宋体" w:hAnsi="宋体" w:cs="宋体"/>
          <w:color w:val="auto"/>
          <w:sz w:val="24"/>
        </w:rPr>
        <w:t>不同供应商的响应文件由同一单位或者个人编制；</w:t>
      </w:r>
    </w:p>
    <w:p w14:paraId="7F031A62">
      <w:pPr>
        <w:widowControl/>
        <w:spacing w:line="360" w:lineRule="auto"/>
        <w:ind w:firstLine="600" w:firstLineChars="250"/>
        <w:rPr>
          <w:rFonts w:ascii="宋体" w:hAnsi="宋体" w:cs="宋体"/>
          <w:color w:val="auto"/>
          <w:sz w:val="24"/>
        </w:rPr>
      </w:pPr>
      <w:r>
        <w:rPr>
          <w:rFonts w:hint="eastAsia" w:ascii="宋体" w:hAnsi="宋体" w:cs="宋体"/>
          <w:color w:val="auto"/>
          <w:sz w:val="24"/>
        </w:rPr>
        <w:t>B</w:t>
      </w:r>
      <w:r>
        <w:rPr>
          <w:rFonts w:hint="eastAsia" w:ascii="宋体" w:hAnsi="宋体" w:cs="宋体"/>
          <w:color w:val="auto"/>
          <w:sz w:val="24"/>
          <w:lang w:eastAsia="zh-CN"/>
        </w:rPr>
        <w:t>.</w:t>
      </w:r>
      <w:r>
        <w:rPr>
          <w:rFonts w:hint="eastAsia" w:ascii="宋体" w:hAnsi="宋体" w:cs="宋体"/>
          <w:color w:val="auto"/>
          <w:sz w:val="24"/>
        </w:rPr>
        <w:t xml:space="preserve">不同供应商委托同一单位或者个人办理磋商事宜； </w:t>
      </w:r>
    </w:p>
    <w:p w14:paraId="06C657AC">
      <w:pPr>
        <w:widowControl/>
        <w:spacing w:line="360" w:lineRule="auto"/>
        <w:ind w:firstLine="600" w:firstLineChars="250"/>
        <w:rPr>
          <w:rFonts w:ascii="宋体" w:hAnsi="宋体" w:cs="宋体"/>
          <w:color w:val="auto"/>
          <w:sz w:val="24"/>
        </w:rPr>
      </w:pPr>
      <w:r>
        <w:rPr>
          <w:rFonts w:hint="eastAsia" w:ascii="宋体" w:hAnsi="宋体" w:cs="宋体"/>
          <w:color w:val="auto"/>
          <w:sz w:val="24"/>
        </w:rPr>
        <w:t>C</w:t>
      </w:r>
      <w:r>
        <w:rPr>
          <w:rFonts w:hint="eastAsia" w:ascii="宋体" w:hAnsi="宋体" w:cs="宋体"/>
          <w:color w:val="auto"/>
          <w:sz w:val="24"/>
          <w:lang w:eastAsia="zh-CN"/>
        </w:rPr>
        <w:t>.</w:t>
      </w:r>
      <w:r>
        <w:rPr>
          <w:rFonts w:hint="eastAsia" w:ascii="宋体" w:hAnsi="宋体" w:cs="宋体"/>
          <w:color w:val="auto"/>
          <w:sz w:val="24"/>
        </w:rPr>
        <w:t>不同供应商的响应文件载明的项目管理成员或者联系人员为同一人；</w:t>
      </w:r>
    </w:p>
    <w:p w14:paraId="3074CD2B">
      <w:pPr>
        <w:widowControl/>
        <w:spacing w:line="360" w:lineRule="auto"/>
        <w:ind w:firstLine="600" w:firstLineChars="250"/>
        <w:rPr>
          <w:rFonts w:ascii="宋体" w:hAnsi="宋体" w:cs="宋体"/>
          <w:color w:val="auto"/>
          <w:sz w:val="24"/>
        </w:rPr>
      </w:pPr>
      <w:r>
        <w:rPr>
          <w:rFonts w:hint="eastAsia" w:ascii="宋体" w:hAnsi="宋体" w:cs="宋体"/>
          <w:color w:val="auto"/>
          <w:sz w:val="24"/>
        </w:rPr>
        <w:t>D</w:t>
      </w:r>
      <w:r>
        <w:rPr>
          <w:rFonts w:hint="eastAsia" w:ascii="宋体" w:hAnsi="宋体" w:cs="宋体"/>
          <w:color w:val="auto"/>
          <w:sz w:val="24"/>
          <w:lang w:eastAsia="zh-CN"/>
        </w:rPr>
        <w:t>.</w:t>
      </w:r>
      <w:r>
        <w:rPr>
          <w:rFonts w:hint="eastAsia" w:ascii="宋体" w:hAnsi="宋体" w:cs="宋体"/>
          <w:color w:val="auto"/>
          <w:sz w:val="24"/>
        </w:rPr>
        <w:t>不同供应商的响应文件异常一致或者磋商报价呈规律性差异；</w:t>
      </w:r>
    </w:p>
    <w:p w14:paraId="0E7BC71D">
      <w:pPr>
        <w:widowControl/>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 xml:space="preserve"> E</w:t>
      </w:r>
      <w:r>
        <w:rPr>
          <w:rFonts w:hint="eastAsia" w:ascii="宋体" w:hAnsi="宋体" w:cs="宋体"/>
          <w:color w:val="auto"/>
          <w:sz w:val="24"/>
          <w:lang w:eastAsia="zh-CN"/>
        </w:rPr>
        <w:t>.</w:t>
      </w:r>
      <w:r>
        <w:rPr>
          <w:rFonts w:hint="eastAsia" w:ascii="宋体" w:hAnsi="宋体" w:cs="宋体"/>
          <w:color w:val="auto"/>
          <w:sz w:val="24"/>
        </w:rPr>
        <w:t>不同供应商的响应文件相互混装</w:t>
      </w:r>
      <w:r>
        <w:rPr>
          <w:rFonts w:hint="eastAsia" w:ascii="宋体" w:hAnsi="宋体" w:cs="宋体"/>
          <w:color w:val="auto"/>
          <w:sz w:val="24"/>
          <w:lang w:eastAsia="zh-CN"/>
        </w:rPr>
        <w:t>。</w:t>
      </w:r>
    </w:p>
    <w:p w14:paraId="35C4231C">
      <w:pPr>
        <w:pStyle w:val="4"/>
        <w:keepNext w:val="0"/>
        <w:keepLines w:val="0"/>
        <w:spacing w:line="360" w:lineRule="auto"/>
        <w:ind w:firstLine="482" w:firstLineChars="200"/>
        <w:rPr>
          <w:rFonts w:ascii="宋体" w:hAnsi="宋体" w:cs="宋体"/>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澄清</w:t>
      </w:r>
    </w:p>
    <w:p w14:paraId="33D9479F">
      <w:pPr>
        <w:widowControl/>
        <w:spacing w:line="360" w:lineRule="auto"/>
        <w:ind w:firstLine="360" w:firstLineChars="150"/>
        <w:rPr>
          <w:rFonts w:ascii="宋体" w:hAnsi="宋体" w:cs="宋体"/>
          <w:color w:val="auto"/>
          <w:sz w:val="24"/>
        </w:rPr>
      </w:pPr>
      <w:r>
        <w:rPr>
          <w:rFonts w:hint="eastAsia" w:ascii="宋体" w:hAnsi="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4A277EC">
      <w:pPr>
        <w:widowControl/>
        <w:spacing w:line="360" w:lineRule="auto"/>
        <w:ind w:firstLine="360" w:firstLineChars="150"/>
        <w:rPr>
          <w:rFonts w:ascii="宋体" w:hAnsi="宋体" w:cs="宋体"/>
          <w:color w:val="auto"/>
          <w:sz w:val="24"/>
        </w:rPr>
      </w:pPr>
      <w:r>
        <w:rPr>
          <w:rFonts w:hint="eastAsia" w:ascii="宋体" w:hAnsi="宋体" w:cs="宋体"/>
          <w:color w:val="auto"/>
          <w:sz w:val="24"/>
        </w:rPr>
        <w:t>（2）实质性内容包括但不限于：服务期、付款方式、安全指标、质量指标、主要技术指标等。</w:t>
      </w:r>
    </w:p>
    <w:p w14:paraId="114DBE1A">
      <w:pPr>
        <w:widowControl/>
        <w:spacing w:line="360" w:lineRule="auto"/>
        <w:ind w:firstLine="360" w:firstLineChars="150"/>
        <w:rPr>
          <w:rFonts w:ascii="宋体" w:hAnsi="宋体" w:cs="宋体"/>
          <w:color w:val="auto"/>
          <w:sz w:val="24"/>
        </w:rPr>
      </w:pPr>
      <w:r>
        <w:rPr>
          <w:rFonts w:hint="eastAsia" w:ascii="宋体" w:hAnsi="宋体" w:cs="宋体"/>
          <w:color w:val="auto"/>
          <w:sz w:val="24"/>
        </w:rPr>
        <w:t>（3）磋商小组要求供应商澄清、说明或者更正响应文件应当以书面形式作出，并由其法定代表人或被授权人签字。</w:t>
      </w:r>
    </w:p>
    <w:p w14:paraId="4E291D4B">
      <w:pPr>
        <w:spacing w:line="360" w:lineRule="auto"/>
        <w:ind w:firstLine="360" w:firstLineChars="150"/>
        <w:rPr>
          <w:rFonts w:ascii="宋体" w:hAnsi="宋体" w:cs="宋体"/>
          <w:color w:val="auto"/>
          <w:sz w:val="24"/>
        </w:rPr>
      </w:pPr>
      <w:r>
        <w:rPr>
          <w:rFonts w:hint="eastAsia" w:ascii="宋体" w:hAnsi="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1"/>
    <w:p w14:paraId="193131EB">
      <w:pPr>
        <w:pStyle w:val="4"/>
        <w:keepNext w:val="0"/>
        <w:keepLines w:val="0"/>
        <w:spacing w:line="360" w:lineRule="auto"/>
        <w:ind w:firstLine="482" w:firstLineChars="200"/>
        <w:rPr>
          <w:rFonts w:ascii="宋体" w:hAnsi="宋体" w:cs="宋体"/>
          <w:color w:val="auto"/>
          <w:sz w:val="24"/>
          <w:szCs w:val="24"/>
        </w:rPr>
      </w:pPr>
      <w:bookmarkStart w:id="92" w:name="_Toc12947"/>
      <w:bookmarkStart w:id="93" w:name="_Toc536202314"/>
      <w:r>
        <w:rPr>
          <w:rFonts w:hint="eastAsia" w:ascii="宋体" w:hAnsi="宋体" w:cs="宋体"/>
          <w:color w:val="auto"/>
          <w:sz w:val="24"/>
          <w:szCs w:val="24"/>
          <w:lang w:eastAsia="zh-CN"/>
        </w:rPr>
        <w:t>6.</w:t>
      </w:r>
      <w:r>
        <w:rPr>
          <w:rFonts w:hint="eastAsia" w:ascii="宋体" w:hAnsi="宋体" w:cs="宋体"/>
          <w:color w:val="auto"/>
          <w:sz w:val="24"/>
          <w:szCs w:val="24"/>
        </w:rPr>
        <w:t>评审方法及内容</w:t>
      </w:r>
      <w:r>
        <w:rPr>
          <w:rFonts w:hint="eastAsia" w:ascii="宋体" w:hAnsi="宋体" w:cs="宋体"/>
          <w:color w:val="auto"/>
          <w:sz w:val="24"/>
          <w:szCs w:val="24"/>
        </w:rPr>
        <w:tab/>
      </w:r>
    </w:p>
    <w:p w14:paraId="48452F36">
      <w:pPr>
        <w:spacing w:line="360" w:lineRule="auto"/>
        <w:ind w:firstLine="360" w:firstLineChars="150"/>
        <w:rPr>
          <w:rFonts w:ascii="宋体" w:hAnsi="宋体" w:cs="宋体"/>
          <w:color w:val="auto"/>
          <w:sz w:val="24"/>
        </w:rPr>
      </w:pPr>
      <w:r>
        <w:rPr>
          <w:rFonts w:hint="eastAsia" w:ascii="宋体" w:hAnsi="宋体" w:cs="宋体"/>
          <w:color w:val="auto"/>
          <w:sz w:val="24"/>
        </w:rPr>
        <w:t>（1）按照磋商文件规定的评审方法和标准，对资格性审查和符合性审查合格的响应文件进行商务和技术评审，综合比较和评价。</w:t>
      </w:r>
    </w:p>
    <w:p w14:paraId="4A7EC1A8">
      <w:pPr>
        <w:spacing w:line="360" w:lineRule="auto"/>
        <w:ind w:firstLine="360" w:firstLineChars="150"/>
        <w:rPr>
          <w:rFonts w:ascii="宋体" w:hAnsi="宋体" w:cs="宋体"/>
          <w:color w:val="auto"/>
          <w:sz w:val="24"/>
        </w:rPr>
      </w:pPr>
      <w:r>
        <w:rPr>
          <w:rFonts w:hint="eastAsia" w:ascii="宋体" w:hAnsi="宋体" w:cs="宋体"/>
          <w:color w:val="auto"/>
          <w:sz w:val="24"/>
        </w:rPr>
        <w:t>（2）采用综合评分法：二次报价为最终报价，在满足磋商文件所有实质性要求前提下，提交最终报价。如采购需求没有实质性变化，各供应商的报价应逐次降低，二次报价高于一次报价的，为无效报价，按无效文件处理。</w:t>
      </w:r>
    </w:p>
    <w:p w14:paraId="1BC0205F">
      <w:pPr>
        <w:spacing w:line="360" w:lineRule="auto"/>
        <w:ind w:firstLine="360" w:firstLineChars="150"/>
        <w:rPr>
          <w:rFonts w:ascii="宋体" w:hAnsi="宋体" w:cs="宋体"/>
          <w:color w:val="auto"/>
          <w:sz w:val="24"/>
          <w:lang w:val="zh-CN"/>
        </w:rPr>
      </w:pPr>
      <w:r>
        <w:rPr>
          <w:rFonts w:hint="eastAsia" w:ascii="宋体" w:hAnsi="宋体" w:cs="宋体"/>
          <w:color w:val="auto"/>
          <w:sz w:val="24"/>
        </w:rPr>
        <w:t xml:space="preserve"> （3）</w:t>
      </w:r>
      <w:r>
        <w:rPr>
          <w:rFonts w:hint="eastAsia" w:ascii="宋体" w:hAnsi="宋体" w:cs="宋体"/>
          <w:color w:val="auto"/>
          <w:sz w:val="24"/>
          <w:lang w:val="zh-CN"/>
        </w:rPr>
        <w:t>磋商小组应当根据综合评分情况，按照评审得分由高到低顺序推荐3名成交候选供应商，并编写评审报告。评审得分相同的，按照最后报价由低到高的顺序推荐。评审得分且最后报价相同的，按照服务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文件处理。</w:t>
      </w:r>
    </w:p>
    <w:p w14:paraId="3822FC4A">
      <w:pPr>
        <w:spacing w:line="360" w:lineRule="auto"/>
        <w:ind w:firstLine="360" w:firstLineChars="150"/>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4</w:t>
      </w:r>
      <w:r>
        <w:rPr>
          <w:rFonts w:hint="eastAsia" w:ascii="宋体" w:hAnsi="宋体" w:cs="宋体"/>
          <w:color w:val="auto"/>
          <w:sz w:val="24"/>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3F9B2EC">
      <w:pPr>
        <w:pStyle w:val="4"/>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eastAsia="zh-CN"/>
        </w:rPr>
        <w:t>7.</w:t>
      </w:r>
      <w:r>
        <w:rPr>
          <w:rFonts w:hint="eastAsia" w:ascii="宋体" w:hAnsi="宋体" w:cs="宋体"/>
          <w:color w:val="auto"/>
          <w:sz w:val="24"/>
          <w:szCs w:val="28"/>
        </w:rPr>
        <w:t>定标</w:t>
      </w:r>
      <w:bookmarkEnd w:id="92"/>
      <w:bookmarkEnd w:id="93"/>
    </w:p>
    <w:p w14:paraId="75ECD985">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7.1代理机构在评审结束后2个工作日内将评审报告送达采购单位，采购单位在收到评审报告后5个工作日内，按照评审报告中推荐的成交候选人顺序确认第一成交候选人为成交单位，同时书面复函代理机构；</w:t>
      </w:r>
    </w:p>
    <w:p w14:paraId="5BF0EFB9">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7.2代理机构收到采购单位“</w:t>
      </w:r>
      <w:r>
        <w:rPr>
          <w:rFonts w:hint="eastAsia" w:ascii="宋体" w:hAnsi="宋体" w:cs="宋体"/>
          <w:color w:val="auto"/>
          <w:sz w:val="24"/>
          <w:szCs w:val="28"/>
          <w:lang w:val="en-US" w:eastAsia="zh-CN"/>
        </w:rPr>
        <w:t>成交</w:t>
      </w:r>
      <w:r>
        <w:rPr>
          <w:rFonts w:hint="eastAsia" w:ascii="宋体" w:hAnsi="宋体" w:cs="宋体"/>
          <w:color w:val="auto"/>
          <w:sz w:val="24"/>
          <w:szCs w:val="28"/>
        </w:rPr>
        <w:t>复函”后2</w:t>
      </w:r>
      <w:r>
        <w:rPr>
          <w:rFonts w:hint="eastAsia" w:ascii="宋体" w:hAnsi="宋体" w:cs="宋体"/>
          <w:color w:val="auto"/>
          <w:sz w:val="24"/>
          <w:szCs w:val="28"/>
          <w:lang w:val="en-US" w:eastAsia="zh-CN"/>
        </w:rPr>
        <w:t>个工作</w:t>
      </w:r>
      <w:r>
        <w:rPr>
          <w:rFonts w:hint="eastAsia" w:ascii="宋体" w:hAnsi="宋体" w:cs="宋体"/>
          <w:color w:val="auto"/>
          <w:sz w:val="24"/>
          <w:szCs w:val="28"/>
        </w:rPr>
        <w:t>日内，在财政部门指定的政府采购信息媒体上发布公告，并向成交供应商发出“成交通知书”。</w:t>
      </w:r>
    </w:p>
    <w:p w14:paraId="37FF54E9">
      <w:pPr>
        <w:widowControl/>
        <w:numPr>
          <w:ilvl w:val="0"/>
          <w:numId w:val="3"/>
        </w:numPr>
        <w:spacing w:line="360" w:lineRule="auto"/>
        <w:ind w:firstLine="643" w:firstLineChars="200"/>
        <w:jc w:val="center"/>
        <w:outlineLvl w:val="1"/>
        <w:rPr>
          <w:rFonts w:ascii="宋体" w:hAnsi="宋体" w:cs="宋体"/>
          <w:b/>
          <w:bCs/>
          <w:color w:val="auto"/>
          <w:kern w:val="0"/>
          <w:sz w:val="32"/>
          <w:szCs w:val="32"/>
        </w:rPr>
      </w:pPr>
      <w:bookmarkStart w:id="94" w:name="_Toc536202384"/>
      <w:bookmarkStart w:id="95" w:name="_Toc19543341"/>
      <w:bookmarkStart w:id="96" w:name="_Toc25308"/>
      <w:bookmarkStart w:id="97" w:name="_Toc19972"/>
      <w:bookmarkStart w:id="98" w:name="_Toc11870"/>
      <w:bookmarkStart w:id="99" w:name="_Toc536202315"/>
      <w:bookmarkStart w:id="100" w:name="_Toc536429377"/>
      <w:bookmarkStart w:id="101" w:name="_Toc536429324"/>
      <w:r>
        <w:rPr>
          <w:rFonts w:hint="eastAsia" w:ascii="宋体" w:hAnsi="宋体" w:cs="宋体"/>
          <w:b/>
          <w:bCs/>
          <w:color w:val="auto"/>
          <w:kern w:val="0"/>
          <w:sz w:val="32"/>
          <w:szCs w:val="32"/>
        </w:rPr>
        <w:t>签订合同</w:t>
      </w:r>
      <w:bookmarkEnd w:id="94"/>
      <w:bookmarkEnd w:id="95"/>
      <w:bookmarkEnd w:id="96"/>
      <w:bookmarkEnd w:id="97"/>
      <w:bookmarkEnd w:id="98"/>
      <w:bookmarkEnd w:id="99"/>
      <w:bookmarkEnd w:id="100"/>
      <w:bookmarkEnd w:id="101"/>
    </w:p>
    <w:p w14:paraId="5198C592">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成交后，成交供应商在收到成交通知书后</w:t>
      </w:r>
      <w:r>
        <w:rPr>
          <w:rFonts w:hint="eastAsia" w:ascii="宋体" w:hAnsi="宋体" w:cs="宋体"/>
          <w:color w:val="auto"/>
          <w:sz w:val="24"/>
          <w:lang w:val="en-US" w:eastAsia="zh-CN"/>
        </w:rPr>
        <w:t>二十五</w:t>
      </w:r>
      <w:r>
        <w:rPr>
          <w:rFonts w:hint="eastAsia" w:ascii="宋体" w:hAnsi="宋体" w:cs="宋体"/>
          <w:color w:val="auto"/>
          <w:sz w:val="24"/>
        </w:rPr>
        <w:t>（</w:t>
      </w:r>
      <w:r>
        <w:rPr>
          <w:rFonts w:hint="eastAsia" w:ascii="宋体" w:hAnsi="宋体" w:cs="宋体"/>
          <w:color w:val="auto"/>
          <w:sz w:val="24"/>
          <w:lang w:val="en-US" w:eastAsia="zh-CN"/>
        </w:rPr>
        <w:t>25</w:t>
      </w:r>
      <w:r>
        <w:rPr>
          <w:rFonts w:hint="eastAsia" w:ascii="宋体" w:hAnsi="宋体" w:cs="宋体"/>
          <w:color w:val="auto"/>
          <w:sz w:val="24"/>
        </w:rPr>
        <w:t>）个日历日内，应按磋商文件的要求与采购人洽谈合同条款，并签订供货合同，同时送监督机构备案，磋商文件及成交供应商的响应文件均作为合同的组成部分；</w:t>
      </w:r>
    </w:p>
    <w:p w14:paraId="02D9D9D7">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采购人不得向成交供应商提出超出磋商文件以外的任何要求作为签订合同的条件，不得与成交供应商订立背离磋商文件确定的合同文本以及采购服务要求实质性内容的协议。</w:t>
      </w:r>
    </w:p>
    <w:p w14:paraId="4081BEE6">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23D45998">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4.</w:t>
      </w:r>
      <w:r>
        <w:rPr>
          <w:rFonts w:hint="eastAsia" w:ascii="宋体" w:hAnsi="宋体" w:cs="宋体"/>
          <w:color w:val="auto"/>
          <w:sz w:val="24"/>
        </w:rPr>
        <w:t>政府采购合同在执行过程中，确需修改、变更时，应当按照相应的审核批准程序办理。</w:t>
      </w:r>
    </w:p>
    <w:p w14:paraId="10CA07B3">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5.</w:t>
      </w:r>
      <w:r>
        <w:rPr>
          <w:rFonts w:hint="eastAsia" w:ascii="宋体" w:hAnsi="宋体" w:cs="宋体"/>
          <w:color w:val="auto"/>
          <w:sz w:val="24"/>
        </w:rPr>
        <w:t>磋商文件、响应文件、澄清等为政府采购合同的组成部分，具有同等法律效力。</w:t>
      </w:r>
    </w:p>
    <w:p w14:paraId="7FBE94B9">
      <w:pPr>
        <w:spacing w:line="360" w:lineRule="auto"/>
        <w:ind w:firstLine="480" w:firstLineChars="200"/>
        <w:rPr>
          <w:rFonts w:ascii="宋体" w:hAnsi="宋体" w:cs="宋体"/>
          <w:color w:val="auto"/>
          <w:sz w:val="24"/>
        </w:rPr>
      </w:pPr>
      <w:bookmarkStart w:id="102" w:name="_Toc26132"/>
      <w:bookmarkStart w:id="103" w:name="_Toc536429325"/>
      <w:bookmarkStart w:id="104" w:name="_Toc32237"/>
      <w:bookmarkStart w:id="105" w:name="_Toc536429378"/>
      <w:bookmarkStart w:id="106" w:name="_Toc28110"/>
      <w:bookmarkStart w:id="107" w:name="_Toc536202385"/>
      <w:bookmarkStart w:id="108" w:name="_Toc536202316"/>
      <w:r>
        <w:rPr>
          <w:rFonts w:hint="eastAsia" w:ascii="宋体" w:hAnsi="宋体" w:cs="宋体"/>
          <w:color w:val="auto"/>
          <w:sz w:val="24"/>
          <w:lang w:eastAsia="zh-CN"/>
        </w:rPr>
        <w:t>6.</w:t>
      </w:r>
      <w:r>
        <w:rPr>
          <w:rFonts w:hint="eastAsia" w:ascii="宋体" w:hAnsi="宋体" w:cs="宋体"/>
          <w:color w:val="auto"/>
          <w:sz w:val="24"/>
        </w:rPr>
        <w:t>政府采购管理部门在合同履行期间以及履行期后，可以随时检查项目的执行情况，对采购标准、采购内容进行调查核实，并对发现的问题进行处理。</w:t>
      </w:r>
    </w:p>
    <w:p w14:paraId="5F12FC05">
      <w:pPr>
        <w:widowControl/>
        <w:numPr>
          <w:ilvl w:val="0"/>
          <w:numId w:val="3"/>
        </w:numPr>
        <w:spacing w:line="360" w:lineRule="auto"/>
        <w:ind w:firstLine="643" w:firstLineChars="200"/>
        <w:jc w:val="center"/>
        <w:outlineLvl w:val="1"/>
        <w:rPr>
          <w:rFonts w:ascii="宋体" w:hAnsi="宋体" w:cs="宋体"/>
          <w:b/>
          <w:bCs/>
          <w:color w:val="auto"/>
          <w:kern w:val="0"/>
          <w:sz w:val="32"/>
          <w:szCs w:val="32"/>
        </w:rPr>
      </w:pPr>
      <w:bookmarkStart w:id="109" w:name="_Toc19543342"/>
      <w:r>
        <w:rPr>
          <w:rFonts w:hint="eastAsia" w:ascii="宋体" w:hAnsi="宋体" w:cs="宋体"/>
          <w:b/>
          <w:bCs/>
          <w:color w:val="auto"/>
          <w:kern w:val="0"/>
          <w:sz w:val="32"/>
          <w:szCs w:val="32"/>
        </w:rPr>
        <w:t>代理服务费</w:t>
      </w:r>
      <w:bookmarkEnd w:id="102"/>
      <w:bookmarkEnd w:id="103"/>
      <w:bookmarkEnd w:id="104"/>
      <w:bookmarkEnd w:id="105"/>
      <w:bookmarkEnd w:id="106"/>
      <w:bookmarkEnd w:id="107"/>
      <w:bookmarkEnd w:id="108"/>
      <w:bookmarkEnd w:id="109"/>
    </w:p>
    <w:p w14:paraId="6DB727FF">
      <w:pPr>
        <w:numPr>
          <w:ilvl w:val="0"/>
          <w:numId w:val="6"/>
        </w:numPr>
        <w:spacing w:line="360" w:lineRule="auto"/>
        <w:ind w:firstLine="480" w:firstLineChars="200"/>
        <w:jc w:val="left"/>
        <w:rPr>
          <w:rFonts w:hint="eastAsia" w:ascii="宋体" w:hAnsi="宋体" w:cs="宋体"/>
          <w:color w:val="auto"/>
          <w:sz w:val="24"/>
          <w:szCs w:val="28"/>
        </w:rPr>
      </w:pPr>
      <w:r>
        <w:rPr>
          <w:rFonts w:hint="eastAsia" w:ascii="宋体" w:hAnsi="宋体" w:cs="宋体"/>
          <w:color w:val="auto"/>
          <w:sz w:val="24"/>
          <w:szCs w:val="28"/>
        </w:rPr>
        <w:t>参照国家计委颁发的《招标代理服务收费管理暂行办法》（计价格[2002]1980号）和国家发展</w:t>
      </w:r>
      <w:r>
        <w:rPr>
          <w:rFonts w:hint="eastAsia" w:ascii="宋体" w:hAnsi="宋体" w:cs="宋体"/>
          <w:color w:val="auto"/>
          <w:sz w:val="24"/>
          <w:szCs w:val="28"/>
          <w:lang w:val="en-US" w:eastAsia="zh-CN"/>
        </w:rPr>
        <w:t>和</w:t>
      </w:r>
      <w:r>
        <w:rPr>
          <w:rFonts w:hint="eastAsia" w:ascii="宋体" w:hAnsi="宋体" w:cs="宋体"/>
          <w:color w:val="auto"/>
          <w:sz w:val="24"/>
          <w:szCs w:val="28"/>
        </w:rPr>
        <w:t>改革委员会办公厅颁发的《关于招标代理服务收费有关问题的通知》（发改办价格[2003]857号）的标准收取。</w:t>
      </w:r>
    </w:p>
    <w:p w14:paraId="216CEBF7">
      <w:pPr>
        <w:numPr>
          <w:ilvl w:val="0"/>
          <w:numId w:val="0"/>
        </w:numPr>
        <w:spacing w:line="360" w:lineRule="auto"/>
        <w:ind w:firstLine="480" w:firstLineChars="200"/>
        <w:jc w:val="left"/>
        <w:rPr>
          <w:rFonts w:hint="eastAsia" w:ascii="宋体" w:hAnsi="宋体" w:cs="宋体"/>
          <w:color w:val="auto"/>
          <w:sz w:val="24"/>
          <w:szCs w:val="28"/>
        </w:rPr>
      </w:pPr>
      <w:r>
        <w:rPr>
          <w:rFonts w:hint="eastAsia" w:ascii="宋体" w:hAnsi="宋体" w:cs="宋体"/>
          <w:color w:val="auto"/>
          <w:sz w:val="24"/>
          <w:szCs w:val="28"/>
        </w:rPr>
        <w:t xml:space="preserve">采购代理机构开户名称：安康尚昊招标代理有限公司  </w:t>
      </w:r>
    </w:p>
    <w:p w14:paraId="7FB428B2">
      <w:pPr>
        <w:numPr>
          <w:ilvl w:val="0"/>
          <w:numId w:val="0"/>
        </w:numPr>
        <w:spacing w:line="360" w:lineRule="auto"/>
        <w:ind w:firstLine="480" w:firstLineChars="200"/>
        <w:jc w:val="left"/>
        <w:rPr>
          <w:rFonts w:hint="eastAsia" w:ascii="宋体" w:hAnsi="宋体" w:cs="宋体"/>
          <w:color w:val="auto"/>
          <w:sz w:val="24"/>
          <w:szCs w:val="28"/>
        </w:rPr>
      </w:pPr>
      <w:r>
        <w:rPr>
          <w:rFonts w:hint="eastAsia" w:ascii="宋体" w:hAnsi="宋体" w:cs="宋体"/>
          <w:color w:val="auto"/>
          <w:sz w:val="24"/>
          <w:szCs w:val="28"/>
        </w:rPr>
        <w:t xml:space="preserve">开户行名称：中国建设银行股份有限公司安康分行营业部  </w:t>
      </w:r>
    </w:p>
    <w:p w14:paraId="1EAB3257">
      <w:pPr>
        <w:numPr>
          <w:ilvl w:val="0"/>
          <w:numId w:val="0"/>
        </w:num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账号</w:t>
      </w:r>
      <w:r>
        <w:rPr>
          <w:rFonts w:hint="eastAsia" w:ascii="宋体" w:hAnsi="宋体" w:cs="宋体"/>
          <w:color w:val="auto"/>
          <w:sz w:val="24"/>
          <w:szCs w:val="28"/>
        </w:rPr>
        <w:t>：61050166371100000492）</w:t>
      </w:r>
    </w:p>
    <w:p w14:paraId="4F050B0D">
      <w:pPr>
        <w:numPr>
          <w:ilvl w:val="0"/>
          <w:numId w:val="0"/>
        </w:num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val="en-US" w:eastAsia="zh-CN"/>
        </w:rPr>
        <w:t>2.本次项目代理服务费由成交供应商支付，</w:t>
      </w:r>
      <w:r>
        <w:rPr>
          <w:rFonts w:hint="eastAsia" w:ascii="宋体" w:hAnsi="宋体" w:cs="宋体"/>
          <w:color w:val="auto"/>
          <w:sz w:val="24"/>
          <w:szCs w:val="28"/>
        </w:rPr>
        <w:t>代理服务费以转账、电汇或现金等形式交纳。</w:t>
      </w:r>
    </w:p>
    <w:p w14:paraId="369ED418">
      <w:pPr>
        <w:widowControl/>
        <w:numPr>
          <w:ilvl w:val="0"/>
          <w:numId w:val="3"/>
        </w:numPr>
        <w:spacing w:line="360" w:lineRule="auto"/>
        <w:ind w:firstLine="0"/>
        <w:jc w:val="center"/>
        <w:outlineLvl w:val="1"/>
        <w:rPr>
          <w:rFonts w:ascii="宋体" w:hAnsi="宋体" w:cs="宋体"/>
          <w:b/>
          <w:bCs/>
          <w:color w:val="auto"/>
          <w:kern w:val="0"/>
          <w:sz w:val="32"/>
          <w:szCs w:val="32"/>
        </w:rPr>
      </w:pPr>
      <w:bookmarkStart w:id="110" w:name="_Toc536429379"/>
      <w:bookmarkStart w:id="111" w:name="_Toc536202386"/>
      <w:bookmarkStart w:id="112" w:name="_Toc536202317"/>
      <w:bookmarkStart w:id="113" w:name="_Toc19543343"/>
      <w:bookmarkStart w:id="114" w:name="_Toc11491"/>
      <w:bookmarkStart w:id="115" w:name="_Toc664"/>
      <w:bookmarkStart w:id="116" w:name="_Toc536429326"/>
      <w:r>
        <w:rPr>
          <w:rFonts w:hint="eastAsia" w:ascii="宋体" w:hAnsi="宋体" w:cs="宋体"/>
          <w:b/>
          <w:bCs/>
          <w:color w:val="auto"/>
          <w:kern w:val="0"/>
          <w:sz w:val="32"/>
          <w:szCs w:val="32"/>
        </w:rPr>
        <w:t>质疑和投诉</w:t>
      </w:r>
      <w:bookmarkEnd w:id="110"/>
      <w:bookmarkEnd w:id="111"/>
      <w:bookmarkEnd w:id="112"/>
      <w:bookmarkEnd w:id="113"/>
      <w:bookmarkEnd w:id="114"/>
      <w:bookmarkEnd w:id="115"/>
      <w:bookmarkEnd w:id="116"/>
    </w:p>
    <w:p w14:paraId="1776918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质疑或投诉的接收和处理应当按照《中华人民共和国政府采购法》及其实施条例、《政府采购质疑和投诉办法</w:t>
      </w:r>
      <w:r>
        <w:rPr>
          <w:rFonts w:hint="eastAsia" w:ascii="宋体" w:hAnsi="宋体" w:cs="宋体"/>
          <w:color w:val="auto"/>
          <w:sz w:val="24"/>
          <w:szCs w:val="28"/>
          <w:lang w:eastAsia="zh-CN"/>
        </w:rPr>
        <w:t>》《</w:t>
      </w:r>
      <w:r>
        <w:rPr>
          <w:rFonts w:hint="eastAsia" w:ascii="宋体" w:hAnsi="宋体" w:cs="宋体"/>
          <w:color w:val="auto"/>
          <w:sz w:val="24"/>
          <w:szCs w:val="28"/>
        </w:rPr>
        <w:t>财政部关于加强政府采购供应商投诉受理审查工作的通知》等的相关规定办理。</w:t>
      </w:r>
    </w:p>
    <w:p w14:paraId="2FFA6328">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1.</w:t>
      </w:r>
      <w:r>
        <w:rPr>
          <w:rFonts w:hint="eastAsia" w:ascii="宋体" w:hAnsi="宋体" w:cs="宋体"/>
          <w:color w:val="auto"/>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5D2E8E58">
      <w:pPr>
        <w:spacing w:line="360" w:lineRule="auto"/>
        <w:ind w:firstLine="240" w:firstLineChars="100"/>
        <w:jc w:val="left"/>
        <w:rPr>
          <w:rFonts w:ascii="宋体" w:hAnsi="宋体" w:cs="宋体"/>
          <w:color w:val="auto"/>
          <w:sz w:val="24"/>
          <w:szCs w:val="28"/>
        </w:rPr>
      </w:pPr>
      <w:r>
        <w:rPr>
          <w:rFonts w:hint="eastAsia" w:ascii="宋体" w:hAnsi="宋体" w:cs="宋体"/>
          <w:color w:val="auto"/>
          <w:sz w:val="24"/>
          <w:szCs w:val="28"/>
        </w:rPr>
        <w:t>（1）对采购文件提出质疑的，为收到采购文件之日或者采购文件公告期限届满之日；</w:t>
      </w:r>
    </w:p>
    <w:p w14:paraId="485816BA">
      <w:pPr>
        <w:spacing w:line="360" w:lineRule="auto"/>
        <w:ind w:firstLine="240" w:firstLineChars="100"/>
        <w:jc w:val="left"/>
        <w:rPr>
          <w:rFonts w:ascii="宋体" w:hAnsi="宋体" w:cs="宋体"/>
          <w:color w:val="auto"/>
          <w:sz w:val="24"/>
          <w:szCs w:val="28"/>
        </w:rPr>
      </w:pPr>
      <w:r>
        <w:rPr>
          <w:rFonts w:hint="eastAsia" w:ascii="宋体" w:hAnsi="宋体" w:cs="宋体"/>
          <w:color w:val="auto"/>
          <w:sz w:val="24"/>
          <w:szCs w:val="28"/>
        </w:rPr>
        <w:t>（2）对采购过程提出质疑的，为各采购程序环节结束之日；</w:t>
      </w:r>
    </w:p>
    <w:p w14:paraId="056884B7">
      <w:pPr>
        <w:spacing w:line="360" w:lineRule="auto"/>
        <w:ind w:firstLine="240" w:firstLineChars="100"/>
        <w:jc w:val="left"/>
        <w:rPr>
          <w:rFonts w:ascii="宋体" w:hAnsi="宋体" w:cs="宋体"/>
          <w:color w:val="auto"/>
          <w:sz w:val="24"/>
          <w:szCs w:val="28"/>
        </w:rPr>
      </w:pPr>
      <w:r>
        <w:rPr>
          <w:rFonts w:hint="eastAsia" w:ascii="宋体" w:hAnsi="宋体" w:cs="宋体"/>
          <w:color w:val="auto"/>
          <w:sz w:val="24"/>
          <w:szCs w:val="28"/>
        </w:rPr>
        <w:t>（3）对中标或者成交结果提出质疑的，为中标或者成交结果公告期限届满之日。</w:t>
      </w:r>
    </w:p>
    <w:p w14:paraId="011FBD0A">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供应商应当在法定质疑期内一次性提出针对同一采购程序环节的质疑。</w:t>
      </w:r>
    </w:p>
    <w:p w14:paraId="101E9E30">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3.</w:t>
      </w:r>
      <w:r>
        <w:rPr>
          <w:rFonts w:hint="eastAsia" w:ascii="宋体" w:hAnsi="宋体" w:cs="宋体"/>
          <w:color w:val="auto"/>
          <w:sz w:val="24"/>
          <w:szCs w:val="28"/>
        </w:rPr>
        <w:t>质疑函应当包括下列主要内容：</w:t>
      </w:r>
    </w:p>
    <w:p w14:paraId="608C6C66">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（1）供应商的姓名或者名称、地址、邮编、联系人及联系电话；</w:t>
      </w:r>
    </w:p>
    <w:p w14:paraId="00455932">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（2）质疑项目的名称、编号；</w:t>
      </w:r>
    </w:p>
    <w:p w14:paraId="64F68BF5">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（3）具体、明确的质疑事项和与质疑事项相关的请求；</w:t>
      </w:r>
    </w:p>
    <w:p w14:paraId="34B9742A">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（4）事实依据；</w:t>
      </w:r>
    </w:p>
    <w:p w14:paraId="45A21C54">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（5）必要的法律依据；</w:t>
      </w:r>
    </w:p>
    <w:p w14:paraId="51A5F149">
      <w:pPr>
        <w:spacing w:line="360" w:lineRule="auto"/>
        <w:ind w:firstLine="360" w:firstLineChars="150"/>
        <w:jc w:val="left"/>
        <w:rPr>
          <w:rFonts w:ascii="宋体" w:hAnsi="宋体" w:cs="宋体"/>
          <w:color w:val="auto"/>
          <w:sz w:val="24"/>
          <w:szCs w:val="28"/>
        </w:rPr>
      </w:pPr>
      <w:r>
        <w:rPr>
          <w:rFonts w:hint="eastAsia" w:ascii="宋体" w:hAnsi="宋体" w:cs="宋体"/>
          <w:color w:val="auto"/>
          <w:sz w:val="24"/>
          <w:szCs w:val="28"/>
        </w:rPr>
        <w:t>（6）提出质疑的日期。</w:t>
      </w:r>
    </w:p>
    <w:p w14:paraId="43B6495C">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4.</w:t>
      </w:r>
      <w:r>
        <w:rPr>
          <w:rFonts w:hint="eastAsia" w:ascii="宋体" w:hAnsi="宋体" w:cs="宋体"/>
          <w:color w:val="auto"/>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783BF9D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5.</w:t>
      </w:r>
      <w:r>
        <w:rPr>
          <w:rFonts w:hint="eastAsia" w:ascii="宋体" w:hAnsi="宋体" w:cs="宋体"/>
          <w:color w:val="auto"/>
          <w:sz w:val="24"/>
          <w:szCs w:val="28"/>
        </w:rPr>
        <w:t>质疑函内容不得含有虚假、恶意</w:t>
      </w:r>
      <w:r>
        <w:rPr>
          <w:rFonts w:hint="eastAsia" w:ascii="宋体" w:hAnsi="宋体" w:cs="宋体"/>
          <w:color w:val="auto"/>
          <w:sz w:val="24"/>
          <w:szCs w:val="28"/>
          <w:lang w:eastAsia="zh-CN"/>
        </w:rPr>
        <w:t>成分</w:t>
      </w:r>
      <w:r>
        <w:rPr>
          <w:rFonts w:hint="eastAsia" w:ascii="宋体" w:hAnsi="宋体" w:cs="宋体"/>
          <w:color w:val="auto"/>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5022721C">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6.</w:t>
      </w:r>
      <w:r>
        <w:rPr>
          <w:rFonts w:hint="eastAsia" w:ascii="宋体" w:hAnsi="宋体" w:cs="宋体"/>
          <w:color w:val="auto"/>
          <w:sz w:val="24"/>
          <w:szCs w:val="28"/>
        </w:rPr>
        <w:t>质疑函接收方式：</w:t>
      </w:r>
      <w:r>
        <w:rPr>
          <w:rFonts w:ascii="宋体" w:hAnsi="宋体" w:eastAsia="宋体" w:cs="宋体"/>
          <w:color w:val="auto"/>
          <w:sz w:val="24"/>
          <w:szCs w:val="24"/>
        </w:rPr>
        <w:t>接受</w:t>
      </w:r>
      <w:r>
        <w:rPr>
          <w:rStyle w:val="39"/>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w:t>
      </w:r>
      <w:r>
        <w:rPr>
          <w:rFonts w:hint="eastAsia" w:ascii="宋体" w:hAnsi="宋体" w:cs="宋体"/>
          <w:color w:val="auto"/>
          <w:sz w:val="24"/>
          <w:szCs w:val="28"/>
        </w:rPr>
        <w:t xml:space="preserve"> </w:t>
      </w:r>
    </w:p>
    <w:p w14:paraId="200C36C3">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7.</w:t>
      </w:r>
      <w:r>
        <w:rPr>
          <w:rFonts w:hint="eastAsia" w:ascii="宋体" w:hAnsi="宋体" w:cs="宋体"/>
          <w:color w:val="auto"/>
          <w:sz w:val="24"/>
          <w:szCs w:val="28"/>
        </w:rPr>
        <w:t>质疑受理部门：安康尚昊招标代理有限公司</w:t>
      </w:r>
    </w:p>
    <w:p w14:paraId="7D256DA6">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 xml:space="preserve">   质疑受理电话：13991519725</w:t>
      </w:r>
    </w:p>
    <w:p w14:paraId="186B6F48">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8.</w:t>
      </w:r>
      <w:r>
        <w:rPr>
          <w:rFonts w:hint="eastAsia" w:ascii="宋体" w:hAnsi="宋体" w:cs="宋体"/>
          <w:color w:val="auto"/>
          <w:sz w:val="24"/>
          <w:szCs w:val="28"/>
        </w:rPr>
        <w:t>提交质疑函地点：安康市高新区</w:t>
      </w:r>
      <w:r>
        <w:rPr>
          <w:rFonts w:hint="eastAsia" w:ascii="宋体" w:hAnsi="宋体" w:cs="宋体"/>
          <w:color w:val="auto"/>
          <w:sz w:val="24"/>
          <w:szCs w:val="28"/>
          <w:lang w:eastAsia="zh-CN"/>
        </w:rPr>
        <w:t>高新观澜8栋</w:t>
      </w:r>
      <w:r>
        <w:rPr>
          <w:rFonts w:hint="eastAsia" w:ascii="宋体" w:hAnsi="宋体" w:cs="宋体"/>
          <w:color w:val="auto"/>
          <w:sz w:val="24"/>
          <w:szCs w:val="28"/>
        </w:rPr>
        <w:t>2单元801室</w:t>
      </w:r>
    </w:p>
    <w:p w14:paraId="4750A62E">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39"/>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170C3A7E">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如所质疑的问题比较复杂，采购人或者采购代理机构在规定的答复时间内无法回复，应事先告知提出质疑的供应商，同时向同级政府采购监督管理部门报告。</w:t>
      </w:r>
    </w:p>
    <w:p w14:paraId="336F0A10">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10</w:t>
      </w:r>
      <w:r>
        <w:rPr>
          <w:rFonts w:hint="eastAsia" w:ascii="宋体" w:hAnsi="宋体" w:cs="宋体"/>
          <w:color w:val="auto"/>
          <w:sz w:val="24"/>
          <w:szCs w:val="28"/>
          <w:lang w:val="en-US" w:eastAsia="zh-CN"/>
        </w:rPr>
        <w:t>.</w:t>
      </w:r>
      <w:r>
        <w:rPr>
          <w:rFonts w:hint="eastAsia" w:ascii="宋体" w:hAnsi="宋体" w:cs="宋体"/>
          <w:color w:val="auto"/>
          <w:sz w:val="24"/>
          <w:szCs w:val="28"/>
        </w:rPr>
        <w:t>质疑供应商对采购人、采购代理机构的答复不满意，或者采购人、采购代理机构未在规定的时间内作出答复的，可以在答复期满后15个工作日内向采购人的同级政府采购监督管理部门投诉。</w:t>
      </w:r>
    </w:p>
    <w:p w14:paraId="68921723">
      <w:pPr>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eastAsia="zh-CN"/>
        </w:rPr>
        <w:t>1.</w:t>
      </w:r>
      <w:r>
        <w:rPr>
          <w:rFonts w:hint="eastAsia" w:ascii="宋体" w:hAnsi="宋体" w:cs="宋体"/>
          <w:color w:val="auto"/>
          <w:sz w:val="24"/>
          <w:szCs w:val="28"/>
        </w:rPr>
        <w:t>质疑函应当使用中文。</w:t>
      </w:r>
    </w:p>
    <w:p w14:paraId="5C19285E">
      <w:pPr>
        <w:widowControl/>
        <w:numPr>
          <w:ilvl w:val="0"/>
          <w:numId w:val="3"/>
        </w:numPr>
        <w:spacing w:line="360" w:lineRule="auto"/>
        <w:ind w:firstLine="0"/>
        <w:jc w:val="center"/>
        <w:outlineLvl w:val="1"/>
        <w:rPr>
          <w:rFonts w:ascii="宋体" w:hAnsi="宋体" w:cs="宋体"/>
          <w:b/>
          <w:bCs/>
          <w:color w:val="auto"/>
          <w:kern w:val="0"/>
          <w:sz w:val="32"/>
          <w:szCs w:val="32"/>
        </w:rPr>
      </w:pPr>
      <w:bookmarkStart w:id="117" w:name="_Toc19543344"/>
      <w:bookmarkStart w:id="118" w:name="_Toc536429327"/>
      <w:bookmarkStart w:id="119" w:name="_Toc536429380"/>
      <w:bookmarkStart w:id="120" w:name="_Toc536202387"/>
      <w:bookmarkStart w:id="121" w:name="_Toc536202318"/>
      <w:r>
        <w:rPr>
          <w:rFonts w:hint="eastAsia" w:ascii="宋体" w:hAnsi="宋体" w:cs="宋体"/>
          <w:b/>
          <w:bCs/>
          <w:color w:val="auto"/>
          <w:kern w:val="0"/>
          <w:sz w:val="32"/>
          <w:szCs w:val="32"/>
        </w:rPr>
        <w:t>其他</w:t>
      </w:r>
      <w:bookmarkEnd w:id="117"/>
      <w:bookmarkEnd w:id="118"/>
      <w:bookmarkEnd w:id="119"/>
      <w:bookmarkEnd w:id="120"/>
      <w:bookmarkEnd w:id="121"/>
    </w:p>
    <w:p w14:paraId="3412B8F1">
      <w:pPr>
        <w:spacing w:line="360" w:lineRule="auto"/>
        <w:ind w:firstLine="480" w:firstLineChars="200"/>
        <w:jc w:val="left"/>
        <w:rPr>
          <w:rFonts w:ascii="宋体" w:hAnsi="宋体" w:cs="宋体"/>
          <w:color w:val="auto"/>
          <w:sz w:val="24"/>
          <w:szCs w:val="28"/>
        </w:rPr>
      </w:pPr>
      <w:bookmarkStart w:id="122" w:name="_Toc3298"/>
      <w:r>
        <w:rPr>
          <w:rFonts w:hint="eastAsia" w:ascii="宋体" w:hAnsi="宋体" w:cs="宋体"/>
          <w:color w:val="auto"/>
          <w:sz w:val="24"/>
          <w:szCs w:val="28"/>
          <w:lang w:eastAsia="zh-CN"/>
        </w:rPr>
        <w:t>1.</w:t>
      </w:r>
      <w:r>
        <w:rPr>
          <w:rFonts w:hint="eastAsia" w:ascii="宋体" w:hAnsi="宋体" w:cs="宋体"/>
          <w:color w:val="auto"/>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6A7BE3E0">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（1）因情况变化，不再符合规定的竞争性磋商采购方式适用情形的；</w:t>
      </w:r>
    </w:p>
    <w:p w14:paraId="3564ABEC">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（2）出现影响采购公正的违法、违规行为的；</w:t>
      </w:r>
    </w:p>
    <w:p w14:paraId="4A4CA46D">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0781C1C4">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（4）因重大变故，采购任务取消的。</w:t>
      </w:r>
    </w:p>
    <w:p w14:paraId="48245645">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磋商失败后，除采购任务取消外，将重新组织采购</w:t>
      </w:r>
      <w:bookmarkEnd w:id="122"/>
      <w:bookmarkStart w:id="123" w:name="_Toc536202388"/>
      <w:bookmarkStart w:id="124" w:name="_Toc536202319"/>
      <w:bookmarkStart w:id="125" w:name="_Toc25345"/>
      <w:bookmarkStart w:id="126" w:name="_Toc536429381"/>
      <w:bookmarkStart w:id="127" w:name="_Toc536429328"/>
      <w:r>
        <w:rPr>
          <w:rFonts w:hint="eastAsia" w:ascii="宋体" w:hAnsi="宋体" w:cs="宋体"/>
          <w:color w:val="auto"/>
          <w:sz w:val="24"/>
          <w:szCs w:val="28"/>
        </w:rPr>
        <w:t>。</w:t>
      </w:r>
      <w:bookmarkEnd w:id="123"/>
      <w:bookmarkEnd w:id="124"/>
      <w:bookmarkEnd w:id="125"/>
      <w:bookmarkEnd w:id="126"/>
      <w:bookmarkEnd w:id="127"/>
    </w:p>
    <w:p w14:paraId="38629AB4">
      <w:pPr>
        <w:widowControl/>
        <w:spacing w:line="360" w:lineRule="auto"/>
        <w:jc w:val="left"/>
        <w:rPr>
          <w:rFonts w:ascii="宋体" w:hAnsi="宋体" w:cs="宋体"/>
          <w:b/>
          <w:bCs/>
          <w:caps/>
          <w:color w:val="auto"/>
          <w:sz w:val="36"/>
          <w:szCs w:val="20"/>
        </w:rPr>
      </w:pPr>
      <w:bookmarkStart w:id="128" w:name="_Toc19543345"/>
      <w:r>
        <w:rPr>
          <w:rFonts w:hint="eastAsia" w:ascii="宋体" w:hAnsi="宋体" w:cs="宋体"/>
          <w:color w:val="auto"/>
          <w:sz w:val="36"/>
        </w:rPr>
        <w:br w:type="page"/>
      </w:r>
    </w:p>
    <w:p w14:paraId="4B15D25D">
      <w:pPr>
        <w:pStyle w:val="25"/>
        <w:numPr>
          <w:ilvl w:val="0"/>
          <w:numId w:val="7"/>
        </w:numPr>
        <w:spacing w:before="0" w:after="0" w:line="420" w:lineRule="exact"/>
        <w:jc w:val="center"/>
        <w:outlineLvl w:val="0"/>
        <w:rPr>
          <w:color w:val="auto"/>
          <w:sz w:val="36"/>
        </w:rPr>
      </w:pPr>
      <w:r>
        <w:rPr>
          <w:rFonts w:hint="eastAsia"/>
          <w:color w:val="auto"/>
          <w:sz w:val="36"/>
        </w:rPr>
        <w:t xml:space="preserve"> </w:t>
      </w:r>
      <w:bookmarkStart w:id="129" w:name="_Toc18523"/>
      <w:r>
        <w:rPr>
          <w:rFonts w:hint="eastAsia"/>
          <w:color w:val="auto"/>
          <w:sz w:val="36"/>
        </w:rPr>
        <w:t>评分</w:t>
      </w:r>
      <w:r>
        <w:rPr>
          <w:color w:val="auto"/>
          <w:sz w:val="36"/>
        </w:rPr>
        <w:t>标准</w:t>
      </w:r>
      <w:bookmarkEnd w:id="128"/>
      <w:bookmarkEnd w:id="129"/>
      <w:bookmarkStart w:id="130" w:name="_Toc262"/>
    </w:p>
    <w:tbl>
      <w:tblPr>
        <w:tblStyle w:val="36"/>
        <w:tblW w:w="8612" w:type="dxa"/>
        <w:jc w:val="center"/>
        <w:tblLayout w:type="fixed"/>
        <w:tblCellMar>
          <w:top w:w="0" w:type="dxa"/>
          <w:left w:w="108" w:type="dxa"/>
          <w:bottom w:w="0" w:type="dxa"/>
          <w:right w:w="108" w:type="dxa"/>
        </w:tblCellMar>
      </w:tblPr>
      <w:tblGrid>
        <w:gridCol w:w="737"/>
        <w:gridCol w:w="744"/>
        <w:gridCol w:w="7131"/>
      </w:tblGrid>
      <w:tr w14:paraId="0DBF775D">
        <w:tblPrEx>
          <w:tblCellMar>
            <w:top w:w="0" w:type="dxa"/>
            <w:left w:w="108" w:type="dxa"/>
            <w:bottom w:w="0" w:type="dxa"/>
            <w:right w:w="108" w:type="dxa"/>
          </w:tblCellMar>
        </w:tblPrEx>
        <w:trPr>
          <w:trHeight w:val="611"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50CC89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rightChars="0"/>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评标</w:t>
            </w:r>
          </w:p>
          <w:p w14:paraId="2F68CC2E">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400" w:lineRule="exact"/>
              <w:ind w:left="0" w:right="0" w:rightChars="0"/>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内容</w:t>
            </w:r>
          </w:p>
        </w:tc>
        <w:tc>
          <w:tcPr>
            <w:tcW w:w="744" w:type="dxa"/>
            <w:tcBorders>
              <w:top w:val="single" w:color="auto" w:sz="4" w:space="0"/>
              <w:left w:val="nil"/>
              <w:bottom w:val="single" w:color="auto" w:sz="4" w:space="0"/>
              <w:right w:val="single" w:color="auto" w:sz="4" w:space="0"/>
            </w:tcBorders>
            <w:noWrap w:val="0"/>
            <w:vAlign w:val="center"/>
          </w:tcPr>
          <w:p w14:paraId="4B56C883">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400" w:lineRule="exact"/>
              <w:ind w:left="0" w:right="0" w:rightChars="0"/>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分值</w:t>
            </w:r>
          </w:p>
        </w:tc>
        <w:tc>
          <w:tcPr>
            <w:tcW w:w="7131" w:type="dxa"/>
            <w:tcBorders>
              <w:top w:val="single" w:color="auto" w:sz="4" w:space="0"/>
              <w:left w:val="nil"/>
              <w:bottom w:val="single" w:color="auto" w:sz="4" w:space="0"/>
              <w:right w:val="single" w:color="auto" w:sz="4" w:space="0"/>
            </w:tcBorders>
            <w:noWrap w:val="0"/>
            <w:vAlign w:val="center"/>
          </w:tcPr>
          <w:p w14:paraId="181A6F52">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400" w:lineRule="exact"/>
              <w:ind w:left="0" w:right="0" w:right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评标原则与标准</w:t>
            </w:r>
          </w:p>
        </w:tc>
      </w:tr>
      <w:tr w14:paraId="78211F5A">
        <w:tblPrEx>
          <w:tblCellMar>
            <w:top w:w="0" w:type="dxa"/>
            <w:left w:w="108" w:type="dxa"/>
            <w:bottom w:w="0" w:type="dxa"/>
            <w:right w:w="108" w:type="dxa"/>
          </w:tblCellMar>
        </w:tblPrEx>
        <w:trPr>
          <w:trHeight w:val="385"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F910A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w:t>
            </w:r>
          </w:p>
        </w:tc>
        <w:tc>
          <w:tcPr>
            <w:tcW w:w="744" w:type="dxa"/>
            <w:tcBorders>
              <w:top w:val="single" w:color="auto" w:sz="4" w:space="0"/>
              <w:left w:val="nil"/>
              <w:bottom w:val="single" w:color="auto" w:sz="4" w:space="0"/>
              <w:right w:val="single" w:color="auto" w:sz="4" w:space="0"/>
            </w:tcBorders>
            <w:noWrap w:val="0"/>
            <w:vAlign w:val="center"/>
          </w:tcPr>
          <w:p w14:paraId="3ECE4F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15分</w:t>
            </w:r>
          </w:p>
        </w:tc>
        <w:tc>
          <w:tcPr>
            <w:tcW w:w="7131" w:type="dxa"/>
            <w:tcBorders>
              <w:top w:val="single" w:color="auto" w:sz="4" w:space="0"/>
              <w:left w:val="nil"/>
              <w:bottom w:val="single" w:color="auto" w:sz="4" w:space="0"/>
              <w:right w:val="single" w:color="auto" w:sz="4" w:space="0"/>
            </w:tcBorders>
            <w:noWrap w:val="0"/>
            <w:vAlign w:val="center"/>
          </w:tcPr>
          <w:p w14:paraId="567719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满足</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文件要求且投标价格最低的投标报价为评标基准价，其价格分为满分。其他投标供应商的价格分统一按照下列公式计算：报价得分=（评标基准价/投标报价）×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w:t>
            </w:r>
          </w:p>
        </w:tc>
      </w:tr>
      <w:tr w14:paraId="1B350578">
        <w:tblPrEx>
          <w:tblCellMar>
            <w:top w:w="0" w:type="dxa"/>
            <w:left w:w="108" w:type="dxa"/>
            <w:bottom w:w="0" w:type="dxa"/>
            <w:right w:w="108" w:type="dxa"/>
          </w:tblCellMar>
        </w:tblPrEx>
        <w:trPr>
          <w:trHeight w:val="9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73D9FF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总体方案</w:t>
            </w:r>
          </w:p>
        </w:tc>
        <w:tc>
          <w:tcPr>
            <w:tcW w:w="744" w:type="dxa"/>
            <w:tcBorders>
              <w:top w:val="single" w:color="auto" w:sz="4" w:space="0"/>
              <w:left w:val="nil"/>
              <w:bottom w:val="single" w:color="auto" w:sz="4" w:space="0"/>
              <w:right w:val="single" w:color="auto" w:sz="4" w:space="0"/>
            </w:tcBorders>
            <w:noWrap w:val="0"/>
            <w:vAlign w:val="center"/>
          </w:tcPr>
          <w:p w14:paraId="7F0BA8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12分</w:t>
            </w:r>
          </w:p>
        </w:tc>
        <w:tc>
          <w:tcPr>
            <w:tcW w:w="7131" w:type="dxa"/>
            <w:tcBorders>
              <w:top w:val="single" w:color="auto" w:sz="4" w:space="0"/>
              <w:left w:val="nil"/>
              <w:bottom w:val="single" w:color="auto" w:sz="4" w:space="0"/>
              <w:right w:val="single" w:color="auto" w:sz="4" w:space="0"/>
            </w:tcBorders>
            <w:noWrap w:val="0"/>
            <w:vAlign w:val="center"/>
          </w:tcPr>
          <w:p w14:paraId="6AC727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供应商根据采购需求和项目具体内容制定详尽、完善的整体技术方案。方案紧密契合本项目特点与实际需求，包括但不限于①需求调研</w:t>
            </w:r>
            <w:r>
              <w:rPr>
                <w:rFonts w:hint="eastAsia" w:ascii="宋体" w:hAnsi="宋体" w:cs="宋体"/>
                <w:color w:val="000000" w:themeColor="text1"/>
                <w:sz w:val="24"/>
                <w:szCs w:val="24"/>
                <w:highlight w:val="none"/>
                <w:lang w:val="en-US" w:eastAsia="zh-CN"/>
                <w14:textFill>
                  <w14:solidFill>
                    <w14:schemeClr w14:val="tx1"/>
                  </w14:solidFill>
                </w14:textFill>
              </w:rPr>
              <w:t>分析</w:t>
            </w:r>
            <w:r>
              <w:rPr>
                <w:rFonts w:hint="eastAsia" w:ascii="宋体" w:hAnsi="宋体" w:eastAsia="宋体" w:cs="宋体"/>
                <w:color w:val="000000" w:themeColor="text1"/>
                <w:sz w:val="24"/>
                <w:szCs w:val="24"/>
                <w:highlight w:val="none"/>
                <w:lang w:val="en-US" w:eastAsia="zh-CN"/>
                <w14:textFill>
                  <w14:solidFill>
                    <w14:schemeClr w14:val="tx1"/>
                  </w14:solidFill>
                </w14:textFill>
              </w:rPr>
              <w:t>；②技术架构；③</w:t>
            </w:r>
            <w:r>
              <w:rPr>
                <w:rFonts w:hint="eastAsia" w:ascii="宋体" w:hAnsi="宋体" w:cs="宋体"/>
                <w:color w:val="000000" w:themeColor="text1"/>
                <w:sz w:val="24"/>
                <w:szCs w:val="24"/>
                <w:highlight w:val="none"/>
                <w:lang w:val="en-US" w:eastAsia="zh-CN"/>
                <w14:textFill>
                  <w14:solidFill>
                    <w14:schemeClr w14:val="tx1"/>
                  </w14:solidFill>
                </w14:textFill>
              </w:rPr>
              <w:t>重难点分析</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2C5B66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以上3项内容每一项内容满分4分，共计12分。其中每缺少一项内容扣4分，每有一项内容有一个缺陷扣1分，扣完4分为止，不提供不得分。</w:t>
            </w:r>
          </w:p>
          <w:p w14:paraId="68D75E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000000" w:themeColor="text1"/>
                <w:sz w:val="24"/>
                <w:szCs w:val="24"/>
                <w:lang w:eastAsia="zh-CN"/>
                <w14:textFill>
                  <w14:solidFill>
                    <w14:schemeClr w14:val="tx1"/>
                  </w14:solidFill>
                </w14:textFill>
              </w:rPr>
              <w:t>）</w:t>
            </w:r>
          </w:p>
        </w:tc>
      </w:tr>
      <w:tr w14:paraId="2CB582AC">
        <w:tblPrEx>
          <w:tblCellMar>
            <w:top w:w="0" w:type="dxa"/>
            <w:left w:w="108" w:type="dxa"/>
            <w:bottom w:w="0" w:type="dxa"/>
            <w:right w:w="108" w:type="dxa"/>
          </w:tblCellMar>
        </w:tblPrEx>
        <w:trPr>
          <w:trHeight w:val="475"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24FE42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实施组织方案</w:t>
            </w:r>
          </w:p>
        </w:tc>
        <w:tc>
          <w:tcPr>
            <w:tcW w:w="744" w:type="dxa"/>
            <w:tcBorders>
              <w:top w:val="single" w:color="auto" w:sz="4" w:space="0"/>
              <w:left w:val="nil"/>
              <w:bottom w:val="single" w:color="auto" w:sz="4" w:space="0"/>
              <w:right w:val="single" w:color="auto" w:sz="4" w:space="0"/>
            </w:tcBorders>
            <w:noWrap w:val="0"/>
            <w:vAlign w:val="center"/>
          </w:tcPr>
          <w:p w14:paraId="705F4C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2分</w:t>
            </w:r>
          </w:p>
        </w:tc>
        <w:tc>
          <w:tcPr>
            <w:tcW w:w="7131" w:type="dxa"/>
            <w:tcBorders>
              <w:top w:val="single" w:color="auto" w:sz="4" w:space="0"/>
              <w:left w:val="nil"/>
              <w:bottom w:val="single" w:color="auto" w:sz="4" w:space="0"/>
              <w:right w:val="single" w:color="auto" w:sz="4" w:space="0"/>
            </w:tcBorders>
            <w:noWrap w:val="0"/>
            <w:vAlign w:val="center"/>
          </w:tcPr>
          <w:p w14:paraId="4CEEFB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项目实施组织方案全面、描述准确、科学合理、能够保证项目全面高效按期完成，包括</w:t>
            </w:r>
            <w:r>
              <w:rPr>
                <w:rFonts w:hint="eastAsia" w:ascii="宋体" w:hAnsi="宋体" w:eastAsia="宋体" w:cs="宋体"/>
                <w:color w:val="000000" w:themeColor="text1"/>
                <w:sz w:val="24"/>
                <w:szCs w:val="24"/>
                <w:lang w:eastAsia="zh-CN"/>
                <w14:textFill>
                  <w14:solidFill>
                    <w14:schemeClr w14:val="tx1"/>
                  </w14:solidFill>
                </w14:textFill>
              </w:rPr>
              <w:t>但不限于</w:t>
            </w:r>
            <w:r>
              <w:rPr>
                <w:rFonts w:hint="eastAsia" w:ascii="宋体" w:hAnsi="宋体" w:eastAsia="宋体" w:cs="宋体"/>
                <w:color w:val="000000" w:themeColor="text1"/>
                <w:sz w:val="24"/>
                <w:szCs w:val="24"/>
                <w14:textFill>
                  <w14:solidFill>
                    <w14:schemeClr w14:val="tx1"/>
                  </w14:solidFill>
                </w14:textFill>
              </w:rPr>
              <w:t>①项目实施的组织管理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②项目实施</w:t>
            </w:r>
            <w:r>
              <w:rPr>
                <w:rFonts w:hint="eastAsia" w:ascii="宋体" w:hAnsi="宋体" w:cs="宋体"/>
                <w:color w:val="000000" w:themeColor="text1"/>
                <w:sz w:val="24"/>
                <w:szCs w:val="24"/>
                <w:lang w:val="en-US" w:eastAsia="zh-CN"/>
                <w14:textFill>
                  <w14:solidFill>
                    <w14:schemeClr w14:val="tx1"/>
                  </w14:solidFill>
                </w14:textFill>
              </w:rPr>
              <w:t>方案</w:t>
            </w:r>
            <w:r>
              <w:rPr>
                <w:rFonts w:hint="eastAsia" w:ascii="宋体" w:hAnsi="宋体" w:eastAsia="宋体" w:cs="宋体"/>
                <w:color w:val="000000" w:themeColor="text1"/>
                <w:sz w:val="24"/>
                <w:szCs w:val="24"/>
                <w14:textFill>
                  <w14:solidFill>
                    <w14:schemeClr w14:val="tx1"/>
                  </w14:solidFill>
                </w14:textFill>
              </w:rPr>
              <w:t>（包括</w:t>
            </w:r>
            <w:r>
              <w:rPr>
                <w:rFonts w:hint="eastAsia" w:ascii="宋体" w:hAnsi="宋体" w:eastAsia="宋体" w:cs="宋体"/>
                <w:color w:val="000000" w:themeColor="text1"/>
                <w:sz w:val="24"/>
                <w:szCs w:val="24"/>
                <w:lang w:val="en-US" w:eastAsia="zh-CN"/>
                <w14:textFill>
                  <w14:solidFill>
                    <w14:schemeClr w14:val="tx1"/>
                  </w14:solidFill>
                </w14:textFill>
              </w:rPr>
              <w:t>系统安装部署、调试测试、试运行保障、问题整改</w:t>
            </w:r>
            <w:r>
              <w:rPr>
                <w:rFonts w:hint="eastAsia" w:ascii="宋体" w:hAnsi="宋体" w:cs="宋体"/>
                <w:color w:val="000000" w:themeColor="text1"/>
                <w:sz w:val="24"/>
                <w:szCs w:val="24"/>
                <w:lang w:val="en-US" w:eastAsia="zh-CN"/>
                <w14:textFill>
                  <w14:solidFill>
                    <w14:schemeClr w14:val="tx1"/>
                  </w14:solidFill>
                </w14:textFill>
              </w:rPr>
              <w:t>、配合验收等</w:t>
            </w:r>
            <w:r>
              <w:rPr>
                <w:rFonts w:hint="eastAsia" w:ascii="宋体" w:hAnsi="宋体" w:eastAsia="宋体" w:cs="宋体"/>
                <w:color w:val="000000" w:themeColor="text1"/>
                <w:sz w:val="24"/>
                <w:szCs w:val="24"/>
                <w:lang w:val="en-US" w:eastAsia="zh-CN"/>
                <w14:textFill>
                  <w14:solidFill>
                    <w14:schemeClr w14:val="tx1"/>
                  </w14:solidFill>
                </w14:textFill>
              </w:rPr>
              <w:t>方案</w:t>
            </w:r>
            <w:r>
              <w:rPr>
                <w:rFonts w:hint="eastAsia" w:ascii="宋体" w:hAnsi="宋体" w:eastAsia="宋体" w:cs="宋体"/>
                <w:color w:val="000000" w:themeColor="text1"/>
                <w:sz w:val="24"/>
                <w:szCs w:val="24"/>
                <w14:textFill>
                  <w14:solidFill>
                    <w14:schemeClr w14:val="tx1"/>
                  </w14:solidFill>
                </w14:textFill>
              </w:rPr>
              <w:t>内容）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③工作进度计划</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④项目质量保障</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⑤应急处置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⑥文档管理等方面</w:t>
            </w:r>
            <w:r>
              <w:rPr>
                <w:rFonts w:hint="eastAsia" w:ascii="宋体" w:hAnsi="宋体" w:eastAsia="宋体" w:cs="宋体"/>
                <w:color w:val="000000" w:themeColor="text1"/>
                <w:sz w:val="24"/>
                <w:szCs w:val="24"/>
                <w:lang w:eastAsia="zh-CN"/>
                <w14:textFill>
                  <w14:solidFill>
                    <w14:schemeClr w14:val="tx1"/>
                  </w14:solidFill>
                </w14:textFill>
              </w:rPr>
              <w:t>。</w:t>
            </w:r>
          </w:p>
          <w:p w14:paraId="5060E60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以上6项内容每一项内容满分2分，共计12分。其中每缺少一项内容扣2分，每有一项内容有一个缺陷扣0.5分，扣完2分为止，不提供不得分。</w:t>
            </w:r>
          </w:p>
          <w:p w14:paraId="3F500C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000000" w:themeColor="text1"/>
                <w:sz w:val="24"/>
                <w:szCs w:val="24"/>
                <w:lang w:eastAsia="zh-CN"/>
                <w14:textFill>
                  <w14:solidFill>
                    <w14:schemeClr w14:val="tx1"/>
                  </w14:solidFill>
                </w14:textFill>
              </w:rPr>
              <w:t>）</w:t>
            </w:r>
          </w:p>
        </w:tc>
      </w:tr>
      <w:tr w14:paraId="0A271D56">
        <w:tblPrEx>
          <w:tblCellMar>
            <w:top w:w="0" w:type="dxa"/>
            <w:left w:w="108" w:type="dxa"/>
            <w:bottom w:w="0" w:type="dxa"/>
            <w:right w:w="108" w:type="dxa"/>
          </w:tblCellMar>
        </w:tblPrEx>
        <w:trPr>
          <w:trHeight w:val="76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F5E82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核心功能需求响应</w:t>
            </w:r>
          </w:p>
        </w:tc>
        <w:tc>
          <w:tcPr>
            <w:tcW w:w="744" w:type="dxa"/>
            <w:tcBorders>
              <w:top w:val="single" w:color="auto" w:sz="4" w:space="0"/>
              <w:left w:val="nil"/>
              <w:bottom w:val="single" w:color="auto" w:sz="4" w:space="0"/>
              <w:right w:val="single" w:color="auto" w:sz="4" w:space="0"/>
            </w:tcBorders>
            <w:noWrap w:val="0"/>
            <w:vAlign w:val="center"/>
          </w:tcPr>
          <w:p w14:paraId="2E208F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12分</w:t>
            </w:r>
          </w:p>
        </w:tc>
        <w:tc>
          <w:tcPr>
            <w:tcW w:w="7131" w:type="dxa"/>
            <w:tcBorders>
              <w:top w:val="single" w:color="auto" w:sz="4" w:space="0"/>
              <w:left w:val="nil"/>
              <w:bottom w:val="single" w:color="auto" w:sz="4" w:space="0"/>
              <w:right w:val="single" w:color="auto" w:sz="4" w:space="0"/>
            </w:tcBorders>
            <w:noWrap w:val="0"/>
            <w:vAlign w:val="center"/>
          </w:tcPr>
          <w:p w14:paraId="703C5A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依据采购需求中应用管理、模型智库、设备多级扩线等全部业务功能要求进行逐项评审。</w:t>
            </w:r>
          </w:p>
          <w:p w14:paraId="0B3B17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完全响应全部功能需求，功能描述贴合电诈、网络赌博、虚拟币犯罪等新型网络犯罪研判实战场景，功能细节详实、技术方案成熟，可完全满足公安情报搜集、信息化研判工作的得</w:t>
            </w: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ascii="宋体" w:hAnsi="宋体" w:cs="宋体"/>
                <w:color w:val="000000" w:themeColor="text1"/>
                <w:sz w:val="24"/>
                <w:szCs w:val="24"/>
                <w:lang w:val="en-US" w:eastAsia="zh-CN"/>
                <w14:textFill>
                  <w14:solidFill>
                    <w14:schemeClr w14:val="tx1"/>
                  </w14:solidFill>
                </w14:textFill>
              </w:rPr>
              <w:t>技术参数</w:t>
            </w:r>
            <w:r>
              <w:rPr>
                <w:rFonts w:hint="eastAsia" w:ascii="宋体" w:hAnsi="宋体" w:eastAsia="宋体" w:cs="宋体"/>
                <w:color w:val="000000" w:themeColor="text1"/>
                <w:sz w:val="24"/>
                <w:szCs w:val="24"/>
                <w:lang w:val="en-US" w:eastAsia="zh-CN"/>
                <w14:textFill>
                  <w14:solidFill>
                    <w14:schemeClr w14:val="tx1"/>
                  </w14:solidFill>
                </w14:textFill>
              </w:rPr>
              <w:t>每负偏离每负偏离一项扣</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分，扣完为止。</w:t>
            </w:r>
          </w:p>
          <w:p w14:paraId="41D5DC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提供充足的佐证材料(包括但不限于</w:t>
            </w:r>
            <w:r>
              <w:rPr>
                <w:rFonts w:hint="eastAsia" w:ascii="宋体" w:hAnsi="宋体" w:cs="宋体"/>
                <w:color w:val="000000" w:themeColor="text1"/>
                <w:sz w:val="24"/>
                <w:szCs w:val="24"/>
                <w:lang w:val="en-US" w:eastAsia="zh-CN"/>
                <w14:textFill>
                  <w14:solidFill>
                    <w14:schemeClr w14:val="tx1"/>
                  </w14:solidFill>
                </w14:textFill>
              </w:rPr>
              <w:t>：系统</w:t>
            </w:r>
            <w:r>
              <w:rPr>
                <w:rFonts w:hint="eastAsia" w:ascii="宋体" w:hAnsi="宋体" w:eastAsia="宋体" w:cs="宋体"/>
                <w:color w:val="000000" w:themeColor="text1"/>
                <w:sz w:val="24"/>
                <w:szCs w:val="24"/>
                <w:lang w:val="en-US" w:eastAsia="zh-CN"/>
                <w14:textFill>
                  <w14:solidFill>
                    <w14:schemeClr w14:val="tx1"/>
                  </w14:solidFill>
                </w14:textFill>
              </w:rPr>
              <w:t>软件功能截图或官网截图等证明材料)予以佐证，佐证材料应编制在投标文件中，供应商自行承担因证明材料不全面被视为技术参数偏离的风险。</w:t>
            </w:r>
          </w:p>
        </w:tc>
      </w:tr>
      <w:tr w14:paraId="6C4D69EE">
        <w:tblPrEx>
          <w:tblCellMar>
            <w:top w:w="0" w:type="dxa"/>
            <w:left w:w="108" w:type="dxa"/>
            <w:bottom w:w="0" w:type="dxa"/>
            <w:right w:w="108" w:type="dxa"/>
          </w:tblCellMar>
        </w:tblPrEx>
        <w:trPr>
          <w:trHeight w:val="76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5E4B0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人员配置</w:t>
            </w:r>
            <w:r>
              <w:rPr>
                <w:rFonts w:hint="eastAsia" w:ascii="宋体" w:hAnsi="宋体" w:eastAsia="宋体" w:cs="宋体"/>
                <w:color w:val="000000" w:themeColor="text1"/>
                <w:sz w:val="24"/>
                <w:szCs w:val="24"/>
                <w:highlight w:val="none"/>
                <w14:textFill>
                  <w14:solidFill>
                    <w14:schemeClr w14:val="tx1"/>
                  </w14:solidFill>
                </w14:textFill>
              </w:rPr>
              <w:t xml:space="preserve">   </w:t>
            </w:r>
          </w:p>
        </w:tc>
        <w:tc>
          <w:tcPr>
            <w:tcW w:w="744" w:type="dxa"/>
            <w:tcBorders>
              <w:top w:val="single" w:color="auto" w:sz="4" w:space="0"/>
              <w:left w:val="nil"/>
              <w:bottom w:val="single" w:color="auto" w:sz="4" w:space="0"/>
              <w:right w:val="single" w:color="auto" w:sz="4" w:space="0"/>
            </w:tcBorders>
            <w:noWrap w:val="0"/>
            <w:vAlign w:val="center"/>
          </w:tcPr>
          <w:p w14:paraId="1D67FC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8分</w:t>
            </w:r>
          </w:p>
        </w:tc>
        <w:tc>
          <w:tcPr>
            <w:tcW w:w="7131" w:type="dxa"/>
            <w:tcBorders>
              <w:top w:val="single" w:color="auto" w:sz="4" w:space="0"/>
              <w:left w:val="nil"/>
              <w:bottom w:val="single" w:color="auto" w:sz="4" w:space="0"/>
              <w:right w:val="single" w:color="auto" w:sz="4" w:space="0"/>
            </w:tcBorders>
            <w:noWrap w:val="0"/>
            <w:vAlign w:val="center"/>
          </w:tcPr>
          <w:p w14:paraId="07DA0C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配备完整专职服务团队，岗位分工明确，核心人员具备 2 年以上公安大数据、涉诈研判、互联网数据服务相关从业经验，全体人员完成背景审查，熟悉公安内网、数据安全管理规范，完全满足项目实战及安全运行要求得</w:t>
            </w:r>
            <w:r>
              <w:rPr>
                <w:rFonts w:hint="eastAsia" w:ascii="宋体" w:hAnsi="宋体" w:cs="宋体"/>
                <w:color w:val="000000" w:themeColor="text1"/>
                <w:sz w:val="24"/>
                <w:szCs w:val="24"/>
                <w:highlight w:val="none"/>
                <w:lang w:val="en-US" w:eastAsia="zh-CN"/>
                <w14:textFill>
                  <w14:solidFill>
                    <w14:schemeClr w14:val="tx1"/>
                  </w14:solidFill>
                </w14:textFill>
              </w:rPr>
              <w:t>7-8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04BBF4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团队岗位配置基本齐全，核心人员具备 1-2 年相关从业经验，人员完成背景审查、知晓公安安全管理规定，基本满足项目需求得 4-</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E8E84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人员配置</w:t>
            </w:r>
            <w:r>
              <w:rPr>
                <w:rFonts w:hint="eastAsia" w:ascii="宋体" w:hAnsi="宋体" w:cs="宋体"/>
                <w:color w:val="000000" w:themeColor="text1"/>
                <w:sz w:val="24"/>
                <w:szCs w:val="24"/>
                <w:highlight w:val="none"/>
                <w:lang w:val="en-US" w:eastAsia="zh-CN"/>
                <w14:textFill>
                  <w14:solidFill>
                    <w14:schemeClr w14:val="tx1"/>
                  </w14:solidFill>
                </w14:textFill>
              </w:rPr>
              <w:t>不足</w:t>
            </w:r>
            <w:r>
              <w:rPr>
                <w:rFonts w:hint="eastAsia" w:ascii="宋体" w:hAnsi="宋体" w:eastAsia="宋体" w:cs="宋体"/>
                <w:color w:val="000000" w:themeColor="text1"/>
                <w:sz w:val="24"/>
                <w:szCs w:val="24"/>
                <w:highlight w:val="none"/>
                <w:lang w:val="en-US" w:eastAsia="zh-CN"/>
                <w14:textFill>
                  <w14:solidFill>
                    <w14:schemeClr w14:val="tx1"/>
                  </w14:solidFill>
                </w14:textFill>
              </w:rPr>
              <w:t>，无专职服务团队，核心人员无相关从业经验，未提供人员背景审查材料、不熟悉公安内网与数据安全要求，无法保障项目正常运行得</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；未提供不得分。</w:t>
            </w:r>
          </w:p>
        </w:tc>
      </w:tr>
      <w:tr w14:paraId="597A9A3D">
        <w:tblPrEx>
          <w:tblCellMar>
            <w:top w:w="0" w:type="dxa"/>
            <w:left w:w="108" w:type="dxa"/>
            <w:bottom w:w="0" w:type="dxa"/>
            <w:right w:w="108" w:type="dxa"/>
          </w:tblCellMar>
        </w:tblPrEx>
        <w:trPr>
          <w:trHeight w:val="76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228BD6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质保服务承诺</w:t>
            </w:r>
          </w:p>
        </w:tc>
        <w:tc>
          <w:tcPr>
            <w:tcW w:w="744" w:type="dxa"/>
            <w:tcBorders>
              <w:top w:val="single" w:color="auto" w:sz="4" w:space="0"/>
              <w:left w:val="nil"/>
              <w:bottom w:val="single" w:color="auto" w:sz="4" w:space="0"/>
              <w:right w:val="single" w:color="auto" w:sz="4" w:space="0"/>
            </w:tcBorders>
            <w:noWrap w:val="0"/>
            <w:vAlign w:val="center"/>
          </w:tcPr>
          <w:p w14:paraId="2E7304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5分</w:t>
            </w:r>
          </w:p>
        </w:tc>
        <w:tc>
          <w:tcPr>
            <w:tcW w:w="7131" w:type="dxa"/>
            <w:tcBorders>
              <w:top w:val="single" w:color="auto" w:sz="4" w:space="0"/>
              <w:left w:val="nil"/>
              <w:bottom w:val="single" w:color="auto" w:sz="4" w:space="0"/>
              <w:right w:val="single" w:color="auto" w:sz="4" w:space="0"/>
            </w:tcBorders>
            <w:noWrap w:val="0"/>
            <w:vAlign w:val="center"/>
          </w:tcPr>
          <w:p w14:paraId="28A848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提供优于</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val="en-US" w:eastAsia="zh-CN"/>
                <w14:textFill>
                  <w14:solidFill>
                    <w14:schemeClr w14:val="tx1"/>
                  </w14:solidFill>
                </w14:textFill>
              </w:rPr>
              <w:t>文件要求的免费升级、漏洞修复</w:t>
            </w:r>
            <w:r>
              <w:rPr>
                <w:rFonts w:hint="eastAsia" w:ascii="宋体" w:hAnsi="宋体" w:cs="宋体"/>
                <w:color w:val="000000" w:themeColor="text1"/>
                <w:sz w:val="24"/>
                <w:szCs w:val="24"/>
                <w:lang w:val="en-US" w:eastAsia="zh-CN"/>
                <w14:textFill>
                  <w14:solidFill>
                    <w14:schemeClr w14:val="tx1"/>
                  </w14:solidFill>
                </w14:textFill>
              </w:rPr>
              <w:t>等</w:t>
            </w:r>
            <w:r>
              <w:rPr>
                <w:rFonts w:hint="eastAsia" w:ascii="宋体" w:hAnsi="宋体" w:eastAsia="宋体" w:cs="宋体"/>
                <w:color w:val="000000" w:themeColor="text1"/>
                <w:sz w:val="24"/>
                <w:szCs w:val="24"/>
                <w:lang w:val="en-US" w:eastAsia="zh-CN"/>
                <w14:textFill>
                  <w14:solidFill>
                    <w14:schemeClr w14:val="tx1"/>
                  </w14:solidFill>
                </w14:textFill>
              </w:rPr>
              <w:t>服务，保障措施完善得满分</w:t>
            </w:r>
            <w:r>
              <w:rPr>
                <w:rFonts w:hint="eastAsia" w:ascii="宋体" w:hAnsi="宋体" w:cs="宋体"/>
                <w:color w:val="000000" w:themeColor="text1"/>
                <w:sz w:val="24"/>
                <w:szCs w:val="24"/>
                <w:lang w:val="en-US" w:eastAsia="zh-CN"/>
                <w14:textFill>
                  <w14:solidFill>
                    <w14:schemeClr w14:val="tx1"/>
                  </w14:solidFill>
                </w14:textFill>
              </w:rPr>
              <w:t>4-5分</w:t>
            </w:r>
            <w:r>
              <w:rPr>
                <w:rFonts w:hint="eastAsia" w:ascii="宋体" w:hAnsi="宋体" w:eastAsia="宋体" w:cs="宋体"/>
                <w:color w:val="000000" w:themeColor="text1"/>
                <w:sz w:val="24"/>
                <w:szCs w:val="24"/>
                <w:lang w:val="en-US" w:eastAsia="zh-CN"/>
                <w14:textFill>
                  <w14:solidFill>
                    <w14:schemeClr w14:val="tx1"/>
                  </w14:solidFill>
                </w14:textFill>
              </w:rPr>
              <w:t>；满足</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val="en-US" w:eastAsia="zh-CN"/>
                <w14:textFill>
                  <w14:solidFill>
                    <w14:schemeClr w14:val="tx1"/>
                  </w14:solidFill>
                </w14:textFill>
              </w:rPr>
              <w:t>文件基本要求得</w:t>
            </w:r>
            <w:r>
              <w:rPr>
                <w:rFonts w:hint="eastAsia" w:ascii="宋体" w:hAnsi="宋体" w:cs="宋体"/>
                <w:color w:val="000000" w:themeColor="text1"/>
                <w:sz w:val="24"/>
                <w:szCs w:val="24"/>
                <w:lang w:val="en-US" w:eastAsia="zh-CN"/>
                <w14:textFill>
                  <w14:solidFill>
                    <w14:schemeClr w14:val="tx1"/>
                  </w14:solidFill>
                </w14:textFill>
              </w:rPr>
              <w:t>2-3</w:t>
            </w:r>
            <w:r>
              <w:rPr>
                <w:rFonts w:hint="eastAsia" w:ascii="宋体" w:hAnsi="宋体" w:eastAsia="宋体" w:cs="宋体"/>
                <w:color w:val="000000" w:themeColor="text1"/>
                <w:sz w:val="24"/>
                <w:szCs w:val="24"/>
                <w:lang w:val="en-US" w:eastAsia="zh-CN"/>
                <w14:textFill>
                  <w14:solidFill>
                    <w14:schemeClr w14:val="tx1"/>
                  </w14:solidFill>
                </w14:textFill>
              </w:rPr>
              <w:t>分；服务承诺不完善、存在缺项得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ascii="宋体" w:hAnsi="宋体" w:cs="宋体"/>
                <w:color w:val="000000" w:themeColor="text1"/>
                <w:sz w:val="24"/>
                <w:szCs w:val="24"/>
                <w:lang w:val="en-US" w:eastAsia="zh-CN"/>
                <w14:textFill>
                  <w14:solidFill>
                    <w14:schemeClr w14:val="tx1"/>
                  </w14:solidFill>
                </w14:textFill>
              </w:rPr>
              <w:t>；未提供不得分。</w:t>
            </w:r>
          </w:p>
        </w:tc>
      </w:tr>
      <w:tr w14:paraId="4B0CE7CB">
        <w:tblPrEx>
          <w:tblCellMar>
            <w:top w:w="0" w:type="dxa"/>
            <w:left w:w="108" w:type="dxa"/>
            <w:bottom w:w="0" w:type="dxa"/>
            <w:right w:w="108" w:type="dxa"/>
          </w:tblCellMar>
        </w:tblPrEx>
        <w:trPr>
          <w:trHeight w:val="76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DD042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售后服务方案</w:t>
            </w:r>
          </w:p>
        </w:tc>
        <w:tc>
          <w:tcPr>
            <w:tcW w:w="744" w:type="dxa"/>
            <w:tcBorders>
              <w:top w:val="single" w:color="auto" w:sz="4" w:space="0"/>
              <w:left w:val="nil"/>
              <w:bottom w:val="single" w:color="auto" w:sz="4" w:space="0"/>
              <w:right w:val="single" w:color="auto" w:sz="4" w:space="0"/>
            </w:tcBorders>
            <w:noWrap w:val="0"/>
            <w:vAlign w:val="center"/>
          </w:tcPr>
          <w:p w14:paraId="1454E5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15分</w:t>
            </w:r>
          </w:p>
        </w:tc>
        <w:tc>
          <w:tcPr>
            <w:tcW w:w="7131" w:type="dxa"/>
            <w:tcBorders>
              <w:top w:val="single" w:color="auto" w:sz="4" w:space="0"/>
              <w:left w:val="nil"/>
              <w:bottom w:val="single" w:color="auto" w:sz="4" w:space="0"/>
              <w:right w:val="single" w:color="auto" w:sz="4" w:space="0"/>
            </w:tcBorders>
            <w:noWrap w:val="0"/>
            <w:vAlign w:val="center"/>
          </w:tcPr>
          <w:p w14:paraId="23A92D9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具备健全的售后维保服务及相关机构，能够保证及时提供售后服务和维修，售后服务方案详细、具体可行，方案内容包括但不限于①具备完善的</w:t>
            </w:r>
            <w:r>
              <w:rPr>
                <w:rFonts w:hint="eastAsia" w:ascii="宋体" w:hAnsi="宋体" w:cs="宋体"/>
                <w:color w:val="000000" w:themeColor="text1"/>
                <w:sz w:val="24"/>
                <w:szCs w:val="24"/>
                <w:highlight w:val="none"/>
                <w:lang w:val="en-US" w:eastAsia="zh-CN"/>
                <w14:textFill>
                  <w14:solidFill>
                    <w14:schemeClr w14:val="tx1"/>
                  </w14:solidFill>
                </w14:textFill>
              </w:rPr>
              <w:t>售后</w:t>
            </w:r>
            <w:r>
              <w:rPr>
                <w:rFonts w:hint="eastAsia" w:ascii="宋体" w:hAnsi="宋体" w:eastAsia="宋体" w:cs="宋体"/>
                <w:color w:val="000000" w:themeColor="text1"/>
                <w:sz w:val="24"/>
                <w:szCs w:val="24"/>
                <w:highlight w:val="none"/>
                <w:lang w:val="en-US" w:eastAsia="zh-CN"/>
                <w14:textFill>
                  <w14:solidFill>
                    <w14:schemeClr w14:val="tx1"/>
                  </w14:solidFill>
                </w14:textFill>
              </w:rPr>
              <w:t>人员配置；②</w:t>
            </w:r>
            <w:r>
              <w:rPr>
                <w:rFonts w:hint="default" w:ascii="宋体" w:hAnsi="宋体" w:eastAsia="宋体" w:cs="宋体"/>
                <w:color w:val="000000" w:themeColor="text1"/>
                <w:sz w:val="24"/>
                <w:szCs w:val="24"/>
                <w:highlight w:val="none"/>
                <w14:textFill>
                  <w14:solidFill>
                    <w14:schemeClr w14:val="tx1"/>
                  </w14:solidFill>
                </w14:textFill>
              </w:rPr>
              <w:t>运维机制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；③</w:t>
            </w:r>
            <w:r>
              <w:rPr>
                <w:rFonts w:hint="eastAsia" w:ascii="宋体" w:hAnsi="宋体" w:cs="宋体"/>
                <w:color w:val="000000" w:themeColor="text1"/>
                <w:sz w:val="24"/>
                <w:szCs w:val="24"/>
                <w:highlight w:val="none"/>
                <w:lang w:val="en-US" w:eastAsia="zh-CN"/>
                <w14:textFill>
                  <w14:solidFill>
                    <w14:schemeClr w14:val="tx1"/>
                  </w14:solidFill>
                </w14:textFill>
              </w:rPr>
              <w:t>售后</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响应时间和</w:t>
            </w:r>
            <w:r>
              <w:rPr>
                <w:rFonts w:hint="eastAsia" w:ascii="宋体" w:hAnsi="宋体" w:cs="宋体"/>
                <w:color w:val="000000" w:themeColor="text1"/>
                <w:sz w:val="24"/>
                <w:szCs w:val="24"/>
                <w:highlight w:val="none"/>
                <w:lang w:val="en-US" w:eastAsia="zh-CN"/>
                <w14:textFill>
                  <w14:solidFill>
                    <w14:schemeClr w14:val="tx1"/>
                  </w14:solidFill>
                </w14:textFill>
              </w:rPr>
              <w:t>故障修复时间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；④</w:t>
            </w:r>
            <w:r>
              <w:rPr>
                <w:rFonts w:hint="default" w:ascii="宋体" w:hAnsi="宋体" w:eastAsia="宋体" w:cs="宋体"/>
                <w:color w:val="000000" w:themeColor="text1"/>
                <w:sz w:val="24"/>
                <w:szCs w:val="24"/>
                <w:highlight w:val="none"/>
                <w14:textFill>
                  <w14:solidFill>
                    <w14:schemeClr w14:val="tx1"/>
                  </w14:solidFill>
                </w14:textFill>
              </w:rPr>
              <w:t>运维流程规范</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⑤</w:t>
            </w:r>
            <w:r>
              <w:rPr>
                <w:rFonts w:hint="eastAsia" w:ascii="宋体" w:hAnsi="宋体" w:cs="宋体"/>
                <w:color w:val="000000" w:themeColor="text1"/>
                <w:sz w:val="24"/>
                <w:szCs w:val="24"/>
                <w:highlight w:val="none"/>
                <w:lang w:val="en-US" w:eastAsia="zh-CN"/>
                <w14:textFill>
                  <w14:solidFill>
                    <w14:schemeClr w14:val="tx1"/>
                  </w14:solidFill>
                </w14:textFill>
              </w:rPr>
              <w:t>售后服务承诺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0B5ABB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以上5项内容每一项内容满分3分，共计15分。其中每缺少一项内容扣3分，每有一项内容有一个缺陷扣1分，扣完3分为止，不提供不得分。</w:t>
            </w:r>
          </w:p>
          <w:p w14:paraId="3B1DD9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tc>
      </w:tr>
      <w:tr w14:paraId="728A2FAB">
        <w:tblPrEx>
          <w:tblCellMar>
            <w:top w:w="0" w:type="dxa"/>
            <w:left w:w="108" w:type="dxa"/>
            <w:bottom w:w="0" w:type="dxa"/>
            <w:right w:w="108" w:type="dxa"/>
          </w:tblCellMar>
        </w:tblPrEx>
        <w:trPr>
          <w:trHeight w:val="76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DD2EC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培训</w:t>
            </w:r>
            <w:r>
              <w:rPr>
                <w:rFonts w:hint="eastAsia" w:ascii="宋体" w:hAnsi="宋体" w:eastAsia="宋体" w:cs="宋体"/>
                <w:color w:val="000000" w:themeColor="text1"/>
                <w:sz w:val="24"/>
                <w:szCs w:val="24"/>
                <w:highlight w:val="none"/>
                <w:lang w:val="zh-CN"/>
                <w14:textFill>
                  <w14:solidFill>
                    <w14:schemeClr w14:val="tx1"/>
                  </w14:solidFill>
                </w14:textFill>
              </w:rPr>
              <w:t>方案</w:t>
            </w:r>
          </w:p>
        </w:tc>
        <w:tc>
          <w:tcPr>
            <w:tcW w:w="744" w:type="dxa"/>
            <w:tcBorders>
              <w:top w:val="single" w:color="auto" w:sz="4" w:space="0"/>
              <w:left w:val="nil"/>
              <w:bottom w:val="single" w:color="auto" w:sz="4" w:space="0"/>
              <w:right w:val="single" w:color="auto" w:sz="4" w:space="0"/>
            </w:tcBorders>
            <w:noWrap w:val="0"/>
            <w:vAlign w:val="center"/>
          </w:tcPr>
          <w:p w14:paraId="2085ED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9分</w:t>
            </w:r>
          </w:p>
        </w:tc>
        <w:tc>
          <w:tcPr>
            <w:tcW w:w="7131" w:type="dxa"/>
            <w:tcBorders>
              <w:top w:val="single" w:color="auto" w:sz="4" w:space="0"/>
              <w:left w:val="nil"/>
              <w:bottom w:val="single" w:color="auto" w:sz="4" w:space="0"/>
              <w:right w:val="single" w:color="auto" w:sz="4" w:space="0"/>
            </w:tcBorders>
            <w:noWrap w:val="0"/>
            <w:vAlign w:val="center"/>
          </w:tcPr>
          <w:p w14:paraId="22032730">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提供详尽的</w:t>
            </w:r>
            <w:r>
              <w:rPr>
                <w:rFonts w:hint="eastAsia" w:ascii="宋体" w:hAnsi="宋体" w:eastAsia="宋体" w:cs="宋体"/>
                <w:color w:val="000000" w:themeColor="text1"/>
                <w:sz w:val="24"/>
                <w:szCs w:val="24"/>
                <w:highlight w:val="none"/>
                <w:lang w:val="zh-CN" w:eastAsia="zh-CN"/>
                <w14:textFill>
                  <w14:solidFill>
                    <w14:schemeClr w14:val="tx1"/>
                  </w14:solidFill>
                </w14:textFill>
              </w:rPr>
              <w:t>现场实操</w:t>
            </w:r>
            <w:r>
              <w:rPr>
                <w:rFonts w:hint="eastAsia" w:ascii="宋体" w:hAnsi="宋体" w:cs="宋体"/>
                <w:color w:val="000000" w:themeColor="text1"/>
                <w:sz w:val="24"/>
                <w:szCs w:val="24"/>
                <w:highlight w:val="none"/>
                <w:lang w:val="en-US" w:eastAsia="zh-CN"/>
                <w14:textFill>
                  <w14:solidFill>
                    <w14:schemeClr w14:val="tx1"/>
                  </w14:solidFill>
                </w14:textFill>
              </w:rPr>
              <w:t>及运维</w:t>
            </w:r>
            <w:r>
              <w:rPr>
                <w:rFonts w:hint="eastAsia" w:ascii="宋体" w:hAnsi="宋体" w:eastAsia="宋体" w:cs="宋体"/>
                <w:color w:val="000000" w:themeColor="text1"/>
                <w:sz w:val="24"/>
                <w:szCs w:val="24"/>
                <w:highlight w:val="none"/>
                <w:lang w:val="zh-CN" w:eastAsia="zh-CN"/>
                <w14:textFill>
                  <w14:solidFill>
                    <w14:schemeClr w14:val="tx1"/>
                  </w14:solidFill>
                </w14:textFill>
              </w:rPr>
              <w:t>培训</w:t>
            </w:r>
            <w:r>
              <w:rPr>
                <w:rFonts w:hint="eastAsia" w:ascii="宋体" w:hAnsi="宋体" w:eastAsia="宋体" w:cs="宋体"/>
                <w:color w:val="000000" w:themeColor="text1"/>
                <w:sz w:val="24"/>
                <w:szCs w:val="24"/>
                <w:highlight w:val="none"/>
                <w:lang w:val="zh-CN"/>
                <w14:textFill>
                  <w14:solidFill>
                    <w14:schemeClr w14:val="tx1"/>
                  </w14:solidFill>
                </w14:textFill>
              </w:rPr>
              <w:t>方案，并列出培训的具体内容及方式（包括但不限于：</w:t>
            </w:r>
            <w:r>
              <w:rPr>
                <w:rFonts w:hint="eastAsia" w:ascii="宋体" w:hAnsi="宋体" w:eastAsia="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lang w:val="zh-CN"/>
                <w14:textFill>
                  <w14:solidFill>
                    <w14:schemeClr w14:val="tx1"/>
                  </w14:solidFill>
                </w14:textFill>
              </w:rPr>
              <w:t>培训内容；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lang w:val="zh-CN"/>
                <w14:textFill>
                  <w14:solidFill>
                    <w14:schemeClr w14:val="tx1"/>
                  </w14:solidFill>
                </w14:textFill>
              </w:rPr>
              <w:t>培训</w:t>
            </w:r>
            <w:r>
              <w:rPr>
                <w:rFonts w:hint="eastAsia" w:ascii="宋体" w:hAnsi="宋体" w:eastAsia="宋体" w:cs="宋体"/>
                <w:color w:val="000000" w:themeColor="text1"/>
                <w:sz w:val="24"/>
                <w:szCs w:val="24"/>
                <w:highlight w:val="none"/>
                <w:lang w:val="zh-CN" w:eastAsia="zh-CN"/>
                <w14:textFill>
                  <w14:solidFill>
                    <w14:schemeClr w14:val="tx1"/>
                  </w14:solidFill>
                </w14:textFill>
              </w:rPr>
              <w:t>方式</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lang w:val="zh-CN"/>
                <w14:textFill>
                  <w14:solidFill>
                    <w14:schemeClr w14:val="tx1"/>
                  </w14:solidFill>
                </w14:textFill>
              </w:rPr>
              <w:t>培训对象及课程安排等），保证使用单位能熟练操作维护和正常使用，并进行简单故障排查处理。</w:t>
            </w:r>
          </w:p>
          <w:p w14:paraId="197989D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以上3项内容每一项内容满分3分，共计9分。其中每缺少一项内容扣3分，每有一项内容有一个缺陷扣1分，扣完3分为止，不提供不得分。</w:t>
            </w:r>
          </w:p>
          <w:p w14:paraId="1CC9D1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000000" w:themeColor="text1"/>
                <w:sz w:val="24"/>
                <w:szCs w:val="24"/>
                <w:lang w:eastAsia="zh-CN"/>
                <w14:textFill>
                  <w14:solidFill>
                    <w14:schemeClr w14:val="tx1"/>
                  </w14:solidFill>
                </w14:textFill>
              </w:rPr>
              <w:t>）</w:t>
            </w:r>
          </w:p>
        </w:tc>
      </w:tr>
      <w:tr w14:paraId="17D2DE95">
        <w:tblPrEx>
          <w:tblCellMar>
            <w:top w:w="0" w:type="dxa"/>
            <w:left w:w="108" w:type="dxa"/>
            <w:bottom w:w="0" w:type="dxa"/>
            <w:right w:w="108" w:type="dxa"/>
          </w:tblCellMar>
        </w:tblPrEx>
        <w:trPr>
          <w:trHeight w:val="505"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3F42C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合理化建议</w:t>
            </w:r>
          </w:p>
        </w:tc>
        <w:tc>
          <w:tcPr>
            <w:tcW w:w="744" w:type="dxa"/>
            <w:tcBorders>
              <w:top w:val="single" w:color="auto" w:sz="4" w:space="0"/>
              <w:left w:val="nil"/>
              <w:bottom w:val="single" w:color="auto" w:sz="4" w:space="0"/>
              <w:right w:val="single" w:color="auto" w:sz="4" w:space="0"/>
            </w:tcBorders>
            <w:noWrap w:val="0"/>
            <w:vAlign w:val="center"/>
          </w:tcPr>
          <w:p w14:paraId="751B36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3分</w:t>
            </w:r>
          </w:p>
        </w:tc>
        <w:tc>
          <w:tcPr>
            <w:tcW w:w="7131" w:type="dxa"/>
            <w:tcBorders>
              <w:top w:val="single" w:color="auto" w:sz="4" w:space="0"/>
              <w:left w:val="nil"/>
              <w:bottom w:val="single" w:color="auto" w:sz="4" w:space="0"/>
              <w:right w:val="single" w:color="auto" w:sz="4" w:space="0"/>
            </w:tcBorders>
            <w:noWrap w:val="0"/>
            <w:vAlign w:val="center"/>
          </w:tcPr>
          <w:p w14:paraId="0F40051E">
            <w:pPr>
              <w:keepNext w:val="0"/>
              <w:keepLines w:val="0"/>
              <w:pageBreakBefore w:val="0"/>
              <w:widowControl w:val="0"/>
              <w:suppressLineNumbers w:val="0"/>
              <w:kinsoku/>
              <w:wordWrap/>
              <w:overflowPunct/>
              <w:topLinePunct w:val="0"/>
              <w:autoSpaceDE/>
              <w:autoSpaceDN/>
              <w:bidi w:val="0"/>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紧密贴合涉网新型行为分析业务实战、贴合项目痛点，建议覆盖算法优化、数据对接、实战应用、安全合规、运维升级等核心维度，内容专业详实、可落地、无空话，可显著提升系统实战效能与项目建设质量</w:t>
            </w:r>
            <w:r>
              <w:rPr>
                <w:rFonts w:hint="eastAsia" w:ascii="宋体" w:hAnsi="宋体" w:cs="宋体"/>
                <w:color w:val="000000" w:themeColor="text1"/>
                <w:sz w:val="24"/>
                <w:szCs w:val="24"/>
                <w:highlight w:val="none"/>
                <w:lang w:val="en-US" w:eastAsia="zh-CN"/>
                <w14:textFill>
                  <w14:solidFill>
                    <w14:schemeClr w14:val="tx1"/>
                  </w14:solidFill>
                </w14:textFill>
              </w:rPr>
              <w:t>得3分；能够结合项目提出有效建议，覆盖多数核心建设维度，具备针对性与落地性，可有效优化系统性能及运维服务，但内容深度略有不足，优化提升效果一般得2分；仅提供少量、单一、浅显的通用信息化建议，未结合涉网行为分析专项业务场景，专业性、针对性不足，对项目提升作用较小得1分；未提供不得分。</w:t>
            </w:r>
          </w:p>
        </w:tc>
      </w:tr>
      <w:tr w14:paraId="3EB0D694">
        <w:tblPrEx>
          <w:tblCellMar>
            <w:top w:w="0" w:type="dxa"/>
            <w:left w:w="108" w:type="dxa"/>
            <w:bottom w:w="0" w:type="dxa"/>
            <w:right w:w="108" w:type="dxa"/>
          </w:tblCellMar>
        </w:tblPrEx>
        <w:trPr>
          <w:trHeight w:val="505"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79C573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w:t>
            </w:r>
          </w:p>
        </w:tc>
        <w:tc>
          <w:tcPr>
            <w:tcW w:w="744" w:type="dxa"/>
            <w:tcBorders>
              <w:top w:val="single" w:color="auto" w:sz="4" w:space="0"/>
              <w:left w:val="nil"/>
              <w:bottom w:val="single" w:color="auto" w:sz="4" w:space="0"/>
              <w:right w:val="single" w:color="auto" w:sz="4" w:space="0"/>
            </w:tcBorders>
            <w:noWrap w:val="0"/>
            <w:vAlign w:val="center"/>
          </w:tcPr>
          <w:p w14:paraId="4E8BD5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9分</w:t>
            </w:r>
          </w:p>
        </w:tc>
        <w:tc>
          <w:tcPr>
            <w:tcW w:w="7131" w:type="dxa"/>
            <w:tcBorders>
              <w:top w:val="single" w:color="auto" w:sz="4" w:space="0"/>
              <w:left w:val="nil"/>
              <w:bottom w:val="single" w:color="auto" w:sz="4" w:space="0"/>
              <w:right w:val="single" w:color="auto" w:sz="4" w:space="0"/>
            </w:tcBorders>
            <w:noWrap w:val="0"/>
            <w:vAlign w:val="center"/>
          </w:tcPr>
          <w:p w14:paraId="47F126CC">
            <w:pPr>
              <w:keepNext w:val="0"/>
              <w:keepLines w:val="0"/>
              <w:pageBreakBefore w:val="0"/>
              <w:widowControl w:val="0"/>
              <w:suppressLineNumbers w:val="0"/>
              <w:kinsoku/>
              <w:wordWrap/>
              <w:overflowPunct/>
              <w:topLinePunct w:val="0"/>
              <w:autoSpaceDE/>
              <w:autoSpaceDN/>
              <w:bidi w:val="0"/>
              <w:spacing w:before="0" w:beforeAutospacing="0" w:after="0" w:afterAutospacing="0" w:line="440" w:lineRule="exact"/>
              <w:ind w:left="0" w:right="0" w:rightChars="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投标人提供近三年（20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14:textFill>
                  <w14:solidFill>
                    <w14:schemeClr w14:val="tx1"/>
                  </w14:solidFill>
                </w14:textFill>
              </w:rPr>
              <w:t>至今）承担过的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类似</w:t>
            </w:r>
            <w:r>
              <w:rPr>
                <w:rFonts w:hint="eastAsia" w:ascii="宋体" w:hAnsi="宋体" w:eastAsia="宋体" w:cs="宋体"/>
                <w:color w:val="000000" w:themeColor="text1"/>
                <w:sz w:val="24"/>
                <w:szCs w:val="24"/>
                <w:highlight w:val="none"/>
                <w14:textFill>
                  <w14:solidFill>
                    <w14:schemeClr w14:val="tx1"/>
                  </w14:solidFill>
                </w14:textFill>
              </w:rPr>
              <w:t>项目合同为评审依据，每提供一份得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分，本项合计最高</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以合同签订日期为准，所有内容应清晰可辨，否则不予认可</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bl>
    <w:p w14:paraId="5A836FF0">
      <w:pPr>
        <w:spacing w:line="360" w:lineRule="auto"/>
        <w:ind w:firstLine="482" w:firstLineChars="200"/>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13A34A95">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以上各项打分均由</w:t>
      </w:r>
      <w:r>
        <w:rPr>
          <w:rFonts w:hint="eastAsia" w:ascii="宋体" w:hAnsi="宋体" w:cs="宋体"/>
          <w:bCs/>
          <w:color w:val="auto"/>
          <w:sz w:val="24"/>
          <w:szCs w:val="24"/>
          <w:lang w:val="en-US" w:eastAsia="zh-CN"/>
        </w:rPr>
        <w:t>磋商小组成员</w:t>
      </w:r>
      <w:r>
        <w:rPr>
          <w:rFonts w:hint="eastAsia" w:ascii="宋体" w:hAnsi="宋体" w:cs="宋体"/>
          <w:bCs/>
          <w:color w:val="auto"/>
          <w:sz w:val="24"/>
          <w:szCs w:val="24"/>
        </w:rPr>
        <w:t>独立评分，评分相邻两档之间的得分，归属于较低一档</w:t>
      </w:r>
      <w:r>
        <w:rPr>
          <w:rFonts w:hint="eastAsia" w:ascii="宋体" w:hAnsi="宋体" w:cs="宋体"/>
          <w:bCs/>
          <w:color w:val="auto"/>
          <w:sz w:val="24"/>
          <w:szCs w:val="24"/>
          <w:lang w:eastAsia="zh-CN"/>
        </w:rPr>
        <w:t>，</w:t>
      </w:r>
      <w:r>
        <w:rPr>
          <w:rFonts w:hint="eastAsia" w:ascii="宋体" w:hAnsi="宋体" w:cs="宋体"/>
          <w:bCs/>
          <w:color w:val="auto"/>
          <w:sz w:val="24"/>
          <w:szCs w:val="24"/>
        </w:rPr>
        <w:t>两档之间可取小数点进行打分，按评审后综合得分由高到低推荐一至三名中标候选人。</w:t>
      </w:r>
    </w:p>
    <w:p w14:paraId="43F2A190">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2.</w:t>
      </w:r>
      <w:r>
        <w:rPr>
          <w:rFonts w:hint="eastAsia" w:ascii="宋体" w:hAnsi="宋体" w:eastAsia="宋体" w:cs="宋体"/>
          <w:color w:val="auto"/>
          <w:kern w:val="2"/>
          <w:sz w:val="24"/>
          <w:szCs w:val="24"/>
          <w:lang w:val="en-US" w:eastAsia="zh-CN" w:bidi="ar"/>
        </w:rPr>
        <w:t>对专门面向中小企业采购项目，不</w:t>
      </w:r>
      <w:r>
        <w:rPr>
          <w:rFonts w:hint="eastAsia" w:ascii="宋体" w:hAnsi="宋体" w:cs="宋体"/>
          <w:color w:val="auto"/>
          <w:kern w:val="2"/>
          <w:sz w:val="24"/>
          <w:szCs w:val="24"/>
          <w:lang w:val="en-US" w:eastAsia="zh-CN" w:bidi="ar"/>
        </w:rPr>
        <w:t>再</w:t>
      </w:r>
      <w:r>
        <w:rPr>
          <w:rFonts w:hint="eastAsia" w:ascii="宋体" w:hAnsi="宋体" w:eastAsia="宋体" w:cs="宋体"/>
          <w:color w:val="auto"/>
          <w:kern w:val="2"/>
          <w:sz w:val="24"/>
          <w:szCs w:val="24"/>
          <w:lang w:val="en-US" w:eastAsia="zh-CN" w:bidi="ar"/>
        </w:rPr>
        <w:t>执行价格扣除政策。</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eastAsia="宋体" w:cs="宋体"/>
          <w:bCs/>
          <w:color w:val="auto"/>
          <w:sz w:val="24"/>
          <w:szCs w:val="24"/>
          <w:lang w:eastAsia="zh-CN"/>
        </w:rPr>
        <w:t>。</w:t>
      </w:r>
    </w:p>
    <w:p w14:paraId="3126D33C">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3.</w:t>
      </w:r>
      <w:r>
        <w:rPr>
          <w:rFonts w:hint="eastAsia" w:ascii="宋体" w:hAnsi="宋体" w:cs="宋体"/>
          <w:bCs/>
          <w:color w:val="auto"/>
          <w:sz w:val="24"/>
          <w:szCs w:val="24"/>
        </w:rPr>
        <w:t>对于非专门面向中小企业的项目、残疾人福利性单位的项目，对小型和微型企业，残疾人福利性单位产品的价格给予10%的扣除，用扣除后的价格参与评审，残疾人福利性单位属于小型、微型企业的，不重复享受政策；</w:t>
      </w:r>
    </w:p>
    <w:p w14:paraId="78A54A06">
      <w:pPr>
        <w:spacing w:line="336" w:lineRule="auto"/>
        <w:ind w:firstLine="600" w:firstLineChars="250"/>
        <w:rPr>
          <w:rFonts w:hint="eastAsia" w:ascii="宋体" w:hAnsi="宋体" w:cs="宋体"/>
          <w:bCs/>
          <w:color w:val="auto"/>
          <w:sz w:val="24"/>
          <w:szCs w:val="24"/>
          <w:lang w:eastAsia="zh-CN"/>
        </w:rPr>
      </w:pPr>
      <w:r>
        <w:rPr>
          <w:rFonts w:hint="eastAsia" w:ascii="宋体" w:hAnsi="宋体" w:eastAsia="宋体" w:cs="Times New Roman"/>
          <w:bCs/>
          <w:color w:val="auto"/>
          <w:kern w:val="2"/>
          <w:sz w:val="24"/>
          <w:szCs w:val="24"/>
          <w:lang w:val="en-US" w:eastAsia="zh-CN" w:bidi="ar"/>
        </w:rPr>
        <w:t>4.投标人提供</w:t>
      </w:r>
      <w:r>
        <w:rPr>
          <w:rFonts w:hint="eastAsia" w:ascii="宋体" w:hAnsi="宋体" w:eastAsia="宋体" w:cs="Times New Roman"/>
          <w:bCs/>
          <w:color w:val="auto"/>
          <w:kern w:val="2"/>
          <w:sz w:val="24"/>
          <w:szCs w:val="24"/>
          <w:highlight w:val="none"/>
          <w:lang w:val="en-US" w:eastAsia="zh-CN" w:bidi="ar"/>
        </w:rPr>
        <w:t>相同品牌产品</w:t>
      </w:r>
      <w:r>
        <w:rPr>
          <w:rFonts w:hint="eastAsia" w:ascii="宋体" w:hAnsi="宋体" w:eastAsia="宋体" w:cs="Times New Roman"/>
          <w:bCs/>
          <w:color w:val="auto"/>
          <w:kern w:val="2"/>
          <w:sz w:val="24"/>
          <w:szCs w:val="24"/>
          <w:lang w:val="en-US" w:eastAsia="zh-CN" w:bidi="ar"/>
        </w:rPr>
        <w:t>且通过资格审查、符合性审查的不同供应商参加同一合同项下投标的，按一家供应商计算，评审后得分最高的同品牌供应商获得成交人推荐资格；评审得分相同的，由专家组确定价格得分最高的一个供应商获得成交人推荐资格，其他同品牌供应商不作为成交候选人。</w:t>
      </w:r>
    </w:p>
    <w:p w14:paraId="6CEA47C6">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val="en-US" w:eastAsia="zh-CN"/>
        </w:rPr>
        <w:t>5.</w:t>
      </w:r>
      <w:r>
        <w:rPr>
          <w:rFonts w:hint="eastAsia" w:ascii="宋体" w:hAnsi="宋体" w:cs="宋体"/>
          <w:bCs/>
          <w:color w:val="auto"/>
          <w:sz w:val="24"/>
          <w:szCs w:val="24"/>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23B313D5">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val="en-US" w:eastAsia="zh-CN"/>
        </w:rPr>
        <w:t>6</w:t>
      </w:r>
      <w:r>
        <w:rPr>
          <w:rFonts w:hint="eastAsia" w:ascii="宋体" w:hAnsi="宋体" w:cs="宋体"/>
          <w:bCs/>
          <w:color w:val="auto"/>
          <w:sz w:val="24"/>
          <w:szCs w:val="24"/>
          <w:lang w:eastAsia="zh-CN"/>
        </w:rPr>
        <w:t>.</w:t>
      </w:r>
      <w:r>
        <w:rPr>
          <w:rFonts w:hint="eastAsia" w:ascii="宋体" w:hAnsi="宋体" w:eastAsia="宋体" w:cs="宋体"/>
          <w:b w:val="0"/>
          <w:bCs w:val="0"/>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sz w:val="24"/>
          <w:szCs w:val="24"/>
          <w:lang w:val="en-US" w:eastAsia="zh-CN"/>
        </w:rPr>
        <w:t>价，有可能影响</w:t>
      </w:r>
      <w:r>
        <w:rPr>
          <w:rFonts w:hint="eastAsia" w:ascii="宋体" w:hAnsi="宋体" w:cs="宋体"/>
          <w:b w:val="0"/>
          <w:bCs w:val="0"/>
          <w:sz w:val="24"/>
          <w:szCs w:val="24"/>
          <w:lang w:val="en-US" w:eastAsia="zh-CN"/>
        </w:rPr>
        <w:t>项目</w:t>
      </w:r>
      <w:r>
        <w:rPr>
          <w:rFonts w:hint="eastAsia" w:ascii="宋体" w:hAnsi="宋体" w:eastAsia="宋体" w:cs="宋体"/>
          <w:b w:val="0"/>
          <w:bCs w:val="0"/>
          <w:sz w:val="24"/>
          <w:szCs w:val="24"/>
          <w:lang w:val="en-US" w:eastAsia="zh-CN"/>
        </w:rPr>
        <w:t>质量或者不能诚信履约的，磋商小组将</w:t>
      </w:r>
      <w:r>
        <w:rPr>
          <w:rFonts w:hint="eastAsia" w:ascii="宋体" w:hAnsi="宋体" w:cs="宋体"/>
          <w:b w:val="0"/>
          <w:bCs w:val="0"/>
          <w:sz w:val="24"/>
          <w:szCs w:val="24"/>
          <w:lang w:val="en-US" w:eastAsia="zh-CN"/>
        </w:rPr>
        <w:t>依据《财政部关于推动解决政府采购异常低价问题的通知》（财库[2026]2号）</w:t>
      </w:r>
      <w:r>
        <w:rPr>
          <w:rFonts w:hint="eastAsia" w:ascii="宋体" w:hAnsi="宋体" w:eastAsia="宋体" w:cs="宋体"/>
          <w:b w:val="0"/>
          <w:bCs w:val="0"/>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70266FCE">
      <w:pPr>
        <w:spacing w:line="336" w:lineRule="auto"/>
        <w:ind w:firstLine="600" w:firstLineChars="250"/>
        <w:rPr>
          <w:rFonts w:hint="eastAsia" w:ascii="宋体" w:hAnsi="宋体" w:cs="宋体"/>
          <w:bCs/>
          <w:color w:val="auto"/>
          <w:sz w:val="24"/>
          <w:szCs w:val="24"/>
        </w:rPr>
        <w:sectPr>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r>
        <w:rPr>
          <w:rFonts w:hint="eastAsia" w:ascii="宋体" w:hAnsi="宋体" w:cs="宋体"/>
          <w:bCs/>
          <w:color w:val="auto"/>
          <w:sz w:val="24"/>
          <w:szCs w:val="24"/>
          <w:lang w:val="en-US" w:eastAsia="zh-CN"/>
        </w:rPr>
        <w:t>7</w:t>
      </w:r>
      <w:r>
        <w:rPr>
          <w:rFonts w:hint="eastAsia" w:ascii="宋体" w:hAnsi="宋体" w:cs="宋体"/>
          <w:bCs/>
          <w:color w:val="auto"/>
          <w:sz w:val="24"/>
          <w:szCs w:val="24"/>
          <w:lang w:eastAsia="zh-CN"/>
        </w:rPr>
        <w:t>.</w:t>
      </w:r>
      <w:r>
        <w:rPr>
          <w:rFonts w:hint="eastAsia" w:ascii="宋体" w:hAnsi="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val="en-US" w:eastAsia="zh-CN"/>
        </w:rPr>
        <w:t>磋商</w:t>
      </w:r>
      <w:r>
        <w:rPr>
          <w:rFonts w:hint="eastAsia" w:ascii="宋体" w:hAnsi="宋体" w:cs="宋体"/>
          <w:bCs/>
          <w:color w:val="auto"/>
          <w:sz w:val="24"/>
          <w:szCs w:val="24"/>
        </w:rPr>
        <w:t>文件满足</w:t>
      </w:r>
      <w:r>
        <w:rPr>
          <w:rFonts w:hint="eastAsia" w:ascii="宋体" w:hAnsi="宋体" w:cs="宋体"/>
          <w:bCs/>
          <w:color w:val="auto"/>
          <w:sz w:val="24"/>
          <w:szCs w:val="24"/>
          <w:lang w:eastAsia="zh-CN"/>
        </w:rPr>
        <w:t>磋商文件</w:t>
      </w:r>
      <w:r>
        <w:rPr>
          <w:rFonts w:hint="eastAsia" w:ascii="宋体" w:hAnsi="宋体" w:cs="宋体"/>
          <w:bCs/>
          <w:color w:val="auto"/>
          <w:sz w:val="24"/>
          <w:szCs w:val="24"/>
        </w:rPr>
        <w:t>全部实质性要求，且按照评审因素的量化指标评审得分最高的投标人为排名第一的中标候选人。</w:t>
      </w:r>
    </w:p>
    <w:bookmarkEnd w:id="130"/>
    <w:p w14:paraId="1CD68C26">
      <w:pPr>
        <w:pStyle w:val="2"/>
        <w:pageBreakBefore/>
        <w:numPr>
          <w:ilvl w:val="0"/>
          <w:numId w:val="7"/>
        </w:numPr>
        <w:rPr>
          <w:rFonts w:ascii="宋体" w:hAnsi="宋体" w:cs="宋体"/>
          <w:color w:val="auto"/>
        </w:rPr>
      </w:pPr>
      <w:bookmarkStart w:id="131" w:name="_Toc11325"/>
      <w:bookmarkStart w:id="132" w:name="_Toc15647"/>
      <w:bookmarkStart w:id="133" w:name="_Toc6835"/>
      <w:r>
        <w:rPr>
          <w:rFonts w:hint="eastAsia" w:ascii="宋体" w:hAnsi="宋体" w:cs="宋体"/>
          <w:color w:val="auto"/>
        </w:rPr>
        <w:t>采购内容及要求</w:t>
      </w:r>
      <w:bookmarkEnd w:id="131"/>
    </w:p>
    <w:p w14:paraId="796C4D5D">
      <w:pPr>
        <w:numPr>
          <w:ilvl w:val="0"/>
          <w:numId w:val="0"/>
        </w:numPr>
        <w:spacing w:line="360" w:lineRule="auto"/>
        <w:ind w:firstLine="482" w:firstLineChars="200"/>
        <w:jc w:val="left"/>
        <w:rPr>
          <w:rFonts w:hint="eastAsia" w:ascii="宋体" w:hAnsi="宋体" w:cs="宋体"/>
          <w:b/>
          <w:color w:val="auto"/>
          <w:sz w:val="24"/>
          <w:szCs w:val="24"/>
          <w:lang w:val="en-US" w:eastAsia="zh-CN"/>
        </w:rPr>
      </w:pPr>
      <w:bookmarkStart w:id="134" w:name="_Toc21652"/>
      <w:bookmarkStart w:id="135" w:name="_Toc536202322"/>
      <w:bookmarkStart w:id="136" w:name="_Toc536429331"/>
      <w:bookmarkStart w:id="137" w:name="_Toc536429384"/>
      <w:bookmarkStart w:id="138" w:name="_Toc10286"/>
      <w:bookmarkStart w:id="139" w:name="_Toc536202391"/>
      <w:bookmarkStart w:id="140" w:name="_Toc19543347"/>
      <w:r>
        <w:rPr>
          <w:rFonts w:hint="eastAsia" w:ascii="宋体" w:hAnsi="宋体" w:eastAsia="宋体" w:cs="宋体"/>
          <w:b/>
          <w:color w:val="auto"/>
          <w:kern w:val="2"/>
          <w:sz w:val="24"/>
          <w:szCs w:val="24"/>
          <w:lang w:val="en-US" w:eastAsia="zh-CN" w:bidi="ar-SA"/>
        </w:rPr>
        <w:t>一、</w:t>
      </w:r>
      <w:r>
        <w:rPr>
          <w:rFonts w:hint="eastAsia" w:ascii="宋体" w:hAnsi="宋体" w:eastAsia="宋体" w:cs="宋体"/>
          <w:b/>
          <w:color w:val="auto"/>
          <w:sz w:val="24"/>
          <w:szCs w:val="24"/>
        </w:rPr>
        <w:t>项目</w:t>
      </w:r>
      <w:r>
        <w:rPr>
          <w:rFonts w:hint="eastAsia" w:ascii="宋体" w:hAnsi="宋体" w:cs="宋体"/>
          <w:b/>
          <w:color w:val="auto"/>
          <w:sz w:val="24"/>
          <w:szCs w:val="24"/>
          <w:lang w:val="en-US" w:eastAsia="zh-CN"/>
        </w:rPr>
        <w:t>概况</w:t>
      </w:r>
    </w:p>
    <w:p w14:paraId="3E84FB2F">
      <w:pPr>
        <w:numPr>
          <w:ilvl w:val="0"/>
          <w:numId w:val="0"/>
        </w:numPr>
        <w:spacing w:line="360" w:lineRule="auto"/>
        <w:ind w:firstLine="480" w:firstLineChars="200"/>
        <w:jc w:val="left"/>
        <w:rPr>
          <w:rFonts w:ascii="宋体" w:hAnsi="宋体" w:eastAsia="宋体" w:cs="Open Sans"/>
          <w:color w:val="3D3C40"/>
          <w:sz w:val="24"/>
          <w:szCs w:val="24"/>
          <w:shd w:val="clear" w:color="auto" w:fill="FFFFFF"/>
        </w:rPr>
      </w:pPr>
      <w:r>
        <w:rPr>
          <w:rFonts w:hint="eastAsia" w:ascii="宋体" w:hAnsi="宋体" w:eastAsia="宋体" w:cs="Open Sans"/>
          <w:color w:val="3D3C40"/>
          <w:sz w:val="24"/>
          <w:szCs w:val="24"/>
          <w:shd w:val="clear" w:color="auto" w:fill="FFFFFF"/>
        </w:rPr>
        <w:t>移动互联网时代，面对日益增多的非接触式网络犯罪案件，特别是当前全国高发的电诈类案件，传统的侦查手段与情报体系已渐渐无法满足实战办案需求，大量有价值的情报信息分散在互联网上，对于公安机关来说，互联网数据资源逐渐成为一种宝贵的战略资源，可将其融入公安数据体系中，提供业务支撑。</w:t>
      </w:r>
    </w:p>
    <w:p w14:paraId="7B4F9FF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宋体" w:hAnsi="宋体" w:eastAsia="宋体" w:cs="Open Sans"/>
          <w:b/>
          <w:bCs/>
          <w:color w:val="3D3C40"/>
          <w:sz w:val="24"/>
          <w:szCs w:val="24"/>
          <w:shd w:val="clear" w:color="auto" w:fill="FFFFFF"/>
          <w:lang w:val="en-US" w:eastAsia="zh-CN"/>
        </w:rPr>
      </w:pPr>
      <w:r>
        <w:rPr>
          <w:rFonts w:hint="eastAsia" w:ascii="宋体" w:hAnsi="宋体" w:cs="Open Sans"/>
          <w:b/>
          <w:bCs/>
          <w:color w:val="3D3C40"/>
          <w:sz w:val="24"/>
          <w:szCs w:val="24"/>
          <w:shd w:val="clear" w:color="auto" w:fill="FFFFFF"/>
          <w:lang w:val="en-US" w:eastAsia="zh-CN"/>
        </w:rPr>
        <w:t>二、采购内容</w:t>
      </w:r>
    </w:p>
    <w:p w14:paraId="607DD0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pacing w:val="-6"/>
          <w:sz w:val="24"/>
          <w:szCs w:val="24"/>
        </w:rPr>
      </w:pPr>
      <w:r>
        <w:rPr>
          <w:rFonts w:ascii="宋体" w:hAnsi="宋体" w:eastAsia="宋体" w:cs="Open Sans"/>
          <w:color w:val="3D3C40"/>
          <w:sz w:val="24"/>
          <w:szCs w:val="24"/>
          <w:shd w:val="clear" w:color="auto" w:fill="FFFFFF"/>
        </w:rPr>
        <w:t>我局拟充分应用</w:t>
      </w:r>
      <w:r>
        <w:rPr>
          <w:rFonts w:hint="eastAsia" w:ascii="宋体" w:hAnsi="宋体" w:eastAsia="宋体" w:cs="Open Sans"/>
          <w:color w:val="3D3C40"/>
          <w:sz w:val="24"/>
          <w:szCs w:val="24"/>
          <w:shd w:val="clear" w:color="auto" w:fill="FFFFFF"/>
        </w:rPr>
        <w:t>基于海量互联网移动数据提供的大数据服务，主要针对当前杀猪盘、贷款、刷单返利、冒充身份、网络赌博、虚拟币犯罪等新型网络违法犯罪的打击与防范，进行互联网情报资源搜集和信息化研判。</w:t>
      </w:r>
    </w:p>
    <w:p w14:paraId="77D4FA7F">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2" w:firstLineChars="20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cs="宋体"/>
          <w:b/>
          <w:bCs/>
          <w:i w:val="0"/>
          <w:iCs w:val="0"/>
          <w:color w:val="auto"/>
          <w:kern w:val="0"/>
          <w:sz w:val="24"/>
          <w:szCs w:val="24"/>
          <w:u w:val="none"/>
          <w:lang w:val="en-US" w:eastAsia="zh-CN" w:bidi="ar"/>
        </w:rPr>
        <w:t>三</w:t>
      </w:r>
      <w:r>
        <w:rPr>
          <w:rFonts w:hint="eastAsia" w:ascii="宋体" w:hAnsi="宋体" w:eastAsia="宋体" w:cs="宋体"/>
          <w:b/>
          <w:bCs/>
          <w:i w:val="0"/>
          <w:iCs w:val="0"/>
          <w:color w:val="auto"/>
          <w:kern w:val="0"/>
          <w:sz w:val="24"/>
          <w:szCs w:val="24"/>
          <w:u w:val="none"/>
          <w:lang w:val="en-US" w:eastAsia="zh-CN" w:bidi="ar"/>
        </w:rPr>
        <w:t>、商务要求</w:t>
      </w:r>
    </w:p>
    <w:p w14:paraId="437BA85A">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合同履行期：</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合同签订生效且账号开通后一年</w:t>
      </w:r>
    </w:p>
    <w:p w14:paraId="026319BC">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2.服务地点：采购人指定地点。</w:t>
      </w:r>
    </w:p>
    <w:p w14:paraId="3E975389">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3.</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合同价款：合同总价包括完成本项目所要求全部采购内容所需的费用，包括软件产品的报价、</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人工费、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安装调试费、相关服务费及国家按现行税收政策征收的一切税费等。</w:t>
      </w:r>
    </w:p>
    <w:p w14:paraId="59DC02B2">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4</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.付款方式：</w:t>
      </w:r>
      <w:r>
        <w:rPr>
          <w:rFonts w:hint="eastAsia" w:asciiTheme="minorEastAsia" w:hAnsiTheme="minorEastAsia" w:eastAsiaTheme="minorEastAsia"/>
          <w:color w:val="000000" w:themeColor="text1"/>
          <w:sz w:val="24"/>
          <w:szCs w:val="24"/>
          <w:lang w:eastAsia="zh-CN"/>
          <w14:textFill>
            <w14:solidFill>
              <w14:schemeClr w14:val="tx1"/>
            </w14:solidFill>
          </w14:textFill>
        </w:rPr>
        <w:t>合同签订后付</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合同总价款的</w:t>
      </w:r>
      <w:r>
        <w:rPr>
          <w:rFonts w:hint="eastAsia" w:asciiTheme="minorEastAsia" w:hAnsiTheme="minorEastAsia" w:eastAsiaTheme="minorEastAsia"/>
          <w:color w:val="000000" w:themeColor="text1"/>
          <w:sz w:val="24"/>
          <w:szCs w:val="24"/>
          <w:lang w:eastAsia="zh-CN"/>
          <w14:textFill>
            <w14:solidFill>
              <w14:schemeClr w14:val="tx1"/>
            </w14:solidFill>
          </w14:textFill>
        </w:rPr>
        <w:t>40%，安装调试验收合格后</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付合同总价款的</w:t>
      </w:r>
      <w:r>
        <w:rPr>
          <w:rFonts w:hint="eastAsia" w:asciiTheme="minorEastAsia" w:hAnsiTheme="minorEastAsia" w:eastAsiaTheme="minorEastAsia"/>
          <w:color w:val="000000" w:themeColor="text1"/>
          <w:sz w:val="24"/>
          <w:szCs w:val="24"/>
          <w:lang w:eastAsia="zh-CN"/>
          <w14:textFill>
            <w14:solidFill>
              <w14:schemeClr w14:val="tx1"/>
            </w14:solidFill>
          </w14:textFill>
        </w:rPr>
        <w:t>60%。付款前，成交供应商应为采购人开具全额的增值税电子发票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p w14:paraId="68824D26">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5.系统调试安装</w:t>
      </w:r>
    </w:p>
    <w:p w14:paraId="3D8592E5">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5.1成交供应商在采购人公安内网环境完成整套研判系统安装部署、参数初始化配置，逐项调试应用管理、模型智库、各类扩线、分析、APK 解析等全部 13 项功能模块。</w:t>
      </w:r>
    </w:p>
    <w:p w14:paraId="4DFE82CB">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5.2完成模块联动调试、接口调试，按采购文件约定账号许可数、年度服务调用限额实测校验功能，完成公安数字证书登录对接调试，确保证书鉴权登录、内网安全运行符合要求。</w:t>
      </w:r>
    </w:p>
    <w:p w14:paraId="7F891568">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5.3全功能调试达标后开展系统试运行，试运行期间出现功能异常、限额配置错误、接口故障等问题由中标单位免费整改；调试完成提交安装调试文档，免费开展民警实操培训并配合项目验收。</w:t>
      </w:r>
    </w:p>
    <w:p w14:paraId="5A5D4772">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6</w:t>
      </w:r>
      <w:r>
        <w:rPr>
          <w:rFonts w:hint="default" w:ascii="宋体" w:hAnsi="宋体" w:cs="宋体"/>
          <w:i w:val="0"/>
          <w:iCs w:val="0"/>
          <w:color w:val="auto"/>
          <w:kern w:val="0"/>
          <w:sz w:val="24"/>
          <w:szCs w:val="24"/>
          <w:u w:val="none"/>
          <w:lang w:val="en-US" w:eastAsia="zh-CN" w:bidi="ar"/>
        </w:rPr>
        <w:t>.验收</w:t>
      </w:r>
    </w:p>
    <w:p w14:paraId="7837CC3C">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Arial"/>
          <w:sz w:val="24"/>
        </w:rPr>
        <w:t>系统服务</w:t>
      </w:r>
      <w:r>
        <w:rPr>
          <w:rFonts w:ascii="宋体" w:hAnsi="宋体" w:cs="Arial"/>
          <w:sz w:val="24"/>
        </w:rPr>
        <w:t>提供商</w:t>
      </w:r>
      <w:r>
        <w:rPr>
          <w:rFonts w:hint="eastAsia" w:ascii="宋体" w:hAnsi="宋体" w:cs="Arial"/>
          <w:sz w:val="24"/>
        </w:rPr>
        <w:t>在甲方指定电脑上完成服务部署和授权，服务平台能够正常使用即视为符合验收条件。</w:t>
      </w:r>
      <w:r>
        <w:rPr>
          <w:rFonts w:hint="default" w:ascii="宋体" w:hAnsi="宋体" w:cs="宋体"/>
          <w:i w:val="0"/>
          <w:iCs w:val="0"/>
          <w:color w:val="auto"/>
          <w:kern w:val="0"/>
          <w:sz w:val="24"/>
          <w:szCs w:val="24"/>
          <w:u w:val="none"/>
          <w:lang w:val="en-US" w:eastAsia="zh-CN" w:bidi="ar"/>
        </w:rPr>
        <w:t>验收合格后，填写验收单，双方签字生效。</w:t>
      </w:r>
    </w:p>
    <w:p w14:paraId="22C52C5E">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7.</w:t>
      </w:r>
      <w:r>
        <w:rPr>
          <w:rFonts w:hint="default" w:ascii="宋体" w:hAnsi="宋体" w:cs="宋体"/>
          <w:i w:val="0"/>
          <w:iCs w:val="0"/>
          <w:color w:val="auto"/>
          <w:kern w:val="0"/>
          <w:sz w:val="24"/>
          <w:szCs w:val="24"/>
          <w:highlight w:val="none"/>
          <w:u w:val="none"/>
          <w:lang w:val="en-US" w:eastAsia="zh-CN" w:bidi="ar"/>
        </w:rPr>
        <w:t>售后服务</w:t>
      </w:r>
      <w:r>
        <w:rPr>
          <w:rFonts w:hint="eastAsia" w:ascii="宋体" w:hAnsi="宋体" w:cs="宋体"/>
          <w:i w:val="0"/>
          <w:iCs w:val="0"/>
          <w:color w:val="auto"/>
          <w:kern w:val="0"/>
          <w:sz w:val="24"/>
          <w:szCs w:val="24"/>
          <w:highlight w:val="none"/>
          <w:u w:val="none"/>
          <w:lang w:val="en-US" w:eastAsia="zh-CN" w:bidi="ar"/>
        </w:rPr>
        <w:t>：</w:t>
      </w:r>
      <w:r>
        <w:rPr>
          <w:rFonts w:hint="default" w:ascii="宋体" w:hAnsi="宋体" w:cs="宋体"/>
          <w:i w:val="0"/>
          <w:iCs w:val="0"/>
          <w:color w:val="auto"/>
          <w:kern w:val="0"/>
          <w:sz w:val="24"/>
          <w:szCs w:val="24"/>
          <w:highlight w:val="none"/>
          <w:u w:val="none"/>
          <w:lang w:val="en-US" w:eastAsia="zh-CN" w:bidi="ar"/>
        </w:rPr>
        <w:t>服务期内</w:t>
      </w:r>
      <w:r>
        <w:rPr>
          <w:rFonts w:hint="eastAsia" w:ascii="宋体" w:hAnsi="宋体" w:cs="宋体"/>
          <w:i w:val="0"/>
          <w:iCs w:val="0"/>
          <w:color w:val="auto"/>
          <w:kern w:val="0"/>
          <w:sz w:val="24"/>
          <w:szCs w:val="24"/>
          <w:highlight w:val="none"/>
          <w:u w:val="none"/>
          <w:lang w:val="en-US" w:eastAsia="zh-CN" w:bidi="ar"/>
        </w:rPr>
        <w:t>成交供应商</w:t>
      </w:r>
      <w:r>
        <w:rPr>
          <w:rFonts w:hint="default" w:ascii="宋体" w:hAnsi="宋体" w:cs="宋体"/>
          <w:i w:val="0"/>
          <w:iCs w:val="0"/>
          <w:color w:val="auto"/>
          <w:kern w:val="0"/>
          <w:sz w:val="24"/>
          <w:szCs w:val="24"/>
          <w:highlight w:val="none"/>
          <w:u w:val="none"/>
          <w:lang w:val="en-US" w:eastAsia="zh-CN" w:bidi="ar"/>
        </w:rPr>
        <w:t>须提供7×24小时全天候技术支撑服务，针对系统部署、功能使用、数据扩线、研判分析、接口调用及权限限额配置等问题提供全程技</w:t>
      </w:r>
      <w:r>
        <w:rPr>
          <w:rFonts w:hint="default" w:ascii="宋体" w:hAnsi="宋体" w:cs="宋体"/>
          <w:i w:val="0"/>
          <w:iCs w:val="0"/>
          <w:color w:val="000000" w:themeColor="text1"/>
          <w:kern w:val="0"/>
          <w:sz w:val="24"/>
          <w:szCs w:val="24"/>
          <w:highlight w:val="none"/>
          <w:u w:val="none"/>
          <w:lang w:val="en-US" w:eastAsia="zh-CN" w:bidi="ar"/>
          <w14:textFill>
            <w14:solidFill>
              <w14:schemeClr w14:val="tx1"/>
            </w14:solidFill>
          </w14:textFill>
        </w:rPr>
        <w:t>术指导。接到故障报修后须30分钟内响应，及</w:t>
      </w:r>
      <w:r>
        <w:rPr>
          <w:rFonts w:hint="default" w:ascii="宋体" w:hAnsi="宋体" w:cs="宋体"/>
          <w:i w:val="0"/>
          <w:iCs w:val="0"/>
          <w:color w:val="auto"/>
          <w:kern w:val="0"/>
          <w:sz w:val="24"/>
          <w:szCs w:val="24"/>
          <w:highlight w:val="none"/>
          <w:u w:val="none"/>
          <w:lang w:val="en-US" w:eastAsia="zh-CN" w:bidi="ar"/>
        </w:rPr>
        <w:t>时排查处置系统卡顿、功能报错、数据异常、权限失效等各类问题，一般故障限时修复、重大故障及时到场处置。</w:t>
      </w:r>
      <w:r>
        <w:rPr>
          <w:rFonts w:hint="eastAsia" w:ascii="宋体" w:hAnsi="宋体" w:cs="宋体"/>
          <w:i w:val="0"/>
          <w:iCs w:val="0"/>
          <w:color w:val="auto"/>
          <w:kern w:val="0"/>
          <w:sz w:val="24"/>
          <w:szCs w:val="24"/>
          <w:highlight w:val="none"/>
          <w:u w:val="none"/>
          <w:lang w:val="en-US" w:eastAsia="zh-CN" w:bidi="ar"/>
        </w:rPr>
        <w:t>成交供应商</w:t>
      </w:r>
      <w:r>
        <w:rPr>
          <w:rFonts w:hint="default" w:ascii="宋体" w:hAnsi="宋体" w:cs="宋体"/>
          <w:i w:val="0"/>
          <w:iCs w:val="0"/>
          <w:color w:val="auto"/>
          <w:kern w:val="0"/>
          <w:sz w:val="24"/>
          <w:szCs w:val="24"/>
          <w:highlight w:val="none"/>
          <w:u w:val="none"/>
          <w:lang w:val="en-US" w:eastAsia="zh-CN" w:bidi="ar"/>
        </w:rPr>
        <w:t>须免费提供系统安全补丁升级、漏洞修复、功能优化及参数适配调整，持续保障系统符合公安内网安全规范及实战办案研判需求。同时建立运维服务台账，记录故障处理、系统优化及技术支撑情况，定期提交运维报告，全程无条件配合采购人日常业务使用、专项研判工作及相关检查考核。</w:t>
      </w:r>
    </w:p>
    <w:p w14:paraId="436A2129">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8.</w:t>
      </w:r>
      <w:r>
        <w:rPr>
          <w:rFonts w:hint="default" w:ascii="宋体" w:hAnsi="宋体" w:cs="宋体"/>
          <w:i w:val="0"/>
          <w:iCs w:val="0"/>
          <w:color w:val="auto"/>
          <w:kern w:val="0"/>
          <w:sz w:val="24"/>
          <w:szCs w:val="24"/>
          <w:u w:val="none"/>
          <w:lang w:val="en-US" w:eastAsia="zh-CN" w:bidi="ar"/>
        </w:rPr>
        <w:t>保密</w:t>
      </w:r>
      <w:r>
        <w:rPr>
          <w:rFonts w:hint="eastAsia" w:ascii="宋体" w:hAnsi="宋体" w:cs="宋体"/>
          <w:i w:val="0"/>
          <w:iCs w:val="0"/>
          <w:color w:val="auto"/>
          <w:kern w:val="0"/>
          <w:sz w:val="24"/>
          <w:szCs w:val="24"/>
          <w:u w:val="none"/>
          <w:lang w:val="en-US" w:eastAsia="zh-CN" w:bidi="ar"/>
        </w:rPr>
        <w:t>：</w:t>
      </w:r>
      <w:r>
        <w:rPr>
          <w:rFonts w:hint="default" w:ascii="宋体" w:hAnsi="宋体" w:cs="宋体"/>
          <w:i w:val="0"/>
          <w:iCs w:val="0"/>
          <w:color w:val="auto"/>
          <w:kern w:val="0"/>
          <w:sz w:val="24"/>
          <w:szCs w:val="24"/>
          <w:u w:val="none"/>
          <w:lang w:val="en-US" w:eastAsia="zh-CN" w:bidi="ar"/>
        </w:rPr>
        <w:t>对工作中了解到的采购人的技术、机密等进行严格保密，不得向他人泄漏。合同的解除或终止不免除供应商应承担的保密义务。</w:t>
      </w:r>
    </w:p>
    <w:p w14:paraId="3D2EDC30">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9</w:t>
      </w:r>
      <w:r>
        <w:rPr>
          <w:rFonts w:hint="default" w:ascii="宋体" w:hAnsi="宋体" w:cs="宋体"/>
          <w:i w:val="0"/>
          <w:iCs w:val="0"/>
          <w:color w:val="auto"/>
          <w:kern w:val="0"/>
          <w:sz w:val="24"/>
          <w:szCs w:val="24"/>
          <w:u w:val="none"/>
          <w:lang w:val="en-US" w:eastAsia="zh-CN" w:bidi="ar"/>
        </w:rPr>
        <w:t>.违约责任</w:t>
      </w:r>
    </w:p>
    <w:p w14:paraId="4FBE6B63">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9.1</w:t>
      </w:r>
      <w:r>
        <w:rPr>
          <w:rFonts w:hint="default" w:ascii="宋体" w:hAnsi="宋体" w:cs="宋体"/>
          <w:i w:val="0"/>
          <w:iCs w:val="0"/>
          <w:color w:val="auto"/>
          <w:kern w:val="0"/>
          <w:sz w:val="24"/>
          <w:szCs w:val="24"/>
          <w:u w:val="none"/>
          <w:lang w:val="en-US" w:eastAsia="zh-CN" w:bidi="ar"/>
        </w:rPr>
        <w:t>甲乙双方均应遵守合同</w:t>
      </w:r>
      <w:r>
        <w:rPr>
          <w:rFonts w:hint="eastAsia" w:ascii="宋体" w:hAnsi="宋体" w:cs="宋体"/>
          <w:i w:val="0"/>
          <w:iCs w:val="0"/>
          <w:color w:val="auto"/>
          <w:kern w:val="0"/>
          <w:sz w:val="24"/>
          <w:szCs w:val="24"/>
          <w:u w:val="none"/>
          <w:lang w:val="en-US" w:eastAsia="zh-CN" w:bidi="ar"/>
        </w:rPr>
        <w:t>约定</w:t>
      </w:r>
      <w:r>
        <w:rPr>
          <w:rFonts w:hint="default" w:ascii="宋体" w:hAnsi="宋体" w:cs="宋体"/>
          <w:i w:val="0"/>
          <w:iCs w:val="0"/>
          <w:color w:val="auto"/>
          <w:kern w:val="0"/>
          <w:sz w:val="24"/>
          <w:szCs w:val="24"/>
          <w:u w:val="none"/>
          <w:lang w:val="en-US" w:eastAsia="zh-CN" w:bidi="ar"/>
        </w:rPr>
        <w:t>，如有违约，将赔偿因违约给对方造成的经济损失，并向对方支付合同总额5%的违约金。若因乙方原因在合同规定期限内无法提供服务的，甲方有权终止合同。</w:t>
      </w:r>
    </w:p>
    <w:p w14:paraId="68DF79E3">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9.2</w:t>
      </w:r>
      <w:r>
        <w:rPr>
          <w:rFonts w:hint="default" w:ascii="宋体" w:hAnsi="宋体" w:cs="宋体"/>
          <w:i w:val="0"/>
          <w:iCs w:val="0"/>
          <w:color w:val="auto"/>
          <w:kern w:val="0"/>
          <w:sz w:val="24"/>
          <w:szCs w:val="24"/>
          <w:u w:val="none"/>
          <w:lang w:val="en-US" w:eastAsia="zh-CN" w:bidi="ar"/>
        </w:rPr>
        <w:t>双方本着友好合作的态度，对合同履行过程中发生的违约行为进行及时的协商解决，如不能协商解决可向合同签约地人民法院诉讼解决。</w:t>
      </w:r>
    </w:p>
    <w:p w14:paraId="7DD50E1A">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sectPr>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p>
    <w:bookmarkEnd w:id="134"/>
    <w:p w14:paraId="72CCBFC4">
      <w:pPr>
        <w:pStyle w:val="2"/>
        <w:pageBreakBefore/>
        <w:numPr>
          <w:ilvl w:val="0"/>
          <w:numId w:val="7"/>
        </w:numPr>
        <w:rPr>
          <w:rFonts w:ascii="宋体" w:hAnsi="宋体" w:cs="宋体"/>
          <w:color w:val="auto"/>
        </w:rPr>
      </w:pPr>
      <w:r>
        <w:rPr>
          <w:rFonts w:hint="eastAsia" w:ascii="宋体" w:hAnsi="宋体" w:cs="宋体"/>
          <w:color w:val="auto"/>
        </w:rPr>
        <w:t xml:space="preserve">   </w:t>
      </w:r>
      <w:bookmarkEnd w:id="132"/>
      <w:bookmarkEnd w:id="133"/>
      <w:bookmarkEnd w:id="135"/>
      <w:bookmarkEnd w:id="136"/>
      <w:bookmarkEnd w:id="137"/>
      <w:bookmarkEnd w:id="138"/>
      <w:bookmarkEnd w:id="139"/>
      <w:bookmarkStart w:id="141" w:name="_Toc30964"/>
      <w:bookmarkStart w:id="142" w:name="_Toc3837039"/>
      <w:r>
        <w:rPr>
          <w:rFonts w:hint="eastAsia" w:ascii="宋体" w:hAnsi="宋体" w:cs="宋体"/>
          <w:color w:val="auto"/>
        </w:rPr>
        <w:t>商务及合同主要条款</w:t>
      </w:r>
      <w:bookmarkEnd w:id="140"/>
      <w:bookmarkEnd w:id="141"/>
      <w:bookmarkEnd w:id="142"/>
    </w:p>
    <w:p w14:paraId="54066CE6">
      <w:pPr>
        <w:spacing w:line="360" w:lineRule="auto"/>
        <w:jc w:val="center"/>
        <w:rPr>
          <w:rFonts w:hint="eastAsia" w:ascii="宋体" w:hAnsi="宋体" w:eastAsia="宋体" w:cs="宋体"/>
          <w:b/>
          <w:bCs/>
          <w:color w:val="auto"/>
          <w:sz w:val="24"/>
          <w:szCs w:val="24"/>
        </w:rPr>
      </w:pPr>
    </w:p>
    <w:p w14:paraId="3E1AE9DA">
      <w:pPr>
        <w:tabs>
          <w:tab w:val="left" w:pos="3285"/>
        </w:tabs>
        <w:jc w:val="center"/>
        <w:rPr>
          <w:rFonts w:hint="eastAsia" w:ascii="宋体" w:hAnsi="宋体"/>
          <w:b/>
          <w:bCs/>
          <w:color w:val="auto"/>
          <w:sz w:val="44"/>
          <w:szCs w:val="44"/>
          <w:lang w:eastAsia="zh-CN"/>
        </w:rPr>
      </w:pPr>
      <w:r>
        <w:rPr>
          <w:rFonts w:hint="eastAsia" w:ascii="宋体" w:hAnsi="宋体"/>
          <w:b/>
          <w:bCs/>
          <w:color w:val="auto"/>
          <w:sz w:val="44"/>
          <w:szCs w:val="44"/>
          <w:lang w:eastAsia="zh-CN"/>
        </w:rPr>
        <w:t>涉网新型行为分析系统</w:t>
      </w:r>
    </w:p>
    <w:p w14:paraId="2B0CBFD1">
      <w:pPr>
        <w:tabs>
          <w:tab w:val="left" w:pos="3285"/>
        </w:tabs>
        <w:jc w:val="center"/>
        <w:rPr>
          <w:rFonts w:ascii="宋体"/>
          <w:b/>
          <w:bCs/>
          <w:color w:val="auto"/>
          <w:sz w:val="44"/>
          <w:szCs w:val="44"/>
        </w:rPr>
      </w:pPr>
      <w:r>
        <w:rPr>
          <w:rFonts w:hint="eastAsia" w:ascii="宋体" w:hAnsi="宋体"/>
          <w:b/>
          <w:bCs/>
          <w:color w:val="auto"/>
          <w:sz w:val="44"/>
          <w:szCs w:val="44"/>
          <w:lang w:val="en-US" w:eastAsia="zh-CN"/>
        </w:rPr>
        <w:t>采购</w:t>
      </w:r>
      <w:r>
        <w:rPr>
          <w:rFonts w:hint="eastAsia" w:ascii="宋体" w:hAnsi="宋体"/>
          <w:b/>
          <w:bCs/>
          <w:color w:val="auto"/>
          <w:sz w:val="44"/>
          <w:szCs w:val="44"/>
        </w:rPr>
        <w:t>合同</w:t>
      </w:r>
    </w:p>
    <w:p w14:paraId="5CB13C30">
      <w:pPr>
        <w:rPr>
          <w:rFonts w:ascii="宋体"/>
          <w:b/>
          <w:bCs/>
          <w:color w:val="auto"/>
          <w:sz w:val="30"/>
        </w:rPr>
      </w:pPr>
    </w:p>
    <w:p w14:paraId="562AAB9E">
      <w:pPr>
        <w:rPr>
          <w:rFonts w:ascii="宋体"/>
          <w:b/>
          <w:bCs/>
          <w:color w:val="auto"/>
          <w:sz w:val="30"/>
        </w:rPr>
      </w:pPr>
    </w:p>
    <w:p w14:paraId="7837741B">
      <w:pPr>
        <w:tabs>
          <w:tab w:val="left" w:pos="3285"/>
        </w:tabs>
        <w:jc w:val="both"/>
        <w:rPr>
          <w:rFonts w:hint="eastAsia" w:ascii="宋体" w:hAnsi="宋体"/>
          <w:b/>
          <w:color w:val="auto"/>
          <w:sz w:val="32"/>
          <w:szCs w:val="32"/>
        </w:rPr>
      </w:pPr>
      <w:r>
        <w:rPr>
          <w:rFonts w:hint="eastAsia" w:ascii="宋体" w:hAnsi="宋体"/>
          <w:b/>
          <w:bCs/>
          <w:color w:val="auto"/>
          <w:sz w:val="32"/>
          <w:szCs w:val="32"/>
          <w:lang w:val="en-US" w:eastAsia="zh-CN"/>
        </w:rPr>
        <w:t>项目</w:t>
      </w:r>
      <w:r>
        <w:rPr>
          <w:rFonts w:hint="eastAsia" w:ascii="宋体" w:hAnsi="宋体"/>
          <w:b/>
          <w:bCs/>
          <w:color w:val="auto"/>
          <w:sz w:val="32"/>
          <w:szCs w:val="32"/>
        </w:rPr>
        <w:t>名</w:t>
      </w:r>
      <w:r>
        <w:rPr>
          <w:rFonts w:hint="eastAsia" w:ascii="宋体" w:hAnsi="宋体"/>
          <w:b/>
          <w:color w:val="auto"/>
          <w:sz w:val="32"/>
          <w:szCs w:val="32"/>
        </w:rPr>
        <w:t>称：</w:t>
      </w:r>
    </w:p>
    <w:p w14:paraId="7A4FD13E">
      <w:pPr>
        <w:tabs>
          <w:tab w:val="left" w:pos="3285"/>
        </w:tabs>
        <w:ind w:firstLine="157" w:firstLineChars="49"/>
        <w:jc w:val="left"/>
        <w:rPr>
          <w:rFonts w:hint="eastAsia" w:ascii="宋体" w:hAnsi="宋体"/>
          <w:b/>
          <w:bCs/>
          <w:color w:val="auto"/>
          <w:sz w:val="32"/>
          <w:szCs w:val="32"/>
        </w:rPr>
      </w:pPr>
    </w:p>
    <w:p w14:paraId="08EB00F8">
      <w:pPr>
        <w:tabs>
          <w:tab w:val="left" w:pos="3285"/>
        </w:tabs>
        <w:ind w:firstLine="157" w:firstLineChars="49"/>
        <w:jc w:val="left"/>
        <w:rPr>
          <w:rFonts w:hint="eastAsia" w:ascii="宋体" w:hAnsi="宋体"/>
          <w:b/>
          <w:bCs/>
          <w:color w:val="auto"/>
          <w:sz w:val="32"/>
          <w:szCs w:val="32"/>
        </w:rPr>
      </w:pPr>
    </w:p>
    <w:p w14:paraId="6C76E133">
      <w:pPr>
        <w:tabs>
          <w:tab w:val="left" w:pos="3285"/>
        </w:tabs>
        <w:jc w:val="left"/>
        <w:rPr>
          <w:rFonts w:hint="default" w:ascii="宋体" w:eastAsia="宋体"/>
          <w:b/>
          <w:color w:val="auto"/>
          <w:sz w:val="32"/>
          <w:szCs w:val="32"/>
          <w:lang w:val="en-US" w:eastAsia="zh-CN"/>
        </w:rPr>
      </w:pPr>
      <w:r>
        <w:rPr>
          <w:rFonts w:hint="eastAsia" w:ascii="宋体" w:hAnsi="宋体"/>
          <w:b/>
          <w:bCs/>
          <w:color w:val="auto"/>
          <w:sz w:val="32"/>
          <w:szCs w:val="32"/>
          <w:lang w:val="en-US" w:eastAsia="zh-CN"/>
        </w:rPr>
        <w:t>项目</w:t>
      </w:r>
      <w:r>
        <w:rPr>
          <w:rFonts w:hint="eastAsia" w:ascii="宋体" w:hAnsi="宋体"/>
          <w:b/>
          <w:bCs/>
          <w:color w:val="auto"/>
          <w:sz w:val="32"/>
          <w:szCs w:val="32"/>
        </w:rPr>
        <w:t>地点：</w:t>
      </w:r>
      <w:r>
        <w:rPr>
          <w:rFonts w:ascii="宋体" w:hAnsi="宋体"/>
          <w:b/>
          <w:bCs/>
          <w:color w:val="auto"/>
          <w:sz w:val="32"/>
          <w:szCs w:val="32"/>
        </w:rPr>
        <w:t xml:space="preserve">  </w:t>
      </w:r>
    </w:p>
    <w:p w14:paraId="02E70AC8">
      <w:pPr>
        <w:tabs>
          <w:tab w:val="left" w:pos="3285"/>
        </w:tabs>
        <w:jc w:val="left"/>
        <w:rPr>
          <w:rFonts w:ascii="宋体"/>
          <w:b/>
          <w:bCs/>
          <w:color w:val="auto"/>
          <w:sz w:val="32"/>
          <w:szCs w:val="32"/>
        </w:rPr>
      </w:pPr>
    </w:p>
    <w:p w14:paraId="7C8EE745">
      <w:pPr>
        <w:tabs>
          <w:tab w:val="left" w:pos="3285"/>
        </w:tabs>
        <w:jc w:val="left"/>
        <w:rPr>
          <w:rFonts w:ascii="宋体"/>
          <w:b/>
          <w:bCs/>
          <w:color w:val="auto"/>
          <w:sz w:val="32"/>
          <w:szCs w:val="32"/>
        </w:rPr>
      </w:pPr>
      <w:r>
        <w:rPr>
          <w:rFonts w:hint="eastAsia" w:ascii="宋体" w:hAnsi="宋体"/>
          <w:b/>
          <w:bCs/>
          <w:color w:val="auto"/>
          <w:sz w:val="32"/>
          <w:szCs w:val="32"/>
          <w:lang w:val="en-US" w:eastAsia="zh-CN"/>
        </w:rPr>
        <w:t>甲  方</w:t>
      </w:r>
      <w:r>
        <w:rPr>
          <w:rFonts w:hint="eastAsia" w:ascii="宋体" w:hAnsi="宋体"/>
          <w:b/>
          <w:bCs/>
          <w:color w:val="auto"/>
          <w:sz w:val="32"/>
          <w:szCs w:val="32"/>
        </w:rPr>
        <w:t>：</w:t>
      </w:r>
      <w:r>
        <w:rPr>
          <w:rFonts w:ascii="宋体" w:hAnsi="宋体"/>
          <w:b/>
          <w:bCs/>
          <w:color w:val="auto"/>
          <w:sz w:val="32"/>
          <w:szCs w:val="32"/>
        </w:rPr>
        <w:t xml:space="preserve">  </w:t>
      </w:r>
    </w:p>
    <w:p w14:paraId="4680EDAC">
      <w:pPr>
        <w:tabs>
          <w:tab w:val="left" w:pos="3285"/>
        </w:tabs>
        <w:jc w:val="left"/>
        <w:rPr>
          <w:rFonts w:hint="default" w:ascii="宋体" w:eastAsia="宋体"/>
          <w:b/>
          <w:bCs/>
          <w:color w:val="auto"/>
          <w:sz w:val="32"/>
          <w:szCs w:val="32"/>
          <w:lang w:val="en-US" w:eastAsia="zh-CN"/>
        </w:rPr>
      </w:pPr>
      <w:r>
        <w:rPr>
          <w:rFonts w:hint="eastAsia" w:ascii="宋体" w:hAnsi="宋体"/>
          <w:b/>
          <w:bCs/>
          <w:color w:val="auto"/>
          <w:sz w:val="32"/>
          <w:szCs w:val="32"/>
        </w:rPr>
        <w:t>地</w:t>
      </w:r>
      <w:r>
        <w:rPr>
          <w:rFonts w:ascii="宋体" w:hAnsi="宋体"/>
          <w:b/>
          <w:bCs/>
          <w:color w:val="auto"/>
          <w:sz w:val="32"/>
          <w:szCs w:val="32"/>
        </w:rPr>
        <w:t xml:space="preserve"> </w:t>
      </w:r>
      <w:r>
        <w:rPr>
          <w:rFonts w:hint="eastAsia" w:ascii="宋体" w:hAnsi="宋体"/>
          <w:b/>
          <w:bCs/>
          <w:color w:val="auto"/>
          <w:sz w:val="32"/>
          <w:szCs w:val="32"/>
          <w:lang w:val="en-US" w:eastAsia="zh-CN"/>
        </w:rPr>
        <w:t xml:space="preserve"> </w:t>
      </w:r>
      <w:r>
        <w:rPr>
          <w:rFonts w:hint="eastAsia" w:ascii="宋体" w:hAnsi="宋体"/>
          <w:b/>
          <w:bCs/>
          <w:color w:val="auto"/>
          <w:sz w:val="32"/>
          <w:szCs w:val="32"/>
        </w:rPr>
        <w:t>点：</w:t>
      </w:r>
      <w:r>
        <w:rPr>
          <w:rFonts w:ascii="宋体" w:hAnsi="宋体"/>
          <w:b/>
          <w:bCs/>
          <w:color w:val="auto"/>
          <w:sz w:val="32"/>
          <w:szCs w:val="32"/>
        </w:rPr>
        <w:t xml:space="preserve">  </w:t>
      </w:r>
    </w:p>
    <w:p w14:paraId="11840495">
      <w:pPr>
        <w:tabs>
          <w:tab w:val="left" w:pos="3285"/>
        </w:tabs>
        <w:jc w:val="left"/>
        <w:rPr>
          <w:rFonts w:ascii="宋体"/>
          <w:b/>
          <w:bCs/>
          <w:color w:val="auto"/>
          <w:sz w:val="32"/>
          <w:szCs w:val="32"/>
        </w:rPr>
      </w:pPr>
    </w:p>
    <w:p w14:paraId="671003FC">
      <w:pPr>
        <w:tabs>
          <w:tab w:val="left" w:pos="3285"/>
        </w:tabs>
        <w:ind w:firstLine="157" w:firstLineChars="49"/>
        <w:jc w:val="left"/>
        <w:rPr>
          <w:rFonts w:hint="eastAsia" w:ascii="宋体" w:hAnsi="宋体"/>
          <w:b/>
          <w:bCs/>
          <w:color w:val="auto"/>
          <w:sz w:val="32"/>
          <w:szCs w:val="32"/>
        </w:rPr>
      </w:pPr>
      <w:r>
        <w:rPr>
          <w:rFonts w:hint="eastAsia" w:ascii="宋体" w:hAnsi="宋体"/>
          <w:b/>
          <w:bCs/>
          <w:color w:val="auto"/>
          <w:sz w:val="32"/>
          <w:szCs w:val="32"/>
          <w:lang w:val="en-US" w:eastAsia="zh-CN"/>
        </w:rPr>
        <w:t>乙  方</w:t>
      </w:r>
      <w:r>
        <w:rPr>
          <w:rFonts w:hint="eastAsia" w:ascii="宋体" w:hAnsi="宋体"/>
          <w:b/>
          <w:bCs/>
          <w:color w:val="auto"/>
          <w:sz w:val="32"/>
          <w:szCs w:val="32"/>
        </w:rPr>
        <w:t xml:space="preserve">：  </w:t>
      </w:r>
    </w:p>
    <w:p w14:paraId="584579BE">
      <w:pPr>
        <w:tabs>
          <w:tab w:val="left" w:pos="3285"/>
        </w:tabs>
        <w:ind w:firstLine="157" w:firstLineChars="49"/>
        <w:jc w:val="left"/>
        <w:rPr>
          <w:rFonts w:hint="eastAsia" w:ascii="宋体" w:hAnsi="宋体" w:eastAsia="宋体" w:cs="Times New Roman"/>
          <w:b/>
          <w:bCs/>
          <w:color w:val="auto"/>
          <w:sz w:val="32"/>
          <w:szCs w:val="32"/>
          <w:lang w:val="en-US" w:eastAsia="zh-CN"/>
        </w:rPr>
      </w:pPr>
      <w:r>
        <w:rPr>
          <w:rFonts w:hint="eastAsia" w:ascii="宋体" w:hAnsi="宋体" w:eastAsia="宋体" w:cs="Times New Roman"/>
          <w:b/>
          <w:bCs/>
          <w:color w:val="auto"/>
          <w:sz w:val="32"/>
          <w:szCs w:val="32"/>
          <w:lang w:val="en-US" w:eastAsia="zh-CN"/>
        </w:rPr>
        <w:t xml:space="preserve">地  点：  </w:t>
      </w:r>
    </w:p>
    <w:p w14:paraId="00DE321E">
      <w:pPr>
        <w:tabs>
          <w:tab w:val="left" w:pos="3285"/>
        </w:tabs>
        <w:rPr>
          <w:rFonts w:ascii="宋体"/>
          <w:b/>
          <w:bCs/>
          <w:color w:val="auto"/>
          <w:sz w:val="30"/>
        </w:rPr>
      </w:pPr>
    </w:p>
    <w:p w14:paraId="740260BC">
      <w:pPr>
        <w:tabs>
          <w:tab w:val="left" w:pos="3285"/>
        </w:tabs>
        <w:rPr>
          <w:rFonts w:ascii="宋体"/>
          <w:b/>
          <w:bCs/>
          <w:color w:val="auto"/>
          <w:sz w:val="30"/>
        </w:rPr>
      </w:pPr>
    </w:p>
    <w:p w14:paraId="42BC0B8E">
      <w:pPr>
        <w:tabs>
          <w:tab w:val="left" w:pos="3285"/>
        </w:tabs>
        <w:ind w:firstLine="148" w:firstLineChars="49"/>
        <w:rPr>
          <w:rFonts w:hint="eastAsia" w:ascii="宋体" w:hAnsi="宋体"/>
          <w:b/>
          <w:bCs/>
          <w:color w:val="auto"/>
          <w:sz w:val="30"/>
          <w:szCs w:val="30"/>
        </w:rPr>
      </w:pPr>
    </w:p>
    <w:p w14:paraId="13896BE4">
      <w:pPr>
        <w:tabs>
          <w:tab w:val="left" w:pos="3285"/>
        </w:tabs>
        <w:ind w:firstLine="148" w:firstLineChars="49"/>
        <w:rPr>
          <w:rFonts w:hint="eastAsia" w:ascii="宋体" w:hAnsi="宋体"/>
          <w:b/>
          <w:bCs/>
          <w:color w:val="auto"/>
          <w:sz w:val="30"/>
          <w:szCs w:val="30"/>
        </w:rPr>
      </w:pPr>
      <w:r>
        <w:rPr>
          <w:rFonts w:hint="eastAsia" w:ascii="宋体" w:hAnsi="宋体"/>
          <w:b/>
          <w:bCs/>
          <w:color w:val="auto"/>
          <w:sz w:val="30"/>
          <w:szCs w:val="30"/>
        </w:rPr>
        <w:t xml:space="preserve">签订日期：  </w:t>
      </w:r>
      <w:r>
        <w:rPr>
          <w:rFonts w:hint="eastAsia" w:ascii="宋体" w:hAnsi="宋体"/>
          <w:b/>
          <w:bCs/>
          <w:color w:val="auto"/>
          <w:sz w:val="30"/>
          <w:szCs w:val="30"/>
          <w:lang w:val="en-US" w:eastAsia="zh-CN"/>
        </w:rPr>
        <w:t xml:space="preserve">   </w:t>
      </w:r>
      <w:r>
        <w:rPr>
          <w:rFonts w:ascii="宋体" w:hAnsi="宋体"/>
          <w:b/>
          <w:bCs/>
          <w:color w:val="auto"/>
          <w:sz w:val="30"/>
          <w:szCs w:val="30"/>
        </w:rPr>
        <w:t xml:space="preserve"> </w:t>
      </w:r>
      <w:r>
        <w:rPr>
          <w:rFonts w:hint="eastAsia" w:ascii="宋体" w:hAnsi="宋体"/>
          <w:b/>
          <w:bCs/>
          <w:color w:val="auto"/>
          <w:sz w:val="30"/>
          <w:szCs w:val="30"/>
        </w:rPr>
        <w:t>年</w:t>
      </w:r>
      <w:r>
        <w:rPr>
          <w:rFonts w:hint="eastAsia" w:ascii="宋体" w:hAnsi="宋体"/>
          <w:b/>
          <w:bCs/>
          <w:color w:val="auto"/>
          <w:sz w:val="30"/>
          <w:szCs w:val="30"/>
          <w:lang w:val="en-US" w:eastAsia="zh-CN"/>
        </w:rPr>
        <w:t xml:space="preserve">   </w:t>
      </w:r>
      <w:r>
        <w:rPr>
          <w:rFonts w:hint="eastAsia" w:ascii="宋体" w:hAnsi="宋体"/>
          <w:b/>
          <w:bCs/>
          <w:color w:val="auto"/>
          <w:sz w:val="30"/>
          <w:szCs w:val="30"/>
        </w:rPr>
        <w:t>月</w:t>
      </w:r>
      <w:r>
        <w:rPr>
          <w:rFonts w:hint="eastAsia" w:ascii="宋体" w:hAnsi="宋体"/>
          <w:b/>
          <w:bCs/>
          <w:color w:val="auto"/>
          <w:sz w:val="30"/>
          <w:szCs w:val="30"/>
          <w:lang w:val="en-US" w:eastAsia="zh-CN"/>
        </w:rPr>
        <w:t xml:space="preserve">     </w:t>
      </w:r>
      <w:r>
        <w:rPr>
          <w:rFonts w:hint="eastAsia" w:ascii="宋体" w:hAnsi="宋体"/>
          <w:b/>
          <w:bCs/>
          <w:color w:val="auto"/>
          <w:sz w:val="30"/>
          <w:szCs w:val="30"/>
        </w:rPr>
        <w:t>日</w:t>
      </w:r>
    </w:p>
    <w:p w14:paraId="0E64ED7C">
      <w:pPr>
        <w:tabs>
          <w:tab w:val="left" w:pos="3285"/>
        </w:tabs>
        <w:ind w:firstLine="148" w:firstLineChars="49"/>
        <w:rPr>
          <w:rFonts w:hint="eastAsia" w:ascii="宋体" w:hAnsi="宋体"/>
          <w:b/>
          <w:bCs/>
          <w:color w:val="auto"/>
          <w:sz w:val="30"/>
          <w:szCs w:val="30"/>
        </w:rPr>
      </w:pPr>
    </w:p>
    <w:p w14:paraId="5D5E7016">
      <w:pPr>
        <w:spacing w:line="360" w:lineRule="auto"/>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32"/>
          <w:szCs w:val="32"/>
        </w:rPr>
        <w:t>合同</w:t>
      </w:r>
      <w:r>
        <w:rPr>
          <w:rFonts w:hint="eastAsia" w:ascii="宋体" w:hAnsi="宋体" w:cs="宋体"/>
          <w:b/>
          <w:bCs/>
          <w:color w:val="auto"/>
          <w:sz w:val="32"/>
          <w:szCs w:val="32"/>
          <w:lang w:val="en-US" w:eastAsia="zh-CN"/>
        </w:rPr>
        <w:t>主要条款</w:t>
      </w:r>
    </w:p>
    <w:p w14:paraId="48DC3591">
      <w:pPr>
        <w:pStyle w:val="12"/>
        <w:rPr>
          <w:rFonts w:hint="eastAsia" w:ascii="宋体" w:hAnsi="宋体"/>
          <w:b/>
          <w:bCs/>
          <w:color w:val="auto"/>
          <w:sz w:val="30"/>
          <w:szCs w:val="30"/>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p>
    <w:p w14:paraId="5F509A4D">
      <w:pPr>
        <w:rPr>
          <w:rFonts w:hint="eastAsia"/>
          <w:color w:val="auto"/>
        </w:rPr>
      </w:pPr>
    </w:p>
    <w:p w14:paraId="14A7F7D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b/>
          <w:bCs/>
          <w:color w:val="auto"/>
          <w:sz w:val="24"/>
          <w:szCs w:val="32"/>
          <w:lang w:val="en-US" w:eastAsia="zh-CN"/>
        </w:rPr>
      </w:pPr>
      <w:r>
        <w:rPr>
          <w:rFonts w:hint="eastAsia" w:ascii="宋体" w:hAnsi="宋体" w:eastAsia="宋体" w:cs="Times New Roman"/>
          <w:b/>
          <w:bCs/>
          <w:color w:val="auto"/>
          <w:sz w:val="24"/>
          <w:szCs w:val="32"/>
          <w:lang w:val="en-US" w:eastAsia="zh-CN"/>
        </w:rPr>
        <w:t>甲方：</w:t>
      </w:r>
      <w:r>
        <w:rPr>
          <w:rFonts w:hint="eastAsia" w:ascii="宋体" w:hAnsi="宋体" w:cs="Times New Roman"/>
          <w:b/>
          <w:bCs/>
          <w:color w:val="auto"/>
          <w:sz w:val="24"/>
          <w:szCs w:val="32"/>
          <w:u w:val="single"/>
          <w:lang w:val="en-US" w:eastAsia="zh-CN"/>
        </w:rPr>
        <w:t>安康市公安局汉滨分局</w:t>
      </w:r>
      <w:r>
        <w:rPr>
          <w:rFonts w:hint="eastAsia" w:ascii="宋体" w:hAnsi="宋体" w:eastAsia="宋体" w:cs="Times New Roman"/>
          <w:b/>
          <w:bCs/>
          <w:color w:val="auto"/>
          <w:sz w:val="24"/>
          <w:szCs w:val="32"/>
          <w:lang w:val="en-US" w:eastAsia="zh-CN"/>
        </w:rPr>
        <w:t xml:space="preserve"> </w:t>
      </w:r>
    </w:p>
    <w:p w14:paraId="4EA769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Times New Roman"/>
          <w:b/>
          <w:bCs/>
          <w:color w:val="auto"/>
          <w:sz w:val="24"/>
          <w:szCs w:val="32"/>
          <w:u w:val="single"/>
          <w:lang w:val="en-US" w:eastAsia="zh-CN"/>
        </w:rPr>
      </w:pPr>
      <w:r>
        <w:rPr>
          <w:rFonts w:hint="eastAsia" w:ascii="宋体" w:hAnsi="宋体" w:eastAsia="宋体" w:cs="Times New Roman"/>
          <w:b/>
          <w:bCs/>
          <w:color w:val="auto"/>
          <w:sz w:val="24"/>
          <w:szCs w:val="32"/>
          <w:lang w:val="en-US" w:eastAsia="zh-CN"/>
        </w:rPr>
        <w:t>乙方：</w:t>
      </w:r>
      <w:r>
        <w:rPr>
          <w:rFonts w:hint="eastAsia" w:ascii="宋体" w:hAnsi="宋体" w:eastAsia="宋体" w:cs="Times New Roman"/>
          <w:b/>
          <w:bCs/>
          <w:color w:val="auto"/>
          <w:sz w:val="24"/>
          <w:szCs w:val="32"/>
          <w:u w:val="single"/>
          <w:lang w:val="en-US" w:eastAsia="zh-CN"/>
        </w:rPr>
        <w:t xml:space="preserve">     </w:t>
      </w:r>
      <w:r>
        <w:rPr>
          <w:rFonts w:hint="eastAsia" w:ascii="宋体" w:hAnsi="宋体" w:cs="Times New Roman"/>
          <w:b/>
          <w:bCs/>
          <w:color w:val="auto"/>
          <w:sz w:val="24"/>
          <w:szCs w:val="32"/>
          <w:u w:val="single"/>
          <w:lang w:val="en-US" w:eastAsia="zh-CN"/>
        </w:rPr>
        <w:t xml:space="preserve">      </w:t>
      </w:r>
      <w:r>
        <w:rPr>
          <w:rFonts w:hint="eastAsia" w:ascii="宋体" w:hAnsi="宋体" w:eastAsia="宋体" w:cs="Times New Roman"/>
          <w:b/>
          <w:bCs/>
          <w:color w:val="auto"/>
          <w:sz w:val="24"/>
          <w:szCs w:val="32"/>
          <w:u w:val="single"/>
          <w:lang w:val="en-US" w:eastAsia="zh-CN"/>
        </w:rPr>
        <w:t xml:space="preserve">         </w:t>
      </w:r>
    </w:p>
    <w:p w14:paraId="579CF4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color w:val="auto"/>
          <w:sz w:val="24"/>
          <w:szCs w:val="32"/>
          <w:lang w:val="en-US" w:eastAsia="zh-CN"/>
        </w:rPr>
      </w:pPr>
      <w:r>
        <w:rPr>
          <w:rFonts w:hint="eastAsia" w:ascii="宋体" w:hAnsi="宋体" w:eastAsia="宋体" w:cs="Times New Roman"/>
          <w:color w:val="auto"/>
          <w:sz w:val="24"/>
          <w:szCs w:val="32"/>
          <w:lang w:val="en-US" w:eastAsia="zh-CN"/>
        </w:rPr>
        <w:t>根据《中华人民共和国民法典》</w:t>
      </w:r>
      <w:r>
        <w:rPr>
          <w:rFonts w:hint="eastAsia" w:ascii="宋体" w:hAnsi="宋体" w:cs="Times New Roman"/>
          <w:color w:val="auto"/>
          <w:sz w:val="24"/>
          <w:szCs w:val="32"/>
          <w:lang w:val="en-US" w:eastAsia="zh-CN"/>
        </w:rPr>
        <w:t>《</w:t>
      </w:r>
      <w:r>
        <w:rPr>
          <w:rFonts w:hint="eastAsia" w:ascii="宋体" w:hAnsi="宋体" w:eastAsia="宋体" w:cs="Times New Roman"/>
          <w:color w:val="auto"/>
          <w:sz w:val="24"/>
          <w:szCs w:val="32"/>
          <w:lang w:val="en-US" w:eastAsia="zh-CN"/>
        </w:rPr>
        <w:t>中华人民共和国政府采购法</w:t>
      </w:r>
      <w:r>
        <w:rPr>
          <w:rFonts w:hint="eastAsia" w:ascii="宋体" w:hAnsi="宋体" w:cs="Times New Roman"/>
          <w:color w:val="auto"/>
          <w:sz w:val="24"/>
          <w:szCs w:val="32"/>
          <w:lang w:val="en-US" w:eastAsia="zh-CN"/>
        </w:rPr>
        <w:t>》</w:t>
      </w:r>
      <w:r>
        <w:rPr>
          <w:rFonts w:hint="eastAsia" w:ascii="宋体" w:hAnsi="宋体" w:eastAsia="宋体" w:cs="Times New Roman"/>
          <w:color w:val="auto"/>
          <w:sz w:val="24"/>
          <w:szCs w:val="32"/>
          <w:lang w:val="en-US" w:eastAsia="zh-CN"/>
        </w:rPr>
        <w:t>等有关法律法规的规定，经过政府采购相关程序，遵循平等自愿、诚实守信的原则，就</w:t>
      </w:r>
      <w:r>
        <w:rPr>
          <w:rFonts w:hint="eastAsia" w:ascii="宋体" w:hAnsi="宋体" w:cs="Times New Roman"/>
          <w:color w:val="auto"/>
          <w:sz w:val="24"/>
          <w:szCs w:val="32"/>
          <w:lang w:val="en-US" w:eastAsia="zh-CN"/>
        </w:rPr>
        <w:t>涉网新型行为分析系统</w:t>
      </w:r>
      <w:r>
        <w:rPr>
          <w:rFonts w:hint="eastAsia" w:ascii="宋体" w:hAnsi="宋体" w:eastAsia="宋体" w:cs="Times New Roman"/>
          <w:color w:val="auto"/>
          <w:sz w:val="24"/>
          <w:szCs w:val="32"/>
          <w:lang w:val="en-US" w:eastAsia="zh-CN"/>
        </w:rPr>
        <w:t>的采购结果经甲乙双方友好协商达成一致签订</w:t>
      </w:r>
      <w:r>
        <w:rPr>
          <w:rFonts w:hint="eastAsia" w:ascii="宋体" w:hAnsi="宋体" w:cs="Times New Roman"/>
          <w:color w:val="auto"/>
          <w:sz w:val="24"/>
          <w:szCs w:val="32"/>
          <w:lang w:val="en-US" w:eastAsia="zh-CN"/>
        </w:rPr>
        <w:t>本</w:t>
      </w:r>
      <w:r>
        <w:rPr>
          <w:rFonts w:hint="eastAsia" w:ascii="宋体" w:hAnsi="宋体" w:eastAsia="宋体" w:cs="Times New Roman"/>
          <w:color w:val="auto"/>
          <w:sz w:val="24"/>
          <w:szCs w:val="32"/>
          <w:lang w:val="en-US" w:eastAsia="zh-CN"/>
        </w:rPr>
        <w:t>合同，以资双方共同遵守执行。</w:t>
      </w:r>
    </w:p>
    <w:p w14:paraId="7D9D87FD">
      <w:pPr>
        <w:numPr>
          <w:ilvl w:val="0"/>
          <w:numId w:val="8"/>
        </w:num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43" w:name="_Toc19515384"/>
      <w:r>
        <w:rPr>
          <w:rFonts w:hint="eastAsia" w:ascii="宋体" w:hAnsi="宋体" w:eastAsia="宋体" w:cs="宋体"/>
          <w:color w:val="auto"/>
          <w:sz w:val="24"/>
          <w:szCs w:val="24"/>
          <w:highlight w:val="none"/>
        </w:rPr>
        <w:t>合同内容</w:t>
      </w:r>
      <w:r>
        <w:rPr>
          <w:rFonts w:hint="eastAsia" w:ascii="宋体" w:hAnsi="宋体" w:cs="宋体"/>
          <w:color w:val="auto"/>
          <w:sz w:val="24"/>
          <w:szCs w:val="24"/>
          <w:highlight w:val="none"/>
          <w:lang w:eastAsia="zh-CN"/>
        </w:rPr>
        <w:t>：</w:t>
      </w:r>
      <w:bookmarkEnd w:id="143"/>
      <w:r>
        <w:rPr>
          <w:rFonts w:hint="eastAsia" w:ascii="宋体" w:hAnsi="宋体" w:cs="宋体"/>
          <w:color w:val="auto"/>
          <w:sz w:val="24"/>
          <w:szCs w:val="24"/>
          <w:highlight w:val="none"/>
          <w:lang w:eastAsia="zh-CN"/>
        </w:rPr>
        <w:t>涉网新型行为分析系统</w:t>
      </w:r>
    </w:p>
    <w:p w14:paraId="5DA2D5C9">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44" w:name="_Toc19515385"/>
      <w:r>
        <w:rPr>
          <w:rFonts w:hint="eastAsia" w:ascii="宋体" w:hAnsi="宋体" w:eastAsia="宋体" w:cs="宋体"/>
          <w:color w:val="auto"/>
          <w:sz w:val="24"/>
          <w:szCs w:val="24"/>
          <w:highlight w:val="none"/>
        </w:rPr>
        <w:t>二、合同价款</w:t>
      </w:r>
      <w:bookmarkEnd w:id="144"/>
    </w:p>
    <w:p w14:paraId="20ED121A">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合同总价：</w:t>
      </w: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p>
    <w:p w14:paraId="617E5B5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合同总价包括：</w:t>
      </w:r>
      <w:r>
        <w:rPr>
          <w:rFonts w:hint="eastAsia" w:ascii="宋体" w:hAnsi="宋体" w:eastAsia="宋体" w:cs="宋体"/>
          <w:i w:val="0"/>
          <w:iCs w:val="0"/>
          <w:color w:val="auto"/>
          <w:kern w:val="0"/>
          <w:sz w:val="24"/>
          <w:szCs w:val="24"/>
          <w:u w:val="none"/>
          <w:lang w:val="en-US" w:eastAsia="zh-CN" w:bidi="ar"/>
        </w:rPr>
        <w:t>合同总价包括完成本项目所要求等全部采购内容所需的费用，包括软件产品的报价、</w:t>
      </w:r>
      <w:r>
        <w:rPr>
          <w:rFonts w:hint="eastAsia" w:ascii="宋体" w:hAnsi="宋体" w:cs="宋体"/>
          <w:i w:val="0"/>
          <w:iCs w:val="0"/>
          <w:color w:val="auto"/>
          <w:kern w:val="0"/>
          <w:sz w:val="24"/>
          <w:szCs w:val="24"/>
          <w:u w:val="none"/>
          <w:lang w:val="en-US" w:eastAsia="zh-CN" w:bidi="ar"/>
        </w:rPr>
        <w:t>人工</w:t>
      </w:r>
      <w:r>
        <w:rPr>
          <w:rFonts w:hint="eastAsia" w:ascii="宋体" w:hAnsi="宋体" w:eastAsia="宋体" w:cs="宋体"/>
          <w:i w:val="0"/>
          <w:iCs w:val="0"/>
          <w:color w:val="auto"/>
          <w:kern w:val="0"/>
          <w:sz w:val="24"/>
          <w:szCs w:val="24"/>
          <w:u w:val="none"/>
          <w:lang w:val="en-US" w:eastAsia="zh-CN" w:bidi="ar"/>
        </w:rPr>
        <w:t>费、安装调试费、相关服务费及国家按现行税收政策征收的一切税费等。</w:t>
      </w:r>
    </w:p>
    <w:p w14:paraId="4572C96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合同为固定总价合同，不受市场价变化的影响。</w:t>
      </w:r>
    </w:p>
    <w:p w14:paraId="535C1B33">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45" w:name="_Toc19515386"/>
      <w:r>
        <w:rPr>
          <w:rFonts w:hint="eastAsia" w:ascii="宋体" w:hAnsi="宋体" w:eastAsia="宋体" w:cs="宋体"/>
          <w:color w:val="auto"/>
          <w:sz w:val="24"/>
          <w:szCs w:val="24"/>
          <w:highlight w:val="none"/>
        </w:rPr>
        <w:t>三、合同结算</w:t>
      </w:r>
      <w:bookmarkEnd w:id="145"/>
    </w:p>
    <w:p w14:paraId="3BFDDC61">
      <w:pPr>
        <w:adjustRightInd w:val="0"/>
        <w:snapToGrid w:val="0"/>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付款</w:t>
      </w:r>
      <w:r>
        <w:rPr>
          <w:rFonts w:hint="eastAsia" w:ascii="宋体" w:hAnsi="宋体" w:eastAsia="宋体" w:cs="宋体"/>
          <w:color w:val="000000" w:themeColor="text1"/>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lang w:eastAsia="zh-CN"/>
          <w14:textFill>
            <w14:solidFill>
              <w14:schemeClr w14:val="tx1"/>
            </w14:solidFill>
          </w14:textFill>
        </w:rPr>
        <w:t>合同签订后付</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合同总价款的</w:t>
      </w:r>
      <w:r>
        <w:rPr>
          <w:rFonts w:hint="eastAsia" w:asciiTheme="minorEastAsia" w:hAnsiTheme="minorEastAsia" w:eastAsiaTheme="minorEastAsia"/>
          <w:color w:val="000000" w:themeColor="text1"/>
          <w:sz w:val="24"/>
          <w:szCs w:val="24"/>
          <w:lang w:eastAsia="zh-CN"/>
          <w14:textFill>
            <w14:solidFill>
              <w14:schemeClr w14:val="tx1"/>
            </w14:solidFill>
          </w14:textFill>
        </w:rPr>
        <w:t>40%，安装调试验收合格后</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付合同总价款的</w:t>
      </w:r>
      <w:r>
        <w:rPr>
          <w:rFonts w:hint="eastAsia" w:asciiTheme="minorEastAsia" w:hAnsiTheme="minorEastAsia" w:eastAsiaTheme="minorEastAsia"/>
          <w:color w:val="000000" w:themeColor="text1"/>
          <w:sz w:val="24"/>
          <w:szCs w:val="24"/>
          <w:lang w:eastAsia="zh-CN"/>
          <w14:textFill>
            <w14:solidFill>
              <w14:schemeClr w14:val="tx1"/>
            </w14:solidFill>
          </w14:textFill>
        </w:rPr>
        <w:t>60%。付款前，成交供应商应为采购人开具全额的增值税电子发票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p w14:paraId="79C27306">
      <w:pPr>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结算方式：银行转账。</w:t>
      </w:r>
    </w:p>
    <w:p w14:paraId="3920CE3D">
      <w:pPr>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结算单位：由</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负责结算，乙方开具</w:t>
      </w:r>
      <w:r>
        <w:rPr>
          <w:rFonts w:hint="eastAsia" w:ascii="宋体" w:hAnsi="宋体" w:eastAsia="宋体" w:cs="宋体"/>
          <w:color w:val="000000" w:themeColor="text1"/>
          <w:sz w:val="24"/>
          <w:szCs w:val="24"/>
          <w:highlight w:val="none"/>
          <w:lang w:val="en-US" w:eastAsia="zh-CN"/>
          <w14:textFill>
            <w14:solidFill>
              <w14:schemeClr w14:val="tx1"/>
            </w14:solidFill>
          </w14:textFill>
        </w:rPr>
        <w:t>等额</w:t>
      </w:r>
      <w:r>
        <w:rPr>
          <w:rFonts w:hint="eastAsia" w:ascii="宋体" w:hAnsi="宋体" w:eastAsia="宋体" w:cs="宋体"/>
          <w:color w:val="000000" w:themeColor="text1"/>
          <w:sz w:val="24"/>
          <w:szCs w:val="24"/>
          <w:highlight w:val="none"/>
          <w14:textFill>
            <w14:solidFill>
              <w14:schemeClr w14:val="tx1"/>
            </w14:solidFill>
          </w14:textFill>
        </w:rPr>
        <w:t>发票交采购人。</w:t>
      </w:r>
    </w:p>
    <w:p w14:paraId="56A47076">
      <w:pPr>
        <w:adjustRightInd w:val="0"/>
        <w:snapToGrid w:val="0"/>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46" w:name="_Toc19515387"/>
      <w:r>
        <w:rPr>
          <w:rFonts w:hint="eastAsia" w:ascii="宋体" w:hAnsi="宋体" w:eastAsia="宋体" w:cs="宋体"/>
          <w:color w:val="000000" w:themeColor="text1"/>
          <w:sz w:val="24"/>
          <w:szCs w:val="24"/>
          <w:highlight w:val="none"/>
          <w14:textFill>
            <w14:solidFill>
              <w14:schemeClr w14:val="tx1"/>
            </w14:solidFill>
          </w14:textFill>
        </w:rPr>
        <w:t>四、履行期限、地点</w:t>
      </w:r>
      <w:bookmarkEnd w:id="146"/>
      <w:r>
        <w:rPr>
          <w:rFonts w:hint="eastAsia" w:ascii="宋体" w:hAnsi="宋体" w:cs="宋体"/>
          <w:color w:val="000000" w:themeColor="text1"/>
          <w:sz w:val="24"/>
          <w:szCs w:val="24"/>
          <w:highlight w:val="none"/>
          <w:lang w:eastAsia="zh-CN"/>
          <w14:textFill>
            <w14:solidFill>
              <w14:schemeClr w14:val="tx1"/>
            </w14:solidFill>
          </w14:textFill>
        </w:rPr>
        <w:t>：</w:t>
      </w:r>
    </w:p>
    <w:p w14:paraId="19AB75BD">
      <w:pPr>
        <w:adjustRightInd w:val="0"/>
        <w:snapToGrid w:val="0"/>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合同履行期：</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合同签订生效且账号开通后一年</w:t>
      </w:r>
    </w:p>
    <w:p w14:paraId="52365E9F">
      <w:pPr>
        <w:adjustRightInd w:val="0"/>
        <w:snapToGrid w:val="0"/>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指定地点。</w:t>
      </w:r>
    </w:p>
    <w:p w14:paraId="4972FD4F">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系统调试安装：</w:t>
      </w:r>
    </w:p>
    <w:p w14:paraId="67814499">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5.1成交供应商在采购人公安内网环境完成整套研判系统安装部署、参数初始化配置，逐项调试应用管理、模型智库、各类扩线、分析、APK 解析等全部 13 项功能模块。</w:t>
      </w:r>
    </w:p>
    <w:p w14:paraId="099AB91C">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5.2完成模块联动调试、接口调试，按采购文件约定账号许可数、年度服务调用限额实测校验功能，完成公安数字证书登录对接调试，确保证书鉴权登录、内网安全运行符合要求。</w:t>
      </w:r>
    </w:p>
    <w:p w14:paraId="092C0246">
      <w:pPr>
        <w:adjustRightInd w:val="0"/>
        <w:snapToGrid w:val="0"/>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5.3全功能调试达标后开展系统试运行，试运行期间出现功能异常、限额配置错误、接口故障等问题由中标单位免费整改；调试完成提交安装调试文档，免费开展民警实操培训并配合项目验收。</w:t>
      </w:r>
    </w:p>
    <w:p w14:paraId="21BCCEDF">
      <w:pPr>
        <w:adjustRightInd w:val="0"/>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售后服务</w:t>
      </w:r>
    </w:p>
    <w:p w14:paraId="6AF4B0C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default" w:ascii="宋体" w:hAnsi="宋体" w:cs="宋体"/>
          <w:i w:val="0"/>
          <w:iCs w:val="0"/>
          <w:color w:val="000000" w:themeColor="text1"/>
          <w:kern w:val="0"/>
          <w:sz w:val="24"/>
          <w:szCs w:val="24"/>
          <w:u w:val="none"/>
          <w:lang w:val="en-US" w:eastAsia="zh-CN" w:bidi="ar"/>
          <w14:textFill>
            <w14:solidFill>
              <w14:schemeClr w14:val="tx1"/>
            </w14:solidFill>
          </w14:textFill>
        </w:rPr>
        <w:t>服务期内</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成交供应商</w:t>
      </w:r>
      <w:r>
        <w:rPr>
          <w:rFonts w:hint="default" w:ascii="宋体" w:hAnsi="宋体" w:cs="宋体"/>
          <w:i w:val="0"/>
          <w:iCs w:val="0"/>
          <w:color w:val="000000" w:themeColor="text1"/>
          <w:kern w:val="0"/>
          <w:sz w:val="24"/>
          <w:szCs w:val="24"/>
          <w:u w:val="none"/>
          <w:lang w:val="en-US" w:eastAsia="zh-CN" w:bidi="ar"/>
          <w14:textFill>
            <w14:solidFill>
              <w14:schemeClr w14:val="tx1"/>
            </w14:solidFill>
          </w14:textFill>
        </w:rPr>
        <w:t>须提供7×24小时全天候技术支撑服务，针对系统部署、功能使用、数据扩线、研判分析、接口调用及权限限额配置等问题提供全程技术指导。接到故障报修后须30分钟内响应，及时排查处置系统卡顿、功能报错、数据异常、权限失效等各类问题，一般故障限时修复、重大故障及时到场处置。</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成交供应商</w:t>
      </w:r>
      <w:r>
        <w:rPr>
          <w:rFonts w:hint="default" w:ascii="宋体" w:hAnsi="宋体" w:cs="宋体"/>
          <w:i w:val="0"/>
          <w:iCs w:val="0"/>
          <w:color w:val="000000" w:themeColor="text1"/>
          <w:kern w:val="0"/>
          <w:sz w:val="24"/>
          <w:szCs w:val="24"/>
          <w:u w:val="none"/>
          <w:lang w:val="en-US" w:eastAsia="zh-CN" w:bidi="ar"/>
          <w14:textFill>
            <w14:solidFill>
              <w14:schemeClr w14:val="tx1"/>
            </w14:solidFill>
          </w14:textFill>
        </w:rPr>
        <w:t>须免费提供系统安全补丁升级、漏洞修复、功能优化及参数适配调整，持续保障系统符合公安内网安全规范及实战办案研判需求。同时建立运维服务台账，记录故障处理、系统优化及技术支撑情况，定期提交运维报告，</w:t>
      </w:r>
      <w:r>
        <w:rPr>
          <w:rFonts w:hint="default" w:ascii="宋体" w:hAnsi="宋体" w:cs="宋体"/>
          <w:i w:val="0"/>
          <w:iCs w:val="0"/>
          <w:color w:val="auto"/>
          <w:kern w:val="0"/>
          <w:sz w:val="24"/>
          <w:szCs w:val="24"/>
          <w:u w:val="none"/>
          <w:lang w:val="en-US" w:eastAsia="zh-CN" w:bidi="ar"/>
        </w:rPr>
        <w:t>全程无条件配合采购人日常业务使用、专项研判工作及相关检查考核。</w:t>
      </w:r>
    </w:p>
    <w:p w14:paraId="4C9C70DF">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47" w:name="_Toc19515391"/>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、验收</w:t>
      </w:r>
      <w:bookmarkEnd w:id="147"/>
    </w:p>
    <w:p w14:paraId="481FC14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Arial"/>
          <w:sz w:val="24"/>
        </w:rPr>
        <w:t>系统服务</w:t>
      </w:r>
      <w:r>
        <w:rPr>
          <w:rFonts w:ascii="宋体" w:hAnsi="宋体" w:cs="Arial"/>
          <w:sz w:val="24"/>
        </w:rPr>
        <w:t>提供商</w:t>
      </w:r>
      <w:r>
        <w:rPr>
          <w:rFonts w:hint="eastAsia" w:ascii="宋体" w:hAnsi="宋体" w:cs="Arial"/>
          <w:sz w:val="24"/>
        </w:rPr>
        <w:t>在甲方指定电脑上完成服务部署和授权，服务平台能够正常使用即视为符合验收条件。</w:t>
      </w:r>
      <w:r>
        <w:rPr>
          <w:rFonts w:hint="default" w:ascii="宋体" w:hAnsi="宋体" w:cs="宋体"/>
          <w:i w:val="0"/>
          <w:iCs w:val="0"/>
          <w:color w:val="auto"/>
          <w:kern w:val="0"/>
          <w:sz w:val="24"/>
          <w:szCs w:val="24"/>
          <w:u w:val="none"/>
          <w:lang w:val="en-US" w:eastAsia="zh-CN" w:bidi="ar"/>
        </w:rPr>
        <w:t>验收合格后，填写验收单，双方签字生效。</w:t>
      </w:r>
    </w:p>
    <w:p w14:paraId="111C9589">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zh-CN"/>
        </w:rPr>
        <w:t>知识产权</w:t>
      </w:r>
    </w:p>
    <w:p w14:paraId="668B97AD">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仿宋"/>
          <w:color w:val="000000"/>
          <w:sz w:val="24"/>
          <w:szCs w:val="24"/>
          <w:lang w:val="zh-CN"/>
        </w:rPr>
        <w:t>供应商应保证磋商响应技术服务不会出现因第三方提出侵犯其专利权、商标权或其它知识产权而引发法律或经济纠纷，否则由供应商承担全部责任。任何被供应商用于未经授权的商业目的行为所造成的违约或侵权责任由供应商承但。</w:t>
      </w:r>
    </w:p>
    <w:p w14:paraId="1D2BB082">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bookmarkStart w:id="148" w:name="_Toc19515392"/>
      <w:r>
        <w:rPr>
          <w:rFonts w:hint="eastAsia" w:ascii="宋体" w:hAnsi="宋体" w:cs="宋体"/>
          <w:color w:val="auto"/>
          <w:sz w:val="24"/>
          <w:szCs w:val="24"/>
          <w:highlight w:val="none"/>
          <w:lang w:val="en-US" w:eastAsia="zh-CN"/>
        </w:rPr>
        <w:t>九、</w:t>
      </w:r>
      <w:r>
        <w:rPr>
          <w:rFonts w:hint="eastAsia" w:ascii="宋体" w:hAnsi="宋体" w:eastAsia="宋体" w:cs="宋体"/>
          <w:color w:val="auto"/>
          <w:sz w:val="24"/>
          <w:szCs w:val="24"/>
          <w:highlight w:val="none"/>
          <w:lang w:val="en-US" w:eastAsia="zh-CN"/>
        </w:rPr>
        <w:t>甲乙双方的</w:t>
      </w:r>
      <w:r>
        <w:rPr>
          <w:rFonts w:hint="eastAsia" w:ascii="宋体" w:hAnsi="宋体" w:cs="宋体"/>
          <w:color w:val="auto"/>
          <w:sz w:val="24"/>
          <w:szCs w:val="24"/>
          <w:highlight w:val="none"/>
          <w:lang w:val="en-US" w:eastAsia="zh-CN"/>
        </w:rPr>
        <w:t>权利</w:t>
      </w:r>
      <w:r>
        <w:rPr>
          <w:rFonts w:hint="eastAsia" w:ascii="宋体" w:hAnsi="宋体" w:eastAsia="宋体" w:cs="宋体"/>
          <w:color w:val="auto"/>
          <w:sz w:val="24"/>
          <w:szCs w:val="24"/>
          <w:highlight w:val="none"/>
          <w:lang w:val="en-US" w:eastAsia="zh-CN"/>
        </w:rPr>
        <w:t>和义务</w:t>
      </w:r>
    </w:p>
    <w:p w14:paraId="6A1D4BF2">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甲方的</w:t>
      </w:r>
      <w:r>
        <w:rPr>
          <w:rFonts w:hint="eastAsia" w:ascii="宋体" w:hAnsi="宋体" w:cs="宋体"/>
          <w:color w:val="auto"/>
          <w:sz w:val="24"/>
          <w:szCs w:val="24"/>
          <w:highlight w:val="none"/>
          <w:lang w:val="en-US" w:eastAsia="zh-CN"/>
        </w:rPr>
        <w:t>权利</w:t>
      </w:r>
      <w:r>
        <w:rPr>
          <w:rFonts w:hint="eastAsia" w:ascii="宋体" w:hAnsi="宋体" w:eastAsia="宋体" w:cs="宋体"/>
          <w:color w:val="auto"/>
          <w:sz w:val="24"/>
          <w:szCs w:val="24"/>
          <w:highlight w:val="none"/>
          <w:lang w:val="en-US" w:eastAsia="zh-CN"/>
        </w:rPr>
        <w:t>和义务：</w:t>
      </w:r>
    </w:p>
    <w:p w14:paraId="6543A1DD">
      <w:pPr>
        <w:autoSpaceDE w:val="0"/>
        <w:autoSpaceDN w:val="0"/>
        <w:adjustRightInd w:val="0"/>
        <w:spacing w:line="360" w:lineRule="auto"/>
        <w:ind w:firstLine="480" w:firstLineChars="200"/>
        <w:jc w:val="left"/>
        <w:outlineLvl w:val="0"/>
        <w:rPr>
          <w:rFonts w:hint="eastAsia" w:ascii="宋体" w:hAnsi="宋体" w:eastAsia="宋体" w:cs="宋体"/>
          <w:color w:val="000000"/>
          <w:sz w:val="24"/>
          <w:szCs w:val="24"/>
          <w:lang w:val="zh-CN" w:eastAsia="zh-CN"/>
        </w:rPr>
      </w:pPr>
      <w:r>
        <w:rPr>
          <w:rFonts w:hint="eastAsia" w:ascii="宋体" w:hAnsi="宋体" w:cs="宋体"/>
          <w:color w:val="000000"/>
          <w:sz w:val="24"/>
          <w:szCs w:val="24"/>
          <w:lang w:val="en-US" w:eastAsia="zh-CN"/>
        </w:rPr>
        <w:t>1.1</w:t>
      </w:r>
      <w:r>
        <w:rPr>
          <w:rFonts w:hint="eastAsia" w:ascii="宋体" w:hAnsi="宋体" w:eastAsia="宋体" w:cs="宋体"/>
          <w:color w:val="000000"/>
          <w:sz w:val="24"/>
          <w:szCs w:val="24"/>
          <w:lang w:val="zh-CN" w:eastAsia="zh-CN"/>
        </w:rPr>
        <w:t>甲方有权对合同规定范围内乙方的服务行为进行监督和检查，拥有监管权。有权定期核对乙方提供服务所配备的人员数量。对甲方认为不合理的部分有权下达整改通知书，并要求乙方限期整改。</w:t>
      </w:r>
    </w:p>
    <w:p w14:paraId="07A7B1C9">
      <w:pPr>
        <w:autoSpaceDE w:val="0"/>
        <w:autoSpaceDN w:val="0"/>
        <w:adjustRightInd w:val="0"/>
        <w:spacing w:line="360" w:lineRule="auto"/>
        <w:ind w:firstLine="480" w:firstLineChars="200"/>
        <w:jc w:val="left"/>
        <w:outlineLvl w:val="0"/>
        <w:rPr>
          <w:rFonts w:hint="eastAsia" w:ascii="宋体" w:hAnsi="宋体" w:eastAsia="宋体" w:cs="宋体"/>
          <w:color w:val="000000"/>
          <w:sz w:val="24"/>
          <w:szCs w:val="24"/>
          <w:lang w:val="zh-CN" w:eastAsia="zh-CN"/>
        </w:rPr>
      </w:pPr>
      <w:r>
        <w:rPr>
          <w:rFonts w:hint="eastAsia" w:ascii="宋体" w:hAnsi="宋体" w:cs="宋体"/>
          <w:color w:val="000000"/>
          <w:sz w:val="24"/>
          <w:szCs w:val="24"/>
          <w:lang w:val="en-US" w:eastAsia="zh-CN"/>
        </w:rPr>
        <w:t>1.2</w:t>
      </w:r>
      <w:r>
        <w:rPr>
          <w:rFonts w:hint="eastAsia" w:ascii="宋体" w:hAnsi="宋体" w:eastAsia="宋体" w:cs="宋体"/>
          <w:color w:val="000000"/>
          <w:sz w:val="24"/>
          <w:szCs w:val="24"/>
          <w:lang w:val="zh-CN" w:eastAsia="zh-CN"/>
        </w:rPr>
        <w:t>甲方有权依据双方签订的考评办法对乙方提供的服务进行定期考评。当考评结果未达到标准时，有权依据考评办法约定的数额扣除履约保证金。</w:t>
      </w:r>
    </w:p>
    <w:p w14:paraId="48E0D23F">
      <w:pPr>
        <w:autoSpaceDE w:val="0"/>
        <w:autoSpaceDN w:val="0"/>
        <w:adjustRightInd w:val="0"/>
        <w:spacing w:line="360" w:lineRule="auto"/>
        <w:ind w:firstLine="480" w:firstLineChars="200"/>
        <w:jc w:val="left"/>
        <w:outlineLvl w:val="0"/>
        <w:rPr>
          <w:rFonts w:hint="eastAsia" w:ascii="宋体" w:hAnsi="宋体" w:eastAsia="宋体" w:cs="宋体"/>
          <w:color w:val="000000"/>
          <w:sz w:val="24"/>
          <w:szCs w:val="24"/>
          <w:lang w:val="zh-CN" w:eastAsia="zh-CN"/>
        </w:rPr>
      </w:pPr>
      <w:r>
        <w:rPr>
          <w:rFonts w:hint="eastAsia" w:ascii="宋体" w:hAnsi="宋体" w:cs="宋体"/>
          <w:color w:val="000000"/>
          <w:sz w:val="24"/>
          <w:szCs w:val="24"/>
          <w:lang w:val="en-US" w:eastAsia="zh-CN"/>
        </w:rPr>
        <w:t>1.3</w:t>
      </w:r>
      <w:r>
        <w:rPr>
          <w:rFonts w:hint="eastAsia" w:ascii="宋体" w:hAnsi="宋体" w:eastAsia="宋体" w:cs="宋体"/>
          <w:color w:val="000000"/>
          <w:sz w:val="24"/>
          <w:szCs w:val="24"/>
          <w:lang w:val="zh-CN" w:eastAsia="zh-CN"/>
        </w:rPr>
        <w:t>负责检查监督乙方管理工作的实施及制度的执行情况。</w:t>
      </w:r>
    </w:p>
    <w:p w14:paraId="36C54236">
      <w:pPr>
        <w:autoSpaceDE w:val="0"/>
        <w:autoSpaceDN w:val="0"/>
        <w:adjustRightInd w:val="0"/>
        <w:spacing w:line="360" w:lineRule="auto"/>
        <w:ind w:firstLine="480" w:firstLineChars="200"/>
        <w:jc w:val="left"/>
        <w:outlineLvl w:val="0"/>
        <w:rPr>
          <w:rFonts w:hint="eastAsia" w:ascii="宋体" w:hAnsi="宋体" w:eastAsia="宋体" w:cs="宋体"/>
          <w:color w:val="000000"/>
          <w:sz w:val="24"/>
          <w:szCs w:val="24"/>
          <w:lang w:val="zh-CN" w:eastAsia="zh-CN"/>
        </w:rPr>
      </w:pPr>
      <w:r>
        <w:rPr>
          <w:rFonts w:hint="eastAsia" w:ascii="宋体" w:hAnsi="宋体" w:cs="宋体"/>
          <w:color w:val="000000"/>
          <w:sz w:val="24"/>
          <w:szCs w:val="24"/>
          <w:lang w:val="en-US" w:eastAsia="zh-CN"/>
        </w:rPr>
        <w:t>1.4</w:t>
      </w:r>
      <w:r>
        <w:rPr>
          <w:rFonts w:hint="eastAsia" w:ascii="宋体" w:hAnsi="宋体" w:eastAsia="宋体" w:cs="宋体"/>
          <w:color w:val="000000"/>
          <w:sz w:val="24"/>
          <w:szCs w:val="24"/>
          <w:lang w:val="zh-CN" w:eastAsia="zh-CN"/>
        </w:rPr>
        <w:t>根据本合同规定，按时向乙方支付应付服务费用。</w:t>
      </w:r>
    </w:p>
    <w:p w14:paraId="52F8B2B8">
      <w:pPr>
        <w:autoSpaceDE w:val="0"/>
        <w:autoSpaceDN w:val="0"/>
        <w:adjustRightInd w:val="0"/>
        <w:spacing w:line="360" w:lineRule="auto"/>
        <w:ind w:firstLine="480" w:firstLineChars="200"/>
        <w:jc w:val="left"/>
        <w:outlineLvl w:val="0"/>
        <w:rPr>
          <w:rFonts w:hint="eastAsia" w:ascii="宋体" w:hAnsi="宋体" w:eastAsia="宋体" w:cs="宋体"/>
          <w:color w:val="000000"/>
          <w:sz w:val="24"/>
          <w:szCs w:val="24"/>
          <w:lang w:val="zh-CN" w:eastAsia="zh-CN"/>
        </w:rPr>
      </w:pPr>
      <w:r>
        <w:rPr>
          <w:rFonts w:hint="eastAsia" w:ascii="宋体" w:hAnsi="宋体" w:cs="宋体"/>
          <w:color w:val="000000"/>
          <w:sz w:val="24"/>
          <w:szCs w:val="24"/>
          <w:lang w:val="en-US" w:eastAsia="zh-CN"/>
        </w:rPr>
        <w:t>1.5</w:t>
      </w:r>
      <w:r>
        <w:rPr>
          <w:rFonts w:hint="eastAsia" w:ascii="宋体" w:hAnsi="宋体" w:eastAsia="宋体" w:cs="宋体"/>
          <w:color w:val="000000"/>
          <w:sz w:val="24"/>
          <w:szCs w:val="24"/>
          <w:lang w:val="zh-CN" w:eastAsia="zh-CN"/>
        </w:rPr>
        <w:t>在项目质量管理方面，甲方应给予乙方充分信任，不能过多干涉乙方专业范畴。</w:t>
      </w:r>
    </w:p>
    <w:p w14:paraId="0E8D02D6">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lang w:val="en-US" w:eastAsia="zh-CN"/>
        </w:rPr>
        <w:t>1.6</w:t>
      </w:r>
      <w:r>
        <w:rPr>
          <w:rFonts w:hint="eastAsia" w:ascii="宋体" w:hAnsi="宋体" w:eastAsia="宋体" w:cs="宋体"/>
          <w:color w:val="000000"/>
          <w:sz w:val="24"/>
          <w:szCs w:val="24"/>
          <w:lang w:val="zh-CN" w:eastAsia="zh-CN"/>
        </w:rPr>
        <w:t>国家法律、法规所规定由甲方承担的其它责任。</w:t>
      </w:r>
    </w:p>
    <w:p w14:paraId="556D756F">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乙方的责任和义务：</w:t>
      </w:r>
    </w:p>
    <w:p w14:paraId="1A18B4D6">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乙方有权按照合同约定收取项目服务费用，对甲方未履约行为有权依规催告。</w:t>
      </w:r>
    </w:p>
    <w:p w14:paraId="5B2C48DA">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乙方有权要求甲方配合完成内网部署、证书对接、环境核查等实施工作，对不达标环境可提出整改建议。</w:t>
      </w:r>
    </w:p>
    <w:p w14:paraId="62566060">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乙方在遵守公安安全及保密规定前提下，依规开展系统安装、调试、运维、优化等相关服务工作。</w:t>
      </w:r>
    </w:p>
    <w:p w14:paraId="362D5C6F">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履约建设义务：严格按招投标及合同要求，完成系统部署、调试、配置工作，保障全部业务功能、账号许可、服务限额达标，满足公安实战研判办案需求。</w:t>
      </w:r>
    </w:p>
    <w:p w14:paraId="282C539E">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安全保密义务：严格遵守公安内网及数据保密规定，严禁泄露、篡改、留存甲方涉密数据与业务信息，不违规操作、不私用系统，承担全部违规责任及损失。</w:t>
      </w:r>
    </w:p>
    <w:p w14:paraId="2F1580E5">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lang w:val="en-US" w:eastAsia="zh-CN"/>
        </w:rPr>
        <w:t>运维服务义务：提供7×24小时技术支持，故障30分钟内响应处置，免费完成漏洞修复、补丁更新、功能优化，建立运维台账并定期报送运维报告。</w:t>
      </w:r>
    </w:p>
    <w:p w14:paraId="1FF48D88">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lang w:val="en-US" w:eastAsia="zh-CN"/>
        </w:rPr>
        <w:t>培训与配合义务：免费开展系统实操及运维培训，全程配合甲方开展业务办案、系统验收、日常检查及各项专项工作。</w:t>
      </w:r>
    </w:p>
    <w:p w14:paraId="2988717D">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en-US" w:eastAsia="zh-CN"/>
        </w:rPr>
        <w:t>整改质保义务：对项目实施、运维中出现的问题，无条件免费整改优化，保障系统稳定合规运行，承担自身服务缺陷造成的全部损失。</w:t>
      </w:r>
    </w:p>
    <w:p w14:paraId="6BA2E4DC">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lang w:val="en-US" w:eastAsia="zh-CN"/>
        </w:rPr>
        <w:t>合规保障义务：确保项目软件、授权等资源合法合规、无版权纠纷，保障系统符合公安行业安全及技术标准，稳定合规运行。</w:t>
      </w:r>
    </w:p>
    <w:p w14:paraId="29B57DDA">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十</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保密：</w:t>
      </w:r>
      <w:r>
        <w:rPr>
          <w:rFonts w:hint="default" w:ascii="宋体" w:hAnsi="宋体" w:cs="宋体"/>
          <w:i w:val="0"/>
          <w:iCs w:val="0"/>
          <w:color w:val="auto"/>
          <w:kern w:val="0"/>
          <w:sz w:val="24"/>
          <w:szCs w:val="24"/>
          <w:u w:val="none"/>
          <w:lang w:val="en-US" w:eastAsia="zh-CN" w:bidi="ar"/>
        </w:rPr>
        <w:t>对工作中了解到的采购人的技术、机密等进行严格保密，不得向他人泄漏。合同的解除或终止不免除供应商应承担的保密义务。</w:t>
      </w:r>
    </w:p>
    <w:p w14:paraId="06925A1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十一、</w:t>
      </w:r>
      <w:r>
        <w:rPr>
          <w:rFonts w:hint="eastAsia" w:ascii="宋体" w:hAnsi="宋体" w:eastAsia="宋体" w:cs="宋体"/>
          <w:color w:val="auto"/>
          <w:sz w:val="24"/>
          <w:szCs w:val="24"/>
          <w:highlight w:val="none"/>
        </w:rPr>
        <w:t>违约责任</w:t>
      </w:r>
      <w:bookmarkEnd w:id="148"/>
    </w:p>
    <w:p w14:paraId="135B73C1">
      <w:pPr>
        <w:keepNext w:val="0"/>
        <w:keepLines w:val="0"/>
        <w:pageBreakBefore w:val="0"/>
        <w:widowControl/>
        <w:numPr>
          <w:ilvl w:val="0"/>
          <w:numId w:val="0"/>
        </w:numPr>
        <w:suppressLineNumbers w:val="0"/>
        <w:kinsoku/>
        <w:wordWrap/>
        <w:overflowPunct/>
        <w:topLinePunct w:val="0"/>
        <w:autoSpaceDE/>
        <w:autoSpaceDN/>
        <w:bidi w:val="0"/>
        <w:adjustRightInd/>
        <w:snapToGrid/>
        <w:spacing w:line="336" w:lineRule="auto"/>
        <w:ind w:firstLine="480" w:firstLineChars="200"/>
        <w:jc w:val="left"/>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w:t>
      </w:r>
      <w:r>
        <w:rPr>
          <w:rFonts w:hint="default" w:ascii="宋体" w:hAnsi="宋体" w:cs="宋体"/>
          <w:i w:val="0"/>
          <w:iCs w:val="0"/>
          <w:color w:val="auto"/>
          <w:kern w:val="0"/>
          <w:sz w:val="24"/>
          <w:szCs w:val="24"/>
          <w:u w:val="none"/>
          <w:lang w:val="en-US" w:eastAsia="zh-CN" w:bidi="ar"/>
        </w:rPr>
        <w:t>甲乙双方均应遵守合同</w:t>
      </w:r>
      <w:r>
        <w:rPr>
          <w:rFonts w:hint="eastAsia" w:ascii="宋体" w:hAnsi="宋体" w:cs="宋体"/>
          <w:i w:val="0"/>
          <w:iCs w:val="0"/>
          <w:color w:val="auto"/>
          <w:kern w:val="0"/>
          <w:sz w:val="24"/>
          <w:szCs w:val="24"/>
          <w:u w:val="none"/>
          <w:lang w:val="en-US" w:eastAsia="zh-CN" w:bidi="ar"/>
        </w:rPr>
        <w:t>约定</w:t>
      </w:r>
      <w:r>
        <w:rPr>
          <w:rFonts w:hint="default" w:ascii="宋体" w:hAnsi="宋体" w:cs="宋体"/>
          <w:i w:val="0"/>
          <w:iCs w:val="0"/>
          <w:color w:val="auto"/>
          <w:kern w:val="0"/>
          <w:sz w:val="24"/>
          <w:szCs w:val="24"/>
          <w:u w:val="none"/>
          <w:lang w:val="en-US" w:eastAsia="zh-CN" w:bidi="ar"/>
        </w:rPr>
        <w:t>，如有违约，将赔偿因违约给对方造成的经济损失，并向对方支付合同总额5%的违约金。若因乙方原因在合同规定期限内无法提供服务的，甲方有权终止合同。</w:t>
      </w:r>
    </w:p>
    <w:p w14:paraId="4782B1A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i w:val="0"/>
          <w:iCs w:val="0"/>
          <w:color w:val="auto"/>
          <w:kern w:val="0"/>
          <w:sz w:val="24"/>
          <w:szCs w:val="24"/>
          <w:u w:val="none"/>
          <w:lang w:val="en-US" w:eastAsia="zh-CN" w:bidi="ar"/>
        </w:rPr>
        <w:t>2.</w:t>
      </w:r>
      <w:r>
        <w:rPr>
          <w:rFonts w:hint="default" w:ascii="宋体" w:hAnsi="宋体" w:cs="宋体"/>
          <w:i w:val="0"/>
          <w:iCs w:val="0"/>
          <w:color w:val="auto"/>
          <w:kern w:val="0"/>
          <w:sz w:val="24"/>
          <w:szCs w:val="24"/>
          <w:u w:val="none"/>
          <w:lang w:val="en-US" w:eastAsia="zh-CN" w:bidi="ar"/>
        </w:rPr>
        <w:t>双方本着友好合作的态度，对合同履行过程中发生的违约行为进行及时的协商解决，如不能协商解决可向合同签约地人民法院诉讼解决。</w:t>
      </w:r>
    </w:p>
    <w:p w14:paraId="23456AB7">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49" w:name="_Toc19515393"/>
      <w:r>
        <w:rPr>
          <w:rFonts w:hint="eastAsia" w:ascii="宋体" w:hAnsi="宋体" w:cs="宋体"/>
          <w:color w:val="auto"/>
          <w:sz w:val="24"/>
          <w:szCs w:val="24"/>
          <w:highlight w:val="none"/>
          <w:lang w:val="en-US" w:eastAsia="zh-CN"/>
        </w:rPr>
        <w:t>十二</w:t>
      </w:r>
      <w:r>
        <w:rPr>
          <w:rFonts w:hint="eastAsia" w:ascii="宋体" w:hAnsi="宋体" w:eastAsia="宋体" w:cs="宋体"/>
          <w:color w:val="auto"/>
          <w:sz w:val="24"/>
          <w:szCs w:val="24"/>
          <w:highlight w:val="none"/>
        </w:rPr>
        <w:t>、合同组成</w:t>
      </w:r>
      <w:bookmarkEnd w:id="149"/>
    </w:p>
    <w:p w14:paraId="38A2E54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7C49748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合同文件</w:t>
      </w:r>
    </w:p>
    <w:p w14:paraId="3F1F2A6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国家相关规范及标准</w:t>
      </w:r>
    </w:p>
    <w:p w14:paraId="237D605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5716E85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71468FC3">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50" w:name="_Toc19515394"/>
      <w:r>
        <w:rPr>
          <w:rFonts w:hint="eastAsia" w:ascii="宋体" w:hAnsi="宋体" w:eastAsia="宋体" w:cs="宋体"/>
          <w:color w:val="auto"/>
          <w:sz w:val="24"/>
          <w:szCs w:val="24"/>
          <w:highlight w:val="none"/>
          <w:lang w:val="en-US" w:eastAsia="zh-CN"/>
        </w:rPr>
        <w:t>十</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解决争议的方法</w:t>
      </w:r>
      <w:bookmarkEnd w:id="150"/>
    </w:p>
    <w:p w14:paraId="1F2EE9C3">
      <w:pPr>
        <w:widowControl/>
        <w:autoSpaceDE w:val="0"/>
        <w:autoSpaceDN w:val="0"/>
        <w:snapToGrid w:val="0"/>
        <w:spacing w:line="360" w:lineRule="auto"/>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凡因本合同引起的或与本合同有关的争议，双方应友好协商解决。协商不成时，双方均同意采用以下第（  ）种争议解决方式：</w:t>
      </w:r>
    </w:p>
    <w:p w14:paraId="3DD5B070">
      <w:pPr>
        <w:widowControl/>
        <w:autoSpaceDE w:val="0"/>
        <w:autoSpaceDN w:val="0"/>
        <w:snapToGrid w:val="0"/>
        <w:spacing w:line="360" w:lineRule="auto"/>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甲、乙双方均同意向（甲方所在地人民法院）提起诉讼。</w:t>
      </w:r>
    </w:p>
    <w:p w14:paraId="2A8C9E5F">
      <w:pPr>
        <w:widowControl/>
        <w:autoSpaceDE w:val="0"/>
        <w:autoSpaceDN w:val="0"/>
        <w:snapToGrid w:val="0"/>
        <w:spacing w:line="360" w:lineRule="auto"/>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甲、乙双方均同意向（</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HYPERLINK "http://www.baidu.com/s?wd=%E4%BB%B2%E8%A3%81%E5%A7%94%E5%91%98%E4%BC%9A&amp;tn=SE_PcZhidaonwhc_ngpagmjz&amp;rsv_dl=gh_pc_zhidao" \t "_blank"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仲裁委员会</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）提起仲裁。</w:t>
      </w:r>
    </w:p>
    <w:p w14:paraId="710A7DE2">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151" w:name="_Toc19515395"/>
      <w:r>
        <w:rPr>
          <w:rFonts w:hint="eastAsia" w:ascii="宋体" w:hAnsi="宋体" w:eastAsia="宋体" w:cs="宋体"/>
          <w:color w:val="auto"/>
          <w:sz w:val="24"/>
          <w:szCs w:val="24"/>
          <w:highlight w:val="none"/>
        </w:rPr>
        <w:t>十</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rPr>
        <w:t>、合同生效及其它</w:t>
      </w:r>
      <w:bookmarkEnd w:id="151"/>
    </w:p>
    <w:p w14:paraId="1BF06E96">
      <w:pPr>
        <w:widowControl/>
        <w:autoSpaceDE w:val="0"/>
        <w:autoSpaceDN w:val="0"/>
        <w:snapToGrid w:val="0"/>
        <w:spacing w:line="360" w:lineRule="auto"/>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合同未尽事宜、由甲、乙双方协商，作为合同补充，与原合同具有同等法律效力。</w:t>
      </w:r>
    </w:p>
    <w:p w14:paraId="5D51AEA0">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本合同正本一式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份，甲方、乙方双方分别执</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份，</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备案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份。</w:t>
      </w:r>
    </w:p>
    <w:p w14:paraId="5D476562">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合同经甲乙双方盖章、签字后生效，合同签订地点为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AD569BA">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生效时间：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64DF1945">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color w:val="auto"/>
          <w:kern w:val="0"/>
          <w:sz w:val="24"/>
          <w:szCs w:val="24"/>
          <w:highlight w:val="none"/>
        </w:rPr>
      </w:pPr>
    </w:p>
    <w:p w14:paraId="5B6E2D73">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color w:val="auto"/>
          <w:kern w:val="0"/>
          <w:sz w:val="24"/>
          <w:szCs w:val="24"/>
          <w:highlight w:val="none"/>
        </w:rPr>
      </w:pPr>
    </w:p>
    <w:tbl>
      <w:tblPr>
        <w:tblStyle w:val="36"/>
        <w:tblW w:w="0" w:type="auto"/>
        <w:jc w:val="center"/>
        <w:tblLayout w:type="fixed"/>
        <w:tblCellMar>
          <w:top w:w="0" w:type="dxa"/>
          <w:left w:w="108" w:type="dxa"/>
          <w:bottom w:w="0" w:type="dxa"/>
          <w:right w:w="108" w:type="dxa"/>
        </w:tblCellMar>
      </w:tblPr>
      <w:tblGrid>
        <w:gridCol w:w="4643"/>
        <w:gridCol w:w="4643"/>
      </w:tblGrid>
      <w:tr w14:paraId="630B6EE2">
        <w:tblPrEx>
          <w:tblCellMar>
            <w:top w:w="0" w:type="dxa"/>
            <w:left w:w="108" w:type="dxa"/>
            <w:bottom w:w="0" w:type="dxa"/>
            <w:right w:w="108" w:type="dxa"/>
          </w:tblCellMar>
        </w:tblPrEx>
        <w:trPr>
          <w:jc w:val="center"/>
        </w:trPr>
        <w:tc>
          <w:tcPr>
            <w:tcW w:w="4643" w:type="dxa"/>
            <w:noWrap w:val="0"/>
            <w:vAlign w:val="top"/>
          </w:tcPr>
          <w:p w14:paraId="33D53E69">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甲方名称</w:t>
            </w:r>
            <w:r>
              <w:rPr>
                <w:rFonts w:hint="eastAsia" w:ascii="宋体" w:hAnsi="宋体" w:eastAsia="宋体" w:cs="宋体"/>
                <w:color w:val="auto"/>
                <w:spacing w:val="-20"/>
                <w:kern w:val="0"/>
                <w:sz w:val="24"/>
                <w:szCs w:val="24"/>
                <w:highlight w:val="none"/>
              </w:rPr>
              <w:t>（盖章）</w:t>
            </w:r>
            <w:r>
              <w:rPr>
                <w:rFonts w:hint="eastAsia" w:ascii="宋体" w:hAnsi="宋体" w:cs="宋体"/>
                <w:color w:val="auto"/>
                <w:kern w:val="0"/>
                <w:sz w:val="24"/>
                <w:szCs w:val="24"/>
                <w:highlight w:val="none"/>
                <w:lang w:eastAsia="zh-CN"/>
              </w:rPr>
              <w:t>：</w:t>
            </w:r>
          </w:p>
          <w:p w14:paraId="542D775D">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p>
          <w:p w14:paraId="57426EE5">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代表人（签字）：</w:t>
            </w:r>
          </w:p>
          <w:p w14:paraId="549CF1F6">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p w14:paraId="78EECAA1">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p w14:paraId="61789C88">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tc>
        <w:tc>
          <w:tcPr>
            <w:tcW w:w="4643" w:type="dxa"/>
            <w:noWrap w:val="0"/>
            <w:vAlign w:val="top"/>
          </w:tcPr>
          <w:p w14:paraId="36C5FA70">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乙方名称</w:t>
            </w:r>
            <w:r>
              <w:rPr>
                <w:rFonts w:hint="eastAsia" w:ascii="宋体" w:hAnsi="宋体" w:eastAsia="宋体" w:cs="宋体"/>
                <w:color w:val="auto"/>
                <w:spacing w:val="-20"/>
                <w:kern w:val="0"/>
                <w:sz w:val="24"/>
                <w:szCs w:val="24"/>
                <w:highlight w:val="none"/>
              </w:rPr>
              <w:t>（盖章）</w:t>
            </w:r>
            <w:r>
              <w:rPr>
                <w:rFonts w:hint="eastAsia" w:ascii="宋体" w:hAnsi="宋体" w:cs="宋体"/>
                <w:color w:val="auto"/>
                <w:kern w:val="0"/>
                <w:sz w:val="24"/>
                <w:szCs w:val="24"/>
                <w:highlight w:val="none"/>
                <w:lang w:eastAsia="zh-CN"/>
              </w:rPr>
              <w:t>：</w:t>
            </w:r>
          </w:p>
          <w:p w14:paraId="06C9BA3C">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p>
          <w:p w14:paraId="06DC1E45">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代表人（签字）：</w:t>
            </w:r>
          </w:p>
          <w:p w14:paraId="6912856B">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p w14:paraId="4527D8F4">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p w14:paraId="0E007C49">
            <w:pPr>
              <w:keepNext w:val="0"/>
              <w:keepLines w:val="0"/>
              <w:widowControl/>
              <w:suppressLineNumbers w:val="0"/>
              <w:autoSpaceDE w:val="0"/>
              <w:autoSpaceDN w:val="0"/>
              <w:snapToGrid w:val="0"/>
              <w:spacing w:before="0" w:beforeAutospacing="0" w:after="0" w:afterAutospacing="0" w:line="360" w:lineRule="auto"/>
              <w:ind w:left="0"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tc>
      </w:tr>
    </w:tbl>
    <w:p w14:paraId="4435FAC7">
      <w:pPr>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BD7C3D9">
      <w:pPr>
        <w:ind w:left="0" w:leftChars="0" w:firstLine="0" w:firstLineChars="0"/>
        <w:rPr>
          <w:rFonts w:hint="eastAsia" w:ascii="宋体" w:hAnsi="宋体" w:eastAsia="宋体" w:cs="宋体"/>
          <w:color w:val="auto"/>
          <w:sz w:val="24"/>
          <w:szCs w:val="24"/>
        </w:rPr>
        <w:sectPr>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r>
        <w:rPr>
          <w:rFonts w:hint="eastAsia" w:ascii="宋体" w:hAnsi="宋体" w:eastAsia="宋体" w:cs="宋体"/>
          <w:color w:val="auto"/>
          <w:sz w:val="24"/>
          <w:szCs w:val="24"/>
        </w:rPr>
        <w:t xml:space="preserve"> </w:t>
      </w:r>
    </w:p>
    <w:p w14:paraId="0E8BD2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hint="default"/>
          <w:color w:val="auto"/>
          <w:sz w:val="24"/>
          <w:lang w:val="en-US" w:eastAsia="zh-CN"/>
        </w:rPr>
      </w:pPr>
      <w:r>
        <w:rPr>
          <w:rFonts w:hint="eastAsia" w:ascii="宋体" w:hAnsi="宋体" w:eastAsia="宋体" w:cs="宋体"/>
          <w:color w:val="auto"/>
          <w:sz w:val="24"/>
          <w:szCs w:val="24"/>
        </w:rPr>
        <w:t xml:space="preserve">  </w:t>
      </w:r>
    </w:p>
    <w:p w14:paraId="7501C904">
      <w:pPr>
        <w:keepNext w:val="0"/>
        <w:keepLines w:val="0"/>
        <w:pageBreakBefore w:val="0"/>
        <w:widowControl w:val="0"/>
        <w:kinsoku/>
        <w:wordWrap/>
        <w:overflowPunct/>
        <w:topLinePunct w:val="0"/>
        <w:autoSpaceDE/>
        <w:autoSpaceDN/>
        <w:bidi w:val="0"/>
        <w:adjustRightInd w:val="0"/>
        <w:snapToGrid w:val="0"/>
        <w:spacing w:line="480" w:lineRule="exact"/>
        <w:ind w:firstLine="723" w:firstLineChars="200"/>
        <w:jc w:val="center"/>
        <w:textAlignment w:val="auto"/>
        <w:outlineLvl w:val="0"/>
        <w:rPr>
          <w:rFonts w:hint="default" w:eastAsia="宋体"/>
          <w:color w:val="auto"/>
          <w:sz w:val="32"/>
          <w:szCs w:val="32"/>
          <w:lang w:val="en-US" w:eastAsia="zh-CN"/>
        </w:rPr>
      </w:pPr>
      <w:bookmarkStart w:id="152" w:name="_Toc6574"/>
      <w:r>
        <w:rPr>
          <w:rFonts w:hint="eastAsia"/>
          <w:b/>
          <w:bCs/>
          <w:color w:val="auto"/>
          <w:sz w:val="36"/>
          <w:szCs w:val="36"/>
          <w:lang w:val="en-US" w:eastAsia="zh-CN"/>
        </w:rPr>
        <w:t>第七部分  响应文件格式</w:t>
      </w:r>
      <w:bookmarkEnd w:id="152"/>
    </w:p>
    <w:p w14:paraId="114D1037">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6D0BE19A">
      <w:pPr>
        <w:keepNext w:val="0"/>
        <w:keepLines w:val="0"/>
        <w:pageBreakBefore w:val="0"/>
        <w:widowControl/>
        <w:kinsoku/>
        <w:wordWrap/>
        <w:overflowPunct/>
        <w:topLinePunct w:val="0"/>
        <w:autoSpaceDE/>
        <w:autoSpaceDN/>
        <w:bidi w:val="0"/>
        <w:adjustRightInd/>
        <w:snapToGrid/>
        <w:spacing w:line="460" w:lineRule="exact"/>
        <w:jc w:val="right"/>
        <w:textAlignment w:val="auto"/>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7C92E603">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p>
    <w:p w14:paraId="65D0356C">
      <w:pPr>
        <w:widowControl/>
        <w:spacing w:line="600" w:lineRule="exact"/>
        <w:rPr>
          <w:rFonts w:cs="仿宋" w:asciiTheme="minorEastAsia" w:hAnsiTheme="minorEastAsia" w:eastAsiaTheme="minorEastAsia"/>
          <w:bCs/>
          <w:color w:val="auto"/>
          <w:spacing w:val="20"/>
          <w:kern w:val="0"/>
          <w:sz w:val="84"/>
          <w:szCs w:val="84"/>
        </w:rPr>
      </w:pPr>
    </w:p>
    <w:p w14:paraId="163EB016">
      <w:pPr>
        <w:pStyle w:val="5"/>
        <w:rPr>
          <w:color w:val="auto"/>
        </w:rPr>
      </w:pPr>
    </w:p>
    <w:p w14:paraId="6B56535D">
      <w:pPr>
        <w:rPr>
          <w:color w:val="auto"/>
        </w:rPr>
      </w:pPr>
    </w:p>
    <w:p w14:paraId="4204DD75">
      <w:pPr>
        <w:pStyle w:val="5"/>
        <w:rPr>
          <w:color w:val="auto"/>
        </w:rPr>
      </w:pPr>
    </w:p>
    <w:p w14:paraId="61CC9B32">
      <w:pPr>
        <w:rPr>
          <w:color w:val="auto"/>
        </w:rPr>
      </w:pPr>
    </w:p>
    <w:p w14:paraId="2CB84EFB">
      <w:pPr>
        <w:pStyle w:val="22"/>
        <w:jc w:val="center"/>
        <w:rPr>
          <w:rFonts w:hint="eastAsia" w:ascii="宋体" w:hAnsi="宋体" w:eastAsia="宋体" w:cs="宋体"/>
          <w:b/>
          <w:bCs/>
          <w:color w:val="auto"/>
          <w:sz w:val="48"/>
          <w:szCs w:val="48"/>
          <w:lang w:eastAsia="zh-CN"/>
        </w:rPr>
      </w:pPr>
      <w:r>
        <w:rPr>
          <w:rFonts w:hint="eastAsia" w:ascii="宋体" w:hAnsi="宋体" w:cs="宋体"/>
          <w:b/>
          <w:bCs/>
          <w:color w:val="auto"/>
          <w:sz w:val="56"/>
          <w:szCs w:val="56"/>
          <w:u w:val="single"/>
        </w:rPr>
        <w:t xml:space="preserve">                  </w:t>
      </w:r>
      <w:bookmarkStart w:id="153" w:name="OLE_LINK13"/>
      <w:r>
        <w:rPr>
          <w:rFonts w:hint="eastAsia" w:ascii="宋体" w:hAnsi="宋体" w:cs="宋体"/>
          <w:b/>
          <w:bCs/>
          <w:color w:val="auto"/>
          <w:sz w:val="56"/>
          <w:szCs w:val="56"/>
          <w:lang w:val="en-US" w:eastAsia="zh-CN"/>
        </w:rPr>
        <w:t>项目</w:t>
      </w:r>
    </w:p>
    <w:bookmarkEnd w:id="153"/>
    <w:p w14:paraId="2855DFD8">
      <w:pPr>
        <w:pStyle w:val="22"/>
        <w:jc w:val="center"/>
        <w:rPr>
          <w:rFonts w:ascii="宋体" w:hAnsi="宋体" w:cs="宋体"/>
          <w:b/>
          <w:bCs/>
          <w:color w:val="auto"/>
          <w:sz w:val="56"/>
          <w:szCs w:val="56"/>
        </w:rPr>
      </w:pPr>
    </w:p>
    <w:p w14:paraId="026AB55D">
      <w:pPr>
        <w:pStyle w:val="22"/>
        <w:rPr>
          <w:color w:val="auto"/>
        </w:rPr>
      </w:pPr>
    </w:p>
    <w:p w14:paraId="17C8BD7E">
      <w:pPr>
        <w:pStyle w:val="22"/>
        <w:rPr>
          <w:color w:val="auto"/>
        </w:rPr>
      </w:pPr>
    </w:p>
    <w:p w14:paraId="5F9D0EB1">
      <w:pPr>
        <w:pStyle w:val="22"/>
        <w:rPr>
          <w:color w:val="auto"/>
        </w:rPr>
      </w:pPr>
    </w:p>
    <w:p w14:paraId="0C6FFA9B">
      <w:pPr>
        <w:pStyle w:val="22"/>
        <w:rPr>
          <w:color w:val="auto"/>
        </w:rPr>
      </w:pPr>
    </w:p>
    <w:p w14:paraId="00CBABD2">
      <w:pPr>
        <w:widowControl/>
        <w:spacing w:before="163"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2B3BBCD7">
      <w:pPr>
        <w:pStyle w:val="22"/>
        <w:rPr>
          <w:color w:val="auto"/>
        </w:rPr>
      </w:pPr>
    </w:p>
    <w:p w14:paraId="02575AA1">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663219AE">
      <w:pPr>
        <w:widowControl/>
        <w:spacing w:line="400" w:lineRule="exact"/>
        <w:rPr>
          <w:rFonts w:cs="仿宋" w:asciiTheme="minorEastAsia" w:hAnsiTheme="minorEastAsia" w:eastAsiaTheme="minorEastAsia"/>
          <w:bCs/>
          <w:color w:val="auto"/>
          <w:sz w:val="18"/>
          <w:szCs w:val="18"/>
        </w:rPr>
      </w:pPr>
    </w:p>
    <w:p w14:paraId="75A98166">
      <w:pPr>
        <w:widowControl/>
        <w:spacing w:line="400" w:lineRule="exact"/>
        <w:rPr>
          <w:rFonts w:cs="仿宋" w:asciiTheme="minorEastAsia" w:hAnsiTheme="minorEastAsia" w:eastAsiaTheme="minorEastAsia"/>
          <w:bCs/>
          <w:color w:val="auto"/>
          <w:sz w:val="18"/>
          <w:szCs w:val="18"/>
        </w:rPr>
      </w:pPr>
    </w:p>
    <w:p w14:paraId="1E327433">
      <w:pPr>
        <w:widowControl/>
        <w:spacing w:line="400" w:lineRule="exact"/>
        <w:rPr>
          <w:rFonts w:cs="仿宋" w:asciiTheme="minorEastAsia" w:hAnsiTheme="minorEastAsia" w:eastAsiaTheme="minorEastAsia"/>
          <w:bCs/>
          <w:color w:val="auto"/>
          <w:sz w:val="18"/>
          <w:szCs w:val="18"/>
        </w:rPr>
      </w:pPr>
    </w:p>
    <w:p w14:paraId="3281FED2">
      <w:pPr>
        <w:widowControl/>
        <w:spacing w:line="480" w:lineRule="auto"/>
        <w:rPr>
          <w:rFonts w:cs="仿宋" w:asciiTheme="minorEastAsia" w:hAnsiTheme="minorEastAsia" w:eastAsiaTheme="minorEastAsia"/>
          <w:bCs/>
          <w:color w:val="auto"/>
          <w:sz w:val="36"/>
          <w:szCs w:val="36"/>
        </w:rPr>
      </w:pPr>
    </w:p>
    <w:p w14:paraId="366D17AC">
      <w:pPr>
        <w:widowControl/>
        <w:spacing w:line="480" w:lineRule="auto"/>
        <w:rPr>
          <w:rFonts w:cs="仿宋" w:asciiTheme="minorEastAsia" w:hAnsiTheme="minorEastAsia" w:eastAsiaTheme="minorEastAsia"/>
          <w:bCs/>
          <w:color w:val="auto"/>
          <w:sz w:val="36"/>
          <w:szCs w:val="36"/>
        </w:rPr>
      </w:pPr>
    </w:p>
    <w:p w14:paraId="650BEFC9">
      <w:pPr>
        <w:pStyle w:val="12"/>
        <w:rPr>
          <w:color w:val="auto"/>
        </w:rPr>
      </w:pPr>
    </w:p>
    <w:p w14:paraId="5F1EFEF5">
      <w:pPr>
        <w:snapToGrid w:val="0"/>
        <w:spacing w:line="56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 xml:space="preserve">____________________________ </w:t>
      </w:r>
    </w:p>
    <w:p w14:paraId="3D8E16AD">
      <w:pPr>
        <w:snapToGrid w:val="0"/>
        <w:spacing w:line="560" w:lineRule="exact"/>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w:t>
      </w:r>
    </w:p>
    <w:p w14:paraId="3C111293">
      <w:pPr>
        <w:snapToGrid w:val="0"/>
        <w:spacing w:line="56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w:t>
      </w:r>
    </w:p>
    <w:p w14:paraId="4F803CAF">
      <w:pPr>
        <w:pageBreakBefore/>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72624621">
      <w:pPr>
        <w:pStyle w:val="22"/>
        <w:spacing w:line="360" w:lineRule="auto"/>
        <w:ind w:left="1155" w:leftChars="550"/>
        <w:rPr>
          <w:rFonts w:hint="eastAsia" w:ascii="宋体" w:hAnsi="宋体"/>
          <w:color w:val="auto"/>
          <w:sz w:val="32"/>
          <w:szCs w:val="28"/>
        </w:rPr>
      </w:pPr>
    </w:p>
    <w:p w14:paraId="0BC1F6D3">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05259D0C">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3FA74500">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hint="eastAsia" w:ascii="宋体" w:hAnsi="宋体"/>
          <w:color w:val="auto"/>
          <w:sz w:val="32"/>
          <w:szCs w:val="28"/>
          <w:lang w:val="en-US" w:eastAsia="zh-CN"/>
        </w:rPr>
        <w:t xml:space="preserve"> </w:t>
      </w:r>
      <w:r>
        <w:rPr>
          <w:rFonts w:hint="eastAsia" w:ascii="宋体" w:hAnsi="宋体"/>
          <w:color w:val="auto"/>
          <w:sz w:val="32"/>
          <w:szCs w:val="28"/>
        </w:rPr>
        <w:t>资</w:t>
      </w:r>
      <w:r>
        <w:rPr>
          <w:rFonts w:hint="eastAsia" w:ascii="宋体" w:hAnsi="宋体"/>
          <w:color w:val="auto"/>
          <w:sz w:val="32"/>
          <w:szCs w:val="28"/>
          <w:lang w:val="en-US" w:eastAsia="zh-CN"/>
        </w:rPr>
        <w:t>格</w:t>
      </w:r>
      <w:r>
        <w:rPr>
          <w:rFonts w:hint="eastAsia" w:ascii="宋体" w:hAnsi="宋体"/>
          <w:color w:val="auto"/>
          <w:sz w:val="32"/>
          <w:szCs w:val="28"/>
        </w:rPr>
        <w:t>证明文件</w:t>
      </w:r>
    </w:p>
    <w:p w14:paraId="709006E6">
      <w:pPr>
        <w:pStyle w:val="22"/>
        <w:spacing w:line="360" w:lineRule="auto"/>
        <w:ind w:left="1155" w:leftChars="550"/>
        <w:rPr>
          <w:rFonts w:hint="default" w:ascii="宋体" w:hAnsi="宋体" w:eastAsia="宋体"/>
          <w:color w:val="auto"/>
          <w:sz w:val="32"/>
          <w:szCs w:val="28"/>
          <w:lang w:val="en-US" w:eastAsia="zh-CN"/>
        </w:rPr>
      </w:pPr>
      <w:r>
        <w:rPr>
          <w:rFonts w:hint="eastAsia" w:ascii="宋体" w:hAnsi="宋体"/>
          <w:color w:val="auto"/>
          <w:sz w:val="32"/>
          <w:szCs w:val="28"/>
        </w:rPr>
        <w:t>第</w:t>
      </w:r>
      <w:r>
        <w:rPr>
          <w:rFonts w:hint="eastAsia" w:ascii="宋体" w:hAnsi="宋体"/>
          <w:color w:val="auto"/>
          <w:sz w:val="32"/>
          <w:szCs w:val="28"/>
          <w:lang w:val="en-US" w:eastAsia="zh-CN"/>
        </w:rPr>
        <w:t>四</w:t>
      </w:r>
      <w:r>
        <w:rPr>
          <w:rFonts w:hint="eastAsia" w:ascii="宋体" w:hAnsi="宋体"/>
          <w:color w:val="auto"/>
          <w:sz w:val="32"/>
          <w:szCs w:val="28"/>
        </w:rPr>
        <w:t>章</w:t>
      </w:r>
      <w:r>
        <w:rPr>
          <w:rFonts w:hint="eastAsia" w:ascii="宋体" w:hAnsi="宋体"/>
          <w:color w:val="auto"/>
          <w:sz w:val="32"/>
          <w:szCs w:val="28"/>
          <w:lang w:val="en-US" w:eastAsia="zh-CN"/>
        </w:rPr>
        <w:t xml:space="preserve">   技术</w:t>
      </w:r>
      <w:r>
        <w:rPr>
          <w:rFonts w:hint="eastAsia" w:ascii="宋体" w:hAnsi="宋体"/>
          <w:color w:val="auto"/>
          <w:sz w:val="32"/>
          <w:szCs w:val="28"/>
          <w:lang w:eastAsia="zh-CN"/>
        </w:rPr>
        <w:t>商务偏离表</w:t>
      </w:r>
    </w:p>
    <w:p w14:paraId="4DE8C1F3">
      <w:pPr>
        <w:pStyle w:val="22"/>
        <w:spacing w:line="360" w:lineRule="auto"/>
        <w:ind w:left="1155" w:leftChars="550"/>
        <w:rPr>
          <w:rFonts w:ascii="宋体" w:hAnsi="宋体"/>
          <w:color w:val="auto"/>
          <w:sz w:val="32"/>
          <w:szCs w:val="28"/>
        </w:rPr>
      </w:pPr>
      <w:r>
        <w:rPr>
          <w:rFonts w:hint="eastAsia" w:ascii="宋体" w:hAnsi="宋体"/>
          <w:color w:val="auto"/>
          <w:sz w:val="32"/>
          <w:szCs w:val="28"/>
        </w:rPr>
        <w:t>第</w:t>
      </w:r>
      <w:r>
        <w:rPr>
          <w:rFonts w:hint="eastAsia" w:ascii="宋体" w:hAnsi="宋体"/>
          <w:color w:val="auto"/>
          <w:sz w:val="32"/>
          <w:szCs w:val="28"/>
          <w:lang w:val="en-US" w:eastAsia="zh-CN"/>
        </w:rPr>
        <w:t>五</w:t>
      </w:r>
      <w:r>
        <w:rPr>
          <w:rFonts w:hint="eastAsia" w:ascii="宋体" w:hAnsi="宋体"/>
          <w:color w:val="auto"/>
          <w:sz w:val="32"/>
          <w:szCs w:val="28"/>
        </w:rPr>
        <w:t>章</w:t>
      </w:r>
      <w:r>
        <w:rPr>
          <w:rFonts w:hint="eastAsia" w:ascii="宋体" w:hAnsi="宋体"/>
          <w:color w:val="auto"/>
          <w:sz w:val="32"/>
          <w:szCs w:val="28"/>
          <w:lang w:val="en-US" w:eastAsia="zh-CN"/>
        </w:rPr>
        <w:t xml:space="preserve">   响应</w:t>
      </w:r>
      <w:r>
        <w:rPr>
          <w:rFonts w:hint="eastAsia" w:ascii="宋体" w:hAnsi="宋体"/>
          <w:color w:val="auto"/>
          <w:sz w:val="32"/>
          <w:szCs w:val="28"/>
        </w:rPr>
        <w:t>方案</w:t>
      </w:r>
    </w:p>
    <w:p w14:paraId="00A3307E">
      <w:pPr>
        <w:pStyle w:val="22"/>
        <w:spacing w:line="360" w:lineRule="auto"/>
        <w:ind w:left="1155" w:leftChars="550"/>
        <w:rPr>
          <w:rFonts w:ascii="宋体" w:hAnsi="宋体"/>
          <w:color w:val="auto"/>
          <w:sz w:val="32"/>
          <w:szCs w:val="28"/>
        </w:rPr>
      </w:pPr>
      <w:r>
        <w:rPr>
          <w:rFonts w:hint="eastAsia" w:ascii="宋体" w:hAnsi="宋体"/>
          <w:color w:val="auto"/>
          <w:sz w:val="32"/>
          <w:szCs w:val="28"/>
        </w:rPr>
        <w:t>第</w:t>
      </w:r>
      <w:r>
        <w:rPr>
          <w:rFonts w:hint="eastAsia" w:ascii="宋体" w:hAnsi="宋体"/>
          <w:color w:val="auto"/>
          <w:sz w:val="32"/>
          <w:szCs w:val="28"/>
          <w:lang w:val="en-US" w:eastAsia="zh-CN"/>
        </w:rPr>
        <w:t>六</w:t>
      </w:r>
      <w:r>
        <w:rPr>
          <w:rFonts w:hint="eastAsia" w:ascii="宋体" w:hAnsi="宋体"/>
          <w:color w:val="auto"/>
          <w:sz w:val="32"/>
          <w:szCs w:val="28"/>
        </w:rPr>
        <w:t>章   供应商承诺书</w:t>
      </w:r>
    </w:p>
    <w:p w14:paraId="6C37BA6D">
      <w:pPr>
        <w:pStyle w:val="22"/>
        <w:spacing w:line="360" w:lineRule="auto"/>
        <w:ind w:left="1155" w:leftChars="550"/>
        <w:rPr>
          <w:rFonts w:ascii="宋体" w:hAnsi="宋体"/>
          <w:color w:val="auto"/>
          <w:sz w:val="32"/>
          <w:szCs w:val="28"/>
        </w:rPr>
      </w:pPr>
    </w:p>
    <w:p w14:paraId="287C118E">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2FFAA879">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5D067DEA">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33C49625">
      <w:pPr>
        <w:pStyle w:val="22"/>
        <w:spacing w:line="360" w:lineRule="auto"/>
        <w:ind w:left="1155" w:leftChars="550"/>
        <w:rPr>
          <w:rFonts w:ascii="宋体" w:hAnsi="宋体"/>
          <w:color w:val="auto"/>
          <w:sz w:val="32"/>
          <w:szCs w:val="28"/>
        </w:rPr>
      </w:pPr>
      <w:r>
        <w:rPr>
          <w:rFonts w:ascii="宋体" w:hAnsi="宋体"/>
          <w:color w:val="auto"/>
          <w:sz w:val="32"/>
          <w:szCs w:val="28"/>
        </w:rPr>
        <w:t xml:space="preserve">  </w:t>
      </w:r>
    </w:p>
    <w:p w14:paraId="6A60312B">
      <w:pPr>
        <w:rPr>
          <w:color w:val="auto"/>
        </w:rPr>
      </w:pPr>
    </w:p>
    <w:p w14:paraId="7517C92E">
      <w:pPr>
        <w:pStyle w:val="22"/>
        <w:spacing w:line="480" w:lineRule="auto"/>
        <w:ind w:left="945" w:leftChars="450"/>
        <w:rPr>
          <w:color w:val="auto"/>
        </w:rPr>
      </w:pPr>
      <w:r>
        <w:rPr>
          <w:rFonts w:hint="eastAsia"/>
          <w:color w:val="auto"/>
          <w:sz w:val="30"/>
          <w:szCs w:val="30"/>
        </w:rPr>
        <w:tab/>
      </w:r>
    </w:p>
    <w:p w14:paraId="63B87481">
      <w:pPr>
        <w:pStyle w:val="3"/>
        <w:pageBreakBefore/>
        <w:rPr>
          <w:rFonts w:ascii="宋体" w:cs="Times New Roman"/>
          <w:color w:val="auto"/>
          <w:sz w:val="32"/>
          <w:szCs w:val="32"/>
        </w:rPr>
      </w:pPr>
      <w:bookmarkStart w:id="154" w:name="_Toc2536"/>
      <w:bookmarkStart w:id="155" w:name="_Toc19543349"/>
      <w:bookmarkStart w:id="156" w:name="_Toc536429333"/>
      <w:bookmarkStart w:id="157" w:name="_Toc536202324"/>
      <w:bookmarkStart w:id="158" w:name="_Toc536202393"/>
      <w:bookmarkStart w:id="159" w:name="_Toc536429386"/>
      <w:bookmarkStart w:id="160" w:name="_Toc10356"/>
      <w:r>
        <w:rPr>
          <w:rFonts w:hint="eastAsia" w:ascii="宋体" w:hAnsi="宋体" w:cs="宋体"/>
          <w:color w:val="auto"/>
          <w:sz w:val="32"/>
          <w:szCs w:val="32"/>
        </w:rPr>
        <w:t>第一</w:t>
      </w:r>
      <w:bookmarkEnd w:id="154"/>
      <w:r>
        <w:rPr>
          <w:rFonts w:hint="eastAsia" w:ascii="宋体" w:hAnsi="宋体" w:cs="宋体"/>
          <w:color w:val="auto"/>
          <w:sz w:val="32"/>
          <w:szCs w:val="32"/>
        </w:rPr>
        <w:t>章</w:t>
      </w:r>
      <w:r>
        <w:rPr>
          <w:rFonts w:ascii="宋体" w:hAnsi="宋体" w:cs="宋体"/>
          <w:color w:val="auto"/>
          <w:sz w:val="32"/>
          <w:szCs w:val="32"/>
        </w:rPr>
        <w:t xml:space="preserve">  </w:t>
      </w:r>
      <w:r>
        <w:rPr>
          <w:rFonts w:hint="eastAsia" w:ascii="宋体" w:hAnsi="宋体" w:cs="宋体"/>
          <w:color w:val="auto"/>
          <w:sz w:val="32"/>
          <w:szCs w:val="32"/>
        </w:rPr>
        <w:t>响应函</w:t>
      </w:r>
      <w:bookmarkEnd w:id="155"/>
      <w:bookmarkEnd w:id="156"/>
      <w:bookmarkEnd w:id="157"/>
      <w:bookmarkEnd w:id="158"/>
      <w:bookmarkEnd w:id="159"/>
      <w:bookmarkEnd w:id="160"/>
    </w:p>
    <w:p w14:paraId="53101261">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4AAE6303">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    </w:t>
      </w:r>
      <w:r>
        <w:rPr>
          <w:rFonts w:hint="eastAsia" w:ascii="宋体" w:hAnsi="宋体" w:cs="宋体"/>
          <w:color w:val="auto"/>
          <w:sz w:val="24"/>
          <w:szCs w:val="24"/>
        </w:rPr>
        <w:t>竞争性磋商文件，经详细研究，我公司决</w:t>
      </w:r>
      <w:r>
        <w:rPr>
          <w:rFonts w:hint="eastAsia" w:ascii="宋体" w:hAnsi="宋体" w:cs="宋体"/>
          <w:color w:val="auto"/>
          <w:sz w:val="24"/>
          <w:szCs w:val="24"/>
          <w:shd w:val="clear"/>
        </w:rPr>
        <w:t>定参加本</w:t>
      </w:r>
      <w:r>
        <w:rPr>
          <w:rFonts w:hint="eastAsia" w:ascii="宋体" w:hAnsi="宋体" w:cs="宋体"/>
          <w:color w:val="auto"/>
          <w:sz w:val="24"/>
          <w:szCs w:val="24"/>
        </w:rPr>
        <w:t>次磋商活动。为此，我方郑重承诺以下诸点，并负法律责任。</w:t>
      </w:r>
    </w:p>
    <w:p w14:paraId="0F35E8C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237FFEFB">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按照竞争性磋商文件的规定，我公司的响应总报价为：</w:t>
      </w:r>
    </w:p>
    <w:p w14:paraId="59782492">
      <w:pPr>
        <w:spacing w:line="360" w:lineRule="auto"/>
        <w:ind w:firstLine="480" w:firstLineChars="200"/>
        <w:rPr>
          <w:color w:val="auto"/>
        </w:rPr>
      </w:pPr>
      <w:r>
        <w:rPr>
          <w:rFonts w:hint="eastAsia" w:ascii="宋体" w:hAnsi="宋体" w:cs="宋体"/>
          <w:color w:val="auto"/>
          <w:sz w:val="24"/>
          <w:szCs w:val="24"/>
        </w:rPr>
        <w:t>人民币（大写）：______________元；（小写）￥：______元；</w:t>
      </w:r>
    </w:p>
    <w:p w14:paraId="755F7201">
      <w:pPr>
        <w:adjustRightInd w:val="0"/>
        <w:snapToGrid w:val="0"/>
        <w:spacing w:line="480" w:lineRule="exact"/>
        <w:ind w:firstLine="480" w:firstLineChars="200"/>
        <w:jc w:val="left"/>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p>
    <w:p w14:paraId="0B836A12">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2AD4697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如果我方在磋商后到规定的响应有效期内撤回响应文件及承诺，我们将承担相关法律责任。</w:t>
      </w:r>
    </w:p>
    <w:p w14:paraId="5ED5F460">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1F249AE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6E980EC5">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5916BC06">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3DCB250A">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或盖章）：_____________________</w:t>
      </w:r>
    </w:p>
    <w:p w14:paraId="6669771C">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388861A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04DE065F">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0D4DFBF4">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4801DBF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7595CA51">
      <w:pPr>
        <w:adjustRightInd w:val="0"/>
        <w:snapToGrid w:val="0"/>
        <w:spacing w:line="480" w:lineRule="exact"/>
        <w:ind w:firstLine="480" w:firstLineChars="200"/>
        <w:rPr>
          <w:rFonts w:ascii="宋体" w:cs="Times New Roman"/>
          <w:color w:val="auto"/>
          <w:sz w:val="24"/>
          <w:szCs w:val="24"/>
        </w:rPr>
        <w:sectPr>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161" w:name="_Toc28494"/>
    </w:p>
    <w:bookmarkEnd w:id="161"/>
    <w:p w14:paraId="1A75FD13">
      <w:pPr>
        <w:autoSpaceDE w:val="0"/>
        <w:autoSpaceDN w:val="0"/>
        <w:adjustRightInd w:val="0"/>
        <w:snapToGrid w:val="0"/>
        <w:spacing w:line="360" w:lineRule="auto"/>
        <w:jc w:val="center"/>
        <w:rPr>
          <w:b/>
          <w:color w:val="auto"/>
          <w:sz w:val="24"/>
        </w:rPr>
      </w:pPr>
      <w:bookmarkStart w:id="162" w:name="_Toc11309"/>
      <w:r>
        <w:rPr>
          <w:rFonts w:hint="eastAsia" w:hAnsi="宋体"/>
          <w:b/>
          <w:color w:val="auto"/>
          <w:sz w:val="32"/>
          <w:szCs w:val="32"/>
        </w:rPr>
        <w:t>第二章 响应报价表</w:t>
      </w:r>
    </w:p>
    <w:p w14:paraId="5CBFF5F4">
      <w:pPr>
        <w:autoSpaceDE w:val="0"/>
        <w:autoSpaceDN w:val="0"/>
        <w:adjustRightInd w:val="0"/>
        <w:snapToGrid w:val="0"/>
        <w:spacing w:line="360" w:lineRule="auto"/>
        <w:rPr>
          <w:rFonts w:ascii="宋体" w:hAnsi="宋体" w:cs="宋体"/>
          <w:b/>
          <w:color w:val="auto"/>
          <w:sz w:val="24"/>
          <w:szCs w:val="24"/>
        </w:rPr>
      </w:pPr>
      <w:r>
        <w:rPr>
          <w:rFonts w:hint="eastAsia" w:ascii="宋体" w:hAnsi="宋体" w:cs="宋体"/>
          <w:b/>
          <w:color w:val="auto"/>
          <w:sz w:val="24"/>
          <w:szCs w:val="24"/>
        </w:rPr>
        <w:t xml:space="preserve"> </w:t>
      </w:r>
    </w:p>
    <w:p w14:paraId="2EFF7EAE">
      <w:pPr>
        <w:autoSpaceDE w:val="0"/>
        <w:autoSpaceDN w:val="0"/>
        <w:adjustRightInd w:val="0"/>
        <w:snapToGrid w:val="0"/>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项目编号：</w:t>
      </w:r>
    </w:p>
    <w:p w14:paraId="0FEB3582">
      <w:pPr>
        <w:autoSpaceDE w:val="0"/>
        <w:autoSpaceDN w:val="0"/>
        <w:adjustRightInd w:val="0"/>
        <w:snapToGrid w:val="0"/>
        <w:spacing w:line="360" w:lineRule="auto"/>
        <w:ind w:firstLine="480" w:firstLineChars="200"/>
        <w:rPr>
          <w:rFonts w:hint="eastAsia" w:ascii="宋体" w:hAnsi="宋体" w:eastAsia="宋体" w:cs="宋体"/>
          <w:b/>
          <w:color w:val="auto"/>
          <w:sz w:val="24"/>
        </w:rPr>
      </w:pPr>
      <w:r>
        <w:rPr>
          <w:rFonts w:hint="eastAsia" w:ascii="宋体" w:hAnsi="宋体" w:eastAsia="宋体" w:cs="宋体"/>
          <w:bCs/>
          <w:color w:val="auto"/>
          <w:sz w:val="24"/>
        </w:rPr>
        <w:t>项目名称：</w:t>
      </w:r>
    </w:p>
    <w:tbl>
      <w:tblPr>
        <w:tblStyle w:val="36"/>
        <w:tblW w:w="49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7"/>
        <w:gridCol w:w="2552"/>
        <w:gridCol w:w="2617"/>
        <w:gridCol w:w="1354"/>
      </w:tblGrid>
      <w:tr w14:paraId="5259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1372" w:type="pct"/>
            <w:vAlign w:val="center"/>
          </w:tcPr>
          <w:p w14:paraId="4A92594C">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r>
              <w:rPr>
                <w:rFonts w:hint="eastAsia" w:ascii="宋体" w:hAnsi="宋体" w:eastAsia="宋体" w:cs="宋体"/>
                <w:bCs/>
                <w:color w:val="auto"/>
                <w:sz w:val="24"/>
              </w:rPr>
              <w:t>项目名称</w:t>
            </w:r>
          </w:p>
        </w:tc>
        <w:tc>
          <w:tcPr>
            <w:tcW w:w="1419" w:type="pct"/>
            <w:vAlign w:val="center"/>
          </w:tcPr>
          <w:p w14:paraId="5A67815B">
            <w:pPr>
              <w:pStyle w:val="51"/>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投标总报价</w:t>
            </w:r>
          </w:p>
          <w:p w14:paraId="1B7CAF47">
            <w:pPr>
              <w:pStyle w:val="51"/>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（元）</w:t>
            </w:r>
          </w:p>
        </w:tc>
        <w:tc>
          <w:tcPr>
            <w:tcW w:w="1455" w:type="pct"/>
            <w:vAlign w:val="center"/>
          </w:tcPr>
          <w:p w14:paraId="4C184736">
            <w:pPr>
              <w:pStyle w:val="51"/>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cs="宋体"/>
                <w:bCs/>
                <w:color w:val="auto"/>
                <w:kern w:val="2"/>
                <w:sz w:val="24"/>
                <w:szCs w:val="21"/>
                <w:lang w:val="en-US" w:eastAsia="zh-CN" w:bidi="ar-SA"/>
              </w:rPr>
              <w:t>合同履行期</w:t>
            </w:r>
          </w:p>
          <w:p w14:paraId="171072C6">
            <w:pPr>
              <w:pStyle w:val="51"/>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w:t>
            </w:r>
            <w:r>
              <w:rPr>
                <w:rFonts w:hint="eastAsia" w:ascii="宋体" w:hAnsi="宋体" w:cs="宋体"/>
                <w:bCs/>
                <w:color w:val="auto"/>
                <w:kern w:val="2"/>
                <w:sz w:val="24"/>
                <w:szCs w:val="21"/>
                <w:lang w:val="en-US" w:eastAsia="zh-CN" w:bidi="ar-SA"/>
              </w:rPr>
              <w:t>日历天</w:t>
            </w:r>
            <w:r>
              <w:rPr>
                <w:rFonts w:hint="eastAsia" w:ascii="宋体" w:hAnsi="宋体" w:eastAsia="宋体" w:cs="宋体"/>
                <w:bCs/>
                <w:color w:val="auto"/>
                <w:kern w:val="2"/>
                <w:sz w:val="24"/>
                <w:szCs w:val="21"/>
                <w:lang w:val="en-US" w:eastAsia="zh-CN" w:bidi="ar-SA"/>
              </w:rPr>
              <w:t>）</w:t>
            </w:r>
          </w:p>
        </w:tc>
        <w:tc>
          <w:tcPr>
            <w:tcW w:w="752" w:type="pct"/>
            <w:vAlign w:val="center"/>
          </w:tcPr>
          <w:p w14:paraId="7E987FD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kern w:val="2"/>
                <w:sz w:val="24"/>
                <w:szCs w:val="21"/>
                <w:lang w:val="en-US" w:eastAsia="zh-CN" w:bidi="ar-SA"/>
              </w:rPr>
            </w:pPr>
            <w:r>
              <w:rPr>
                <w:rFonts w:hint="eastAsia" w:ascii="宋体" w:hAnsi="宋体" w:cs="宋体"/>
                <w:bCs/>
                <w:color w:val="auto"/>
                <w:kern w:val="2"/>
                <w:sz w:val="24"/>
                <w:szCs w:val="21"/>
                <w:lang w:val="en-US" w:eastAsia="zh-CN" w:bidi="ar-SA"/>
              </w:rPr>
              <w:t>备注</w:t>
            </w:r>
          </w:p>
        </w:tc>
      </w:tr>
      <w:tr w14:paraId="0819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trPr>
        <w:tc>
          <w:tcPr>
            <w:tcW w:w="1372" w:type="pct"/>
            <w:vAlign w:val="center"/>
          </w:tcPr>
          <w:p w14:paraId="1FDA5F79">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c>
          <w:tcPr>
            <w:tcW w:w="1419" w:type="pct"/>
            <w:vAlign w:val="center"/>
          </w:tcPr>
          <w:p w14:paraId="72232B4A">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c>
          <w:tcPr>
            <w:tcW w:w="1455" w:type="pct"/>
            <w:vAlign w:val="center"/>
          </w:tcPr>
          <w:p w14:paraId="31E58BF2">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r>
              <w:rPr>
                <w:rFonts w:hint="eastAsia" w:ascii="宋体" w:hAnsi="宋体" w:eastAsia="宋体" w:cs="宋体"/>
                <w:bCs/>
                <w:color w:val="auto"/>
                <w:sz w:val="24"/>
              </w:rPr>
              <w:t xml:space="preserve"> </w:t>
            </w:r>
          </w:p>
        </w:tc>
        <w:tc>
          <w:tcPr>
            <w:tcW w:w="752" w:type="pct"/>
            <w:vAlign w:val="center"/>
          </w:tcPr>
          <w:p w14:paraId="50A929B3">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r>
      <w:tr w14:paraId="4519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2" w:hRule="atLeast"/>
        </w:trPr>
        <w:tc>
          <w:tcPr>
            <w:tcW w:w="1372" w:type="pct"/>
            <w:vAlign w:val="center"/>
          </w:tcPr>
          <w:p w14:paraId="6FBA263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r>
              <w:rPr>
                <w:rFonts w:hint="eastAsia" w:ascii="宋体" w:hAnsi="宋体" w:eastAsia="宋体" w:cs="宋体"/>
                <w:bCs/>
                <w:color w:val="auto"/>
                <w:kern w:val="2"/>
                <w:sz w:val="24"/>
                <w:szCs w:val="21"/>
                <w:lang w:val="en-US" w:eastAsia="zh-CN" w:bidi="ar-SA"/>
              </w:rPr>
              <w:t>投标总报价</w:t>
            </w:r>
            <w:r>
              <w:rPr>
                <w:rFonts w:hint="eastAsia" w:ascii="宋体" w:hAnsi="宋体" w:eastAsia="宋体" w:cs="宋体"/>
                <w:bCs/>
                <w:color w:val="auto"/>
                <w:sz w:val="24"/>
              </w:rPr>
              <w:t>（大写）</w:t>
            </w:r>
          </w:p>
        </w:tc>
        <w:tc>
          <w:tcPr>
            <w:tcW w:w="3627" w:type="pct"/>
            <w:gridSpan w:val="3"/>
            <w:vAlign w:val="center"/>
          </w:tcPr>
          <w:p w14:paraId="62AE81B0">
            <w:pPr>
              <w:keepNext w:val="0"/>
              <w:keepLines w:val="0"/>
              <w:suppressLineNumbers w:val="0"/>
              <w:spacing w:before="0" w:beforeAutospacing="0" w:after="0" w:afterAutospacing="0" w:line="560" w:lineRule="exact"/>
              <w:ind w:left="0" w:right="0"/>
              <w:rPr>
                <w:rFonts w:hint="eastAsia" w:ascii="宋体" w:hAnsi="宋体" w:eastAsia="宋体" w:cs="宋体"/>
                <w:bCs/>
                <w:color w:val="auto"/>
                <w:sz w:val="24"/>
              </w:rPr>
            </w:pPr>
          </w:p>
        </w:tc>
      </w:tr>
    </w:tbl>
    <w:p w14:paraId="5B54CC19">
      <w:pPr>
        <w:rPr>
          <w:rFonts w:hint="eastAsia" w:ascii="宋体" w:hAnsi="宋体" w:eastAsia="宋体" w:cs="宋体"/>
          <w:color w:val="auto"/>
          <w:sz w:val="24"/>
        </w:rPr>
      </w:pPr>
    </w:p>
    <w:p w14:paraId="6B59D7A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szCs w:val="24"/>
        </w:rPr>
        <w:t>备注：投标人所报的价格应考虑到可能发生的所有与完成本项目相关</w:t>
      </w:r>
      <w:r>
        <w:rPr>
          <w:rFonts w:hint="eastAsia" w:ascii="宋体" w:hAnsi="宋体" w:eastAsia="宋体" w:cs="宋体"/>
          <w:color w:val="auto"/>
          <w:sz w:val="24"/>
          <w:szCs w:val="24"/>
          <w:lang w:val="en-US" w:eastAsia="zh-CN"/>
        </w:rPr>
        <w:t>费用</w:t>
      </w:r>
      <w:r>
        <w:rPr>
          <w:rFonts w:hint="eastAsia" w:ascii="宋体" w:hAnsi="宋体" w:eastAsia="宋体" w:cs="宋体"/>
          <w:color w:val="auto"/>
          <w:sz w:val="24"/>
          <w:szCs w:val="24"/>
        </w:rPr>
        <w:t>及履行合同义务有关的一切费用。</w:t>
      </w:r>
    </w:p>
    <w:p w14:paraId="79EF4168">
      <w:pPr>
        <w:ind w:firstLine="240" w:firstLineChars="100"/>
        <w:rPr>
          <w:rFonts w:hint="eastAsia" w:ascii="宋体" w:hAnsi="宋体" w:eastAsia="宋体" w:cs="宋体"/>
          <w:color w:val="auto"/>
          <w:sz w:val="24"/>
        </w:rPr>
      </w:pPr>
    </w:p>
    <w:p w14:paraId="7ADAAF9C">
      <w:pPr>
        <w:keepNext w:val="0"/>
        <w:keepLines w:val="0"/>
        <w:pageBreakBefore w:val="0"/>
        <w:widowControl w:val="0"/>
        <w:kinsoku/>
        <w:wordWrap/>
        <w:overflowPunct/>
        <w:topLinePunct w:val="0"/>
        <w:autoSpaceDE/>
        <w:autoSpaceDN/>
        <w:bidi w:val="0"/>
        <w:adjustRightInd w:val="0"/>
        <w:snapToGrid w:val="0"/>
        <w:spacing w:line="660" w:lineRule="exact"/>
        <w:ind w:firstLine="240" w:firstLineChars="1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555FD0BA">
      <w:pPr>
        <w:keepNext w:val="0"/>
        <w:keepLines w:val="0"/>
        <w:pageBreakBefore w:val="0"/>
        <w:widowControl w:val="0"/>
        <w:kinsoku/>
        <w:wordWrap/>
        <w:overflowPunct/>
        <w:topLinePunct w:val="0"/>
        <w:autoSpaceDE/>
        <w:autoSpaceDN/>
        <w:bidi w:val="0"/>
        <w:adjustRightInd w:val="0"/>
        <w:snapToGrid w:val="0"/>
        <w:spacing w:line="66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0C2F41E0">
      <w:pPr>
        <w:keepNext w:val="0"/>
        <w:keepLines w:val="0"/>
        <w:pageBreakBefore w:val="0"/>
        <w:widowControl w:val="0"/>
        <w:kinsoku/>
        <w:wordWrap/>
        <w:overflowPunct/>
        <w:topLinePunct w:val="0"/>
        <w:autoSpaceDE/>
        <w:autoSpaceDN/>
        <w:bidi w:val="0"/>
        <w:adjustRightInd w:val="0"/>
        <w:snapToGrid w:val="0"/>
        <w:spacing w:line="660" w:lineRule="exact"/>
        <w:ind w:firstLine="240" w:firstLineChars="100"/>
        <w:textAlignment w:val="auto"/>
        <w:rPr>
          <w:rFonts w:ascii="宋体" w:hAnsi="宋体" w:cs="宋体"/>
          <w:color w:val="auto"/>
          <w:sz w:val="24"/>
          <w:szCs w:val="24"/>
        </w:rPr>
        <w:sectPr>
          <w:pgSz w:w="11906" w:h="16838"/>
          <w:pgMar w:top="1361" w:right="1423" w:bottom="1361" w:left="1423" w:header="1134" w:footer="992" w:gutter="0"/>
          <w:pgBorders>
            <w:top w:val="none" w:sz="0" w:space="0"/>
            <w:left w:val="none" w:sz="0" w:space="0"/>
            <w:bottom w:val="none" w:sz="0" w:space="0"/>
            <w:right w:val="none" w:sz="0" w:space="0"/>
          </w:pgBorders>
          <w:pgNumType w:fmt="decimal"/>
          <w:cols w:space="0" w:num="1"/>
          <w:titlePg/>
          <w:docGrid w:type="lines" w:linePitch="317" w:charSpace="0"/>
        </w:sectPr>
      </w:pPr>
      <w:r>
        <w:rPr>
          <w:rFonts w:hint="eastAsia" w:ascii="宋体" w:hAnsi="宋体" w:eastAsia="宋体" w:cs="宋体"/>
          <w:color w:val="auto"/>
          <w:sz w:val="24"/>
          <w:szCs w:val="24"/>
        </w:rPr>
        <w:t>日    期：________年________月________日</w:t>
      </w:r>
    </w:p>
    <w:p w14:paraId="5E637C7D">
      <w:pPr>
        <w:topLinePunct w:val="0"/>
        <w:bidi w:val="0"/>
        <w:spacing w:line="48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投标分项报价表</w:t>
      </w:r>
    </w:p>
    <w:p w14:paraId="5618DEA7">
      <w:pPr>
        <w:topLinePunct w:val="0"/>
        <w:bidi w:val="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p>
    <w:p w14:paraId="1F22640E">
      <w:pPr>
        <w:topLinePunct w:val="0"/>
        <w:bidi w:val="0"/>
        <w:spacing w:line="480" w:lineRule="exact"/>
        <w:jc w:val="right"/>
        <w:rPr>
          <w:rFonts w:hint="eastAsia" w:ascii="宋体" w:hAnsi="宋体" w:eastAsia="宋体" w:cs="宋体"/>
          <w:color w:val="auto"/>
          <w:sz w:val="24"/>
          <w:szCs w:val="24"/>
        </w:rPr>
      </w:pPr>
      <w:r>
        <w:rPr>
          <w:rFonts w:hint="eastAsia" w:ascii="宋体" w:hAnsi="宋体" w:eastAsia="宋体" w:cs="宋体"/>
          <w:color w:val="auto"/>
          <w:sz w:val="24"/>
          <w:szCs w:val="24"/>
        </w:rPr>
        <w:t>单位：元</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共   页     第   页</w:t>
      </w:r>
    </w:p>
    <w:tbl>
      <w:tblPr>
        <w:tblStyle w:val="36"/>
        <w:tblW w:w="503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15"/>
        <w:gridCol w:w="3000"/>
        <w:gridCol w:w="1111"/>
        <w:gridCol w:w="1118"/>
        <w:gridCol w:w="1111"/>
        <w:gridCol w:w="1113"/>
        <w:gridCol w:w="1137"/>
      </w:tblGrid>
      <w:tr w14:paraId="75E21A4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23" w:hRule="atLeast"/>
        </w:trPr>
        <w:tc>
          <w:tcPr>
            <w:tcW w:w="283" w:type="pct"/>
            <w:vAlign w:val="center"/>
          </w:tcPr>
          <w:p w14:paraId="447C7C65">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序号</w:t>
            </w:r>
          </w:p>
        </w:tc>
        <w:tc>
          <w:tcPr>
            <w:tcW w:w="1647" w:type="pct"/>
            <w:vAlign w:val="center"/>
          </w:tcPr>
          <w:p w14:paraId="277DA91D">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服务项目及内容</w:t>
            </w:r>
          </w:p>
        </w:tc>
        <w:tc>
          <w:tcPr>
            <w:tcW w:w="610" w:type="pct"/>
            <w:vAlign w:val="center"/>
          </w:tcPr>
          <w:p w14:paraId="0F8F14F2">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数量</w:t>
            </w:r>
          </w:p>
        </w:tc>
        <w:tc>
          <w:tcPr>
            <w:tcW w:w="613" w:type="pct"/>
            <w:vAlign w:val="center"/>
          </w:tcPr>
          <w:p w14:paraId="3EC9EB1B">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单位</w:t>
            </w:r>
          </w:p>
        </w:tc>
        <w:tc>
          <w:tcPr>
            <w:tcW w:w="610" w:type="pct"/>
            <w:vAlign w:val="center"/>
          </w:tcPr>
          <w:p w14:paraId="2D570708">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单价</w:t>
            </w:r>
          </w:p>
        </w:tc>
        <w:tc>
          <w:tcPr>
            <w:tcW w:w="611" w:type="pct"/>
            <w:vAlign w:val="center"/>
          </w:tcPr>
          <w:p w14:paraId="18408E85">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总价</w:t>
            </w:r>
          </w:p>
        </w:tc>
        <w:tc>
          <w:tcPr>
            <w:tcW w:w="622" w:type="pct"/>
            <w:vAlign w:val="center"/>
          </w:tcPr>
          <w:p w14:paraId="7C4B1F44">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p>
          <w:p w14:paraId="69B497BA">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备注</w:t>
            </w:r>
          </w:p>
          <w:p w14:paraId="33FC2B15">
            <w:pPr>
              <w:keepNext w:val="0"/>
              <w:keepLines w:val="0"/>
              <w:widowControl/>
              <w:suppressLineNumbers w:val="0"/>
              <w:topLinePunct w:val="0"/>
              <w:bidi w:val="0"/>
              <w:spacing w:before="0" w:beforeAutospacing="0" w:after="0" w:afterAutospacing="0" w:line="480" w:lineRule="exact"/>
              <w:ind w:left="0" w:right="0"/>
              <w:jc w:val="center"/>
              <w:rPr>
                <w:rFonts w:hint="eastAsia" w:ascii="宋体" w:hAnsi="宋体" w:eastAsia="宋体" w:cs="宋体"/>
                <w:b/>
                <w:bCs/>
                <w:color w:val="auto"/>
                <w:sz w:val="24"/>
                <w:szCs w:val="24"/>
                <w:lang w:val="en-US" w:eastAsia="zh-CN"/>
              </w:rPr>
            </w:pPr>
          </w:p>
        </w:tc>
      </w:tr>
      <w:tr w14:paraId="172413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1155A579">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647" w:type="pct"/>
            <w:vAlign w:val="center"/>
          </w:tcPr>
          <w:p w14:paraId="79238BDF">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70C1BCE7">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704E9F3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7C37626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5B52126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0061B074">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274C28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4FFD4E79">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647" w:type="pct"/>
            <w:vAlign w:val="center"/>
          </w:tcPr>
          <w:p w14:paraId="73E53D7B">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50E7E3AD">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3CD6627E">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39B5F014">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2A9AE744">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16FFB6DB">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2C9EF4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58A330A2">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647" w:type="pct"/>
            <w:vAlign w:val="center"/>
          </w:tcPr>
          <w:p w14:paraId="3780CD1D">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44A418D6">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669FADC9">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3DF72F12">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22F62778">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69DB665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0C0360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2281A7A8">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647" w:type="pct"/>
            <w:vAlign w:val="center"/>
          </w:tcPr>
          <w:p w14:paraId="64FB7A41">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0F0E7853">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2E382F90">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21912DA8">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40EEEE6E">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07A61ED3">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55A630A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207FD364">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647" w:type="pct"/>
            <w:vAlign w:val="center"/>
          </w:tcPr>
          <w:p w14:paraId="1FD8B6EB">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3E76B91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45BFA9B1">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4E66B1A5">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76E1EBCD">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2DB84E8F">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7280CE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09" w:hRule="atLeast"/>
        </w:trPr>
        <w:tc>
          <w:tcPr>
            <w:tcW w:w="283" w:type="pct"/>
            <w:vAlign w:val="center"/>
          </w:tcPr>
          <w:p w14:paraId="4ED5D8C4">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647" w:type="pct"/>
            <w:vAlign w:val="center"/>
          </w:tcPr>
          <w:p w14:paraId="288D0F4E">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78A005C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71EE825A">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7E8E970A">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58A6CDCE">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48C5897A">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0F6A19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2EEA45C0">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647" w:type="pct"/>
            <w:vAlign w:val="center"/>
          </w:tcPr>
          <w:p w14:paraId="42107941">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5B1DA833">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022034E5">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11916F39">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27988AB0">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5E8A2EBB">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088F4E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0E249BB9">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1647" w:type="pct"/>
            <w:vAlign w:val="center"/>
          </w:tcPr>
          <w:p w14:paraId="08996EDC">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610" w:type="pct"/>
            <w:vAlign w:val="center"/>
          </w:tcPr>
          <w:p w14:paraId="68093E7F">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3" w:type="pct"/>
            <w:vAlign w:val="center"/>
          </w:tcPr>
          <w:p w14:paraId="21EBD9D0">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0" w:type="pct"/>
            <w:vAlign w:val="center"/>
          </w:tcPr>
          <w:p w14:paraId="389AAE04">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11" w:type="pct"/>
            <w:vAlign w:val="center"/>
          </w:tcPr>
          <w:p w14:paraId="482F8A62">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c>
          <w:tcPr>
            <w:tcW w:w="622" w:type="pct"/>
            <w:vAlign w:val="center"/>
          </w:tcPr>
          <w:p w14:paraId="018BFC32">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p>
        </w:tc>
      </w:tr>
      <w:tr w14:paraId="07A307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3154" w:type="pct"/>
            <w:gridSpan w:val="4"/>
            <w:vAlign w:val="center"/>
          </w:tcPr>
          <w:p w14:paraId="315226DE">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总计（大写）：</w:t>
            </w:r>
          </w:p>
        </w:tc>
        <w:tc>
          <w:tcPr>
            <w:tcW w:w="1845" w:type="pct"/>
            <w:gridSpan w:val="3"/>
            <w:vAlign w:val="center"/>
          </w:tcPr>
          <w:p w14:paraId="666B3C4B">
            <w:pPr>
              <w:keepNext w:val="0"/>
              <w:keepLines w:val="0"/>
              <w:widowControl/>
              <w:suppressLineNumbers w:val="0"/>
              <w:topLinePunct w:val="0"/>
              <w:bidi w:val="0"/>
              <w:spacing w:before="0" w:beforeAutospacing="0" w:after="0" w:afterAutospacing="0" w:line="480" w:lineRule="exact"/>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小写：</w:t>
            </w:r>
          </w:p>
        </w:tc>
      </w:tr>
    </w:tbl>
    <w:p w14:paraId="6E97DF54">
      <w:pPr>
        <w:topLinePunct w:val="0"/>
        <w:bidi w:val="0"/>
        <w:spacing w:line="48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     </w:t>
      </w:r>
    </w:p>
    <w:p w14:paraId="25174274">
      <w:pPr>
        <w:topLinePunct w:val="0"/>
        <w:bidi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注：1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投标人可根据实际情况自行扩展表格细项。</w:t>
      </w:r>
    </w:p>
    <w:p w14:paraId="7C453D1B">
      <w:pPr>
        <w:topLinePunct w:val="0"/>
        <w:bidi w:val="0"/>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如果分项报价合计与投标总报价不一致，以分项报价合计为准进行结算。</w:t>
      </w:r>
    </w:p>
    <w:p w14:paraId="7505A2E1">
      <w:pPr>
        <w:topLinePunct w:val="0"/>
        <w:bidi w:val="0"/>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如果不提供详细分项报价将视为没有实质性响应</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w:t>
      </w:r>
    </w:p>
    <w:p w14:paraId="25742285">
      <w:pPr>
        <w:topLinePunct w:val="0"/>
        <w:bidi w:val="0"/>
        <w:spacing w:line="480" w:lineRule="exact"/>
        <w:ind w:firstLine="480" w:firstLineChars="200"/>
        <w:rPr>
          <w:rFonts w:hint="eastAsia" w:ascii="宋体" w:hAnsi="宋体" w:eastAsia="宋体" w:cs="宋体"/>
          <w:color w:val="auto"/>
          <w:sz w:val="24"/>
          <w:szCs w:val="24"/>
        </w:rPr>
      </w:pPr>
    </w:p>
    <w:p w14:paraId="7419420D">
      <w:pPr>
        <w:widowControl w:val="0"/>
        <w:topLinePunct w:val="0"/>
        <w:bidi w:val="0"/>
        <w:adjustRightInd w:val="0"/>
        <w:snapToGrid w:val="0"/>
        <w:spacing w:line="480" w:lineRule="exact"/>
        <w:jc w:val="left"/>
        <w:rPr>
          <w:rFonts w:hint="default" w:ascii="宋体" w:hAnsi="宋体" w:eastAsia="宋体"/>
          <w:color w:val="auto"/>
          <w:sz w:val="24"/>
          <w:szCs w:val="24"/>
          <w:u w:val="single"/>
          <w:lang w:val="en-US" w:eastAsia="zh-CN"/>
        </w:rPr>
      </w:pPr>
      <w:r>
        <w:rPr>
          <w:rFonts w:hint="eastAsia" w:ascii="宋体" w:hAnsi="宋体" w:eastAsia="宋体" w:cs="宋体"/>
          <w:color w:val="auto"/>
          <w:sz w:val="24"/>
          <w:szCs w:val="24"/>
          <w:lang w:val="en-US" w:eastAsia="zh-CN"/>
        </w:rPr>
        <w:t>供应商（单位名称及公章）：</w:t>
      </w:r>
      <w:r>
        <w:rPr>
          <w:rFonts w:hint="eastAsia" w:ascii="宋体" w:hAnsi="宋体" w:eastAsia="宋体" w:cs="宋体"/>
          <w:color w:val="auto"/>
          <w:sz w:val="24"/>
          <w:szCs w:val="24"/>
          <w:u w:val="single"/>
          <w:lang w:val="en-US" w:eastAsia="zh-CN"/>
        </w:rPr>
        <w:t xml:space="preserve">                                </w:t>
      </w:r>
    </w:p>
    <w:p w14:paraId="4EECAD47">
      <w:pPr>
        <w:widowControl w:val="0"/>
        <w:topLinePunct w:val="0"/>
        <w:bidi w:val="0"/>
        <w:adjustRightInd w:val="0"/>
        <w:snapToGrid w:val="0"/>
        <w:spacing w:line="480" w:lineRule="exact"/>
        <w:jc w:val="left"/>
        <w:rPr>
          <w:rFonts w:hint="eastAsia" w:ascii="宋体" w:hAnsi="宋体" w:eastAsia="宋体" w:cs="宋体"/>
          <w:b/>
          <w:bCs/>
          <w:color w:val="auto"/>
          <w:sz w:val="24"/>
          <w:szCs w:val="24"/>
          <w:u w:val="non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w:t>
      </w:r>
      <w:r>
        <w:rPr>
          <w:rFonts w:hint="eastAsia" w:ascii="宋体" w:hAnsi="宋体" w:eastAsia="宋体" w:cs="宋体"/>
          <w:b/>
          <w:bCs/>
          <w:color w:val="auto"/>
          <w:sz w:val="24"/>
          <w:szCs w:val="24"/>
          <w:u w:val="none"/>
          <w:lang w:val="en-US" w:eastAsia="zh-CN"/>
        </w:rPr>
        <w:t>_________________</w:t>
      </w:r>
    </w:p>
    <w:p w14:paraId="0764E3F5">
      <w:pPr>
        <w:keepNext w:val="0"/>
        <w:keepLines w:val="0"/>
        <w:pageBreakBefore w:val="0"/>
        <w:widowControl w:val="0"/>
        <w:kinsoku/>
        <w:wordWrap/>
        <w:overflowPunct/>
        <w:topLinePunct w:val="0"/>
        <w:autoSpaceDE/>
        <w:autoSpaceDN/>
        <w:bidi w:val="0"/>
        <w:adjustRightInd w:val="0"/>
        <w:snapToGrid w:val="0"/>
        <w:spacing w:line="660" w:lineRule="exact"/>
        <w:textAlignment w:val="auto"/>
        <w:rPr>
          <w:rFonts w:ascii="宋体" w:hAnsi="宋体" w:cs="宋体"/>
          <w:color w:val="auto"/>
          <w:sz w:val="24"/>
          <w:szCs w:val="24"/>
        </w:rPr>
        <w:sectPr>
          <w:pgSz w:w="11906" w:h="16838"/>
          <w:pgMar w:top="1361" w:right="1423" w:bottom="1361" w:left="1423" w:header="1134" w:footer="992" w:gutter="0"/>
          <w:pgBorders>
            <w:top w:val="none" w:sz="0" w:space="0"/>
            <w:left w:val="none" w:sz="0" w:space="0"/>
            <w:bottom w:val="none" w:sz="0" w:space="0"/>
            <w:right w:val="none" w:sz="0" w:space="0"/>
          </w:pgBorders>
          <w:pgNumType w:fmt="decimal"/>
          <w:cols w:space="0" w:num="1"/>
          <w:titlePg/>
          <w:docGrid w:type="lines" w:linePitch="317" w:charSpace="0"/>
        </w:sect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w:t>
      </w:r>
    </w:p>
    <w:p w14:paraId="146E8AC9">
      <w:pPr>
        <w:numPr>
          <w:ilvl w:val="0"/>
          <w:numId w:val="0"/>
        </w:numPr>
        <w:autoSpaceDE w:val="0"/>
        <w:autoSpaceDN w:val="0"/>
        <w:adjustRightInd w:val="0"/>
        <w:snapToGrid w:val="0"/>
        <w:spacing w:line="360" w:lineRule="auto"/>
        <w:jc w:val="center"/>
        <w:rPr>
          <w:rFonts w:ascii="宋体" w:hAnsi="宋体" w:cs="宋体"/>
          <w:color w:val="auto"/>
        </w:rPr>
      </w:pPr>
      <w:r>
        <w:rPr>
          <w:rFonts w:hint="eastAsia" w:ascii="宋体" w:hAnsi="宋体" w:cs="宋体"/>
          <w:b/>
          <w:color w:val="auto"/>
          <w:sz w:val="32"/>
          <w:szCs w:val="32"/>
          <w:lang w:val="en-US" w:eastAsia="zh-CN"/>
        </w:rPr>
        <w:t xml:space="preserve">第三章  </w:t>
      </w:r>
      <w:r>
        <w:rPr>
          <w:rFonts w:hint="eastAsia" w:ascii="Calibri Light" w:hAnsi="Calibri Light" w:cs="Times New Roman"/>
          <w:color w:val="auto"/>
          <w:sz w:val="32"/>
          <w:szCs w:val="32"/>
          <w:lang w:val="en-US" w:eastAsia="zh-CN"/>
        </w:rPr>
        <w:t xml:space="preserve"> </w:t>
      </w:r>
      <w:r>
        <w:rPr>
          <w:rFonts w:hint="eastAsia" w:ascii="Calibri Light" w:hAnsi="Calibri Light" w:cs="Times New Roman"/>
          <w:b/>
          <w:bCs/>
          <w:color w:val="auto"/>
          <w:sz w:val="32"/>
          <w:szCs w:val="32"/>
        </w:rPr>
        <w:t>资</w:t>
      </w:r>
      <w:r>
        <w:rPr>
          <w:rFonts w:hint="eastAsia" w:ascii="Calibri Light" w:hAnsi="Calibri Light" w:cs="Times New Roman"/>
          <w:b/>
          <w:bCs/>
          <w:color w:val="auto"/>
          <w:sz w:val="32"/>
          <w:szCs w:val="32"/>
          <w:lang w:val="en-US" w:eastAsia="zh-CN"/>
        </w:rPr>
        <w:t>格</w:t>
      </w:r>
      <w:r>
        <w:rPr>
          <w:rFonts w:hint="eastAsia" w:ascii="Calibri Light" w:hAnsi="Calibri Light" w:cs="Times New Roman"/>
          <w:b/>
          <w:bCs/>
          <w:color w:val="auto"/>
          <w:sz w:val="32"/>
          <w:szCs w:val="32"/>
        </w:rPr>
        <w:t>证明文件</w:t>
      </w:r>
    </w:p>
    <w:p w14:paraId="5CAE69A9">
      <w:pPr>
        <w:keepNext w:val="0"/>
        <w:keepLines w:val="0"/>
        <w:pageBreakBefore w:val="0"/>
        <w:tabs>
          <w:tab w:val="left" w:pos="567"/>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3CBC0151">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cs="宋体"/>
          <w:color w:val="auto"/>
          <w:kern w:val="0"/>
          <w:sz w:val="24"/>
          <w:szCs w:val="24"/>
          <w:lang w:eastAsia="zh-CN"/>
        </w:rPr>
        <w:t>法定代表人授权书及被授权人身份证复印件（法定代表人直接投标只需提交其身份明材料）。</w:t>
      </w:r>
    </w:p>
    <w:p w14:paraId="34C21D67">
      <w:pPr>
        <w:keepNext w:val="0"/>
        <w:keepLines w:val="0"/>
        <w:pageBreakBefore w:val="0"/>
        <w:tabs>
          <w:tab w:val="center" w:pos="4153"/>
          <w:tab w:val="right" w:pos="8306"/>
        </w:tabs>
        <w:kinsoku/>
        <w:wordWrap/>
        <w:overflowPunct/>
        <w:topLinePunct w:val="0"/>
        <w:autoSpaceDE/>
        <w:autoSpaceDN/>
        <w:bidi w:val="0"/>
        <w:adjustRightInd/>
        <w:snapToGrid w:val="0"/>
        <w:spacing w:line="42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0111647E">
      <w:pPr>
        <w:keepNext w:val="0"/>
        <w:keepLines w:val="0"/>
        <w:pageBreakBefore w:val="0"/>
        <w:kinsoku/>
        <w:wordWrap/>
        <w:overflowPunct/>
        <w:topLinePunct w:val="0"/>
        <w:autoSpaceDE/>
        <w:autoSpaceDN/>
        <w:bidi w:val="0"/>
        <w:adjustRightInd/>
        <w:spacing w:line="42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 xml:space="preserve">书面声明：投标人必须提供参加政府采购活动前3年内在经营活动中没有重大违法记录的书面声明。 </w:t>
      </w:r>
    </w:p>
    <w:p w14:paraId="78AD4C3F">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cs="宋体"/>
          <w:color w:val="auto"/>
          <w:sz w:val="24"/>
          <w:szCs w:val="24"/>
        </w:rPr>
        <w:t>税收缴纳证明：</w:t>
      </w:r>
      <w:r>
        <w:rPr>
          <w:rFonts w:hint="eastAsia" w:ascii="宋体" w:hAnsi="宋体" w:cs="宋体"/>
          <w:color w:val="auto"/>
          <w:sz w:val="24"/>
          <w:szCs w:val="24"/>
          <w:lang w:eastAsia="zh-CN"/>
        </w:rPr>
        <w:t>提供2025年6月至今任意一个月缴纳的纳税证明或完税证明</w:t>
      </w:r>
      <w:r>
        <w:rPr>
          <w:rFonts w:hint="eastAsia" w:ascii="宋体" w:hAnsi="宋体" w:cs="宋体"/>
          <w:color w:val="auto"/>
          <w:sz w:val="24"/>
          <w:szCs w:val="24"/>
        </w:rPr>
        <w:t>，依法免税或缓缴的单位应提供相关证明材料，纳税证明或完税证明上应有代收机构或税务机关的公章或业务专用章。</w:t>
      </w:r>
    </w:p>
    <w:p w14:paraId="3EBDA615">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cs="宋体"/>
          <w:color w:val="auto"/>
          <w:sz w:val="24"/>
          <w:szCs w:val="24"/>
        </w:rPr>
        <w:t>财务状况报告：</w:t>
      </w:r>
      <w:r>
        <w:rPr>
          <w:rFonts w:hint="eastAsia" w:ascii="宋体" w:hAnsi="宋体" w:cs="宋体"/>
          <w:color w:val="auto"/>
          <w:sz w:val="24"/>
          <w:szCs w:val="24"/>
          <w:lang w:eastAsia="zh-CN"/>
        </w:rPr>
        <w:t>提供2025年度经审计的财务审计报告或投标截止时间前六个月内基本开户银行出具的资信证明</w:t>
      </w:r>
      <w:r>
        <w:rPr>
          <w:rFonts w:hint="eastAsia" w:ascii="宋体" w:hAnsi="宋体" w:cs="宋体"/>
          <w:color w:val="auto"/>
          <w:sz w:val="24"/>
          <w:szCs w:val="24"/>
        </w:rPr>
        <w:t>（成立时间至提交响应文件截止时间不足一年的可提供成立后任意时段的资产负债表）</w:t>
      </w:r>
      <w:r>
        <w:rPr>
          <w:rFonts w:hint="eastAsia" w:ascii="宋体" w:hAnsi="宋体" w:cs="宋体"/>
          <w:color w:val="auto"/>
          <w:sz w:val="24"/>
          <w:szCs w:val="24"/>
          <w:lang w:eastAsia="zh-CN"/>
        </w:rPr>
        <w:t>。</w:t>
      </w:r>
    </w:p>
    <w:p w14:paraId="499583BE">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cs="宋体"/>
          <w:color w:val="auto"/>
          <w:sz w:val="24"/>
          <w:szCs w:val="24"/>
        </w:rPr>
        <w:t>社会保障资金缴纳证明：</w:t>
      </w:r>
      <w:r>
        <w:rPr>
          <w:rFonts w:hint="eastAsia" w:ascii="宋体" w:hAnsi="宋体" w:cs="宋体"/>
          <w:color w:val="auto"/>
          <w:sz w:val="24"/>
          <w:szCs w:val="24"/>
          <w:lang w:eastAsia="zh-CN"/>
        </w:rPr>
        <w:t>提供2025年6月至今任意一个月社会保障资金缴存单据</w:t>
      </w:r>
      <w:r>
        <w:rPr>
          <w:rFonts w:hint="eastAsia" w:ascii="宋体" w:hAnsi="宋体" w:cs="宋体"/>
          <w:color w:val="auto"/>
          <w:sz w:val="24"/>
          <w:szCs w:val="24"/>
        </w:rPr>
        <w:t>或社保机构开具的社会保险参保缴费情况证明，依法不需要缴纳社会保障资金的单位应提供相关证明材料，单据或证明上应有社保机构或代收机构的印章</w:t>
      </w:r>
      <w:r>
        <w:rPr>
          <w:rFonts w:hint="eastAsia" w:ascii="宋体" w:hAnsi="宋体" w:cs="宋体"/>
          <w:color w:val="auto"/>
          <w:sz w:val="24"/>
          <w:szCs w:val="24"/>
          <w:lang w:eastAsia="zh-CN"/>
        </w:rPr>
        <w:t>（</w:t>
      </w:r>
      <w:r>
        <w:rPr>
          <w:rFonts w:hint="eastAsia" w:ascii="宋体" w:hAnsi="宋体" w:cs="宋体"/>
          <w:color w:val="auto"/>
          <w:sz w:val="24"/>
          <w:szCs w:val="24"/>
        </w:rPr>
        <w:t>成立时间至提交响应文件截止时间不足三个月的可不提供</w:t>
      </w:r>
      <w:r>
        <w:rPr>
          <w:rFonts w:hint="eastAsia" w:ascii="宋体" w:hAnsi="宋体" w:cs="宋体"/>
          <w:color w:val="auto"/>
          <w:sz w:val="24"/>
          <w:szCs w:val="24"/>
          <w:lang w:eastAsia="zh-CN"/>
        </w:rPr>
        <w:t>）。</w:t>
      </w:r>
    </w:p>
    <w:p w14:paraId="56B780FB">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（8）提供具有履行合同</w:t>
      </w:r>
      <w:r>
        <w:rPr>
          <w:rFonts w:hint="eastAsia" w:ascii="宋体" w:hAnsi="宋体" w:eastAsia="宋体" w:cs="宋体"/>
          <w:color w:val="auto"/>
          <w:kern w:val="2"/>
          <w:sz w:val="24"/>
          <w:szCs w:val="24"/>
          <w:lang w:val="en-US" w:eastAsia="zh-CN" w:bidi="ar-SA"/>
        </w:rPr>
        <w:t>所必需的设备和专业技术能力的承诺书</w:t>
      </w:r>
      <w:r>
        <w:rPr>
          <w:rFonts w:hint="eastAsia" w:ascii="宋体" w:hAnsi="宋体" w:cs="宋体"/>
          <w:color w:val="auto"/>
          <w:kern w:val="2"/>
          <w:sz w:val="24"/>
          <w:szCs w:val="24"/>
          <w:lang w:val="en-US" w:eastAsia="zh-CN" w:bidi="ar-SA"/>
        </w:rPr>
        <w:t>（格式自拟）。</w:t>
      </w:r>
    </w:p>
    <w:p w14:paraId="2FE70574">
      <w:pPr>
        <w:keepNext w:val="0"/>
        <w:keepLines w:val="0"/>
        <w:pageBreakBefore w:val="0"/>
        <w:kinsoku/>
        <w:wordWrap/>
        <w:overflowPunct/>
        <w:topLinePunct w:val="0"/>
        <w:autoSpaceDE/>
        <w:autoSpaceDN/>
        <w:bidi w:val="0"/>
        <w:adjustRightInd/>
        <w:spacing w:line="500" w:lineRule="exact"/>
        <w:ind w:left="0" w:leftChars="0" w:right="0" w:rightChars="0"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（9）本项目不接受联合体投标。</w:t>
      </w:r>
    </w:p>
    <w:p w14:paraId="610A90C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0811ABB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color w:val="auto"/>
          <w:sz w:val="24"/>
          <w:szCs w:val="24"/>
          <w:lang w:val="en-US" w:eastAsia="zh-CN"/>
        </w:rPr>
      </w:pPr>
    </w:p>
    <w:p w14:paraId="2D814AD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color w:val="auto"/>
          <w:sz w:val="24"/>
          <w:szCs w:val="24"/>
          <w:lang w:val="en-US" w:eastAsia="zh-CN"/>
        </w:rPr>
      </w:pPr>
    </w:p>
    <w:p w14:paraId="75804CF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color w:val="auto"/>
          <w:sz w:val="24"/>
          <w:szCs w:val="24"/>
          <w:lang w:val="en-US" w:eastAsia="zh-CN"/>
        </w:rPr>
      </w:pPr>
    </w:p>
    <w:p w14:paraId="42655F7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color w:val="auto"/>
          <w:sz w:val="24"/>
          <w:szCs w:val="24"/>
          <w:lang w:val="en-US" w:eastAsia="zh-CN"/>
        </w:rPr>
      </w:pPr>
    </w:p>
    <w:p w14:paraId="649EE06A">
      <w:pPr>
        <w:tabs>
          <w:tab w:val="center" w:pos="4153"/>
          <w:tab w:val="right" w:pos="8306"/>
        </w:tabs>
        <w:snapToGrid w:val="0"/>
        <w:spacing w:line="360" w:lineRule="auto"/>
        <w:ind w:firstLine="480" w:firstLineChars="200"/>
        <w:jc w:val="left"/>
        <w:rPr>
          <w:rFonts w:hint="eastAsia" w:ascii="宋体" w:hAnsi="宋体" w:cs="宋体"/>
          <w:color w:val="auto"/>
          <w:kern w:val="0"/>
          <w:sz w:val="24"/>
          <w:szCs w:val="24"/>
        </w:rPr>
      </w:pPr>
    </w:p>
    <w:p w14:paraId="18C1B73C">
      <w:pPr>
        <w:tabs>
          <w:tab w:val="left" w:pos="210"/>
        </w:tabs>
        <w:spacing w:line="420" w:lineRule="exact"/>
        <w:jc w:val="center"/>
        <w:rPr>
          <w:rFonts w:ascii="宋体" w:hAnsi="宋体" w:cs="Arial"/>
          <w:b/>
          <w:color w:val="auto"/>
          <w:kern w:val="0"/>
          <w:sz w:val="32"/>
          <w:szCs w:val="32"/>
        </w:rPr>
      </w:pPr>
      <w:r>
        <w:rPr>
          <w:rFonts w:hint="eastAsia" w:ascii="宋体" w:hAnsi="宋体" w:cs="Arial"/>
          <w:b/>
          <w:color w:val="auto"/>
          <w:kern w:val="0"/>
          <w:sz w:val="32"/>
          <w:szCs w:val="32"/>
        </w:rPr>
        <w:t xml:space="preserve">   </w:t>
      </w:r>
      <w:r>
        <w:rPr>
          <w:rFonts w:hint="eastAsia" w:ascii="宋体" w:hAnsi="宋体" w:cs="Arial"/>
          <w:b/>
          <w:color w:val="auto"/>
          <w:kern w:val="0"/>
          <w:sz w:val="28"/>
          <w:szCs w:val="28"/>
        </w:rPr>
        <w:t xml:space="preserve"> 法定代表人证明书</w:t>
      </w:r>
    </w:p>
    <w:p w14:paraId="3278A074">
      <w:pPr>
        <w:tabs>
          <w:tab w:val="left" w:pos="210"/>
        </w:tabs>
        <w:spacing w:line="320" w:lineRule="exact"/>
        <w:jc w:val="center"/>
        <w:rPr>
          <w:rFonts w:ascii="宋体" w:hAnsi="宋体" w:cs="Arial"/>
          <w:b/>
          <w:color w:val="auto"/>
          <w:kern w:val="0"/>
          <w:sz w:val="32"/>
          <w:szCs w:val="32"/>
        </w:rPr>
      </w:pPr>
    </w:p>
    <w:tbl>
      <w:tblPr>
        <w:tblStyle w:val="36"/>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2866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12DA21DB">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hAnsi="宋体"/>
                <w:color w:val="auto"/>
                <w:sz w:val="24"/>
                <w:szCs w:val="24"/>
              </w:rPr>
              <w:t>安康尚昊招标代理有限公司</w:t>
            </w:r>
          </w:p>
        </w:tc>
      </w:tr>
      <w:tr w14:paraId="32F2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6F05DBF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60E1B17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3A36D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60047DB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2FA8C8E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0F61DBB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84B204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6AE30C5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3D415C7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69F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0D778A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04E3502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468779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22E4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00AA63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557EEE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761A188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695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1C62F86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0E29CEE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6B6A7FE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123A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5DADD0B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54C3D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3854697E">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6BD6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EA4B31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39ACCE0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559F30C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71B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62055F8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531BB34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794CA98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42B13E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3CAA103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42F0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21CC3D2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835EC8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66EB80F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5B2715B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297A2E2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000F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69476D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A65D0B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1715EA8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F22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1E3DAE9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002422D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36C427F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40CD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6184D55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2CD067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1C423A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6FD6B3E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2734A89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02BE8C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386F641B">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074315A0">
      <w:pPr>
        <w:pStyle w:val="3"/>
        <w:pageBreakBefore/>
        <w:rPr>
          <w:rFonts w:ascii="宋体" w:hAnsi="宋体" w:cs="宋体"/>
          <w:color w:val="auto"/>
        </w:rPr>
      </w:pPr>
      <w:bookmarkStart w:id="163" w:name="_Toc19543356"/>
      <w:r>
        <w:rPr>
          <w:rFonts w:hint="eastAsia" w:ascii="宋体" w:hAnsi="宋体" w:cs="宋体"/>
          <w:color w:val="auto"/>
        </w:rPr>
        <w:t>法定代表人授权书</w:t>
      </w:r>
      <w:bookmarkEnd w:id="163"/>
    </w:p>
    <w:p w14:paraId="0956D082">
      <w:pPr>
        <w:pStyle w:val="17"/>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61CFFD49">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的采购活动。以我方名义全权处理该项目有关磋商、签订合同以及执行合同等一切事宜。</w:t>
      </w:r>
    </w:p>
    <w:p w14:paraId="1AF88CC1">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rPr>
        <w:t xml:space="preserve">    </w:t>
      </w:r>
      <w:r>
        <w:rPr>
          <w:rFonts w:hint="eastAsia" w:ascii="宋体" w:hAnsi="宋体" w:cs="宋体"/>
          <w:color w:val="auto"/>
          <w:sz w:val="24"/>
          <w:szCs w:val="24"/>
        </w:rPr>
        <w:t>日历日，特此声明。</w:t>
      </w:r>
    </w:p>
    <w:p w14:paraId="544BB5DE">
      <w:pPr>
        <w:pStyle w:val="17"/>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4912CDEF">
      <w:pPr>
        <w:pStyle w:val="17"/>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587D2846">
      <w:pPr>
        <w:pStyle w:val="17"/>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52AEF32C">
      <w:pPr>
        <w:pStyle w:val="17"/>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056DA94F">
      <w:pPr>
        <w:pStyle w:val="17"/>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0B39E9BD">
      <w:pPr>
        <w:pStyle w:val="17"/>
        <w:spacing w:line="400" w:lineRule="exact"/>
        <w:ind w:firstLine="480" w:firstLineChars="200"/>
        <w:jc w:val="left"/>
        <w:rPr>
          <w:rFonts w:hint="default" w:hAnsi="宋体" w:eastAsia="宋体"/>
          <w:color w:val="auto"/>
          <w:sz w:val="24"/>
          <w:szCs w:val="24"/>
          <w:lang w:val="en-US" w:eastAsia="zh-CN"/>
        </w:rPr>
      </w:pPr>
      <w:r>
        <w:rPr>
          <w:rFonts w:hint="eastAsia" w:hAnsi="宋体"/>
          <w:color w:val="auto"/>
          <w:sz w:val="24"/>
          <w:szCs w:val="24"/>
          <w:lang w:val="en-US" w:eastAsia="zh-CN"/>
        </w:rPr>
        <w:t>签发日期：</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年</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月</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日</w:t>
      </w:r>
    </w:p>
    <w:p w14:paraId="78B79C5A">
      <w:pPr>
        <w:pStyle w:val="17"/>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6"/>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3EF0A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02C4B839">
            <w:pPr>
              <w:pStyle w:val="17"/>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法定代表人身份证复印件（正面）</w:t>
            </w:r>
          </w:p>
        </w:tc>
        <w:tc>
          <w:tcPr>
            <w:tcW w:w="4531" w:type="dxa"/>
            <w:shd w:val="clear" w:color="auto" w:fill="D9D9D9"/>
            <w:vAlign w:val="center"/>
          </w:tcPr>
          <w:p w14:paraId="07D5D77F">
            <w:pPr>
              <w:pStyle w:val="17"/>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被授权人身份证复印件（正面）</w:t>
            </w:r>
          </w:p>
        </w:tc>
      </w:tr>
      <w:tr w14:paraId="2B86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46741FB9">
            <w:pPr>
              <w:pStyle w:val="17"/>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法定代表人身份证复印件（反面）</w:t>
            </w:r>
          </w:p>
        </w:tc>
        <w:tc>
          <w:tcPr>
            <w:tcW w:w="4531" w:type="dxa"/>
            <w:shd w:val="clear" w:color="auto" w:fill="D9D9D9"/>
            <w:vAlign w:val="center"/>
          </w:tcPr>
          <w:p w14:paraId="13DC2C6F">
            <w:pPr>
              <w:pStyle w:val="17"/>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被授权人身份证复印件（反面）</w:t>
            </w:r>
          </w:p>
        </w:tc>
      </w:tr>
    </w:tbl>
    <w:p w14:paraId="08762037">
      <w:pPr>
        <w:pStyle w:val="17"/>
        <w:spacing w:line="500" w:lineRule="exact"/>
        <w:ind w:firstLine="480" w:firstLineChars="200"/>
        <w:jc w:val="left"/>
        <w:rPr>
          <w:rFonts w:hAnsi="宋体"/>
          <w:color w:val="auto"/>
          <w:sz w:val="24"/>
          <w:szCs w:val="24"/>
        </w:rPr>
      </w:pPr>
      <w:r>
        <w:rPr>
          <w:rFonts w:hint="eastAsia" w:hAnsi="宋体"/>
          <w:color w:val="auto"/>
          <w:sz w:val="24"/>
          <w:szCs w:val="24"/>
        </w:rPr>
        <w:t>说明：</w:t>
      </w:r>
    </w:p>
    <w:p w14:paraId="47DAA718">
      <w:pPr>
        <w:pStyle w:val="17"/>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440356BF">
      <w:pPr>
        <w:pStyle w:val="17"/>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3D2D4D30">
      <w:pPr>
        <w:pStyle w:val="3"/>
        <w:jc w:val="center"/>
        <w:rPr>
          <w:rFonts w:hint="eastAsia" w:ascii="宋体" w:hAnsi="宋体" w:eastAsia="宋体" w:cs="宋体"/>
          <w:color w:val="auto"/>
        </w:rPr>
      </w:pPr>
      <w:bookmarkStart w:id="164" w:name="_Toc24284"/>
      <w:bookmarkStart w:id="165" w:name="_Toc536202328"/>
      <w:bookmarkStart w:id="166" w:name="_Toc536202397"/>
      <w:bookmarkStart w:id="167" w:name="_Toc536429337"/>
      <w:bookmarkStart w:id="168" w:name="_Toc19543357"/>
      <w:bookmarkStart w:id="169" w:name="_Toc7526"/>
      <w:bookmarkStart w:id="170" w:name="_Toc536429390"/>
      <w:r>
        <w:rPr>
          <w:rFonts w:hint="eastAsia" w:ascii="宋体" w:hAnsi="宋体" w:eastAsia="宋体" w:cs="宋体"/>
          <w:color w:val="auto"/>
        </w:rPr>
        <w:t>无重大违法记录声明</w:t>
      </w:r>
      <w:bookmarkEnd w:id="164"/>
    </w:p>
    <w:p w14:paraId="471A1BE7">
      <w:pPr>
        <w:snapToGrid w:val="0"/>
        <w:spacing w:line="480" w:lineRule="auto"/>
        <w:ind w:firstLine="480" w:firstLineChars="200"/>
        <w:jc w:val="left"/>
        <w:rPr>
          <w:rFonts w:hint="eastAsia" w:ascii="宋体" w:hAnsi="宋体" w:eastAsia="宋体" w:cs="宋体"/>
          <w:color w:val="auto"/>
          <w:kern w:val="0"/>
          <w:sz w:val="24"/>
          <w:szCs w:val="24"/>
        </w:rPr>
      </w:pPr>
    </w:p>
    <w:p w14:paraId="216C380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rPr>
        <w:t>我单位参与安康尚昊招标代理有限公司组织的</w:t>
      </w:r>
      <w:r>
        <w:rPr>
          <w:rFonts w:hint="eastAsia" w:ascii="宋体" w:hAnsi="宋体" w:eastAsia="宋体" w:cs="宋体"/>
          <w:color w:val="auto"/>
          <w:sz w:val="24"/>
          <w:szCs w:val="24"/>
          <w:u w:val="single"/>
        </w:rPr>
        <w:t xml:space="preserve">     （项目名称）（项目编号）    </w:t>
      </w:r>
      <w:r>
        <w:rPr>
          <w:rFonts w:hint="eastAsia" w:ascii="宋体" w:hAnsi="宋体" w:eastAsia="宋体" w:cs="宋体"/>
          <w:color w:val="auto"/>
          <w:sz w:val="24"/>
          <w:szCs w:val="24"/>
          <w:lang w:eastAsia="zh-CN"/>
        </w:rPr>
        <w:t>竞争性</w:t>
      </w:r>
      <w:r>
        <w:rPr>
          <w:rFonts w:hint="eastAsia" w:ascii="宋体" w:hAnsi="宋体" w:cs="宋体"/>
          <w:color w:val="auto"/>
          <w:sz w:val="24"/>
          <w:szCs w:val="24"/>
          <w:lang w:val="en-US" w:eastAsia="zh-CN"/>
        </w:rPr>
        <w:t>磋商采购活动</w:t>
      </w:r>
      <w:r>
        <w:rPr>
          <w:rFonts w:hint="eastAsia" w:ascii="宋体" w:hAnsi="宋体" w:eastAsia="宋体" w:cs="宋体"/>
          <w:color w:val="auto"/>
          <w:sz w:val="24"/>
          <w:szCs w:val="24"/>
        </w:rPr>
        <w:t>，我单位郑重声明：我方参加本项目招标工作前三年内无重大违法活动记录，符合《中华人民共和国政府采购法》规定的供应商资格条件，我方对此声明负全部法律责任。</w:t>
      </w:r>
    </w:p>
    <w:p w14:paraId="6445F516">
      <w:pPr>
        <w:spacing w:line="360" w:lineRule="auto"/>
        <w:rPr>
          <w:rFonts w:hint="eastAsia" w:ascii="宋体" w:hAnsi="宋体" w:eastAsia="宋体" w:cs="宋体"/>
          <w:color w:val="auto"/>
          <w:sz w:val="24"/>
          <w:szCs w:val="24"/>
        </w:rPr>
      </w:pPr>
    </w:p>
    <w:p w14:paraId="129527D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4337EB69">
      <w:pPr>
        <w:spacing w:line="360" w:lineRule="auto"/>
        <w:rPr>
          <w:rFonts w:hint="eastAsia" w:ascii="宋体" w:hAnsi="宋体" w:eastAsia="宋体" w:cs="宋体"/>
          <w:color w:val="auto"/>
          <w:sz w:val="24"/>
          <w:szCs w:val="24"/>
        </w:rPr>
      </w:pPr>
    </w:p>
    <w:p w14:paraId="6392E13C">
      <w:pPr>
        <w:spacing w:line="360" w:lineRule="auto"/>
        <w:rPr>
          <w:rFonts w:hint="eastAsia" w:ascii="宋体" w:hAnsi="宋体" w:eastAsia="宋体" w:cs="宋体"/>
          <w:color w:val="auto"/>
          <w:sz w:val="24"/>
          <w:szCs w:val="24"/>
        </w:rPr>
      </w:pPr>
    </w:p>
    <w:p w14:paraId="5EFEC173">
      <w:pPr>
        <w:spacing w:line="360" w:lineRule="auto"/>
        <w:rPr>
          <w:rFonts w:hint="eastAsia" w:ascii="宋体" w:hAnsi="宋体" w:eastAsia="宋体" w:cs="宋体"/>
          <w:color w:val="auto"/>
          <w:sz w:val="24"/>
          <w:szCs w:val="24"/>
          <w:lang w:eastAsia="zh-CN"/>
        </w:rPr>
      </w:pPr>
    </w:p>
    <w:p w14:paraId="08943A0E">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w:t>
      </w:r>
      <w:r>
        <w:rPr>
          <w:rFonts w:hint="eastAsia" w:ascii="宋体" w:hAnsi="宋体" w:cs="宋体"/>
          <w:color w:val="auto"/>
          <w:sz w:val="24"/>
          <w:szCs w:val="24"/>
          <w:u w:val="single"/>
          <w:lang w:val="en-US" w:eastAsia="zh-CN"/>
        </w:rPr>
        <w:t xml:space="preserve">                   </w:t>
      </w:r>
    </w:p>
    <w:p w14:paraId="0C4B8B61">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w:t>
      </w:r>
      <w:r>
        <w:rPr>
          <w:rFonts w:hint="eastAsia" w:ascii="宋体" w:hAnsi="宋体" w:cs="宋体"/>
          <w:color w:val="auto"/>
          <w:sz w:val="24"/>
          <w:szCs w:val="24"/>
          <w:u w:val="single"/>
          <w:lang w:val="en-US" w:eastAsia="zh-CN"/>
        </w:rPr>
        <w:t xml:space="preserve">                   </w:t>
      </w:r>
    </w:p>
    <w:p w14:paraId="695D1BB4">
      <w:pPr>
        <w:adjustRightInd w:val="0"/>
        <w:snapToGrid w:val="0"/>
        <w:spacing w:line="360" w:lineRule="auto"/>
        <w:rPr>
          <w:color w:val="auto"/>
        </w:rPr>
        <w:sectPr>
          <w:headerReference r:id="rId15" w:type="first"/>
          <w:footerReference r:id="rId17" w:type="first"/>
          <w:headerReference r:id="rId14" w:type="default"/>
          <w:footerReference r:id="rId16" w:type="default"/>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r>
        <w:rPr>
          <w:rFonts w:hint="eastAsia" w:ascii="宋体" w:hAnsi="宋体" w:eastAsia="宋体" w:cs="宋体"/>
          <w:color w:val="auto"/>
          <w:sz w:val="24"/>
          <w:szCs w:val="24"/>
        </w:rPr>
        <w:t>日    期：</w:t>
      </w:r>
      <w:r>
        <w:rPr>
          <w:rFonts w:hint="eastAsia" w:ascii="宋体" w:hAnsi="宋体" w:cs="宋体"/>
          <w:color w:val="auto"/>
          <w:sz w:val="24"/>
          <w:szCs w:val="24"/>
          <w:u w:val="single"/>
          <w:lang w:val="en-US" w:eastAsia="zh-CN"/>
        </w:rPr>
        <w:t xml:space="preserve">                   </w:t>
      </w:r>
    </w:p>
    <w:p w14:paraId="149FB120">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投标人非联合体投标声明</w:t>
      </w:r>
    </w:p>
    <w:p w14:paraId="479D4833">
      <w:pPr>
        <w:adjustRightInd w:val="0"/>
        <w:snapToGrid w:val="0"/>
        <w:spacing w:line="360" w:lineRule="auto"/>
        <w:rPr>
          <w:rFonts w:ascii="仿宋" w:hAnsi="仿宋" w:eastAsia="仿宋" w:cs="黑体"/>
          <w:bCs/>
          <w:color w:val="auto"/>
          <w:sz w:val="28"/>
          <w:szCs w:val="28"/>
        </w:rPr>
      </w:pPr>
    </w:p>
    <w:p w14:paraId="1AFAD58F">
      <w:pPr>
        <w:adjustRightInd w:val="0"/>
        <w:snapToGrid w:val="0"/>
        <w:spacing w:line="408" w:lineRule="auto"/>
        <w:rPr>
          <w:rFonts w:ascii="宋体" w:hAnsi="宋体" w:cs="宋体"/>
          <w:bCs/>
          <w:color w:val="auto"/>
          <w:sz w:val="24"/>
          <w:szCs w:val="24"/>
        </w:rPr>
      </w:pPr>
      <w:r>
        <w:rPr>
          <w:rFonts w:hint="eastAsia" w:ascii="宋体" w:hAnsi="宋体" w:cs="宋体"/>
          <w:color w:val="auto"/>
          <w:sz w:val="24"/>
          <w:szCs w:val="24"/>
        </w:rPr>
        <w:t>安康尚昊招标代理有限公司</w:t>
      </w:r>
      <w:r>
        <w:rPr>
          <w:rFonts w:hint="eastAsia" w:ascii="宋体" w:hAnsi="宋体" w:cs="宋体"/>
          <w:bCs/>
          <w:color w:val="auto"/>
          <w:sz w:val="24"/>
          <w:szCs w:val="24"/>
        </w:rPr>
        <w:t>：</w:t>
      </w:r>
    </w:p>
    <w:p w14:paraId="0DC64912">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我方愿响应贵方</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年</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月</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日发布的</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项目（项目编号：</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）招标内容，参与投标，提供采购人需求中规定的全部内容。本公司就参加投标工作，作出郑重声明：</w:t>
      </w:r>
    </w:p>
    <w:p w14:paraId="41DDC500">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1.本公司保证在本项目投标中不与其他单位围标、串标，不出让投标资格，不向采购人、采购代理机构和评标委员会成员行贿。</w:t>
      </w:r>
    </w:p>
    <w:p w14:paraId="64F2AACA">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2.本公司保证本项目并非联合体投标，本项目服务由本公司独立承担。</w:t>
      </w:r>
    </w:p>
    <w:p w14:paraId="0563EEA0">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1E35049E">
      <w:pPr>
        <w:adjustRightInd w:val="0"/>
        <w:snapToGrid w:val="0"/>
        <w:spacing w:line="408" w:lineRule="auto"/>
        <w:ind w:firstLine="480"/>
        <w:rPr>
          <w:rFonts w:ascii="宋体" w:hAnsi="宋体" w:cs="宋体"/>
          <w:bCs/>
          <w:color w:val="auto"/>
          <w:sz w:val="24"/>
          <w:szCs w:val="24"/>
        </w:rPr>
      </w:pPr>
      <w:r>
        <w:rPr>
          <w:rFonts w:hint="eastAsia" w:ascii="宋体" w:hAnsi="宋体" w:cs="宋体"/>
          <w:bCs/>
          <w:color w:val="auto"/>
          <w:sz w:val="24"/>
          <w:szCs w:val="24"/>
        </w:rPr>
        <w:t>特此声明。</w:t>
      </w:r>
    </w:p>
    <w:p w14:paraId="412BA115">
      <w:pPr>
        <w:pStyle w:val="31"/>
        <w:ind w:firstLine="480"/>
        <w:rPr>
          <w:color w:val="auto"/>
        </w:rPr>
      </w:pPr>
    </w:p>
    <w:p w14:paraId="5A2BEFE7">
      <w:pPr>
        <w:spacing w:line="360" w:lineRule="auto"/>
        <w:rPr>
          <w:rFonts w:ascii="宋体"/>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03BA3B2C">
      <w:pPr>
        <w:adjustRightInd w:val="0"/>
        <w:snapToGrid w:val="0"/>
        <w:spacing w:line="360" w:lineRule="auto"/>
        <w:rPr>
          <w:rFonts w:ascii="宋体"/>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ascii="宋体" w:hAnsi="宋体" w:cs="宋体"/>
          <w:color w:val="auto"/>
          <w:sz w:val="24"/>
          <w:szCs w:val="24"/>
        </w:rPr>
        <w:t>____________________</w:t>
      </w:r>
    </w:p>
    <w:p w14:paraId="3CA329FE">
      <w:pPr>
        <w:adjustRightInd w:val="0"/>
        <w:snapToGrid w:val="0"/>
        <w:spacing w:line="360" w:lineRule="auto"/>
        <w:rPr>
          <w:color w:val="auto"/>
        </w:rPr>
        <w:sectPr>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107A1C2D">
      <w:pPr>
        <w:spacing w:after="190" w:afterLines="50" w:line="480" w:lineRule="exact"/>
        <w:jc w:val="center"/>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中小企业声明函（工程、服务）</w:t>
      </w:r>
    </w:p>
    <w:p w14:paraId="5046BA1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1E1A69C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29B3C8AB">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3E768161">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17ED126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1B1BCF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798E01B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0243E632">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234243D9">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48324876">
      <w:pPr>
        <w:pStyle w:val="114"/>
        <w:rPr>
          <w:rFonts w:hint="eastAsia"/>
          <w:color w:val="auto"/>
          <w:lang w:val="en-US" w:eastAsia="zh-CN"/>
        </w:rPr>
      </w:pPr>
    </w:p>
    <w:p w14:paraId="05E7B436">
      <w:pPr>
        <w:autoSpaceDE w:val="0"/>
        <w:autoSpaceDN w:val="0"/>
        <w:adjustRightInd w:val="0"/>
        <w:spacing w:line="600" w:lineRule="auto"/>
        <w:rPr>
          <w:rFonts w:ascii="宋体" w:hAnsi="宋体" w:cs="宋体"/>
          <w:color w:val="auto"/>
          <w:sz w:val="24"/>
          <w:szCs w:val="24"/>
          <w:u w:val="single"/>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529CB349">
      <w:pPr>
        <w:keepNext/>
        <w:keepLines/>
        <w:spacing w:line="415" w:lineRule="auto"/>
        <w:jc w:val="center"/>
        <w:outlineLvl w:val="1"/>
        <w:rPr>
          <w:rFonts w:ascii="Calibri Light" w:hAnsi="Calibri Light" w:cs="Times New Roman"/>
          <w:b/>
          <w:bCs/>
          <w:color w:val="auto"/>
          <w:sz w:val="32"/>
          <w:szCs w:val="32"/>
        </w:rPr>
        <w:sectPr>
          <w:footerReference r:id="rId19" w:type="first"/>
          <w:footerReference r:id="rId18" w:type="default"/>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p>
    <w:p w14:paraId="0FB85AEA">
      <w:pPr>
        <w:pStyle w:val="3"/>
        <w:numPr>
          <w:ilvl w:val="0"/>
          <w:numId w:val="0"/>
        </w:numPr>
        <w:jc w:val="center"/>
        <w:rPr>
          <w:rFonts w:hint="eastAsia" w:ascii="Calibri Light" w:hAnsi="Calibri Light" w:cs="Times New Roman"/>
          <w:b/>
          <w:bCs/>
          <w:color w:val="auto"/>
          <w:sz w:val="32"/>
          <w:szCs w:val="32"/>
          <w:lang w:eastAsia="zh-CN"/>
        </w:rPr>
      </w:pPr>
      <w:bookmarkStart w:id="171" w:name="_Toc19543354"/>
      <w:r>
        <w:rPr>
          <w:rFonts w:hint="eastAsia" w:ascii="Calibri Light" w:hAnsi="Calibri Light" w:cs="Times New Roman"/>
          <w:b/>
          <w:bCs/>
          <w:color w:val="auto"/>
          <w:sz w:val="32"/>
          <w:szCs w:val="32"/>
          <w:lang w:val="en-US" w:eastAsia="zh-CN"/>
        </w:rPr>
        <w:t xml:space="preserve">第四章 </w:t>
      </w:r>
      <w:r>
        <w:rPr>
          <w:rFonts w:hint="eastAsia" w:ascii="Calibri Light" w:hAnsi="Calibri Light" w:cs="Times New Roman"/>
          <w:b/>
          <w:bCs/>
          <w:color w:val="auto"/>
          <w:sz w:val="32"/>
          <w:szCs w:val="32"/>
        </w:rPr>
        <w:t xml:space="preserve"> </w:t>
      </w:r>
      <w:bookmarkEnd w:id="171"/>
      <w:bookmarkStart w:id="172" w:name="OLE_LINK28"/>
      <w:r>
        <w:rPr>
          <w:rFonts w:hint="eastAsia" w:ascii="Calibri Light" w:hAnsi="Calibri Light" w:cs="Times New Roman"/>
          <w:b/>
          <w:bCs/>
          <w:color w:val="auto"/>
          <w:sz w:val="32"/>
          <w:szCs w:val="32"/>
          <w:lang w:val="en-US" w:eastAsia="zh-CN"/>
        </w:rPr>
        <w:t>技术</w:t>
      </w:r>
      <w:r>
        <w:rPr>
          <w:rFonts w:hint="eastAsia" w:ascii="Calibri Light" w:hAnsi="Calibri Light" w:cs="Times New Roman"/>
          <w:b/>
          <w:bCs/>
          <w:color w:val="auto"/>
          <w:sz w:val="32"/>
          <w:szCs w:val="32"/>
          <w:lang w:eastAsia="zh-CN"/>
        </w:rPr>
        <w:t>商务偏离表</w:t>
      </w:r>
      <w:bookmarkEnd w:id="172"/>
    </w:p>
    <w:p w14:paraId="39FCAE42">
      <w:pPr>
        <w:pStyle w:val="3"/>
        <w:spacing w:before="0" w:after="0"/>
        <w:ind w:firstLine="422" w:firstLineChars="150"/>
        <w:jc w:val="center"/>
        <w:rPr>
          <w:color w:val="auto"/>
          <w:sz w:val="28"/>
          <w:szCs w:val="28"/>
        </w:rPr>
      </w:pPr>
      <w:r>
        <w:rPr>
          <w:rFonts w:hint="eastAsia"/>
          <w:color w:val="auto"/>
          <w:sz w:val="28"/>
          <w:szCs w:val="28"/>
        </w:rPr>
        <w:t>技术偏离表</w:t>
      </w:r>
    </w:p>
    <w:tbl>
      <w:tblPr>
        <w:tblStyle w:val="36"/>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050"/>
        <w:gridCol w:w="3934"/>
        <w:gridCol w:w="1583"/>
        <w:gridCol w:w="1369"/>
      </w:tblGrid>
      <w:tr w14:paraId="1E6E1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57BFBDB7">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序号</w:t>
            </w:r>
          </w:p>
        </w:tc>
        <w:tc>
          <w:tcPr>
            <w:tcW w:w="2050" w:type="dxa"/>
            <w:vAlign w:val="center"/>
          </w:tcPr>
          <w:p w14:paraId="714D5DFC">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lang w:eastAsia="zh-CN"/>
              </w:rPr>
              <w:t>采购文件</w:t>
            </w:r>
            <w:r>
              <w:rPr>
                <w:rFonts w:hint="eastAsia" w:ascii="宋体" w:hAnsi="宋体" w:cs="宋体"/>
                <w:b/>
                <w:color w:val="auto"/>
                <w:szCs w:val="21"/>
              </w:rPr>
              <w:t>技术要求</w:t>
            </w:r>
          </w:p>
        </w:tc>
        <w:tc>
          <w:tcPr>
            <w:tcW w:w="3934" w:type="dxa"/>
            <w:vAlign w:val="center"/>
          </w:tcPr>
          <w:p w14:paraId="330686DA">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Cs w:val="21"/>
                <w:lang w:val="en-US" w:eastAsia="zh-CN"/>
              </w:rPr>
            </w:pPr>
            <w:r>
              <w:rPr>
                <w:rFonts w:hint="eastAsia" w:ascii="宋体" w:hAnsi="宋体" w:cs="宋体"/>
                <w:b/>
                <w:color w:val="auto"/>
                <w:szCs w:val="21"/>
              </w:rPr>
              <w:t>投标文件技术参数</w:t>
            </w:r>
            <w:r>
              <w:rPr>
                <w:rFonts w:hint="eastAsia" w:ascii="宋体" w:hAnsi="宋体" w:cs="宋体"/>
                <w:b/>
                <w:color w:val="auto"/>
                <w:szCs w:val="21"/>
                <w:lang w:val="en-US" w:eastAsia="zh-CN"/>
              </w:rPr>
              <w:t>应答</w:t>
            </w:r>
          </w:p>
        </w:tc>
        <w:tc>
          <w:tcPr>
            <w:tcW w:w="1583" w:type="dxa"/>
            <w:vAlign w:val="center"/>
          </w:tcPr>
          <w:p w14:paraId="119947BB">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cs="宋体"/>
                <w:b/>
                <w:color w:val="auto"/>
                <w:szCs w:val="21"/>
                <w:lang w:val="en-US" w:eastAsia="zh-CN"/>
              </w:rPr>
              <w:t>响应/偏离</w:t>
            </w:r>
          </w:p>
        </w:tc>
        <w:tc>
          <w:tcPr>
            <w:tcW w:w="1369" w:type="dxa"/>
            <w:vAlign w:val="center"/>
          </w:tcPr>
          <w:p w14:paraId="11D73082">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偏离简述</w:t>
            </w:r>
          </w:p>
        </w:tc>
      </w:tr>
      <w:tr w14:paraId="4CE3D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AE70D6C">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1</w:t>
            </w:r>
          </w:p>
        </w:tc>
        <w:tc>
          <w:tcPr>
            <w:tcW w:w="2050" w:type="dxa"/>
          </w:tcPr>
          <w:p w14:paraId="4A8DD82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934" w:type="dxa"/>
          </w:tcPr>
          <w:p w14:paraId="0C81078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023C7CD0">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4F196F08">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6F590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A9C2019">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2</w:t>
            </w:r>
          </w:p>
        </w:tc>
        <w:tc>
          <w:tcPr>
            <w:tcW w:w="2050" w:type="dxa"/>
          </w:tcPr>
          <w:p w14:paraId="3AA1C85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934" w:type="dxa"/>
          </w:tcPr>
          <w:p w14:paraId="42D5E275">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6F3D2EF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6AB4B7CB">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0AE54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3CEC954E">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3</w:t>
            </w:r>
          </w:p>
        </w:tc>
        <w:tc>
          <w:tcPr>
            <w:tcW w:w="2050" w:type="dxa"/>
          </w:tcPr>
          <w:p w14:paraId="3E1CDA84">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934" w:type="dxa"/>
          </w:tcPr>
          <w:p w14:paraId="2CCBDD9B">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0A9D29B8">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690A20E0">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4668E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FF134C4">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4</w:t>
            </w:r>
          </w:p>
        </w:tc>
        <w:tc>
          <w:tcPr>
            <w:tcW w:w="2050" w:type="dxa"/>
          </w:tcPr>
          <w:p w14:paraId="5BF2F9C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934" w:type="dxa"/>
          </w:tcPr>
          <w:p w14:paraId="506071F8">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2A6ACFB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1F8FE372">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018E6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6E6705D">
            <w:pPr>
              <w:keepNext w:val="0"/>
              <w:keepLines w:val="0"/>
              <w:suppressLineNumbers w:val="0"/>
              <w:spacing w:before="0" w:beforeAutospacing="0" w:after="0" w:afterAutospacing="0" w:line="360" w:lineRule="auto"/>
              <w:ind w:left="0" w:right="0"/>
              <w:jc w:val="center"/>
              <w:rPr>
                <w:rFonts w:hint="default" w:ascii="宋体" w:hAnsi="宋体" w:cs="宋体"/>
                <w:b/>
                <w:color w:val="auto"/>
                <w:szCs w:val="21"/>
              </w:rPr>
            </w:pPr>
            <w:r>
              <w:rPr>
                <w:rFonts w:hint="eastAsia" w:ascii="宋体" w:hAnsi="宋体" w:cs="宋体"/>
                <w:b/>
                <w:color w:val="auto"/>
                <w:szCs w:val="21"/>
              </w:rPr>
              <w:t>……</w:t>
            </w:r>
          </w:p>
        </w:tc>
        <w:tc>
          <w:tcPr>
            <w:tcW w:w="2050" w:type="dxa"/>
          </w:tcPr>
          <w:p w14:paraId="549F93C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934" w:type="dxa"/>
          </w:tcPr>
          <w:p w14:paraId="36A62FB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391106A0">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6D85E113">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bl>
    <w:p w14:paraId="1385ABEB">
      <w:pPr>
        <w:pStyle w:val="3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20" w:lineRule="exact"/>
        <w:ind w:left="0" w:right="0" w:firstLine="480" w:firstLineChars="200"/>
        <w:jc w:val="left"/>
        <w:textAlignment w:val="auto"/>
        <w:rPr>
          <w:rFonts w:hint="eastAsia" w:ascii="宋体" w:hAnsi="宋体" w:cs="仿宋"/>
          <w:color w:val="auto"/>
          <w:sz w:val="24"/>
          <w:szCs w:val="24"/>
          <w:lang w:val="en-US"/>
        </w:rPr>
      </w:pPr>
      <w:r>
        <w:rPr>
          <w:rFonts w:hint="eastAsia" w:ascii="宋体" w:hAnsi="宋体" w:cs="仿宋"/>
          <w:color w:val="auto"/>
          <w:sz w:val="24"/>
          <w:szCs w:val="24"/>
        </w:rPr>
        <w:t>注：</w:t>
      </w:r>
      <w:r>
        <w:rPr>
          <w:rFonts w:hint="eastAsia" w:ascii="宋体" w:hAnsi="宋体" w:cs="仿宋"/>
          <w:color w:val="auto"/>
          <w:sz w:val="24"/>
          <w:szCs w:val="24"/>
          <w:lang w:val="en-US" w:eastAsia="zh-CN"/>
        </w:rPr>
        <w:t>1.如有漏报、瞒报竞争性</w:t>
      </w:r>
      <w:r>
        <w:rPr>
          <w:rFonts w:hint="eastAsia" w:cs="仿宋"/>
          <w:color w:val="auto"/>
          <w:sz w:val="24"/>
          <w:szCs w:val="24"/>
          <w:lang w:val="en-US" w:eastAsia="zh-CN"/>
        </w:rPr>
        <w:t>磋商</w:t>
      </w:r>
      <w:r>
        <w:rPr>
          <w:rFonts w:hint="eastAsia" w:ascii="宋体" w:hAnsi="宋体" w:cs="仿宋"/>
          <w:color w:val="auto"/>
          <w:sz w:val="24"/>
          <w:szCs w:val="24"/>
          <w:lang w:val="en-US" w:eastAsia="zh-CN"/>
        </w:rPr>
        <w:t>文件所要求的性能指标等，将视为没有实质性响应。竞争性</w:t>
      </w:r>
      <w:r>
        <w:rPr>
          <w:rFonts w:hint="eastAsia" w:cs="仿宋"/>
          <w:color w:val="auto"/>
          <w:sz w:val="24"/>
          <w:szCs w:val="24"/>
          <w:lang w:val="en-US" w:eastAsia="zh-CN"/>
        </w:rPr>
        <w:t>磋商</w:t>
      </w:r>
      <w:r>
        <w:rPr>
          <w:rFonts w:hint="eastAsia" w:ascii="宋体" w:hAnsi="宋体" w:cs="仿宋"/>
          <w:color w:val="auto"/>
          <w:sz w:val="24"/>
          <w:szCs w:val="24"/>
          <w:lang w:val="en-US" w:eastAsia="zh-CN"/>
        </w:rPr>
        <w:t>文件第五部分采购内容及技术要求中技术参数必须逐条响应，技术偏离表各项内容不得</w:t>
      </w:r>
      <w:r>
        <w:rPr>
          <w:rFonts w:hint="eastAsia" w:cs="仿宋"/>
          <w:color w:val="auto"/>
          <w:sz w:val="24"/>
          <w:szCs w:val="24"/>
          <w:lang w:val="en-US" w:eastAsia="zh-CN"/>
        </w:rPr>
        <w:t>完全</w:t>
      </w:r>
      <w:r>
        <w:rPr>
          <w:rFonts w:hint="eastAsia" w:ascii="宋体" w:hAnsi="宋体" w:cs="仿宋"/>
          <w:color w:val="auto"/>
          <w:sz w:val="24"/>
          <w:szCs w:val="24"/>
          <w:lang w:val="en-US" w:eastAsia="zh-CN"/>
        </w:rPr>
        <w:t>复制粘贴竞争性</w:t>
      </w:r>
      <w:r>
        <w:rPr>
          <w:rFonts w:hint="eastAsia" w:cs="仿宋"/>
          <w:color w:val="auto"/>
          <w:sz w:val="24"/>
          <w:szCs w:val="24"/>
          <w:lang w:val="en-US" w:eastAsia="zh-CN"/>
        </w:rPr>
        <w:t>磋商</w:t>
      </w:r>
      <w:r>
        <w:rPr>
          <w:rFonts w:hint="eastAsia" w:ascii="宋体" w:hAnsi="宋体" w:cs="仿宋"/>
          <w:color w:val="auto"/>
          <w:sz w:val="24"/>
          <w:szCs w:val="24"/>
          <w:lang w:val="en-US" w:eastAsia="zh-CN"/>
        </w:rPr>
        <w:t>文件技术参数要求，否则视为无效投标；</w:t>
      </w:r>
    </w:p>
    <w:p w14:paraId="7856DB14">
      <w:pPr>
        <w:pStyle w:val="3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20" w:lineRule="exact"/>
        <w:ind w:left="0" w:right="0" w:firstLine="480" w:firstLineChars="200"/>
        <w:jc w:val="left"/>
        <w:textAlignment w:val="auto"/>
        <w:rPr>
          <w:rFonts w:hint="eastAsia" w:ascii="宋体" w:hAnsi="宋体" w:eastAsia="宋体" w:cs="Times New Roman"/>
          <w:b/>
          <w:bCs/>
          <w:color w:val="auto"/>
          <w:kern w:val="2"/>
          <w:sz w:val="24"/>
          <w:szCs w:val="24"/>
          <w:lang w:val="en-US" w:eastAsia="zh-CN" w:bidi="ar-SA"/>
        </w:rPr>
      </w:pPr>
      <w:r>
        <w:rPr>
          <w:rFonts w:hint="eastAsia" w:ascii="宋体" w:hAnsi="宋体" w:cs="仿宋"/>
          <w:color w:val="auto"/>
          <w:sz w:val="24"/>
          <w:szCs w:val="24"/>
          <w:lang w:val="en-US" w:eastAsia="zh-CN"/>
        </w:rPr>
        <w:t>2.“投标文件响应条款”必须与投标文件中提供的证明材料的响应情况相一致。若在评审环节发现该项与响应文件证明材料的响应情况不一致，供应商自行承担因证明材料不全或不一致被视为技术参数偏离的风险。</w:t>
      </w:r>
    </w:p>
    <w:p w14:paraId="7F1EAB5C">
      <w:pPr>
        <w:keepNext w:val="0"/>
        <w:keepLines w:val="0"/>
        <w:pageBreakBefore w:val="0"/>
        <w:widowControl/>
        <w:suppressLineNumbers w:val="0"/>
        <w:kinsoku/>
        <w:wordWrap/>
        <w:overflowPunct/>
        <w:topLinePunct w:val="0"/>
        <w:autoSpaceDE/>
        <w:autoSpaceDN/>
        <w:bidi w:val="0"/>
        <w:snapToGrid/>
        <w:spacing w:line="520" w:lineRule="exact"/>
        <w:ind w:firstLine="480" w:firstLineChars="200"/>
        <w:jc w:val="left"/>
        <w:textAlignment w:val="auto"/>
        <w:rPr>
          <w:rFonts w:hint="eastAsia" w:ascii="宋体" w:hAnsi="宋体" w:eastAsia="宋体" w:cs="Times New Roman"/>
          <w:color w:val="auto"/>
          <w:kern w:val="2"/>
          <w:sz w:val="24"/>
          <w:szCs w:val="24"/>
          <w:lang w:val="zh-CN" w:eastAsia="zh-CN" w:bidi="ar-SA"/>
        </w:rPr>
      </w:pPr>
    </w:p>
    <w:p w14:paraId="001D95F4">
      <w:pPr>
        <w:pStyle w:val="26"/>
        <w:rPr>
          <w:color w:val="auto"/>
        </w:rPr>
      </w:pPr>
    </w:p>
    <w:p w14:paraId="70824FEC">
      <w:pPr>
        <w:jc w:val="center"/>
        <w:rPr>
          <w:rFonts w:ascii="宋体" w:hAnsi="宋体"/>
          <w:b/>
          <w:color w:val="auto"/>
          <w:sz w:val="24"/>
          <w:szCs w:val="24"/>
        </w:rPr>
      </w:pPr>
    </w:p>
    <w:p w14:paraId="6A728989">
      <w:pPr>
        <w:jc w:val="center"/>
        <w:rPr>
          <w:rFonts w:ascii="宋体" w:hAnsi="宋体"/>
          <w:b/>
          <w:color w:val="auto"/>
          <w:sz w:val="24"/>
          <w:szCs w:val="24"/>
        </w:rPr>
      </w:pPr>
    </w:p>
    <w:p w14:paraId="132D85FD">
      <w:pPr>
        <w:spacing w:line="360" w:lineRule="auto"/>
        <w:rPr>
          <w:rFonts w:ascii="宋体"/>
          <w:color w:val="auto"/>
          <w:sz w:val="24"/>
          <w:szCs w:val="24"/>
          <w:u w:val="single"/>
        </w:rPr>
      </w:pPr>
      <w:r>
        <w:rPr>
          <w:rFonts w:hint="eastAsia" w:ascii="宋体" w:hAnsi="宋体" w:cs="仿宋"/>
          <w:color w:val="auto"/>
          <w:sz w:val="24"/>
          <w:szCs w:val="24"/>
        </w:rPr>
        <w:t xml:space="preserve"> </w:t>
      </w:r>
      <w:r>
        <w:rPr>
          <w:rFonts w:hint="eastAsia" w:ascii="宋体" w:hAnsi="宋体" w:cs="仿宋"/>
          <w:color w:val="auto"/>
          <w:sz w:val="24"/>
          <w:szCs w:val="24"/>
          <w:lang w:val="en-US" w:eastAsia="zh-CN"/>
        </w:rPr>
        <w:t xml:space="preserve"> </w:t>
      </w: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7F58DC75">
      <w:pPr>
        <w:adjustRightInd w:val="0"/>
        <w:snapToGrid w:val="0"/>
        <w:spacing w:line="360" w:lineRule="auto"/>
        <w:ind w:firstLine="240" w:firstLineChars="100"/>
        <w:rPr>
          <w:rFonts w:ascii="宋体"/>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ascii="宋体" w:hAnsi="宋体" w:cs="宋体"/>
          <w:color w:val="auto"/>
          <w:sz w:val="24"/>
          <w:szCs w:val="24"/>
        </w:rPr>
        <w:t>____________________</w:t>
      </w:r>
    </w:p>
    <w:p w14:paraId="13B4BC5E">
      <w:pPr>
        <w:numPr>
          <w:ilvl w:val="0"/>
          <w:numId w:val="0"/>
        </w:numPr>
        <w:ind w:firstLine="240" w:firstLineChars="100"/>
        <w:rPr>
          <w:rFonts w:hint="eastAsia"/>
          <w:color w:val="auto"/>
          <w:lang w:eastAsia="zh-CN"/>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722BD4DF">
      <w:pPr>
        <w:rPr>
          <w:rFonts w:hint="eastAsia"/>
          <w:color w:val="auto"/>
          <w:lang w:eastAsia="zh-CN"/>
        </w:rPr>
      </w:pPr>
    </w:p>
    <w:p w14:paraId="76DC15C6">
      <w:pPr>
        <w:numPr>
          <w:ilvl w:val="0"/>
          <w:numId w:val="0"/>
        </w:numPr>
        <w:jc w:val="center"/>
        <w:rPr>
          <w:rFonts w:hint="eastAsia" w:ascii="Arial" w:hAnsi="Arial" w:eastAsia="宋体" w:cs="Arial"/>
          <w:b/>
          <w:bCs/>
          <w:color w:val="auto"/>
          <w:kern w:val="2"/>
          <w:sz w:val="24"/>
          <w:szCs w:val="24"/>
          <w:lang w:val="en-US" w:eastAsia="zh-CN" w:bidi="ar-SA"/>
        </w:rPr>
      </w:pPr>
    </w:p>
    <w:p w14:paraId="7E56EC98">
      <w:pPr>
        <w:numPr>
          <w:ilvl w:val="0"/>
          <w:numId w:val="0"/>
        </w:numPr>
        <w:jc w:val="center"/>
        <w:rPr>
          <w:rFonts w:hint="eastAsia" w:ascii="Arial" w:hAnsi="Arial" w:eastAsia="宋体" w:cs="Arial"/>
          <w:b/>
          <w:bCs/>
          <w:color w:val="auto"/>
          <w:kern w:val="2"/>
          <w:sz w:val="24"/>
          <w:szCs w:val="24"/>
          <w:lang w:val="en-US" w:eastAsia="zh-CN" w:bidi="ar-SA"/>
        </w:rPr>
      </w:pPr>
    </w:p>
    <w:p w14:paraId="2DEE89FB">
      <w:pPr>
        <w:numPr>
          <w:ilvl w:val="0"/>
          <w:numId w:val="0"/>
        </w:numPr>
        <w:jc w:val="center"/>
        <w:rPr>
          <w:rFonts w:hint="eastAsia" w:ascii="Arial" w:hAnsi="Arial" w:eastAsia="宋体" w:cs="Arial"/>
          <w:b/>
          <w:bCs/>
          <w:color w:val="auto"/>
          <w:kern w:val="2"/>
          <w:sz w:val="24"/>
          <w:szCs w:val="24"/>
          <w:lang w:val="en-US" w:eastAsia="zh-CN" w:bidi="ar-SA"/>
        </w:rPr>
      </w:pPr>
    </w:p>
    <w:p w14:paraId="5575D653">
      <w:pPr>
        <w:numPr>
          <w:ilvl w:val="0"/>
          <w:numId w:val="0"/>
        </w:numPr>
        <w:jc w:val="center"/>
        <w:rPr>
          <w:rFonts w:hint="eastAsia" w:ascii="Arial" w:hAnsi="Arial" w:eastAsia="宋体" w:cs="Arial"/>
          <w:b/>
          <w:bCs/>
          <w:color w:val="auto"/>
          <w:kern w:val="2"/>
          <w:sz w:val="24"/>
          <w:szCs w:val="24"/>
          <w:lang w:val="en-US" w:eastAsia="zh-CN" w:bidi="ar-SA"/>
        </w:rPr>
      </w:pPr>
    </w:p>
    <w:p w14:paraId="56DC4788">
      <w:pPr>
        <w:numPr>
          <w:ilvl w:val="0"/>
          <w:numId w:val="0"/>
        </w:numPr>
        <w:jc w:val="center"/>
        <w:rPr>
          <w:rFonts w:hint="eastAsia" w:ascii="Arial" w:hAnsi="Arial" w:eastAsia="宋体" w:cs="Arial"/>
          <w:b/>
          <w:bCs/>
          <w:color w:val="auto"/>
          <w:kern w:val="2"/>
          <w:sz w:val="24"/>
          <w:szCs w:val="24"/>
          <w:lang w:val="en-US" w:eastAsia="zh-CN" w:bidi="ar-SA"/>
        </w:rPr>
      </w:pPr>
    </w:p>
    <w:p w14:paraId="02C80047">
      <w:pPr>
        <w:numPr>
          <w:ilvl w:val="0"/>
          <w:numId w:val="0"/>
        </w:numPr>
        <w:jc w:val="center"/>
        <w:rPr>
          <w:rFonts w:hint="eastAsia" w:ascii="Arial" w:hAnsi="Arial" w:eastAsia="宋体" w:cs="Arial"/>
          <w:b/>
          <w:bCs/>
          <w:color w:val="auto"/>
          <w:kern w:val="2"/>
          <w:sz w:val="24"/>
          <w:szCs w:val="24"/>
          <w:lang w:val="en-US" w:eastAsia="zh-CN" w:bidi="ar-SA"/>
        </w:rPr>
      </w:pPr>
    </w:p>
    <w:p w14:paraId="12F346CB">
      <w:pPr>
        <w:numPr>
          <w:ilvl w:val="0"/>
          <w:numId w:val="0"/>
        </w:numPr>
        <w:jc w:val="center"/>
        <w:rPr>
          <w:rFonts w:hint="eastAsia" w:ascii="Arial" w:hAnsi="Arial" w:cs="Arial"/>
          <w:b/>
          <w:bCs/>
          <w:color w:val="auto"/>
          <w:kern w:val="2"/>
          <w:sz w:val="24"/>
          <w:szCs w:val="24"/>
          <w:lang w:val="en-US" w:eastAsia="zh-CN" w:bidi="ar-SA"/>
        </w:rPr>
      </w:pPr>
    </w:p>
    <w:p w14:paraId="4BF56B7C">
      <w:pPr>
        <w:numPr>
          <w:ilvl w:val="0"/>
          <w:numId w:val="0"/>
        </w:numPr>
        <w:jc w:val="center"/>
        <w:rPr>
          <w:rFonts w:hint="eastAsia" w:ascii="Arial" w:hAnsi="Arial" w:eastAsia="宋体" w:cs="Arial"/>
          <w:b/>
          <w:bCs/>
          <w:color w:val="auto"/>
          <w:kern w:val="2"/>
          <w:sz w:val="28"/>
          <w:szCs w:val="28"/>
          <w:lang w:val="en-US" w:eastAsia="zh-CN" w:bidi="ar-SA"/>
        </w:rPr>
      </w:pPr>
      <w:r>
        <w:rPr>
          <w:rFonts w:hint="eastAsia" w:ascii="Arial" w:hAnsi="Arial" w:eastAsia="宋体" w:cs="Arial"/>
          <w:b/>
          <w:bCs/>
          <w:color w:val="auto"/>
          <w:kern w:val="2"/>
          <w:sz w:val="28"/>
          <w:szCs w:val="28"/>
          <w:lang w:val="en-US" w:eastAsia="zh-CN" w:bidi="ar-SA"/>
        </w:rPr>
        <w:t>商务偏离表</w:t>
      </w:r>
    </w:p>
    <w:p w14:paraId="41F72526">
      <w:pPr>
        <w:numPr>
          <w:ilvl w:val="0"/>
          <w:numId w:val="0"/>
        </w:numPr>
        <w:jc w:val="center"/>
        <w:rPr>
          <w:rFonts w:hint="default" w:ascii="Arial" w:hAnsi="Arial" w:cs="Arial"/>
          <w:b/>
          <w:bCs/>
          <w:color w:val="auto"/>
          <w:kern w:val="2"/>
          <w:sz w:val="24"/>
          <w:szCs w:val="24"/>
          <w:lang w:val="en-US" w:eastAsia="zh-CN" w:bidi="ar-SA"/>
        </w:rPr>
      </w:pPr>
    </w:p>
    <w:tbl>
      <w:tblPr>
        <w:tblStyle w:val="36"/>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4B424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375AD8C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lang w:val="en-US" w:eastAsia="zh-CN"/>
              </w:rPr>
            </w:pPr>
            <w:r>
              <w:rPr>
                <w:rFonts w:hint="default"/>
                <w:color w:val="auto"/>
              </w:rPr>
              <w:br w:type="page"/>
            </w:r>
            <w:r>
              <w:rPr>
                <w:rFonts w:hint="eastAsia" w:ascii="宋体" w:hAnsi="宋体" w:eastAsia="宋体" w:cs="宋体"/>
                <w:b/>
                <w:color w:val="auto"/>
                <w:szCs w:val="21"/>
                <w:lang w:val="en-US" w:eastAsia="zh-CN"/>
              </w:rPr>
              <w:t>序号</w:t>
            </w:r>
          </w:p>
        </w:tc>
        <w:tc>
          <w:tcPr>
            <w:tcW w:w="2835" w:type="dxa"/>
            <w:vAlign w:val="center"/>
          </w:tcPr>
          <w:p w14:paraId="3F8368C1">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Cs w:val="21"/>
                <w:lang w:eastAsia="zh-CN"/>
              </w:rPr>
              <w:t>磋商文件</w:t>
            </w:r>
            <w:r>
              <w:rPr>
                <w:rFonts w:hint="eastAsia" w:ascii="宋体" w:hAnsi="宋体" w:eastAsia="宋体" w:cs="宋体"/>
                <w:b/>
                <w:color w:val="auto"/>
                <w:szCs w:val="21"/>
              </w:rPr>
              <w:t>商务要求</w:t>
            </w:r>
          </w:p>
        </w:tc>
        <w:tc>
          <w:tcPr>
            <w:tcW w:w="2552" w:type="dxa"/>
            <w:vAlign w:val="center"/>
          </w:tcPr>
          <w:p w14:paraId="43E23661">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Cs w:val="21"/>
                <w:lang w:eastAsia="zh-CN"/>
              </w:rPr>
              <w:t>响应文件</w:t>
            </w:r>
            <w:r>
              <w:rPr>
                <w:rFonts w:hint="eastAsia" w:ascii="宋体" w:hAnsi="宋体" w:eastAsia="宋体" w:cs="宋体"/>
                <w:b/>
                <w:color w:val="auto"/>
                <w:szCs w:val="21"/>
              </w:rPr>
              <w:t>商务应答</w:t>
            </w:r>
          </w:p>
        </w:tc>
        <w:tc>
          <w:tcPr>
            <w:tcW w:w="1516" w:type="dxa"/>
            <w:vAlign w:val="center"/>
          </w:tcPr>
          <w:p w14:paraId="284866A9">
            <w:pPr>
              <w:keepNext w:val="0"/>
              <w:keepLines w:val="0"/>
              <w:suppressLineNumbers w:val="0"/>
              <w:wordWrap w:val="0"/>
              <w:spacing w:before="0" w:beforeAutospacing="0" w:after="0" w:afterAutospacing="0"/>
              <w:ind w:left="0" w:right="0"/>
              <w:jc w:val="center"/>
              <w:rPr>
                <w:rFonts w:hint="default" w:ascii="宋体" w:hAnsi="宋体" w:eastAsia="宋体" w:cs="宋体"/>
                <w:color w:val="auto"/>
                <w:sz w:val="24"/>
                <w:szCs w:val="24"/>
                <w:lang w:val="en-US" w:eastAsia="zh-CN"/>
              </w:rPr>
            </w:pPr>
            <w:r>
              <w:rPr>
                <w:rFonts w:hint="eastAsia" w:ascii="宋体" w:hAnsi="宋体" w:eastAsia="宋体" w:cs="宋体"/>
                <w:b/>
                <w:color w:val="auto"/>
                <w:szCs w:val="21"/>
                <w:lang w:val="en-US" w:eastAsia="zh-CN"/>
              </w:rPr>
              <w:t>响应/偏离</w:t>
            </w:r>
          </w:p>
        </w:tc>
        <w:tc>
          <w:tcPr>
            <w:tcW w:w="1516" w:type="dxa"/>
            <w:vAlign w:val="center"/>
          </w:tcPr>
          <w:p w14:paraId="2A97E35F">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Cs w:val="21"/>
              </w:rPr>
            </w:pPr>
            <w:r>
              <w:rPr>
                <w:rFonts w:hint="eastAsia" w:ascii="宋体" w:hAnsi="宋体" w:eastAsia="宋体" w:cs="宋体"/>
                <w:b/>
                <w:color w:val="auto"/>
                <w:szCs w:val="21"/>
              </w:rPr>
              <w:t>偏离简述</w:t>
            </w:r>
          </w:p>
        </w:tc>
      </w:tr>
      <w:tr w14:paraId="3541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A1C714A">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1</w:t>
            </w:r>
          </w:p>
        </w:tc>
        <w:tc>
          <w:tcPr>
            <w:tcW w:w="2835" w:type="dxa"/>
            <w:vAlign w:val="center"/>
          </w:tcPr>
          <w:p w14:paraId="65189C4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F0E0D4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2EF09333">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2FC39D6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4111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A6B9299">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2</w:t>
            </w:r>
          </w:p>
        </w:tc>
        <w:tc>
          <w:tcPr>
            <w:tcW w:w="2835" w:type="dxa"/>
            <w:vAlign w:val="center"/>
          </w:tcPr>
          <w:p w14:paraId="63649DC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6A18DF7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917B87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5D00C2B2">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675F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EE9F769">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3</w:t>
            </w:r>
          </w:p>
        </w:tc>
        <w:tc>
          <w:tcPr>
            <w:tcW w:w="2835" w:type="dxa"/>
            <w:vAlign w:val="center"/>
          </w:tcPr>
          <w:p w14:paraId="31F281B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4CC7D6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A2AC91A">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66B81FDE">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4BB0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CFFA42C">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Cs w:val="21"/>
                <w:lang w:val="en-US" w:eastAsia="zh-CN"/>
              </w:rPr>
            </w:pPr>
            <w:r>
              <w:rPr>
                <w:rFonts w:hint="eastAsia" w:ascii="宋体" w:hAnsi="宋体" w:eastAsia="宋体" w:cs="宋体"/>
                <w:b/>
                <w:color w:val="auto"/>
                <w:szCs w:val="21"/>
                <w:lang w:val="en-US" w:eastAsia="zh-CN"/>
              </w:rPr>
              <w:t>...</w:t>
            </w:r>
          </w:p>
        </w:tc>
        <w:tc>
          <w:tcPr>
            <w:tcW w:w="2835" w:type="dxa"/>
            <w:vAlign w:val="center"/>
          </w:tcPr>
          <w:p w14:paraId="4BA485D2">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A09BB9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5FB3BE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57DE501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63E044A6">
      <w:pPr>
        <w:spacing w:line="360" w:lineRule="auto"/>
        <w:ind w:firstLine="480" w:firstLineChars="200"/>
        <w:rPr>
          <w:b w:val="0"/>
          <w:bCs w:val="0"/>
          <w:color w:val="auto"/>
          <w:sz w:val="24"/>
          <w:szCs w:val="24"/>
        </w:rPr>
      </w:pPr>
      <w:r>
        <w:rPr>
          <w:rFonts w:hint="eastAsia" w:ascii="宋体" w:hAnsi="宋体"/>
          <w:b w:val="0"/>
          <w:bCs w:val="0"/>
          <w:color w:val="auto"/>
          <w:sz w:val="24"/>
          <w:szCs w:val="24"/>
        </w:rPr>
        <w:t>注：对</w:t>
      </w:r>
      <w:r>
        <w:rPr>
          <w:rFonts w:hint="eastAsia" w:ascii="宋体" w:hAnsi="宋体"/>
          <w:b w:val="0"/>
          <w:bCs w:val="0"/>
          <w:color w:val="auto"/>
          <w:sz w:val="24"/>
          <w:szCs w:val="24"/>
          <w:lang w:eastAsia="zh-CN"/>
        </w:rPr>
        <w:t>磋商文件</w:t>
      </w:r>
      <w:r>
        <w:rPr>
          <w:rFonts w:hint="eastAsia" w:ascii="宋体" w:hAnsi="宋体"/>
          <w:b w:val="0"/>
          <w:bCs w:val="0"/>
          <w:color w:val="auto"/>
          <w:sz w:val="24"/>
          <w:szCs w:val="24"/>
        </w:rPr>
        <w:t>中要求的商务条款逐条响应并详细说明。</w:t>
      </w:r>
    </w:p>
    <w:p w14:paraId="5C42B219">
      <w:pPr>
        <w:rPr>
          <w:color w:val="auto"/>
          <w:sz w:val="24"/>
          <w:szCs w:val="24"/>
        </w:rPr>
      </w:pPr>
    </w:p>
    <w:p w14:paraId="74D85CD8">
      <w:pPr>
        <w:spacing w:line="360" w:lineRule="auto"/>
        <w:ind w:firstLine="420" w:firstLineChars="175"/>
        <w:rPr>
          <w:rFonts w:ascii="宋体" w:hAnsi="宋体"/>
          <w:color w:val="auto"/>
          <w:sz w:val="24"/>
          <w:szCs w:val="24"/>
        </w:rPr>
      </w:pPr>
      <w:r>
        <w:rPr>
          <w:rFonts w:ascii="宋体" w:hAnsi="宋体"/>
          <w:color w:val="auto"/>
          <w:sz w:val="24"/>
          <w:szCs w:val="24"/>
        </w:rPr>
        <w:t xml:space="preserve">    </w:t>
      </w:r>
    </w:p>
    <w:p w14:paraId="7C9117F4">
      <w:pPr>
        <w:spacing w:line="360" w:lineRule="auto"/>
        <w:ind w:firstLine="420" w:firstLineChars="175"/>
        <w:rPr>
          <w:rFonts w:hint="eastAsia" w:ascii="宋体" w:hAnsi="宋体" w:cs="Times New Roman"/>
          <w:b/>
          <w:bCs/>
          <w:color w:val="auto"/>
          <w:sz w:val="24"/>
          <w:szCs w:val="24"/>
        </w:rPr>
      </w:pPr>
      <w:r>
        <w:rPr>
          <w:rFonts w:hint="eastAsia" w:ascii="宋体" w:hAnsi="宋体"/>
          <w:color w:val="auto"/>
          <w:sz w:val="24"/>
          <w:szCs w:val="24"/>
        </w:rPr>
        <w:t xml:space="preserve">   </w:t>
      </w:r>
    </w:p>
    <w:p w14:paraId="0AB7D895">
      <w:pPr>
        <w:pStyle w:val="22"/>
        <w:rPr>
          <w:color w:val="auto"/>
        </w:rPr>
      </w:pPr>
    </w:p>
    <w:p w14:paraId="2BA58935">
      <w:pPr>
        <w:pStyle w:val="22"/>
        <w:rPr>
          <w:color w:val="auto"/>
        </w:rPr>
      </w:pPr>
    </w:p>
    <w:p w14:paraId="1C4722CB">
      <w:pPr>
        <w:pStyle w:val="22"/>
        <w:rPr>
          <w:color w:val="auto"/>
        </w:rPr>
      </w:pPr>
    </w:p>
    <w:p w14:paraId="1AB5B24F">
      <w:pPr>
        <w:spacing w:line="360" w:lineRule="auto"/>
        <w:rPr>
          <w:rFonts w:ascii="宋体"/>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50021096">
      <w:pPr>
        <w:adjustRightInd w:val="0"/>
        <w:snapToGrid w:val="0"/>
        <w:spacing w:line="360" w:lineRule="auto"/>
        <w:rPr>
          <w:rFonts w:ascii="宋体"/>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ascii="宋体" w:hAnsi="宋体" w:cs="宋体"/>
          <w:color w:val="auto"/>
          <w:sz w:val="24"/>
          <w:szCs w:val="24"/>
        </w:rPr>
        <w:t>____________________</w:t>
      </w:r>
    </w:p>
    <w:p w14:paraId="394EFABB">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1325C13C">
      <w:pPr>
        <w:widowControl/>
        <w:jc w:val="left"/>
        <w:rPr>
          <w:rFonts w:ascii="宋体" w:hAnsi="宋体" w:cs="宋体"/>
          <w:b/>
          <w:bCs/>
          <w:color w:val="auto"/>
          <w:sz w:val="28"/>
          <w:szCs w:val="28"/>
        </w:rPr>
      </w:pPr>
    </w:p>
    <w:bookmarkEnd w:id="162"/>
    <w:bookmarkEnd w:id="165"/>
    <w:bookmarkEnd w:id="166"/>
    <w:bookmarkEnd w:id="167"/>
    <w:bookmarkEnd w:id="168"/>
    <w:bookmarkEnd w:id="169"/>
    <w:bookmarkEnd w:id="170"/>
    <w:p w14:paraId="43B331B0">
      <w:pPr>
        <w:pStyle w:val="3"/>
        <w:pageBreakBefore/>
        <w:rPr>
          <w:rFonts w:ascii="宋体" w:cs="Times New Roman"/>
          <w:color w:val="auto"/>
          <w:sz w:val="24"/>
          <w:szCs w:val="24"/>
        </w:rPr>
        <w:sectPr>
          <w:footerReference r:id="rId20" w:type="default"/>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bookmarkStart w:id="173" w:name="_Toc1408"/>
    </w:p>
    <w:bookmarkEnd w:id="173"/>
    <w:p w14:paraId="68F52725">
      <w:pPr>
        <w:pStyle w:val="3"/>
        <w:keepNext/>
        <w:keepLines/>
        <w:pageBreakBefore/>
        <w:widowControl w:val="0"/>
        <w:kinsoku/>
        <w:wordWrap/>
        <w:overflowPunct/>
        <w:topLinePunct w:val="0"/>
        <w:autoSpaceDE/>
        <w:autoSpaceDN/>
        <w:bidi w:val="0"/>
        <w:adjustRightInd/>
        <w:snapToGrid/>
        <w:spacing w:line="413" w:lineRule="auto"/>
        <w:textAlignment w:val="auto"/>
        <w:rPr>
          <w:rFonts w:ascii="宋体" w:hAnsi="宋体" w:cs="宋体"/>
          <w:color w:val="auto"/>
          <w:sz w:val="32"/>
          <w:szCs w:val="32"/>
        </w:rPr>
      </w:pPr>
      <w:bookmarkStart w:id="174" w:name="_Toc9172"/>
      <w:bookmarkStart w:id="175" w:name="_Toc536429339"/>
      <w:bookmarkStart w:id="176" w:name="_Toc536202330"/>
      <w:bookmarkStart w:id="177" w:name="_Toc14937"/>
      <w:bookmarkStart w:id="178" w:name="_Toc19543359"/>
      <w:bookmarkStart w:id="179" w:name="_Toc536202399"/>
      <w:bookmarkStart w:id="180" w:name="_Toc536429392"/>
      <w:bookmarkStart w:id="181" w:name="_Toc1803"/>
      <w:r>
        <w:rPr>
          <w:rFonts w:hint="eastAsia" w:ascii="宋体" w:hAnsi="宋体" w:cs="宋体"/>
          <w:color w:val="auto"/>
          <w:sz w:val="32"/>
          <w:szCs w:val="32"/>
        </w:rPr>
        <w:t>第</w:t>
      </w:r>
      <w:r>
        <w:rPr>
          <w:rFonts w:hint="eastAsia" w:ascii="宋体" w:hAnsi="宋体" w:cs="宋体"/>
          <w:color w:val="auto"/>
          <w:sz w:val="32"/>
          <w:szCs w:val="32"/>
          <w:lang w:val="en-US" w:eastAsia="zh-CN"/>
        </w:rPr>
        <w:t>五</w:t>
      </w:r>
      <w:r>
        <w:rPr>
          <w:rFonts w:hint="eastAsia" w:ascii="宋体" w:hAnsi="宋体" w:cs="宋体"/>
          <w:color w:val="auto"/>
          <w:sz w:val="32"/>
          <w:szCs w:val="32"/>
        </w:rPr>
        <w:t>章</w:t>
      </w:r>
      <w:r>
        <w:rPr>
          <w:rFonts w:ascii="宋体" w:hAnsi="宋体" w:cs="宋体"/>
          <w:color w:val="auto"/>
          <w:sz w:val="32"/>
          <w:szCs w:val="32"/>
        </w:rPr>
        <w:t xml:space="preserve">  </w:t>
      </w:r>
      <w:bookmarkEnd w:id="174"/>
      <w:r>
        <w:rPr>
          <w:rFonts w:hint="eastAsia" w:ascii="宋体" w:hAnsi="宋体" w:cs="宋体"/>
          <w:color w:val="auto"/>
          <w:sz w:val="32"/>
          <w:szCs w:val="32"/>
          <w:lang w:val="en-US" w:eastAsia="zh-CN"/>
        </w:rPr>
        <w:t>响应</w:t>
      </w:r>
      <w:r>
        <w:rPr>
          <w:rFonts w:hint="eastAsia" w:ascii="宋体" w:hAnsi="宋体" w:cs="宋体"/>
          <w:color w:val="auto"/>
          <w:sz w:val="32"/>
          <w:szCs w:val="32"/>
        </w:rPr>
        <w:t>方案</w:t>
      </w:r>
      <w:bookmarkEnd w:id="175"/>
      <w:bookmarkEnd w:id="176"/>
      <w:bookmarkEnd w:id="177"/>
      <w:bookmarkEnd w:id="178"/>
      <w:bookmarkEnd w:id="179"/>
      <w:bookmarkEnd w:id="180"/>
    </w:p>
    <w:p w14:paraId="3416B348">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color w:val="auto"/>
        </w:rPr>
      </w:pPr>
      <w:bookmarkStart w:id="182" w:name="_Toc23258631"/>
      <w:bookmarkStart w:id="183" w:name="_Toc26541342"/>
      <w:bookmarkStart w:id="184" w:name="_Toc528240834"/>
      <w:bookmarkStart w:id="185" w:name="_Toc484198844"/>
      <w:bookmarkStart w:id="186" w:name="_Toc19543360"/>
      <w:r>
        <w:rPr>
          <w:rFonts w:hint="eastAsia" w:ascii="宋体" w:hAnsi="宋体" w:eastAsia="宋体" w:cs="宋体"/>
          <w:b/>
          <w:bCs w:val="0"/>
          <w:color w:val="auto"/>
          <w:kern w:val="2"/>
          <w:sz w:val="24"/>
          <w:szCs w:val="22"/>
          <w:lang w:val="en-US" w:eastAsia="zh-CN" w:bidi="ar"/>
        </w:rPr>
        <w:t>供应商按照</w:t>
      </w:r>
      <w:r>
        <w:rPr>
          <w:rFonts w:hint="eastAsia" w:ascii="宋体" w:hAnsi="宋体" w:cs="宋体"/>
          <w:b/>
          <w:bCs w:val="0"/>
          <w:color w:val="auto"/>
          <w:kern w:val="2"/>
          <w:sz w:val="24"/>
          <w:szCs w:val="22"/>
          <w:lang w:val="en-US" w:eastAsia="zh-CN" w:bidi="ar"/>
        </w:rPr>
        <w:t>竞争性磋商</w:t>
      </w:r>
      <w:r>
        <w:rPr>
          <w:rFonts w:hint="eastAsia" w:ascii="宋体" w:hAnsi="宋体" w:eastAsia="宋体" w:cs="宋体"/>
          <w:b/>
          <w:bCs w:val="0"/>
          <w:color w:val="auto"/>
          <w:kern w:val="2"/>
          <w:sz w:val="24"/>
          <w:szCs w:val="22"/>
          <w:lang w:val="en-US" w:eastAsia="zh-CN" w:bidi="ar"/>
        </w:rPr>
        <w:t>文件的要求编制</w:t>
      </w:r>
      <w:r>
        <w:rPr>
          <w:rFonts w:hint="eastAsia" w:ascii="宋体" w:hAnsi="宋体" w:cs="宋体"/>
          <w:b/>
          <w:bCs w:val="0"/>
          <w:color w:val="auto"/>
          <w:kern w:val="2"/>
          <w:sz w:val="24"/>
          <w:szCs w:val="22"/>
          <w:lang w:val="en-US" w:eastAsia="zh-CN" w:bidi="ar"/>
        </w:rPr>
        <w:t>响应</w:t>
      </w:r>
      <w:r>
        <w:rPr>
          <w:rFonts w:hint="eastAsia" w:ascii="宋体" w:hAnsi="宋体" w:eastAsia="宋体" w:cs="宋体"/>
          <w:b/>
          <w:bCs w:val="0"/>
          <w:color w:val="auto"/>
          <w:kern w:val="2"/>
          <w:sz w:val="24"/>
          <w:szCs w:val="22"/>
          <w:lang w:val="en-US" w:eastAsia="zh-CN" w:bidi="ar"/>
        </w:rPr>
        <w:t>方案，</w:t>
      </w:r>
      <w:r>
        <w:rPr>
          <w:rFonts w:hint="eastAsia" w:ascii="宋体" w:hAnsi="宋体" w:cs="宋体"/>
          <w:b/>
          <w:bCs w:val="0"/>
          <w:color w:val="auto"/>
          <w:kern w:val="2"/>
          <w:sz w:val="24"/>
          <w:szCs w:val="22"/>
          <w:lang w:val="en-US" w:eastAsia="zh-CN" w:bidi="ar"/>
        </w:rPr>
        <w:t>响应</w:t>
      </w:r>
      <w:r>
        <w:rPr>
          <w:rFonts w:hint="eastAsia" w:ascii="宋体" w:hAnsi="宋体" w:eastAsia="宋体" w:cs="宋体"/>
          <w:b/>
          <w:bCs w:val="0"/>
          <w:color w:val="auto"/>
          <w:kern w:val="2"/>
          <w:sz w:val="24"/>
          <w:szCs w:val="22"/>
          <w:lang w:val="en-US" w:eastAsia="zh-CN" w:bidi="ar"/>
        </w:rPr>
        <w:t>方案由供应商自行编写，无具体格式，参照</w:t>
      </w:r>
      <w:r>
        <w:rPr>
          <w:rFonts w:hint="eastAsia" w:ascii="宋体" w:hAnsi="宋体" w:cs="宋体"/>
          <w:b/>
          <w:bCs w:val="0"/>
          <w:color w:val="auto"/>
          <w:kern w:val="2"/>
          <w:sz w:val="24"/>
          <w:szCs w:val="22"/>
          <w:lang w:val="en-US" w:eastAsia="zh-CN" w:bidi="ar"/>
        </w:rPr>
        <w:t>竞争性磋商</w:t>
      </w:r>
      <w:r>
        <w:rPr>
          <w:rFonts w:hint="eastAsia" w:ascii="宋体" w:hAnsi="宋体" w:eastAsia="宋体" w:cs="宋体"/>
          <w:b/>
          <w:bCs w:val="0"/>
          <w:color w:val="auto"/>
          <w:kern w:val="2"/>
          <w:sz w:val="24"/>
          <w:szCs w:val="22"/>
          <w:lang w:val="en-US" w:eastAsia="zh-CN" w:bidi="ar"/>
        </w:rPr>
        <w:t>文件中《</w:t>
      </w:r>
      <w:r>
        <w:rPr>
          <w:rFonts w:hint="eastAsia" w:ascii="宋体" w:hAnsi="宋体" w:cs="宋体"/>
          <w:b/>
          <w:bCs w:val="0"/>
          <w:color w:val="auto"/>
          <w:kern w:val="2"/>
          <w:sz w:val="24"/>
          <w:szCs w:val="22"/>
          <w:lang w:val="en-US" w:eastAsia="zh-CN" w:bidi="ar"/>
        </w:rPr>
        <w:t>评分标准</w:t>
      </w:r>
      <w:r>
        <w:rPr>
          <w:rFonts w:hint="eastAsia" w:ascii="宋体" w:hAnsi="宋体" w:eastAsia="宋体" w:cs="宋体"/>
          <w:b/>
          <w:bCs w:val="0"/>
          <w:color w:val="auto"/>
          <w:kern w:val="2"/>
          <w:sz w:val="24"/>
          <w:szCs w:val="22"/>
          <w:lang w:val="en-US" w:eastAsia="zh-CN" w:bidi="ar"/>
        </w:rPr>
        <w:t>》各条款的要求及</w:t>
      </w:r>
      <w:r>
        <w:rPr>
          <w:rFonts w:hint="eastAsia" w:ascii="宋体" w:hAnsi="宋体" w:cs="宋体"/>
          <w:b/>
          <w:bCs w:val="0"/>
          <w:color w:val="auto"/>
          <w:kern w:val="2"/>
          <w:sz w:val="24"/>
          <w:szCs w:val="22"/>
          <w:lang w:val="en-US" w:eastAsia="zh-CN" w:bidi="ar"/>
        </w:rPr>
        <w:t>竞争性磋商</w:t>
      </w:r>
      <w:r>
        <w:rPr>
          <w:rFonts w:hint="eastAsia" w:ascii="宋体" w:hAnsi="宋体" w:eastAsia="宋体" w:cs="宋体"/>
          <w:b/>
          <w:bCs w:val="0"/>
          <w:color w:val="auto"/>
          <w:kern w:val="2"/>
          <w:sz w:val="24"/>
          <w:szCs w:val="22"/>
          <w:lang w:val="en-US" w:eastAsia="zh-CN" w:bidi="ar"/>
        </w:rPr>
        <w:t>文件</w:t>
      </w:r>
      <w:r>
        <w:rPr>
          <w:rFonts w:hint="eastAsia" w:ascii="宋体" w:hAnsi="宋体" w:cs="宋体"/>
          <w:b/>
          <w:bCs w:val="0"/>
          <w:color w:val="auto"/>
          <w:kern w:val="2"/>
          <w:sz w:val="24"/>
          <w:szCs w:val="22"/>
          <w:lang w:val="en-US" w:eastAsia="zh-CN" w:bidi="ar"/>
        </w:rPr>
        <w:t>第五部分</w:t>
      </w:r>
      <w:r>
        <w:rPr>
          <w:rFonts w:hint="eastAsia" w:ascii="宋体" w:hAnsi="宋体" w:eastAsia="宋体" w:cs="宋体"/>
          <w:b/>
          <w:bCs w:val="0"/>
          <w:color w:val="auto"/>
          <w:kern w:val="2"/>
          <w:sz w:val="24"/>
          <w:szCs w:val="22"/>
          <w:lang w:val="en-US" w:eastAsia="zh-CN" w:bidi="ar"/>
        </w:rPr>
        <w:t>《采购内容</w:t>
      </w:r>
      <w:r>
        <w:rPr>
          <w:rFonts w:hint="eastAsia" w:ascii="宋体" w:hAnsi="宋体" w:cs="宋体"/>
          <w:b/>
          <w:bCs w:val="0"/>
          <w:color w:val="auto"/>
          <w:kern w:val="2"/>
          <w:sz w:val="24"/>
          <w:szCs w:val="22"/>
          <w:lang w:val="en-US" w:eastAsia="zh-CN" w:bidi="ar"/>
        </w:rPr>
        <w:t>及要求</w:t>
      </w:r>
      <w:r>
        <w:rPr>
          <w:rFonts w:hint="eastAsia" w:ascii="宋体" w:hAnsi="宋体" w:eastAsia="宋体" w:cs="宋体"/>
          <w:b/>
          <w:bCs w:val="0"/>
          <w:color w:val="auto"/>
          <w:kern w:val="2"/>
          <w:sz w:val="24"/>
          <w:szCs w:val="22"/>
          <w:lang w:val="en-US" w:eastAsia="zh-CN" w:bidi="ar"/>
        </w:rPr>
        <w:t>》进行编制</w:t>
      </w:r>
      <w:r>
        <w:rPr>
          <w:rFonts w:hint="eastAsia" w:ascii="宋体" w:hAnsi="宋体" w:cs="宋体"/>
          <w:b/>
          <w:bCs w:val="0"/>
          <w:color w:val="auto"/>
          <w:kern w:val="2"/>
          <w:sz w:val="24"/>
          <w:szCs w:val="22"/>
          <w:lang w:val="en-US" w:eastAsia="zh-CN" w:bidi="ar"/>
        </w:rPr>
        <w:t>响应</w:t>
      </w:r>
      <w:r>
        <w:rPr>
          <w:rFonts w:hint="eastAsia" w:ascii="宋体" w:hAnsi="宋体" w:eastAsia="宋体" w:cs="宋体"/>
          <w:b/>
          <w:bCs w:val="0"/>
          <w:color w:val="auto"/>
          <w:kern w:val="2"/>
          <w:sz w:val="24"/>
          <w:szCs w:val="22"/>
          <w:lang w:val="en-US" w:eastAsia="zh-CN" w:bidi="ar"/>
        </w:rPr>
        <w:t>方案。</w:t>
      </w:r>
    </w:p>
    <w:p w14:paraId="219EC004">
      <w:pPr>
        <w:spacing w:line="360" w:lineRule="auto"/>
        <w:ind w:firstLine="720" w:firstLineChars="300"/>
        <w:rPr>
          <w:rFonts w:ascii="宋体" w:hAnsi="宋体" w:cs="Times New Roman"/>
          <w:color w:val="auto"/>
          <w:sz w:val="24"/>
          <w:szCs w:val="24"/>
        </w:rPr>
      </w:pPr>
      <w:r>
        <w:rPr>
          <w:rFonts w:ascii="宋体" w:hAnsi="宋体" w:cs="Times New Roman"/>
          <w:color w:val="auto"/>
          <w:sz w:val="24"/>
          <w:szCs w:val="24"/>
        </w:rPr>
        <w:br w:type="page"/>
      </w:r>
    </w:p>
    <w:p w14:paraId="495EA792">
      <w:pPr>
        <w:keepNext/>
        <w:keepLines/>
        <w:spacing w:before="260" w:after="260" w:line="416" w:lineRule="auto"/>
        <w:ind w:firstLine="422" w:firstLineChars="150"/>
        <w:jc w:val="center"/>
        <w:outlineLvl w:val="1"/>
        <w:rPr>
          <w:rFonts w:ascii="宋体" w:hAnsi="宋体" w:cs="宋体"/>
          <w:b/>
          <w:bCs/>
          <w:color w:val="auto"/>
          <w:kern w:val="20"/>
          <w:sz w:val="22"/>
          <w:szCs w:val="22"/>
        </w:rPr>
      </w:pPr>
      <w:r>
        <w:rPr>
          <w:rFonts w:hint="eastAsia" w:ascii="Calibri Light" w:hAnsi="Calibri Light" w:cs="Times New Roman"/>
          <w:b/>
          <w:bCs/>
          <w:color w:val="auto"/>
          <w:sz w:val="28"/>
          <w:szCs w:val="28"/>
        </w:rPr>
        <w:t>拟投入人员情况表</w:t>
      </w:r>
      <w:bookmarkEnd w:id="182"/>
      <w:bookmarkEnd w:id="183"/>
      <w:bookmarkEnd w:id="184"/>
      <w:bookmarkEnd w:id="185"/>
    </w:p>
    <w:tbl>
      <w:tblPr>
        <w:tblStyle w:val="36"/>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4F9D3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52B75DA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543BE0A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3DBD4BBF">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2334095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6A6DE53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12E41AA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0F7620A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5B6EB5D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6C612D77">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3AA158A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6E4F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4A3ACB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172CB2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639D1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747E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7D0D70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7E634D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BB7A90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D0188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322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72A93CE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89B97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CE3E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288FB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56FC9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89680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2FBE6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0DCE54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9405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85F67E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66EB64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1D07BB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3AD89D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374BE1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3CE990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B97CB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CBC63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6DC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70B6F6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1FA74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BA6D0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FC693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F15079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0EFC3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ABD78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55AB6F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0F6B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7FD10F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86C1B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98A3E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F3B53B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7E7CA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1C58E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07D90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DE0E76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935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31E244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F078E2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62460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8108D4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9F3EC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38EDB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879E7D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37D4619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299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D1A20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174DF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91BF1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6953C3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B4243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76C29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C4F387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A0EA98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7F8E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7B7924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F89580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E0565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1F8CA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37A31C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01DE9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7FF30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F8C8A5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C2C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2AF76C3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773D1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3594B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BDBEBA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B664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BE2D3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8AD9A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EB5602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B81E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ACA71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683A1D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A560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28CCF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B3FC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2070E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662DF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0B0AD0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7285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25A57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4CA9F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3DFF06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66FAF7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A7973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E7A28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85EDE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52559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7C90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28826C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F9769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ED5AB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C1FEBA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6558C8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FF986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D7132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0C4C1E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E84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8F9C4B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84A63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2BF4B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0C65E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FED00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B1552C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D2B7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D1399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38EA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C7DF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74AF3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CEC69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B2331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944ACD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1AB6B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A0033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C96E6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F51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C1CBF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917122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9EE93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B6589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1836B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EA4453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67F17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17DB54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8F91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965179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2A8607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82282B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8049DB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6EA8B9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EC4E0F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E0883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B90D5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8B5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5D0ACC0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F9F79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27C30F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98F53D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14BB1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F63EC1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EA207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75411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454BE937">
      <w:pPr>
        <w:rPr>
          <w:rFonts w:ascii="Times New Roman" w:hAnsi="Times New Roman" w:cs="Times New Roman"/>
          <w:color w:val="auto"/>
          <w:szCs w:val="22"/>
        </w:rPr>
      </w:pPr>
    </w:p>
    <w:p w14:paraId="61033E98">
      <w:pPr>
        <w:adjustRightInd w:val="0"/>
        <w:snapToGrid w:val="0"/>
        <w:spacing w:line="480" w:lineRule="auto"/>
        <w:jc w:val="left"/>
        <w:rPr>
          <w:rFonts w:hint="eastAsia" w:cs="宋体" w:asciiTheme="minorEastAsia" w:hAnsiTheme="minorEastAsia" w:eastAsiaTheme="minorEastAsia"/>
          <w:color w:val="auto"/>
          <w:sz w:val="24"/>
          <w:szCs w:val="24"/>
        </w:rPr>
      </w:pPr>
      <w:bookmarkStart w:id="187" w:name="_Hlt491573425"/>
      <w:bookmarkEnd w:id="187"/>
      <w:bookmarkStart w:id="188" w:name="_Hlt491765944"/>
      <w:bookmarkEnd w:id="188"/>
      <w:bookmarkStart w:id="189" w:name="_Hlt491766019"/>
      <w:bookmarkEnd w:id="189"/>
      <w:bookmarkStart w:id="190" w:name="_Hlt491572882"/>
      <w:bookmarkEnd w:id="190"/>
      <w:bookmarkStart w:id="191" w:name="_Hlt491765868"/>
      <w:bookmarkEnd w:id="191"/>
    </w:p>
    <w:p w14:paraId="663AF719">
      <w:pPr>
        <w:adjustRightInd w:val="0"/>
        <w:snapToGrid w:val="0"/>
        <w:spacing w:line="480" w:lineRule="auto"/>
        <w:jc w:val="left"/>
        <w:rPr>
          <w:rFonts w:cs="Times New Roman"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供应商（单位名称及公章）：</w:t>
      </w:r>
      <w:r>
        <w:rPr>
          <w:rFonts w:cs="宋体" w:asciiTheme="minorEastAsia" w:hAnsiTheme="minorEastAsia" w:eastAsiaTheme="minorEastAsia"/>
          <w:color w:val="auto"/>
          <w:sz w:val="24"/>
          <w:szCs w:val="24"/>
        </w:rPr>
        <w:t>____________________</w:t>
      </w:r>
    </w:p>
    <w:p w14:paraId="21E7A305">
      <w:pPr>
        <w:adjustRightInd w:val="0"/>
        <w:snapToGrid w:val="0"/>
        <w:spacing w:line="480" w:lineRule="auto"/>
        <w:rPr>
          <w:rFonts w:cs="Times New Roman"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宋体" w:asciiTheme="minorEastAsia" w:hAnsiTheme="minorEastAsia" w:eastAsiaTheme="minorEastAsia"/>
          <w:color w:val="auto"/>
          <w:sz w:val="24"/>
          <w:szCs w:val="24"/>
        </w:rPr>
        <w:t>）：</w:t>
      </w:r>
      <w:r>
        <w:rPr>
          <w:rFonts w:cs="宋体" w:asciiTheme="minorEastAsia" w:hAnsiTheme="minorEastAsia" w:eastAsiaTheme="minorEastAsia"/>
          <w:color w:val="auto"/>
          <w:sz w:val="24"/>
          <w:szCs w:val="24"/>
        </w:rPr>
        <w:t>____________________</w:t>
      </w:r>
    </w:p>
    <w:p w14:paraId="6255A2E5">
      <w:pPr>
        <w:adjustRightInd w:val="0"/>
        <w:snapToGrid w:val="0"/>
        <w:spacing w:line="480" w:lineRule="auto"/>
        <w:rPr>
          <w:rFonts w:ascii="宋体" w:cs="Times New Roman"/>
          <w:color w:val="auto"/>
        </w:rPr>
      </w:pPr>
      <w:r>
        <w:rPr>
          <w:rFonts w:hint="eastAsia" w:cs="宋体" w:asciiTheme="minorEastAsia" w:hAnsiTheme="minorEastAsia" w:eastAsiaTheme="minorEastAsia"/>
          <w:color w:val="auto"/>
          <w:sz w:val="24"/>
          <w:szCs w:val="24"/>
        </w:rPr>
        <w:t>日</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期：</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年</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月</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日</w:t>
      </w:r>
    </w:p>
    <w:p w14:paraId="31735FB5">
      <w:pPr>
        <w:rPr>
          <w:rFonts w:ascii="Times New Roman" w:hAnsi="Times New Roman" w:cs="Times New Roman"/>
          <w:color w:val="auto"/>
          <w:sz w:val="24"/>
          <w:szCs w:val="24"/>
        </w:rPr>
      </w:pPr>
    </w:p>
    <w:p w14:paraId="7108D3BB">
      <w:pPr>
        <w:spacing w:line="360" w:lineRule="auto"/>
        <w:ind w:firstLine="420" w:firstLineChars="175"/>
        <w:rPr>
          <w:rFonts w:ascii="宋体" w:hAnsi="宋体" w:cs="Times New Roman"/>
          <w:color w:val="auto"/>
          <w:sz w:val="24"/>
          <w:szCs w:val="24"/>
        </w:rPr>
      </w:pPr>
      <w:r>
        <w:rPr>
          <w:rFonts w:ascii="宋体" w:hAnsi="宋体" w:cs="Times New Roman"/>
          <w:color w:val="auto"/>
          <w:sz w:val="24"/>
          <w:szCs w:val="24"/>
        </w:rPr>
        <w:t xml:space="preserve">    </w:t>
      </w:r>
    </w:p>
    <w:p w14:paraId="029A92DA">
      <w:pPr>
        <w:spacing w:line="360" w:lineRule="auto"/>
        <w:jc w:val="center"/>
        <w:rPr>
          <w:rFonts w:ascii="宋体" w:hAnsi="宋体" w:cs="宋体"/>
          <w:b/>
          <w:bCs/>
          <w:color w:val="auto"/>
          <w:sz w:val="28"/>
          <w:szCs w:val="28"/>
        </w:rPr>
      </w:pPr>
      <w:r>
        <w:rPr>
          <w:rFonts w:hint="eastAsia" w:ascii="宋体" w:hAnsi="宋体" w:cs="宋体"/>
          <w:b/>
          <w:bCs/>
          <w:color w:val="auto"/>
          <w:sz w:val="28"/>
          <w:szCs w:val="28"/>
        </w:rPr>
        <w:t>业绩</w:t>
      </w:r>
      <w:bookmarkEnd w:id="186"/>
    </w:p>
    <w:tbl>
      <w:tblPr>
        <w:tblStyle w:val="36"/>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7941B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5ACBB1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2A03F49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4F9754A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7F46FEF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78344B5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1C4EE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13DF556">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2D09229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1817E0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765AE7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784F4B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CE05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D5286C1">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11C5E25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7D22DC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FB6435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01630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D7B4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DDA92CC">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484A6E0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A01191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106C75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B6953A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5F13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18C0A99">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5CFB150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F77E21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166F5C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9460FA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0E33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B700E7F">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687887E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77164A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76330E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12040C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9D86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1F5BB7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3240706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94886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57FC12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3F8B74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FA7E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F4CE41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48BB622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0BBF8F7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1BD91B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253091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5CC0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F49666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4BE2E25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B08B61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B0FE96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E858FF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C7C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AF1042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25DB308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922808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EE7EA6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3F6A20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74E70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AE5868A">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285630E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05AA95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47B53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DE7012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5D566C2F">
      <w:pPr>
        <w:tabs>
          <w:tab w:val="left" w:pos="8782"/>
        </w:tabs>
        <w:snapToGrid w:val="0"/>
        <w:spacing w:line="360" w:lineRule="auto"/>
        <w:ind w:firstLine="480" w:firstLineChars="200"/>
        <w:rPr>
          <w:rFonts w:ascii="宋体" w:hAnsi="宋体" w:cs="Times New Roman"/>
          <w:color w:val="auto"/>
          <w:sz w:val="24"/>
          <w:szCs w:val="24"/>
        </w:rPr>
      </w:pPr>
    </w:p>
    <w:p w14:paraId="18F9DFEA">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45E44574">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74F85110">
      <w:pPr>
        <w:pStyle w:val="22"/>
        <w:rPr>
          <w:color w:val="auto"/>
        </w:rPr>
      </w:pPr>
    </w:p>
    <w:p w14:paraId="6245DB9E">
      <w:pPr>
        <w:pStyle w:val="22"/>
        <w:rPr>
          <w:color w:val="auto"/>
        </w:rPr>
      </w:pPr>
    </w:p>
    <w:p w14:paraId="13A54528">
      <w:pPr>
        <w:pStyle w:val="22"/>
        <w:rPr>
          <w:color w:val="auto"/>
        </w:rPr>
      </w:pPr>
    </w:p>
    <w:p w14:paraId="779D5DC1">
      <w:pPr>
        <w:adjustRightInd w:val="0"/>
        <w:snapToGrid w:val="0"/>
        <w:spacing w:line="480" w:lineRule="auto"/>
        <w:jc w:val="left"/>
        <w:rPr>
          <w:rFonts w:cs="Times New Roman"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供应商（单位名称及公章）：</w:t>
      </w:r>
      <w:r>
        <w:rPr>
          <w:rFonts w:cs="宋体" w:asciiTheme="minorEastAsia" w:hAnsiTheme="minorEastAsia" w:eastAsiaTheme="minorEastAsia"/>
          <w:color w:val="auto"/>
          <w:sz w:val="24"/>
          <w:szCs w:val="24"/>
        </w:rPr>
        <w:t>____________________</w:t>
      </w:r>
    </w:p>
    <w:p w14:paraId="749A6967">
      <w:pPr>
        <w:adjustRightInd w:val="0"/>
        <w:snapToGrid w:val="0"/>
        <w:spacing w:line="480" w:lineRule="auto"/>
        <w:rPr>
          <w:rFonts w:cs="Times New Roman"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宋体" w:asciiTheme="minorEastAsia" w:hAnsiTheme="minorEastAsia" w:eastAsiaTheme="minorEastAsia"/>
          <w:color w:val="auto"/>
          <w:sz w:val="24"/>
          <w:szCs w:val="24"/>
        </w:rPr>
        <w:t>）：</w:t>
      </w:r>
      <w:r>
        <w:rPr>
          <w:rFonts w:cs="宋体" w:asciiTheme="minorEastAsia" w:hAnsiTheme="minorEastAsia" w:eastAsiaTheme="minorEastAsia"/>
          <w:color w:val="auto"/>
          <w:sz w:val="24"/>
          <w:szCs w:val="24"/>
        </w:rPr>
        <w:t>____________________</w:t>
      </w:r>
    </w:p>
    <w:p w14:paraId="4D1B1FC7">
      <w:pPr>
        <w:adjustRightInd w:val="0"/>
        <w:snapToGrid w:val="0"/>
        <w:spacing w:line="480" w:lineRule="auto"/>
        <w:rPr>
          <w:rFonts w:ascii="宋体" w:cs="Times New Roman"/>
          <w:color w:val="auto"/>
        </w:rPr>
      </w:pPr>
      <w:r>
        <w:rPr>
          <w:rFonts w:hint="eastAsia" w:cs="宋体" w:asciiTheme="minorEastAsia" w:hAnsiTheme="minorEastAsia" w:eastAsiaTheme="minorEastAsia"/>
          <w:color w:val="auto"/>
          <w:sz w:val="24"/>
          <w:szCs w:val="24"/>
        </w:rPr>
        <w:t>日</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期：</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年</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月</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日</w:t>
      </w:r>
    </w:p>
    <w:bookmarkEnd w:id="181"/>
    <w:p w14:paraId="74044EE5">
      <w:pPr>
        <w:pStyle w:val="3"/>
        <w:keepNext/>
        <w:keepLines/>
        <w:pageBreakBefore w:val="0"/>
        <w:widowControl w:val="0"/>
        <w:kinsoku/>
        <w:wordWrap/>
        <w:overflowPunct/>
        <w:topLinePunct w:val="0"/>
        <w:autoSpaceDE/>
        <w:autoSpaceDN/>
        <w:bidi w:val="0"/>
        <w:adjustRightInd/>
        <w:snapToGrid/>
        <w:spacing w:line="413" w:lineRule="auto"/>
        <w:textAlignment w:val="auto"/>
        <w:rPr>
          <w:rFonts w:ascii="宋体" w:hAnsi="宋体" w:cs="宋体"/>
          <w:color w:val="auto"/>
          <w:sz w:val="32"/>
          <w:szCs w:val="32"/>
        </w:rPr>
      </w:pPr>
      <w:bookmarkStart w:id="192" w:name="_Toc536429395"/>
      <w:bookmarkStart w:id="193" w:name="_Toc536202333"/>
      <w:bookmarkStart w:id="194" w:name="_Toc536429342"/>
      <w:bookmarkStart w:id="195" w:name="_Toc24683"/>
      <w:bookmarkStart w:id="196" w:name="_Toc19543363"/>
      <w:bookmarkStart w:id="197" w:name="_Toc536202402"/>
      <w:bookmarkStart w:id="198" w:name="_Toc10667"/>
      <w:r>
        <w:rPr>
          <w:rFonts w:hint="eastAsia" w:ascii="宋体" w:hAnsi="宋体" w:cs="宋体"/>
          <w:color w:val="auto"/>
          <w:sz w:val="32"/>
          <w:szCs w:val="32"/>
        </w:rPr>
        <w:t>第</w:t>
      </w:r>
      <w:r>
        <w:rPr>
          <w:rFonts w:hint="eastAsia" w:ascii="宋体" w:hAnsi="宋体" w:cs="宋体"/>
          <w:color w:val="auto"/>
          <w:sz w:val="32"/>
          <w:szCs w:val="32"/>
          <w:lang w:val="en-US" w:eastAsia="zh-CN"/>
        </w:rPr>
        <w:t>六</w:t>
      </w:r>
      <w:r>
        <w:rPr>
          <w:rFonts w:hint="eastAsia" w:ascii="宋体" w:hAnsi="宋体" w:cs="宋体"/>
          <w:color w:val="auto"/>
          <w:sz w:val="32"/>
          <w:szCs w:val="32"/>
        </w:rPr>
        <w:t>章</w:t>
      </w:r>
      <w:r>
        <w:rPr>
          <w:rFonts w:ascii="宋体" w:hAnsi="宋体" w:cs="宋体"/>
          <w:color w:val="auto"/>
          <w:sz w:val="32"/>
          <w:szCs w:val="32"/>
        </w:rPr>
        <w:t xml:space="preserve">  </w:t>
      </w:r>
      <w:r>
        <w:rPr>
          <w:rFonts w:hint="eastAsia" w:ascii="宋体" w:hAnsi="宋体" w:cs="宋体"/>
          <w:color w:val="auto"/>
          <w:sz w:val="32"/>
          <w:szCs w:val="32"/>
        </w:rPr>
        <w:t>供应商承诺书</w:t>
      </w:r>
      <w:bookmarkEnd w:id="192"/>
      <w:bookmarkEnd w:id="193"/>
      <w:bookmarkEnd w:id="194"/>
      <w:bookmarkEnd w:id="195"/>
      <w:bookmarkEnd w:id="196"/>
      <w:bookmarkEnd w:id="197"/>
      <w:bookmarkEnd w:id="198"/>
    </w:p>
    <w:p w14:paraId="00CD2DDF">
      <w:pPr>
        <w:widowControl/>
        <w:spacing w:line="480" w:lineRule="exact"/>
        <w:jc w:val="center"/>
        <w:rPr>
          <w:rFonts w:cs="仿宋" w:asciiTheme="minorEastAsia" w:hAnsiTheme="minorEastAsia" w:eastAsiaTheme="minorEastAsia"/>
          <w:b/>
          <w:bCs w:val="0"/>
          <w:color w:val="auto"/>
          <w:kern w:val="0"/>
          <w:sz w:val="28"/>
          <w:szCs w:val="32"/>
        </w:rPr>
      </w:pPr>
      <w:r>
        <w:rPr>
          <w:rFonts w:hint="eastAsia" w:cs="仿宋" w:asciiTheme="minorEastAsia" w:hAnsiTheme="minorEastAsia" w:eastAsiaTheme="minorEastAsia"/>
          <w:b/>
          <w:bCs w:val="0"/>
          <w:color w:val="auto"/>
          <w:kern w:val="0"/>
          <w:sz w:val="28"/>
          <w:szCs w:val="32"/>
        </w:rPr>
        <w:t>政府采购供应商拒绝政府采购领域商业贿赂承诺书</w:t>
      </w:r>
    </w:p>
    <w:p w14:paraId="37F3D8B4">
      <w:pPr>
        <w:widowControl/>
        <w:spacing w:line="240" w:lineRule="exact"/>
        <w:ind w:firstLine="420" w:firstLineChars="200"/>
        <w:jc w:val="left"/>
        <w:rPr>
          <w:rFonts w:cs="仿宋" w:asciiTheme="minorEastAsia" w:hAnsiTheme="minorEastAsia" w:eastAsiaTheme="minorEastAsia"/>
          <w:bCs/>
          <w:color w:val="auto"/>
          <w:kern w:val="0"/>
        </w:rPr>
      </w:pPr>
    </w:p>
    <w:p w14:paraId="1588FE9A">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059AE5C5">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7E1A1E64">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47FF4190">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38C7DEA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不采取“围标、陪标”等商业欺诈手段获得政府采购</w:t>
      </w:r>
      <w:r>
        <w:rPr>
          <w:rFonts w:hint="eastAsia" w:cs="仿宋" w:asciiTheme="minorEastAsia" w:hAnsiTheme="minorEastAsia" w:eastAsiaTheme="minorEastAsia"/>
          <w:bCs/>
          <w:color w:val="auto"/>
          <w:kern w:val="0"/>
          <w:sz w:val="24"/>
          <w:szCs w:val="28"/>
          <w:lang w:eastAsia="zh-CN"/>
        </w:rPr>
        <w:t>订单</w:t>
      </w:r>
      <w:r>
        <w:rPr>
          <w:rFonts w:hint="eastAsia" w:cs="仿宋" w:asciiTheme="minorEastAsia" w:hAnsiTheme="minorEastAsia" w:eastAsiaTheme="minorEastAsia"/>
          <w:bCs/>
          <w:color w:val="auto"/>
          <w:kern w:val="0"/>
          <w:sz w:val="24"/>
          <w:szCs w:val="28"/>
        </w:rPr>
        <w:t xml:space="preserve">。 </w:t>
      </w:r>
    </w:p>
    <w:p w14:paraId="1AC41FFD">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6BE93C94">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3620EAC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7ECE6DB5">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09C37753">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03857F17">
      <w:pPr>
        <w:widowControl/>
        <w:spacing w:line="440" w:lineRule="exact"/>
        <w:ind w:firstLine="960" w:firstLineChars="400"/>
        <w:rPr>
          <w:rFonts w:cs="仿宋" w:asciiTheme="minorEastAsia" w:hAnsiTheme="minorEastAsia" w:eastAsiaTheme="minorEastAsia"/>
          <w:bCs/>
          <w:color w:val="auto"/>
          <w:kern w:val="0"/>
          <w:sz w:val="24"/>
          <w:szCs w:val="28"/>
        </w:rPr>
      </w:pPr>
    </w:p>
    <w:p w14:paraId="0B296E04">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4910565F">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仿宋" w:asciiTheme="minorEastAsia" w:hAnsiTheme="minorEastAsia" w:eastAsiaTheme="minorEastAsia"/>
          <w:bCs/>
          <w:color w:val="auto"/>
          <w:kern w:val="0"/>
          <w:sz w:val="24"/>
          <w:szCs w:val="28"/>
        </w:rPr>
        <w:t xml:space="preserve">） </w:t>
      </w:r>
    </w:p>
    <w:p w14:paraId="6D64F7C3">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138B1006">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u w:val="single"/>
          <w:lang w:val="en-US" w:eastAsia="zh-CN"/>
        </w:rPr>
        <w:t xml:space="preserve"> </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   </w:t>
      </w:r>
    </w:p>
    <w:p w14:paraId="0195E3A2">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4A563F5D">
      <w:pPr>
        <w:widowControl/>
        <w:spacing w:line="340" w:lineRule="exact"/>
        <w:rPr>
          <w:rFonts w:cs="仿宋" w:asciiTheme="minorEastAsia" w:hAnsiTheme="minorEastAsia" w:eastAsiaTheme="minorEastAsia"/>
          <w:bCs/>
          <w:color w:val="auto"/>
          <w:kern w:val="0"/>
          <w:sz w:val="24"/>
          <w:szCs w:val="28"/>
        </w:rPr>
      </w:pPr>
    </w:p>
    <w:p w14:paraId="3500C9FD">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065475BE">
      <w:pPr>
        <w:widowControl/>
        <w:spacing w:line="640" w:lineRule="exact"/>
        <w:jc w:val="center"/>
        <w:rPr>
          <w:rFonts w:cs="仿宋" w:asciiTheme="minorEastAsia" w:hAnsiTheme="minorEastAsia" w:eastAsiaTheme="minorEastAsia"/>
          <w:bCs/>
          <w:color w:val="auto"/>
          <w:sz w:val="36"/>
          <w:szCs w:val="40"/>
        </w:rPr>
      </w:pPr>
    </w:p>
    <w:p w14:paraId="37C31C4B">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29A50DA2">
      <w:pPr>
        <w:widowControl/>
        <w:jc w:val="left"/>
        <w:rPr>
          <w:rFonts w:cs="仿宋" w:asciiTheme="minorEastAsia" w:hAnsiTheme="minorEastAsia" w:eastAsiaTheme="minorEastAsia"/>
          <w:bCs/>
          <w:color w:val="auto"/>
          <w:kern w:val="0"/>
          <w:sz w:val="32"/>
          <w:szCs w:val="32"/>
        </w:rPr>
      </w:pPr>
    </w:p>
    <w:p w14:paraId="51130DB3">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7289363C">
      <w:pPr>
        <w:widowControl/>
        <w:shd w:val="clear" w:color="auto" w:fill="FFFFFF"/>
        <w:spacing w:before="100" w:beforeAutospacing="1" w:after="100" w:afterAutospacing="1" w:line="400" w:lineRule="exact"/>
        <w:jc w:val="center"/>
        <w:rPr>
          <w:rFonts w:cs="仿宋" w:asciiTheme="minorEastAsia" w:hAnsiTheme="minorEastAsia" w:eastAsiaTheme="minorEastAsia"/>
          <w:b/>
          <w:color w:val="auto"/>
          <w:kern w:val="0"/>
          <w:sz w:val="22"/>
          <w:szCs w:val="22"/>
        </w:rPr>
      </w:pPr>
      <w:r>
        <w:rPr>
          <w:rFonts w:hint="eastAsia" w:cs="仿宋" w:asciiTheme="minorEastAsia" w:hAnsiTheme="minorEastAsia" w:eastAsiaTheme="minorEastAsia"/>
          <w:b/>
          <w:color w:val="auto"/>
          <w:kern w:val="0"/>
          <w:sz w:val="28"/>
          <w:szCs w:val="28"/>
        </w:rPr>
        <w:t>承诺书Ⅱ</w:t>
      </w:r>
    </w:p>
    <w:p w14:paraId="57B01AEE">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2C7394EF">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313740F0">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4908E04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42F98668">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1CE661B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5A555C6">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3BC8D1F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cs="仿宋" w:asciiTheme="minorEastAsia" w:hAnsiTheme="minorEastAsia" w:eastAsiaTheme="minorEastAsia"/>
          <w:bCs/>
          <w:color w:val="auto"/>
          <w:kern w:val="0"/>
          <w:sz w:val="24"/>
          <w:szCs w:val="28"/>
          <w:lang w:val="en-US" w:eastAsia="zh-CN"/>
        </w:rPr>
        <w:t>资格</w:t>
      </w:r>
      <w:r>
        <w:rPr>
          <w:rFonts w:hint="eastAsia" w:cs="仿宋" w:asciiTheme="minorEastAsia" w:hAnsiTheme="minorEastAsia" w:eastAsiaTheme="minorEastAsia"/>
          <w:bCs/>
          <w:color w:val="auto"/>
          <w:kern w:val="0"/>
          <w:sz w:val="24"/>
          <w:szCs w:val="28"/>
        </w:rPr>
        <w:t>证明文件及业绩证明是真实的、有效的，如有隐瞒实情，愿承担一切责任及后果。</w:t>
      </w:r>
    </w:p>
    <w:p w14:paraId="4CFC98A7">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71FF43F8">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39AB471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1DE402C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7E916807">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4FFFA6A6">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仿宋" w:asciiTheme="minorEastAsia" w:hAnsiTheme="minorEastAsia" w:eastAsiaTheme="minorEastAsia"/>
          <w:bCs/>
          <w:color w:val="auto"/>
          <w:kern w:val="0"/>
          <w:sz w:val="24"/>
          <w:szCs w:val="28"/>
        </w:rPr>
        <w:t>）</w:t>
      </w:r>
    </w:p>
    <w:p w14:paraId="02929F93">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09067856">
      <w:pPr>
        <w:pStyle w:val="3"/>
        <w:adjustRightInd w:val="0"/>
        <w:spacing w:line="416" w:lineRule="atLeast"/>
        <w:textAlignment w:val="baseline"/>
        <w:rPr>
          <w:rFonts w:ascii="宋体" w:hAnsi="宋体" w:cs="宋体"/>
          <w:color w:val="auto"/>
        </w:rPr>
      </w:pPr>
      <w:bookmarkStart w:id="199" w:name="_Toc536202334"/>
      <w:bookmarkStart w:id="200" w:name="_Toc25514"/>
      <w:bookmarkStart w:id="201" w:name="_Toc536429343"/>
      <w:bookmarkStart w:id="202" w:name="_Toc536202403"/>
      <w:bookmarkStart w:id="203" w:name="_Toc536429396"/>
    </w:p>
    <w:bookmarkEnd w:id="0"/>
    <w:bookmarkEnd w:id="199"/>
    <w:bookmarkEnd w:id="200"/>
    <w:bookmarkEnd w:id="201"/>
    <w:bookmarkEnd w:id="202"/>
    <w:bookmarkEnd w:id="203"/>
    <w:p w14:paraId="29B291BD">
      <w:pPr>
        <w:widowControl/>
        <w:jc w:val="left"/>
        <w:rPr>
          <w:color w:val="auto"/>
          <w:sz w:val="24"/>
          <w:szCs w:val="28"/>
        </w:rPr>
      </w:pPr>
    </w:p>
    <w:p w14:paraId="153B6C26">
      <w:pPr>
        <w:pStyle w:val="12"/>
        <w:rPr>
          <w:color w:val="auto"/>
          <w:sz w:val="24"/>
          <w:szCs w:val="28"/>
        </w:rPr>
      </w:pPr>
    </w:p>
    <w:p w14:paraId="2DF1B956">
      <w:pPr>
        <w:rPr>
          <w:color w:val="auto"/>
          <w:sz w:val="24"/>
          <w:szCs w:val="28"/>
        </w:rPr>
      </w:pPr>
    </w:p>
    <w:p w14:paraId="4D577E03">
      <w:pPr>
        <w:pStyle w:val="12"/>
        <w:rPr>
          <w:color w:val="auto"/>
          <w:sz w:val="24"/>
          <w:szCs w:val="28"/>
        </w:rPr>
        <w:sectPr>
          <w:footerReference r:id="rId22" w:type="first"/>
          <w:footerReference r:id="rId21" w:type="default"/>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pPr>
    </w:p>
    <w:p w14:paraId="788D1FFC">
      <w:pPr>
        <w:rPr>
          <w:color w:val="auto"/>
        </w:rPr>
      </w:pPr>
    </w:p>
    <w:p w14:paraId="2A06850F">
      <w:pPr>
        <w:pStyle w:val="22"/>
        <w:rPr>
          <w:color w:val="auto"/>
        </w:rPr>
      </w:pPr>
    </w:p>
    <w:p w14:paraId="6D536D9C">
      <w:pPr>
        <w:pStyle w:val="22"/>
        <w:rPr>
          <w:color w:val="auto"/>
        </w:rPr>
      </w:pPr>
    </w:p>
    <w:p w14:paraId="6E3EF1A8">
      <w:pPr>
        <w:pStyle w:val="22"/>
        <w:rPr>
          <w:color w:val="auto"/>
        </w:rPr>
      </w:pPr>
    </w:p>
    <w:p w14:paraId="1781D8FB">
      <w:pPr>
        <w:pStyle w:val="22"/>
        <w:rPr>
          <w:color w:val="auto"/>
        </w:rPr>
      </w:pPr>
    </w:p>
    <w:p w14:paraId="7B35E6A3">
      <w:pPr>
        <w:pStyle w:val="22"/>
        <w:rPr>
          <w:color w:val="auto"/>
        </w:rPr>
      </w:pPr>
    </w:p>
    <w:p w14:paraId="1676252C">
      <w:pPr>
        <w:pStyle w:val="22"/>
        <w:rPr>
          <w:color w:val="auto"/>
        </w:rPr>
      </w:pPr>
    </w:p>
    <w:p w14:paraId="13558132">
      <w:pPr>
        <w:pStyle w:val="22"/>
        <w:rPr>
          <w:color w:val="auto"/>
        </w:rPr>
      </w:pPr>
    </w:p>
    <w:p w14:paraId="7317F6CC">
      <w:pPr>
        <w:pStyle w:val="22"/>
        <w:rPr>
          <w:color w:val="auto"/>
        </w:rPr>
      </w:pPr>
    </w:p>
    <w:p w14:paraId="74299A6F">
      <w:pPr>
        <w:pStyle w:val="22"/>
        <w:rPr>
          <w:color w:val="auto"/>
        </w:rPr>
      </w:pPr>
    </w:p>
    <w:p w14:paraId="558E9CC7">
      <w:pPr>
        <w:pStyle w:val="22"/>
        <w:rPr>
          <w:color w:val="auto"/>
        </w:rPr>
      </w:pPr>
    </w:p>
    <w:p w14:paraId="6A4F7824">
      <w:pPr>
        <w:pStyle w:val="22"/>
        <w:rPr>
          <w:color w:val="auto"/>
        </w:rPr>
      </w:pPr>
    </w:p>
    <w:p w14:paraId="4EACD6EE">
      <w:pPr>
        <w:pStyle w:val="22"/>
        <w:rPr>
          <w:color w:val="auto"/>
        </w:rPr>
      </w:pPr>
    </w:p>
    <w:p w14:paraId="3EF830C7">
      <w:pPr>
        <w:pStyle w:val="22"/>
        <w:rPr>
          <w:color w:val="auto"/>
        </w:rPr>
      </w:pPr>
    </w:p>
    <w:p w14:paraId="3B60CCCD">
      <w:pPr>
        <w:pStyle w:val="22"/>
        <w:rPr>
          <w:color w:val="auto"/>
        </w:rPr>
      </w:pPr>
    </w:p>
    <w:p w14:paraId="7B790FF1">
      <w:pPr>
        <w:pStyle w:val="22"/>
        <w:rPr>
          <w:color w:val="auto"/>
        </w:rPr>
      </w:pPr>
    </w:p>
    <w:p w14:paraId="64A33E46">
      <w:pPr>
        <w:pStyle w:val="22"/>
        <w:rPr>
          <w:color w:val="auto"/>
        </w:rPr>
      </w:pPr>
    </w:p>
    <w:p w14:paraId="1C16210D">
      <w:pPr>
        <w:pStyle w:val="22"/>
        <w:rPr>
          <w:color w:val="auto"/>
        </w:rPr>
      </w:pPr>
    </w:p>
    <w:p w14:paraId="4252DED8">
      <w:pPr>
        <w:pStyle w:val="22"/>
        <w:rPr>
          <w:color w:val="auto"/>
        </w:rPr>
      </w:pPr>
    </w:p>
    <w:p w14:paraId="1618FAEB">
      <w:pPr>
        <w:pStyle w:val="22"/>
        <w:rPr>
          <w:color w:val="auto"/>
        </w:rPr>
      </w:pPr>
    </w:p>
    <w:p w14:paraId="3FF2123E">
      <w:pPr>
        <w:pStyle w:val="22"/>
        <w:rPr>
          <w:color w:val="auto"/>
        </w:rPr>
      </w:pPr>
    </w:p>
    <w:p w14:paraId="1A6CBE9A">
      <w:pPr>
        <w:pStyle w:val="22"/>
        <w:rPr>
          <w:color w:val="auto"/>
        </w:rPr>
      </w:pPr>
    </w:p>
    <w:p w14:paraId="3F43E0C8">
      <w:pPr>
        <w:pStyle w:val="22"/>
        <w:rPr>
          <w:color w:val="auto"/>
        </w:rPr>
      </w:pPr>
    </w:p>
    <w:p w14:paraId="33D8CD95">
      <w:pPr>
        <w:pStyle w:val="22"/>
        <w:rPr>
          <w:color w:val="auto"/>
        </w:rPr>
      </w:pPr>
    </w:p>
    <w:p w14:paraId="05BA5D89">
      <w:pPr>
        <w:pStyle w:val="22"/>
        <w:rPr>
          <w:color w:val="auto"/>
        </w:rPr>
      </w:pPr>
    </w:p>
    <w:p w14:paraId="59D7A27B">
      <w:pPr>
        <w:pStyle w:val="22"/>
        <w:rPr>
          <w:color w:val="auto"/>
        </w:rPr>
      </w:pPr>
    </w:p>
    <w:p w14:paraId="6A5EE0C2">
      <w:pPr>
        <w:pStyle w:val="22"/>
        <w:rPr>
          <w:color w:val="auto"/>
        </w:rPr>
      </w:pPr>
    </w:p>
    <w:p w14:paraId="463F3918">
      <w:pPr>
        <w:pStyle w:val="22"/>
        <w:rPr>
          <w:color w:val="auto"/>
        </w:rPr>
      </w:pPr>
    </w:p>
    <w:p w14:paraId="4B73C698">
      <w:pPr>
        <w:pStyle w:val="22"/>
        <w:rPr>
          <w:color w:val="auto"/>
        </w:rPr>
      </w:pPr>
    </w:p>
    <w:p w14:paraId="17991E62">
      <w:pPr>
        <w:pStyle w:val="22"/>
        <w:rPr>
          <w:color w:val="auto"/>
        </w:rPr>
      </w:pPr>
    </w:p>
    <w:p w14:paraId="29561E64">
      <w:pPr>
        <w:pStyle w:val="22"/>
        <w:rPr>
          <w:color w:val="auto"/>
        </w:rPr>
      </w:pPr>
    </w:p>
    <w:p w14:paraId="0A32F819">
      <w:pPr>
        <w:pStyle w:val="22"/>
        <w:rPr>
          <w:color w:val="auto"/>
        </w:rPr>
      </w:pPr>
    </w:p>
    <w:p w14:paraId="24CBB826">
      <w:pPr>
        <w:pStyle w:val="22"/>
        <w:rPr>
          <w:color w:val="auto"/>
        </w:rPr>
      </w:pPr>
    </w:p>
    <w:p w14:paraId="21E311D0">
      <w:pPr>
        <w:pStyle w:val="22"/>
        <w:rPr>
          <w:color w:val="auto"/>
        </w:rPr>
      </w:pPr>
    </w:p>
    <w:p w14:paraId="574FD4B8">
      <w:pPr>
        <w:pStyle w:val="22"/>
        <w:rPr>
          <w:color w:val="auto"/>
        </w:rPr>
      </w:pPr>
    </w:p>
    <w:p w14:paraId="0F6219CB">
      <w:pPr>
        <w:pStyle w:val="22"/>
        <w:rPr>
          <w:color w:val="auto"/>
        </w:rPr>
      </w:pPr>
    </w:p>
    <w:p w14:paraId="72EBDF60">
      <w:pPr>
        <w:pStyle w:val="22"/>
        <w:rPr>
          <w:color w:val="auto"/>
        </w:rPr>
      </w:pPr>
    </w:p>
    <w:p w14:paraId="56B6761C">
      <w:pPr>
        <w:pStyle w:val="22"/>
        <w:rPr>
          <w:color w:val="auto"/>
        </w:rPr>
      </w:pPr>
    </w:p>
    <w:p w14:paraId="7E7F16F3">
      <w:pPr>
        <w:pStyle w:val="22"/>
        <w:rPr>
          <w:color w:val="auto"/>
        </w:rPr>
      </w:pPr>
    </w:p>
    <w:p w14:paraId="28453B87">
      <w:pPr>
        <w:pStyle w:val="22"/>
        <w:rPr>
          <w:color w:val="auto"/>
        </w:rPr>
      </w:pPr>
    </w:p>
    <w:p w14:paraId="7781B137">
      <w:pPr>
        <w:pStyle w:val="22"/>
        <w:rPr>
          <w:color w:val="auto"/>
        </w:rPr>
      </w:pPr>
    </w:p>
    <w:p w14:paraId="11CC7E1B">
      <w:pPr>
        <w:pStyle w:val="22"/>
        <w:rPr>
          <w:color w:val="auto"/>
        </w:rPr>
      </w:pPr>
    </w:p>
    <w:p w14:paraId="340E5B11">
      <w:pPr>
        <w:pStyle w:val="22"/>
        <w:rPr>
          <w:color w:val="auto"/>
        </w:rPr>
      </w:pPr>
      <w:r>
        <w:rPr>
          <w:rFonts w:hint="eastAsia"/>
          <w:color w:val="auto"/>
        </w:rPr>
        <w:drawing>
          <wp:anchor distT="0" distB="0" distL="114300" distR="114300" simplePos="0" relativeHeight="251668480" behindDoc="0" locked="0" layoutInCell="1" allowOverlap="1">
            <wp:simplePos x="0" y="0"/>
            <wp:positionH relativeFrom="column">
              <wp:posOffset>2520950</wp:posOffset>
            </wp:positionH>
            <wp:positionV relativeFrom="paragraph">
              <wp:posOffset>122555</wp:posOffset>
            </wp:positionV>
            <wp:extent cx="554355" cy="401320"/>
            <wp:effectExtent l="0" t="0" r="17145" b="17780"/>
            <wp:wrapNone/>
            <wp:docPr id="15" name="图片 15"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_尚昊 标"/>
                    <pic:cNvPicPr>
                      <a:picLocks noChangeAspect="1"/>
                    </pic:cNvPicPr>
                  </pic:nvPicPr>
                  <pic:blipFill>
                    <a:blip r:embed="rId26"/>
                    <a:stretch>
                      <a:fillRect/>
                    </a:stretch>
                  </pic:blipFill>
                  <pic:spPr>
                    <a:xfrm>
                      <a:off x="0" y="0"/>
                      <a:ext cx="554355" cy="401320"/>
                    </a:xfrm>
                    <a:prstGeom prst="rect">
                      <a:avLst/>
                    </a:prstGeom>
                  </pic:spPr>
                </pic:pic>
              </a:graphicData>
            </a:graphic>
          </wp:anchor>
        </w:drawing>
      </w:r>
    </w:p>
    <w:p w14:paraId="27381CA8">
      <w:pPr>
        <w:pStyle w:val="22"/>
        <w:rPr>
          <w:color w:val="auto"/>
        </w:rPr>
      </w:pPr>
    </w:p>
    <w:p w14:paraId="572382E5">
      <w:pPr>
        <w:spacing w:line="440" w:lineRule="exact"/>
        <w:rPr>
          <w:color w:val="auto"/>
          <w:sz w:val="32"/>
          <w:szCs w:val="32"/>
        </w:rPr>
      </w:pPr>
      <w:r>
        <w:rPr>
          <w:rFonts w:hint="eastAsia"/>
          <w:color w:val="auto"/>
          <w:sz w:val="32"/>
          <w:szCs w:val="32"/>
        </w:rPr>
        <w:t>安康尚昊招标代理有限公司</w:t>
      </w:r>
    </w:p>
    <w:p w14:paraId="21286A54">
      <w:pPr>
        <w:spacing w:line="440" w:lineRule="exact"/>
        <w:jc w:val="center"/>
        <w:rPr>
          <w:color w:val="auto"/>
          <w:sz w:val="32"/>
          <w:szCs w:val="32"/>
        </w:rPr>
      </w:pPr>
      <w:r>
        <w:rPr>
          <w:rFonts w:hint="eastAsia"/>
          <w:color w:val="auto"/>
          <w:sz w:val="32"/>
          <w:szCs w:val="3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pt;width:423pt;z-index:251663360;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cKp9jT&#10;AAAABgEAAA8AAAAAAAAAAQAgAAAAIgAAAGRycy9kb3ducmV2LnhtbFBLAQIUABQAAAAIAIdO4kD7&#10;0hfG7AEAANkDAAAOAAAAAAAAAAEAIAAAACIBAABkcnMvZTJvRG9jLnhtbFBLBQYAAAAABgAGAFkB&#10;AACABQAAAAA=&#10;">
                <v:fill on="f" focussize="0,0"/>
                <v:stroke weight="1.5pt" color="#000000" joinstyle="round"/>
                <v:imagedata o:title=""/>
                <o:lock v:ext="edit" aspectratio="f"/>
              </v:line>
            </w:pict>
          </mc:Fallback>
        </mc:AlternateContent>
      </w:r>
    </w:p>
    <w:p w14:paraId="6EFB4668">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982331336"/>
        </w:rPr>
        <w:t xml:space="preserve">地    </w:t>
      </w:r>
      <w:r>
        <w:rPr>
          <w:rFonts w:hint="eastAsia" w:hAnsi="宋体"/>
          <w:color w:val="auto"/>
          <w:spacing w:val="0"/>
          <w:kern w:val="0"/>
          <w:sz w:val="24"/>
          <w:szCs w:val="24"/>
          <w:fitText w:val="1050" w:id="982331336"/>
        </w:rPr>
        <w:t>址</w:t>
      </w:r>
      <w:r>
        <w:rPr>
          <w:rFonts w:hint="eastAsia" w:hAnsi="宋体"/>
          <w:color w:val="auto"/>
          <w:spacing w:val="-6"/>
          <w:sz w:val="24"/>
          <w:szCs w:val="24"/>
        </w:rPr>
        <w:t>：安康市高新区</w:t>
      </w:r>
      <w:r>
        <w:rPr>
          <w:rFonts w:hint="eastAsia" w:hAnsi="宋体"/>
          <w:color w:val="auto"/>
          <w:spacing w:val="-6"/>
          <w:sz w:val="24"/>
          <w:szCs w:val="24"/>
          <w:lang w:eastAsia="zh-CN"/>
        </w:rPr>
        <w:t>高新观澜8栋</w:t>
      </w:r>
      <w:r>
        <w:rPr>
          <w:rFonts w:hint="eastAsia" w:hAnsi="宋体"/>
          <w:color w:val="auto"/>
          <w:spacing w:val="-6"/>
          <w:sz w:val="24"/>
          <w:szCs w:val="24"/>
        </w:rPr>
        <w:t>2单元801室</w:t>
      </w:r>
    </w:p>
    <w:p w14:paraId="090A00DB">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1"/>
        </w:rPr>
        <w:t xml:space="preserve">邮    </w:t>
      </w:r>
      <w:r>
        <w:rPr>
          <w:rFonts w:hint="eastAsia" w:hAnsi="宋体"/>
          <w:color w:val="auto"/>
          <w:spacing w:val="0"/>
          <w:kern w:val="0"/>
          <w:sz w:val="24"/>
          <w:szCs w:val="24"/>
          <w:fitText w:val="1050" w:id="1"/>
        </w:rPr>
        <w:t>编</w:t>
      </w:r>
      <w:r>
        <w:rPr>
          <w:rFonts w:hint="eastAsia" w:hAnsi="宋体"/>
          <w:color w:val="auto"/>
          <w:sz w:val="24"/>
          <w:szCs w:val="24"/>
        </w:rPr>
        <w:t>：725000</w:t>
      </w:r>
    </w:p>
    <w:p w14:paraId="31A72DAA">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2"/>
        </w:rPr>
        <w:t xml:space="preserve">电    </w:t>
      </w:r>
      <w:r>
        <w:rPr>
          <w:rFonts w:hint="eastAsia" w:hAnsi="宋体"/>
          <w:color w:val="auto"/>
          <w:spacing w:val="0"/>
          <w:kern w:val="0"/>
          <w:sz w:val="24"/>
          <w:szCs w:val="24"/>
          <w:fitText w:val="1050" w:id="2"/>
        </w:rPr>
        <w:t>话</w:t>
      </w:r>
      <w:r>
        <w:rPr>
          <w:rFonts w:hint="eastAsia" w:hAnsi="宋体"/>
          <w:color w:val="auto"/>
          <w:sz w:val="24"/>
          <w:szCs w:val="24"/>
        </w:rPr>
        <w:t>：13991519725</w:t>
      </w:r>
    </w:p>
    <w:p w14:paraId="0FC97798">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3"/>
        </w:rPr>
        <w:t>公司名</w:t>
      </w:r>
      <w:r>
        <w:rPr>
          <w:rFonts w:hint="eastAsia" w:hAnsi="宋体"/>
          <w:color w:val="auto"/>
          <w:spacing w:val="0"/>
          <w:kern w:val="0"/>
          <w:sz w:val="24"/>
          <w:szCs w:val="24"/>
          <w:fitText w:val="1050" w:id="3"/>
        </w:rPr>
        <w:t>称</w:t>
      </w:r>
      <w:r>
        <w:rPr>
          <w:rFonts w:hint="eastAsia" w:hAnsi="宋体"/>
          <w:color w:val="auto"/>
          <w:sz w:val="24"/>
          <w:szCs w:val="24"/>
        </w:rPr>
        <w:t>：安康尚昊招标代理有限公司</w:t>
      </w:r>
    </w:p>
    <w:p w14:paraId="21E776D7">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4"/>
        </w:rPr>
        <w:t>开户银</w:t>
      </w:r>
      <w:r>
        <w:rPr>
          <w:rFonts w:hint="eastAsia" w:hAnsi="宋体"/>
          <w:color w:val="auto"/>
          <w:spacing w:val="0"/>
          <w:kern w:val="0"/>
          <w:sz w:val="24"/>
          <w:szCs w:val="24"/>
          <w:fitText w:val="1050" w:id="4"/>
        </w:rPr>
        <w:t>行</w:t>
      </w:r>
      <w:r>
        <w:rPr>
          <w:rFonts w:hint="eastAsia" w:hAnsi="宋体"/>
          <w:color w:val="auto"/>
          <w:sz w:val="24"/>
          <w:szCs w:val="24"/>
        </w:rPr>
        <w:t>：中国建设银行股份有限公司安康分行营业部</w:t>
      </w:r>
    </w:p>
    <w:p w14:paraId="222FDA54">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5"/>
        </w:rPr>
        <w:t xml:space="preserve">账    </w:t>
      </w:r>
      <w:r>
        <w:rPr>
          <w:rFonts w:hint="eastAsia" w:hAnsi="宋体"/>
          <w:color w:val="auto"/>
          <w:spacing w:val="0"/>
          <w:kern w:val="0"/>
          <w:sz w:val="24"/>
          <w:szCs w:val="24"/>
          <w:fitText w:val="1050" w:id="5"/>
        </w:rPr>
        <w:t>号</w:t>
      </w:r>
      <w:r>
        <w:rPr>
          <w:rFonts w:hint="eastAsia" w:hAnsi="宋体"/>
          <w:color w:val="auto"/>
          <w:sz w:val="24"/>
          <w:szCs w:val="24"/>
        </w:rPr>
        <w:t>：</w:t>
      </w:r>
      <w:r>
        <w:rPr>
          <w:rFonts w:hint="eastAsia" w:ascii="宋体" w:hAnsi="宋体" w:cs="宋体"/>
          <w:color w:val="auto"/>
          <w:sz w:val="24"/>
          <w:szCs w:val="28"/>
        </w:rPr>
        <w:t>61050166371100000492</w:t>
      </w:r>
      <w:r>
        <w:rPr>
          <w:rFonts w:hint="eastAsia" w:hAnsi="宋体"/>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pt;width:423pt;z-index:251662336;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i+1gLT&#10;AAAABgEAAA8AAAAAAAAAAQAgAAAAIgAAAGRycy9kb3ducmV2LnhtbFBLAQIUABQAAAAIAIdO4kDI&#10;KlhK7AEAANkDAAAOAAAAAAAAAAEAIAAAACIBAABkcnMvZTJvRG9jLnhtbFBLBQYAAAAABgAGAFkB&#10;AACABQAAAAA=&#10;">
                <v:fill on="f" focussize="0,0"/>
                <v:stroke weight="1.5pt" color="#000000" joinstyle="round"/>
                <v:imagedata o:title=""/>
                <o:lock v:ext="edit" aspectratio="f"/>
              </v:line>
            </w:pict>
          </mc:Fallback>
        </mc:AlternateContent>
      </w:r>
    </w:p>
    <w:p w14:paraId="33EC508C">
      <w:pPr>
        <w:pStyle w:val="108"/>
        <w:ind w:firstLine="420"/>
        <w:rPr>
          <w:color w:val="auto"/>
        </w:rPr>
      </w:pPr>
    </w:p>
    <w:p w14:paraId="0A6EDC4D">
      <w:pPr>
        <w:spacing w:line="20" w:lineRule="exact"/>
        <w:rPr>
          <w:color w:val="auto"/>
        </w:rPr>
      </w:pPr>
    </w:p>
    <w:sectPr>
      <w:footerReference r:id="rId24" w:type="first"/>
      <w:footerReference r:id="rId23" w:type="default"/>
      <w:pgSz w:w="11906" w:h="16838"/>
      <w:pgMar w:top="1417" w:right="1417" w:bottom="1417" w:left="1417" w:header="1134" w:footer="992" w:gutter="0"/>
      <w:pgBorders>
        <w:top w:val="none" w:sz="0" w:space="0"/>
        <w:left w:val="none" w:sz="0" w:space="0"/>
        <w:bottom w:val="none" w:sz="0" w:space="0"/>
        <w:right w:val="none" w:sz="0" w:space="0"/>
      </w:pgBorders>
      <w:pgNumType w:fmt="decimal"/>
      <w:cols w:space="0"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decorative"/>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Open Sans">
    <w:altName w:val="Times New Roman"/>
    <w:panose1 w:val="00000000000000000000"/>
    <w:charset w:val="00"/>
    <w:family w:val="swiss"/>
    <w:pitch w:val="default"/>
    <w:sig w:usb0="00000000" w:usb1="00000000"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2CC96">
    <w:pPr>
      <w:pStyle w:val="22"/>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900B1">
    <w:pPr>
      <w:pStyle w:val="22"/>
      <w:tabs>
        <w:tab w:val="center" w:pos="4819"/>
        <w:tab w:val="left" w:pos="7440"/>
      </w:tabs>
    </w:pPr>
    <w:r>
      <w:tab/>
    </w:r>
  </w:p>
  <w:p w14:paraId="3F7463FF">
    <w:pPr>
      <w:pStyle w:val="22"/>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B56AD">
    <w:pPr>
      <w:pStyle w:val="22"/>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B8EF6">
    <w:pPr>
      <w:pStyle w:val="22"/>
      <w:tabs>
        <w:tab w:val="center" w:pos="4819"/>
        <w:tab w:val="left" w:pos="744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9CDB96">
                          <w:pPr>
                            <w:pStyle w:val="22"/>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9CDB96">
                    <w:pPr>
                      <w:pStyle w:val="22"/>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52</w:t>
                    </w:r>
                    <w:r>
                      <w:t>页</w:t>
                    </w:r>
                  </w:p>
                </w:txbxContent>
              </v:textbox>
            </v:shape>
          </w:pict>
        </mc:Fallback>
      </mc:AlternateContent>
    </w:r>
    <w:r>
      <w:tab/>
    </w:r>
  </w:p>
  <w:p w14:paraId="5ECC928F">
    <w:pPr>
      <w:pStyle w:val="22"/>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C13F8">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8801A">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CC8801A">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123C1">
    <w:pPr>
      <w:pStyle w:val="22"/>
      <w:tabs>
        <w:tab w:val="center" w:pos="4819"/>
        <w:tab w:val="left" w:pos="744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7B4E5">
                          <w:pPr>
                            <w:pStyle w:val="22"/>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EB7B4E5">
                    <w:pPr>
                      <w:pStyle w:val="22"/>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52</w:t>
                    </w:r>
                    <w:r>
                      <w:t xml:space="preserve"> 页</w:t>
                    </w:r>
                  </w:p>
                </w:txbxContent>
              </v:textbox>
            </v:shape>
          </w:pict>
        </mc:Fallback>
      </mc:AlternateContent>
    </w:r>
    <w:r>
      <w:tab/>
    </w:r>
  </w:p>
  <w:p w14:paraId="44C4023F">
    <w:pPr>
      <w:pStyle w:val="22"/>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FCE32">
    <w:pPr>
      <w:pStyle w:val="2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3F8341">
                          <w:pPr>
                            <w:pStyle w:val="22"/>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73F8341">
                    <w:pPr>
                      <w:pStyle w:val="22"/>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52</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A88A7">
    <w:pPr>
      <w:pStyle w:val="22"/>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2BD947">
                          <w:pPr>
                            <w:pStyle w:val="22"/>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C2BD947">
                    <w:pPr>
                      <w:pStyle w:val="22"/>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17C79">
    <w:pPr>
      <w:pStyle w:val="22"/>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E906D">
                          <w:pPr>
                            <w:pStyle w:val="22"/>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B1E906D">
                    <w:pPr>
                      <w:pStyle w:val="22"/>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EE6A3">
    <w:pPr>
      <w:pStyle w:val="22"/>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4E5749">
                          <w:pPr>
                            <w:pStyle w:val="22"/>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E4E5749">
                    <w:pPr>
                      <w:pStyle w:val="22"/>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52</w:t>
                    </w:r>
                    <w:r>
                      <w:t xml:space="preserve"> 页</w:t>
                    </w:r>
                  </w:p>
                </w:txbxContent>
              </v:textbox>
            </v:shape>
          </w:pict>
        </mc:Fallback>
      </mc:AlternateContent>
    </w:r>
    <w:r>
      <w:tab/>
    </w:r>
  </w:p>
  <w:p w14:paraId="348276B3">
    <w:pPr>
      <w:pStyle w:val="22"/>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8DC1F">
    <w:pPr>
      <w:pStyle w:val="22"/>
      <w:tabs>
        <w:tab w:val="center" w:pos="4819"/>
        <w:tab w:val="left" w:pos="7440"/>
      </w:tabs>
      <w:jc w:val="center"/>
      <w:rPr>
        <w:rFonts w:ascii="宋体"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9559D6">
                          <w:pPr>
                            <w:pStyle w:val="22"/>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99559D6">
                    <w:pPr>
                      <w:pStyle w:val="22"/>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52</w:t>
                    </w:r>
                    <w:r>
                      <w:t>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82027">
    <w:pPr>
      <w:pStyle w:val="2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BA4EE">
                          <w:pPr>
                            <w:pStyle w:val="22"/>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89BA4EE">
                    <w:pPr>
                      <w:pStyle w:val="22"/>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74222">
    <w:pPr>
      <w:pStyle w:val="22"/>
      <w:tabs>
        <w:tab w:val="center" w:pos="4819"/>
        <w:tab w:val="left" w:pos="7440"/>
      </w:tabs>
    </w:pPr>
    <w:r>
      <w:tab/>
    </w:r>
  </w:p>
  <w:p w14:paraId="7CBF6A3F">
    <w:pPr>
      <w:pStyle w:val="22"/>
      <w:ind w:right="360"/>
      <w:jc w:val="center"/>
      <w:rPr>
        <w:rFonts w:ascii="宋体"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0CEF">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613DC">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安康市公安局汉滨分局</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773E4">
    <w:pPr>
      <w:pStyle w:val="24"/>
      <w:pBdr>
        <w:bottom w:val="none" w:color="auto" w:sz="0" w:space="1"/>
      </w:pBd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3B448">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涉网新型行为分析系统</w:t>
    </w:r>
    <w:r>
      <w:rPr>
        <w:rFonts w:hint="eastAsia" w:ascii="宋体" w:hAnsi="宋体" w:cs="宋体"/>
        <w:sz w:val="21"/>
        <w:szCs w:val="21"/>
        <w:u w:val="single"/>
      </w:rPr>
      <w:t xml:space="preserve">          项目编号：</w:t>
    </w:r>
    <w:r>
      <w:rPr>
        <w:rFonts w:hint="eastAsia" w:ascii="宋体" w:hAnsi="宋体" w:cs="宋体"/>
        <w:sz w:val="21"/>
        <w:szCs w:val="21"/>
        <w:u w:val="single"/>
        <w:lang w:eastAsia="zh-CN"/>
      </w:rPr>
      <w:t>AKSH2026-ZCS-069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A84B2">
    <w:pPr>
      <w:pStyle w:val="24"/>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BC6E9">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涉网新型行为分析系统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项目编号：AKSH2026-ZCS-069</w:t>
    </w:r>
    <w:r>
      <w:rPr>
        <w:rFonts w:hint="eastAsia" w:ascii="宋体" w:hAnsi="宋体" w:cs="宋体"/>
        <w:sz w:val="21"/>
        <w:szCs w:val="21"/>
        <w:u w:val="single"/>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2F41D">
    <w:pPr>
      <w:pStyle w:val="24"/>
      <w:pBdr>
        <w:bottom w:val="none" w:color="auto" w:sz="0" w:space="1"/>
      </w:pBdr>
      <w:jc w:val="both"/>
      <w:rPr>
        <w:rFonts w:ascii="宋体" w:hAnsi="宋体" w:cs="宋体"/>
        <w:sz w:val="21"/>
        <w:szCs w:val="21"/>
        <w:u w:val="single"/>
      </w:rPr>
    </w:pPr>
    <w:r>
      <w:rPr>
        <w:rFonts w:hint="eastAsia" w:ascii="宋体" w:hAnsi="宋体" w:cs="宋体"/>
        <w:sz w:val="21"/>
        <w:szCs w:val="21"/>
        <w:u w:val="single"/>
      </w:rPr>
      <w:t>项目名称：</w:t>
    </w:r>
    <w:r>
      <w:rPr>
        <w:rFonts w:hint="eastAsia" w:ascii="宋体" w:hAnsi="宋体" w:cs="宋体"/>
        <w:sz w:val="21"/>
        <w:szCs w:val="21"/>
        <w:u w:val="single"/>
        <w:lang w:eastAsia="zh-CN"/>
      </w:rPr>
      <w:t>涉网新型行为分析系统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项目编号：AKSH2026-ZCS-069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AB91C">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涉网新型行为分析系统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项目编号：AKSH2026-ZCS-069    </w:t>
    </w:r>
    <w:r>
      <w:rPr>
        <w:rFonts w:hint="eastAsia" w:ascii="宋体" w:hAnsi="宋体" w:cs="宋体"/>
        <w:sz w:val="21"/>
        <w:szCs w:val="21"/>
        <w:u w:val="single"/>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23EF0">
    <w:pPr>
      <w:pStyle w:val="24"/>
      <w:pBdr>
        <w:bottom w:val="none" w:color="auto" w:sz="0" w:space="1"/>
      </w:pBdr>
      <w:jc w:val="both"/>
      <w:rPr>
        <w:rFonts w:hint="eastAsia" w:eastAsia="宋体"/>
        <w:lang w:eastAsia="zh-CN"/>
      </w:rPr>
    </w:pPr>
    <w:bookmarkStart w:id="204" w:name="OLE_LINK2"/>
    <w:r>
      <w:rPr>
        <w:rFonts w:hint="eastAsia" w:ascii="宋体" w:hAnsi="宋体" w:cs="宋体"/>
        <w:sz w:val="21"/>
        <w:szCs w:val="21"/>
        <w:u w:val="single"/>
      </w:rPr>
      <w:t>项目名称：</w:t>
    </w:r>
    <w:r>
      <w:rPr>
        <w:rFonts w:hint="eastAsia" w:ascii="宋体" w:hAnsi="宋体" w:cs="宋体"/>
        <w:sz w:val="21"/>
        <w:szCs w:val="21"/>
        <w:u w:val="single"/>
        <w:lang w:eastAsia="zh-CN"/>
      </w:rPr>
      <w:t>涉网新型行为分析系统</w:t>
    </w:r>
    <w:r>
      <w:rPr>
        <w:rFonts w:hint="eastAsia" w:ascii="宋体" w:hAnsi="宋体" w:cs="宋体"/>
        <w:sz w:val="21"/>
        <w:szCs w:val="21"/>
        <w:u w:val="single"/>
        <w:lang w:val="en-US" w:eastAsia="zh-CN"/>
      </w:rPr>
      <w:t xml:space="preserve">                              项目编号：AKSH2026-ZCS-069     </w:t>
    </w:r>
    <w:r>
      <w:rPr>
        <w:rFonts w:hint="eastAsia" w:ascii="宋体" w:hAnsi="宋体" w:cs="宋体"/>
        <w:sz w:val="21"/>
        <w:szCs w:val="21"/>
        <w:u w:val="single"/>
      </w:rPr>
      <w:t xml:space="preserve">   </w:t>
    </w:r>
    <w:bookmarkEnd w:id="20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F9121D"/>
    <w:multiLevelType w:val="singleLevel"/>
    <w:tmpl w:val="8DF9121D"/>
    <w:lvl w:ilvl="0" w:tentative="0">
      <w:start w:val="1"/>
      <w:numFmt w:val="decimal"/>
      <w:lvlText w:val="%1"/>
      <w:lvlJc w:val="left"/>
      <w:pPr>
        <w:tabs>
          <w:tab w:val="left" w:pos="420"/>
        </w:tabs>
        <w:ind w:left="425" w:leftChars="0" w:hanging="425" w:firstLineChars="0"/>
      </w:pPr>
      <w:rPr>
        <w:rFonts w:hint="default"/>
      </w:rPr>
    </w:lvl>
  </w:abstractNum>
  <w:abstractNum w:abstractNumId="1">
    <w:nsid w:val="B6C6ED33"/>
    <w:multiLevelType w:val="singleLevel"/>
    <w:tmpl w:val="B6C6ED33"/>
    <w:lvl w:ilvl="0" w:tentative="0">
      <w:start w:val="4"/>
      <w:numFmt w:val="chineseCounting"/>
      <w:suff w:val="space"/>
      <w:lvlText w:val="第%1部分"/>
      <w:lvlJc w:val="left"/>
      <w:rPr>
        <w:rFonts w:hint="eastAsia"/>
      </w:rPr>
    </w:lvl>
  </w:abstractNum>
  <w:abstractNum w:abstractNumId="2">
    <w:nsid w:val="4F60F180"/>
    <w:multiLevelType w:val="singleLevel"/>
    <w:tmpl w:val="4F60F180"/>
    <w:lvl w:ilvl="0" w:tentative="0">
      <w:start w:val="3"/>
      <w:numFmt w:val="decimal"/>
      <w:lvlText w:val="%1."/>
      <w:lvlJc w:val="left"/>
      <w:pPr>
        <w:tabs>
          <w:tab w:val="left" w:pos="312"/>
        </w:tabs>
      </w:p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6">
    <w:nsid w:val="6C09D19A"/>
    <w:multiLevelType w:val="singleLevel"/>
    <w:tmpl w:val="6C09D19A"/>
    <w:lvl w:ilvl="0" w:tentative="0">
      <w:start w:val="1"/>
      <w:numFmt w:val="decimal"/>
      <w:lvlText w:val="%1."/>
      <w:lvlJc w:val="left"/>
      <w:pPr>
        <w:tabs>
          <w:tab w:val="left" w:pos="312"/>
        </w:tabs>
      </w:pPr>
    </w:lvl>
  </w:abstractNum>
  <w:abstractNum w:abstractNumId="7">
    <w:nsid w:val="7FA36529"/>
    <w:multiLevelType w:val="singleLevel"/>
    <w:tmpl w:val="7FA36529"/>
    <w:lvl w:ilvl="0" w:tentative="0">
      <w:start w:val="1"/>
      <w:numFmt w:val="chineseCounting"/>
      <w:suff w:val="nothing"/>
      <w:lvlText w:val="%1、"/>
      <w:lvlJc w:val="left"/>
      <w:rPr>
        <w:rFonts w:hint="eastAsia"/>
      </w:rPr>
    </w:lvl>
  </w:abstractNum>
  <w:num w:numId="1">
    <w:abstractNumId w:val="2"/>
  </w:num>
  <w:num w:numId="2">
    <w:abstractNumId w:val="0"/>
  </w:num>
  <w:num w:numId="3">
    <w:abstractNumId w:val="3"/>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dit="forms" w:enforcement="1" w:cryptProviderType="rsaFull" w:cryptAlgorithmClass="hash" w:cryptAlgorithmType="typeAny" w:cryptAlgorithmSid="4" w:cryptSpinCount="0" w:hash="f3aCRCQ10JjrRbXSKdZT2OGrD/c=" w:salt="YW+Ym6fUjafYqwJYWq22Ww=="/>
  <w:defaultTabStop w:val="420"/>
  <w:doNotHyphenateCaps/>
  <w:drawingGridHorizontalSpacing w:val="21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3D89"/>
    <w:rsid w:val="00004BA7"/>
    <w:rsid w:val="00005B32"/>
    <w:rsid w:val="00010EA2"/>
    <w:rsid w:val="00015CE5"/>
    <w:rsid w:val="0001630B"/>
    <w:rsid w:val="00016924"/>
    <w:rsid w:val="000215F9"/>
    <w:rsid w:val="0002193F"/>
    <w:rsid w:val="000251B2"/>
    <w:rsid w:val="000354E9"/>
    <w:rsid w:val="0003768B"/>
    <w:rsid w:val="00040CAE"/>
    <w:rsid w:val="0005257D"/>
    <w:rsid w:val="0005463B"/>
    <w:rsid w:val="00056A18"/>
    <w:rsid w:val="0006270F"/>
    <w:rsid w:val="0006767E"/>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22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E616D"/>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45A5B"/>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035"/>
    <w:rsid w:val="00642F93"/>
    <w:rsid w:val="006657C9"/>
    <w:rsid w:val="006739A1"/>
    <w:rsid w:val="00675301"/>
    <w:rsid w:val="00676150"/>
    <w:rsid w:val="0068208A"/>
    <w:rsid w:val="006852A3"/>
    <w:rsid w:val="00686E29"/>
    <w:rsid w:val="00691EC3"/>
    <w:rsid w:val="00696FBA"/>
    <w:rsid w:val="006A2AC7"/>
    <w:rsid w:val="006A2D96"/>
    <w:rsid w:val="006A3734"/>
    <w:rsid w:val="006B38D0"/>
    <w:rsid w:val="006C4563"/>
    <w:rsid w:val="006D079F"/>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94C43"/>
    <w:rsid w:val="007A16A6"/>
    <w:rsid w:val="007A2512"/>
    <w:rsid w:val="007A36C0"/>
    <w:rsid w:val="007A69BE"/>
    <w:rsid w:val="007B2B77"/>
    <w:rsid w:val="007B6B64"/>
    <w:rsid w:val="007B6BCF"/>
    <w:rsid w:val="007B6D05"/>
    <w:rsid w:val="007C18C2"/>
    <w:rsid w:val="007C1CAA"/>
    <w:rsid w:val="007C7DEA"/>
    <w:rsid w:val="007D00DF"/>
    <w:rsid w:val="007E3909"/>
    <w:rsid w:val="007E552D"/>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2EB"/>
    <w:rsid w:val="00870EAE"/>
    <w:rsid w:val="008710F1"/>
    <w:rsid w:val="00876563"/>
    <w:rsid w:val="008839DC"/>
    <w:rsid w:val="00885D6D"/>
    <w:rsid w:val="008866C0"/>
    <w:rsid w:val="008878D1"/>
    <w:rsid w:val="00887D1E"/>
    <w:rsid w:val="00891290"/>
    <w:rsid w:val="008962A7"/>
    <w:rsid w:val="00897D92"/>
    <w:rsid w:val="008A0975"/>
    <w:rsid w:val="008A367A"/>
    <w:rsid w:val="008B2891"/>
    <w:rsid w:val="008B3BC3"/>
    <w:rsid w:val="008B7CA5"/>
    <w:rsid w:val="008C08F3"/>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3AE7"/>
    <w:rsid w:val="00954CF1"/>
    <w:rsid w:val="00956521"/>
    <w:rsid w:val="00962505"/>
    <w:rsid w:val="00964B6E"/>
    <w:rsid w:val="0096516F"/>
    <w:rsid w:val="0096641E"/>
    <w:rsid w:val="00967538"/>
    <w:rsid w:val="0097045D"/>
    <w:rsid w:val="0097134B"/>
    <w:rsid w:val="009729CB"/>
    <w:rsid w:val="00983FAD"/>
    <w:rsid w:val="0098589A"/>
    <w:rsid w:val="009859B0"/>
    <w:rsid w:val="0099232E"/>
    <w:rsid w:val="009935A5"/>
    <w:rsid w:val="009A4A76"/>
    <w:rsid w:val="009A6B98"/>
    <w:rsid w:val="009A77A9"/>
    <w:rsid w:val="009B5F0C"/>
    <w:rsid w:val="009C0F48"/>
    <w:rsid w:val="009C28C6"/>
    <w:rsid w:val="009C52D9"/>
    <w:rsid w:val="009C65C7"/>
    <w:rsid w:val="009D4358"/>
    <w:rsid w:val="009D657F"/>
    <w:rsid w:val="009D6BDA"/>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AE9"/>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3826"/>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4D24"/>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C4D0A"/>
    <w:rsid w:val="00ED216E"/>
    <w:rsid w:val="00ED25F2"/>
    <w:rsid w:val="00ED57BA"/>
    <w:rsid w:val="00ED79B8"/>
    <w:rsid w:val="00EE016C"/>
    <w:rsid w:val="00EE1052"/>
    <w:rsid w:val="00EE50E0"/>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6BF8"/>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3730A5"/>
    <w:rsid w:val="013A223F"/>
    <w:rsid w:val="0141481B"/>
    <w:rsid w:val="01525A0A"/>
    <w:rsid w:val="01630F53"/>
    <w:rsid w:val="016A454D"/>
    <w:rsid w:val="016D50E6"/>
    <w:rsid w:val="017D3840"/>
    <w:rsid w:val="018E640A"/>
    <w:rsid w:val="01920D21"/>
    <w:rsid w:val="01AC2FBF"/>
    <w:rsid w:val="01AC5842"/>
    <w:rsid w:val="01AD1AAE"/>
    <w:rsid w:val="01B91D0C"/>
    <w:rsid w:val="01D86994"/>
    <w:rsid w:val="01DA363D"/>
    <w:rsid w:val="01EE19B6"/>
    <w:rsid w:val="01F90F7C"/>
    <w:rsid w:val="01FD1152"/>
    <w:rsid w:val="020531A4"/>
    <w:rsid w:val="020600F6"/>
    <w:rsid w:val="02064B47"/>
    <w:rsid w:val="02193145"/>
    <w:rsid w:val="022D433C"/>
    <w:rsid w:val="023C7D0C"/>
    <w:rsid w:val="023F763D"/>
    <w:rsid w:val="02590F24"/>
    <w:rsid w:val="02854F8C"/>
    <w:rsid w:val="028A67B7"/>
    <w:rsid w:val="02906142"/>
    <w:rsid w:val="02BA4D88"/>
    <w:rsid w:val="02BA6C1F"/>
    <w:rsid w:val="02C56FBB"/>
    <w:rsid w:val="02CB14A4"/>
    <w:rsid w:val="02D06F2C"/>
    <w:rsid w:val="02D3498C"/>
    <w:rsid w:val="02D37EB0"/>
    <w:rsid w:val="02D533B3"/>
    <w:rsid w:val="02E57ADC"/>
    <w:rsid w:val="02F61685"/>
    <w:rsid w:val="02FA17E2"/>
    <w:rsid w:val="02FD5BFC"/>
    <w:rsid w:val="02FE20CD"/>
    <w:rsid w:val="02FE73C3"/>
    <w:rsid w:val="030A0C9E"/>
    <w:rsid w:val="03123218"/>
    <w:rsid w:val="03442ED4"/>
    <w:rsid w:val="034B2E38"/>
    <w:rsid w:val="034C725D"/>
    <w:rsid w:val="0358398D"/>
    <w:rsid w:val="03720CB3"/>
    <w:rsid w:val="037E5DCB"/>
    <w:rsid w:val="03963471"/>
    <w:rsid w:val="03990B73"/>
    <w:rsid w:val="03A27284"/>
    <w:rsid w:val="03C10C9F"/>
    <w:rsid w:val="03C14100"/>
    <w:rsid w:val="03C921C1"/>
    <w:rsid w:val="03CA29C7"/>
    <w:rsid w:val="03FD053E"/>
    <w:rsid w:val="040B7728"/>
    <w:rsid w:val="0411533A"/>
    <w:rsid w:val="042A0462"/>
    <w:rsid w:val="04536164"/>
    <w:rsid w:val="0459572E"/>
    <w:rsid w:val="047A39D5"/>
    <w:rsid w:val="04B17441"/>
    <w:rsid w:val="04CB26A7"/>
    <w:rsid w:val="04CD0688"/>
    <w:rsid w:val="04CD34EE"/>
    <w:rsid w:val="04D502BA"/>
    <w:rsid w:val="04DF4866"/>
    <w:rsid w:val="04F06D3D"/>
    <w:rsid w:val="04FF39AD"/>
    <w:rsid w:val="050047DB"/>
    <w:rsid w:val="050438CD"/>
    <w:rsid w:val="050E77DB"/>
    <w:rsid w:val="052B0940"/>
    <w:rsid w:val="0532605E"/>
    <w:rsid w:val="053973B5"/>
    <w:rsid w:val="05402991"/>
    <w:rsid w:val="054E1CE0"/>
    <w:rsid w:val="056C728C"/>
    <w:rsid w:val="057A7F6E"/>
    <w:rsid w:val="0580501B"/>
    <w:rsid w:val="05CA380B"/>
    <w:rsid w:val="05D137D6"/>
    <w:rsid w:val="05D71396"/>
    <w:rsid w:val="05E73C3B"/>
    <w:rsid w:val="05FA123D"/>
    <w:rsid w:val="05FB4E02"/>
    <w:rsid w:val="05FF224E"/>
    <w:rsid w:val="060454DB"/>
    <w:rsid w:val="06110D47"/>
    <w:rsid w:val="063F6A07"/>
    <w:rsid w:val="064055CE"/>
    <w:rsid w:val="065110EC"/>
    <w:rsid w:val="065A46B0"/>
    <w:rsid w:val="065B3B93"/>
    <w:rsid w:val="066C37F1"/>
    <w:rsid w:val="066D1D57"/>
    <w:rsid w:val="06AE0265"/>
    <w:rsid w:val="06B12629"/>
    <w:rsid w:val="06BD3616"/>
    <w:rsid w:val="06BE30D0"/>
    <w:rsid w:val="06C6330B"/>
    <w:rsid w:val="06CD112D"/>
    <w:rsid w:val="06D15B14"/>
    <w:rsid w:val="06DC7813"/>
    <w:rsid w:val="06E56C12"/>
    <w:rsid w:val="06E81FA4"/>
    <w:rsid w:val="070B3D9D"/>
    <w:rsid w:val="070D0A8B"/>
    <w:rsid w:val="07224610"/>
    <w:rsid w:val="072B0A4F"/>
    <w:rsid w:val="073278A0"/>
    <w:rsid w:val="073C791E"/>
    <w:rsid w:val="073E5E68"/>
    <w:rsid w:val="073F4A62"/>
    <w:rsid w:val="07433EF7"/>
    <w:rsid w:val="07610E7C"/>
    <w:rsid w:val="07621A18"/>
    <w:rsid w:val="076808B4"/>
    <w:rsid w:val="077166EC"/>
    <w:rsid w:val="077965D0"/>
    <w:rsid w:val="07836EDF"/>
    <w:rsid w:val="07892C9E"/>
    <w:rsid w:val="07997C89"/>
    <w:rsid w:val="07A9711F"/>
    <w:rsid w:val="07B241D3"/>
    <w:rsid w:val="07DF3D76"/>
    <w:rsid w:val="07E562BD"/>
    <w:rsid w:val="07FC0B21"/>
    <w:rsid w:val="07FC0D88"/>
    <w:rsid w:val="08145F16"/>
    <w:rsid w:val="08366DA4"/>
    <w:rsid w:val="083E520A"/>
    <w:rsid w:val="08404F36"/>
    <w:rsid w:val="08452820"/>
    <w:rsid w:val="087D1536"/>
    <w:rsid w:val="089E6E52"/>
    <w:rsid w:val="08B16FB6"/>
    <w:rsid w:val="08B905B4"/>
    <w:rsid w:val="08CE2541"/>
    <w:rsid w:val="08DA2D14"/>
    <w:rsid w:val="08E53CD3"/>
    <w:rsid w:val="08E74CA6"/>
    <w:rsid w:val="08E95814"/>
    <w:rsid w:val="090360D7"/>
    <w:rsid w:val="090A42F6"/>
    <w:rsid w:val="092266DC"/>
    <w:rsid w:val="09271A18"/>
    <w:rsid w:val="093E76C7"/>
    <w:rsid w:val="09442803"/>
    <w:rsid w:val="0949327F"/>
    <w:rsid w:val="094D1E21"/>
    <w:rsid w:val="09560FD7"/>
    <w:rsid w:val="095D32ED"/>
    <w:rsid w:val="097237E4"/>
    <w:rsid w:val="097A7578"/>
    <w:rsid w:val="097D251D"/>
    <w:rsid w:val="09810619"/>
    <w:rsid w:val="099106B6"/>
    <w:rsid w:val="09913C41"/>
    <w:rsid w:val="09A52E1C"/>
    <w:rsid w:val="09A9060C"/>
    <w:rsid w:val="09C30A93"/>
    <w:rsid w:val="09CF513B"/>
    <w:rsid w:val="09D65B51"/>
    <w:rsid w:val="09E25AD9"/>
    <w:rsid w:val="09E779CE"/>
    <w:rsid w:val="09EA213D"/>
    <w:rsid w:val="0A010578"/>
    <w:rsid w:val="0A0976BB"/>
    <w:rsid w:val="0A1E12A6"/>
    <w:rsid w:val="0A2D0142"/>
    <w:rsid w:val="0A3E3F88"/>
    <w:rsid w:val="0A672A35"/>
    <w:rsid w:val="0A706A46"/>
    <w:rsid w:val="0A891706"/>
    <w:rsid w:val="0A8A693C"/>
    <w:rsid w:val="0A982836"/>
    <w:rsid w:val="0A9C61F8"/>
    <w:rsid w:val="0A9D21CB"/>
    <w:rsid w:val="0ABA57A8"/>
    <w:rsid w:val="0ABD461B"/>
    <w:rsid w:val="0AC32834"/>
    <w:rsid w:val="0AEE50E0"/>
    <w:rsid w:val="0AFC5610"/>
    <w:rsid w:val="0B14133A"/>
    <w:rsid w:val="0B2F31E8"/>
    <w:rsid w:val="0B565626"/>
    <w:rsid w:val="0B5D1A85"/>
    <w:rsid w:val="0B5D1E36"/>
    <w:rsid w:val="0B651A2B"/>
    <w:rsid w:val="0B776EC0"/>
    <w:rsid w:val="0B867103"/>
    <w:rsid w:val="0BB5243F"/>
    <w:rsid w:val="0BCF1A6D"/>
    <w:rsid w:val="0BED26A5"/>
    <w:rsid w:val="0BEE4F68"/>
    <w:rsid w:val="0BEF2EFA"/>
    <w:rsid w:val="0BEF7DA3"/>
    <w:rsid w:val="0BF91A7F"/>
    <w:rsid w:val="0BFB3BB6"/>
    <w:rsid w:val="0C0A394D"/>
    <w:rsid w:val="0C200572"/>
    <w:rsid w:val="0C2F779B"/>
    <w:rsid w:val="0C306AE2"/>
    <w:rsid w:val="0C3D5924"/>
    <w:rsid w:val="0C413E05"/>
    <w:rsid w:val="0C4A5A7C"/>
    <w:rsid w:val="0C5F0865"/>
    <w:rsid w:val="0C605AD8"/>
    <w:rsid w:val="0C7B690B"/>
    <w:rsid w:val="0C807692"/>
    <w:rsid w:val="0C9B2B46"/>
    <w:rsid w:val="0CA81750"/>
    <w:rsid w:val="0CB5191B"/>
    <w:rsid w:val="0CB6728F"/>
    <w:rsid w:val="0CBF5FD8"/>
    <w:rsid w:val="0CE360B2"/>
    <w:rsid w:val="0CFD25BD"/>
    <w:rsid w:val="0D1F6213"/>
    <w:rsid w:val="0D452987"/>
    <w:rsid w:val="0D62596E"/>
    <w:rsid w:val="0D6C19EE"/>
    <w:rsid w:val="0D7B32BC"/>
    <w:rsid w:val="0D933F5C"/>
    <w:rsid w:val="0DA46170"/>
    <w:rsid w:val="0DA800E4"/>
    <w:rsid w:val="0DB25485"/>
    <w:rsid w:val="0DC7526D"/>
    <w:rsid w:val="0DCB40A1"/>
    <w:rsid w:val="0DCB704F"/>
    <w:rsid w:val="0DE7465B"/>
    <w:rsid w:val="0E005C7A"/>
    <w:rsid w:val="0E0C42FA"/>
    <w:rsid w:val="0E2844A2"/>
    <w:rsid w:val="0E381521"/>
    <w:rsid w:val="0E4D3106"/>
    <w:rsid w:val="0E7F7FCB"/>
    <w:rsid w:val="0E9C75AF"/>
    <w:rsid w:val="0EA91CC7"/>
    <w:rsid w:val="0EC75A69"/>
    <w:rsid w:val="0EC875FE"/>
    <w:rsid w:val="0ECE1A18"/>
    <w:rsid w:val="0EDC5D28"/>
    <w:rsid w:val="0EE235F9"/>
    <w:rsid w:val="0EE36E7C"/>
    <w:rsid w:val="0EE54141"/>
    <w:rsid w:val="0EFD2AF6"/>
    <w:rsid w:val="0F03025E"/>
    <w:rsid w:val="0F1A17DC"/>
    <w:rsid w:val="0F1C13DE"/>
    <w:rsid w:val="0F323BCC"/>
    <w:rsid w:val="0F401F5A"/>
    <w:rsid w:val="0F537409"/>
    <w:rsid w:val="0F79260C"/>
    <w:rsid w:val="0F7F4595"/>
    <w:rsid w:val="0F987E27"/>
    <w:rsid w:val="0FA66BBA"/>
    <w:rsid w:val="0FA95318"/>
    <w:rsid w:val="0FAE784A"/>
    <w:rsid w:val="0FBB76E3"/>
    <w:rsid w:val="0FBE7AE4"/>
    <w:rsid w:val="0FC66DA3"/>
    <w:rsid w:val="0FC72972"/>
    <w:rsid w:val="0FCD3553"/>
    <w:rsid w:val="0FDE750E"/>
    <w:rsid w:val="0FE77623"/>
    <w:rsid w:val="100D394F"/>
    <w:rsid w:val="100E0796"/>
    <w:rsid w:val="10122E9C"/>
    <w:rsid w:val="10123CEB"/>
    <w:rsid w:val="10204FBD"/>
    <w:rsid w:val="10354C54"/>
    <w:rsid w:val="10372E26"/>
    <w:rsid w:val="103966FB"/>
    <w:rsid w:val="103A4EAF"/>
    <w:rsid w:val="10460CC2"/>
    <w:rsid w:val="104F3B50"/>
    <w:rsid w:val="106C132D"/>
    <w:rsid w:val="108D683E"/>
    <w:rsid w:val="108E6DDE"/>
    <w:rsid w:val="109776BD"/>
    <w:rsid w:val="109B61CD"/>
    <w:rsid w:val="10A6243E"/>
    <w:rsid w:val="10AB38B0"/>
    <w:rsid w:val="10D80231"/>
    <w:rsid w:val="10DD209D"/>
    <w:rsid w:val="10FF1E8F"/>
    <w:rsid w:val="110D2C89"/>
    <w:rsid w:val="111E025A"/>
    <w:rsid w:val="112B7251"/>
    <w:rsid w:val="112C7AF5"/>
    <w:rsid w:val="1180102E"/>
    <w:rsid w:val="1191235E"/>
    <w:rsid w:val="119963B1"/>
    <w:rsid w:val="11B361D3"/>
    <w:rsid w:val="11BB4D58"/>
    <w:rsid w:val="11BB6630"/>
    <w:rsid w:val="11BF4CAB"/>
    <w:rsid w:val="11C7593B"/>
    <w:rsid w:val="11E8085A"/>
    <w:rsid w:val="11EC57E6"/>
    <w:rsid w:val="11EE5A02"/>
    <w:rsid w:val="11EF6F34"/>
    <w:rsid w:val="11F052D6"/>
    <w:rsid w:val="11FF551A"/>
    <w:rsid w:val="12134735"/>
    <w:rsid w:val="1217313B"/>
    <w:rsid w:val="122E2D61"/>
    <w:rsid w:val="12340E2D"/>
    <w:rsid w:val="12503834"/>
    <w:rsid w:val="125E4936"/>
    <w:rsid w:val="12793BBE"/>
    <w:rsid w:val="127A31E0"/>
    <w:rsid w:val="127F1866"/>
    <w:rsid w:val="12802B6B"/>
    <w:rsid w:val="128C33F4"/>
    <w:rsid w:val="12A957E0"/>
    <w:rsid w:val="12AA1929"/>
    <w:rsid w:val="12B24C82"/>
    <w:rsid w:val="131C06AC"/>
    <w:rsid w:val="133A4EB7"/>
    <w:rsid w:val="13441D7E"/>
    <w:rsid w:val="1345554B"/>
    <w:rsid w:val="13487675"/>
    <w:rsid w:val="135618C9"/>
    <w:rsid w:val="13645F7C"/>
    <w:rsid w:val="136B6621"/>
    <w:rsid w:val="137447B2"/>
    <w:rsid w:val="13830E2C"/>
    <w:rsid w:val="138D11BC"/>
    <w:rsid w:val="138E1A23"/>
    <w:rsid w:val="13992EB6"/>
    <w:rsid w:val="139D2FCC"/>
    <w:rsid w:val="13AF1F58"/>
    <w:rsid w:val="13C61B7D"/>
    <w:rsid w:val="13D84C83"/>
    <w:rsid w:val="13DD49EF"/>
    <w:rsid w:val="13EA285B"/>
    <w:rsid w:val="14074063"/>
    <w:rsid w:val="140D7D73"/>
    <w:rsid w:val="14116779"/>
    <w:rsid w:val="142468C7"/>
    <w:rsid w:val="14327B17"/>
    <w:rsid w:val="143321B1"/>
    <w:rsid w:val="143A0A8B"/>
    <w:rsid w:val="143B2E41"/>
    <w:rsid w:val="143C08C2"/>
    <w:rsid w:val="143C5260"/>
    <w:rsid w:val="147F6DAD"/>
    <w:rsid w:val="149C20CC"/>
    <w:rsid w:val="14A12650"/>
    <w:rsid w:val="14AA5673"/>
    <w:rsid w:val="14AF4B49"/>
    <w:rsid w:val="14B41673"/>
    <w:rsid w:val="14C64FA3"/>
    <w:rsid w:val="14CD1555"/>
    <w:rsid w:val="14E868B9"/>
    <w:rsid w:val="14F13F0D"/>
    <w:rsid w:val="14F75772"/>
    <w:rsid w:val="14F838A9"/>
    <w:rsid w:val="14FF6402"/>
    <w:rsid w:val="150C5718"/>
    <w:rsid w:val="15273101"/>
    <w:rsid w:val="153E2DB6"/>
    <w:rsid w:val="15420170"/>
    <w:rsid w:val="15550B09"/>
    <w:rsid w:val="155550C1"/>
    <w:rsid w:val="15576ACE"/>
    <w:rsid w:val="155B3298"/>
    <w:rsid w:val="15655DA6"/>
    <w:rsid w:val="1568217F"/>
    <w:rsid w:val="157306F8"/>
    <w:rsid w:val="15761223"/>
    <w:rsid w:val="15784E47"/>
    <w:rsid w:val="158C14E9"/>
    <w:rsid w:val="158D6F6A"/>
    <w:rsid w:val="159517A5"/>
    <w:rsid w:val="159A07FF"/>
    <w:rsid w:val="15A05265"/>
    <w:rsid w:val="15A74B21"/>
    <w:rsid w:val="15B8610B"/>
    <w:rsid w:val="15D27F83"/>
    <w:rsid w:val="15DC4AEB"/>
    <w:rsid w:val="15E23CA8"/>
    <w:rsid w:val="15EE0289"/>
    <w:rsid w:val="15FA6095"/>
    <w:rsid w:val="161271C4"/>
    <w:rsid w:val="161A5018"/>
    <w:rsid w:val="164F7029"/>
    <w:rsid w:val="166127C6"/>
    <w:rsid w:val="166B3507"/>
    <w:rsid w:val="166C32BB"/>
    <w:rsid w:val="16747E6A"/>
    <w:rsid w:val="16A37A9D"/>
    <w:rsid w:val="16AF0347"/>
    <w:rsid w:val="16C2284B"/>
    <w:rsid w:val="16CB423B"/>
    <w:rsid w:val="16FC471D"/>
    <w:rsid w:val="17062F69"/>
    <w:rsid w:val="170767D7"/>
    <w:rsid w:val="172123D6"/>
    <w:rsid w:val="17381F07"/>
    <w:rsid w:val="17423544"/>
    <w:rsid w:val="17450DD5"/>
    <w:rsid w:val="1750480D"/>
    <w:rsid w:val="175423EC"/>
    <w:rsid w:val="17575561"/>
    <w:rsid w:val="17656B71"/>
    <w:rsid w:val="17667DE9"/>
    <w:rsid w:val="1779199A"/>
    <w:rsid w:val="177D6416"/>
    <w:rsid w:val="17907B2D"/>
    <w:rsid w:val="179944DC"/>
    <w:rsid w:val="17A06173"/>
    <w:rsid w:val="17B56054"/>
    <w:rsid w:val="17C22E6D"/>
    <w:rsid w:val="17C4240D"/>
    <w:rsid w:val="17C5460C"/>
    <w:rsid w:val="17D662EB"/>
    <w:rsid w:val="17D908F6"/>
    <w:rsid w:val="17DA4A5F"/>
    <w:rsid w:val="17DF536C"/>
    <w:rsid w:val="17EA0C48"/>
    <w:rsid w:val="17F760DF"/>
    <w:rsid w:val="17F86219"/>
    <w:rsid w:val="18120EEB"/>
    <w:rsid w:val="181254FA"/>
    <w:rsid w:val="18186614"/>
    <w:rsid w:val="18194096"/>
    <w:rsid w:val="182B6938"/>
    <w:rsid w:val="18300B23"/>
    <w:rsid w:val="183C0DD2"/>
    <w:rsid w:val="183D0E38"/>
    <w:rsid w:val="18403F55"/>
    <w:rsid w:val="1841587E"/>
    <w:rsid w:val="18496DE3"/>
    <w:rsid w:val="18630E03"/>
    <w:rsid w:val="186F3E63"/>
    <w:rsid w:val="187857E7"/>
    <w:rsid w:val="187A2E35"/>
    <w:rsid w:val="187B19AA"/>
    <w:rsid w:val="18811F09"/>
    <w:rsid w:val="188321C6"/>
    <w:rsid w:val="188859EA"/>
    <w:rsid w:val="18921717"/>
    <w:rsid w:val="1892798E"/>
    <w:rsid w:val="189F35B2"/>
    <w:rsid w:val="18A25EE0"/>
    <w:rsid w:val="18A474FD"/>
    <w:rsid w:val="18B32A58"/>
    <w:rsid w:val="18BE00A7"/>
    <w:rsid w:val="18FD1C93"/>
    <w:rsid w:val="190D3CF6"/>
    <w:rsid w:val="190E1B7D"/>
    <w:rsid w:val="191477B1"/>
    <w:rsid w:val="19291751"/>
    <w:rsid w:val="192F739D"/>
    <w:rsid w:val="193A1B55"/>
    <w:rsid w:val="198A6011"/>
    <w:rsid w:val="1999328D"/>
    <w:rsid w:val="19A2002B"/>
    <w:rsid w:val="19C169D0"/>
    <w:rsid w:val="19D10924"/>
    <w:rsid w:val="19DC5DE9"/>
    <w:rsid w:val="19E42EEC"/>
    <w:rsid w:val="19ED4F8F"/>
    <w:rsid w:val="19FC4F49"/>
    <w:rsid w:val="1A004525"/>
    <w:rsid w:val="1A1E247D"/>
    <w:rsid w:val="1A206E13"/>
    <w:rsid w:val="1A277C98"/>
    <w:rsid w:val="1A324F2D"/>
    <w:rsid w:val="1A3520BA"/>
    <w:rsid w:val="1A3F6DFB"/>
    <w:rsid w:val="1A462475"/>
    <w:rsid w:val="1A574945"/>
    <w:rsid w:val="1A5A58C9"/>
    <w:rsid w:val="1A5B6C04"/>
    <w:rsid w:val="1A754C02"/>
    <w:rsid w:val="1AA306CB"/>
    <w:rsid w:val="1AA30DFE"/>
    <w:rsid w:val="1AA475A6"/>
    <w:rsid w:val="1AC06A39"/>
    <w:rsid w:val="1ACC4F36"/>
    <w:rsid w:val="1AF11218"/>
    <w:rsid w:val="1AF44A0B"/>
    <w:rsid w:val="1AF844CE"/>
    <w:rsid w:val="1AFC0863"/>
    <w:rsid w:val="1AFD0956"/>
    <w:rsid w:val="1B115D3C"/>
    <w:rsid w:val="1B1E0896"/>
    <w:rsid w:val="1B24030F"/>
    <w:rsid w:val="1B483F91"/>
    <w:rsid w:val="1B503742"/>
    <w:rsid w:val="1B520060"/>
    <w:rsid w:val="1B5E3E72"/>
    <w:rsid w:val="1B614048"/>
    <w:rsid w:val="1B740D26"/>
    <w:rsid w:val="1B807337"/>
    <w:rsid w:val="1B866CAC"/>
    <w:rsid w:val="1B943AD9"/>
    <w:rsid w:val="1BA36B65"/>
    <w:rsid w:val="1BA47C58"/>
    <w:rsid w:val="1BB80F43"/>
    <w:rsid w:val="1BC170B5"/>
    <w:rsid w:val="1BC5039F"/>
    <w:rsid w:val="1BC63CDD"/>
    <w:rsid w:val="1BC85289"/>
    <w:rsid w:val="1BDC02C0"/>
    <w:rsid w:val="1BEB4B83"/>
    <w:rsid w:val="1BF0529D"/>
    <w:rsid w:val="1C282642"/>
    <w:rsid w:val="1C380FA2"/>
    <w:rsid w:val="1C446BE5"/>
    <w:rsid w:val="1C5B5A42"/>
    <w:rsid w:val="1C6C70DC"/>
    <w:rsid w:val="1C6D0873"/>
    <w:rsid w:val="1C705992"/>
    <w:rsid w:val="1C915866"/>
    <w:rsid w:val="1C92426F"/>
    <w:rsid w:val="1CA26A88"/>
    <w:rsid w:val="1D07422E"/>
    <w:rsid w:val="1D261C54"/>
    <w:rsid w:val="1D385997"/>
    <w:rsid w:val="1D3C25C0"/>
    <w:rsid w:val="1D432F52"/>
    <w:rsid w:val="1D4A3A1E"/>
    <w:rsid w:val="1D556936"/>
    <w:rsid w:val="1D584F32"/>
    <w:rsid w:val="1D5E31C4"/>
    <w:rsid w:val="1D604FC2"/>
    <w:rsid w:val="1D631052"/>
    <w:rsid w:val="1D6628F1"/>
    <w:rsid w:val="1D673AB8"/>
    <w:rsid w:val="1D6B0D1C"/>
    <w:rsid w:val="1D7025D9"/>
    <w:rsid w:val="1D724537"/>
    <w:rsid w:val="1D7942D2"/>
    <w:rsid w:val="1D804DF1"/>
    <w:rsid w:val="1D812873"/>
    <w:rsid w:val="1D8D5C15"/>
    <w:rsid w:val="1D946A32"/>
    <w:rsid w:val="1DA31A6F"/>
    <w:rsid w:val="1DB22E46"/>
    <w:rsid w:val="1DB51F23"/>
    <w:rsid w:val="1DC65199"/>
    <w:rsid w:val="1DDB7E33"/>
    <w:rsid w:val="1DDE2DCF"/>
    <w:rsid w:val="1DE026A3"/>
    <w:rsid w:val="1DE40399"/>
    <w:rsid w:val="1DE55082"/>
    <w:rsid w:val="1DEB7A42"/>
    <w:rsid w:val="1DF11C2D"/>
    <w:rsid w:val="1DF35D7D"/>
    <w:rsid w:val="1DF97E9A"/>
    <w:rsid w:val="1E105DC7"/>
    <w:rsid w:val="1E1259E5"/>
    <w:rsid w:val="1E240748"/>
    <w:rsid w:val="1E322697"/>
    <w:rsid w:val="1E3A7AA3"/>
    <w:rsid w:val="1E421B94"/>
    <w:rsid w:val="1E422931"/>
    <w:rsid w:val="1E5A1C2F"/>
    <w:rsid w:val="1E5E18A6"/>
    <w:rsid w:val="1E605592"/>
    <w:rsid w:val="1E79638E"/>
    <w:rsid w:val="1E7B3D90"/>
    <w:rsid w:val="1E832DAB"/>
    <w:rsid w:val="1E865B1A"/>
    <w:rsid w:val="1E9858BE"/>
    <w:rsid w:val="1E9A4F48"/>
    <w:rsid w:val="1EA0654E"/>
    <w:rsid w:val="1EA374D2"/>
    <w:rsid w:val="1EA44F54"/>
    <w:rsid w:val="1EBA70F8"/>
    <w:rsid w:val="1EBF675C"/>
    <w:rsid w:val="1EC2624D"/>
    <w:rsid w:val="1EC331FD"/>
    <w:rsid w:val="1F1F3A24"/>
    <w:rsid w:val="1F206854"/>
    <w:rsid w:val="1F244EC9"/>
    <w:rsid w:val="1F2D6E0F"/>
    <w:rsid w:val="1F3A2C21"/>
    <w:rsid w:val="1F3D3E4E"/>
    <w:rsid w:val="1F5A3842"/>
    <w:rsid w:val="1F6659C8"/>
    <w:rsid w:val="1F690A75"/>
    <w:rsid w:val="1F7977EE"/>
    <w:rsid w:val="1F7F7C9A"/>
    <w:rsid w:val="1F895E51"/>
    <w:rsid w:val="1F9F1011"/>
    <w:rsid w:val="1FA060F1"/>
    <w:rsid w:val="1FA073B6"/>
    <w:rsid w:val="1FA712FF"/>
    <w:rsid w:val="1FB12B7F"/>
    <w:rsid w:val="20025D99"/>
    <w:rsid w:val="200A2C27"/>
    <w:rsid w:val="202645B9"/>
    <w:rsid w:val="203159E0"/>
    <w:rsid w:val="203A68C1"/>
    <w:rsid w:val="204A02A8"/>
    <w:rsid w:val="2054435F"/>
    <w:rsid w:val="205729C5"/>
    <w:rsid w:val="206225DB"/>
    <w:rsid w:val="20670906"/>
    <w:rsid w:val="206E56D0"/>
    <w:rsid w:val="206E7A43"/>
    <w:rsid w:val="20731CCC"/>
    <w:rsid w:val="207C25DC"/>
    <w:rsid w:val="208E24F6"/>
    <w:rsid w:val="20A11517"/>
    <w:rsid w:val="20BF6E61"/>
    <w:rsid w:val="20C06E4B"/>
    <w:rsid w:val="20C3636D"/>
    <w:rsid w:val="20D25569"/>
    <w:rsid w:val="20E03EA8"/>
    <w:rsid w:val="20EA2C10"/>
    <w:rsid w:val="20ED38FC"/>
    <w:rsid w:val="20FF7332"/>
    <w:rsid w:val="21053439"/>
    <w:rsid w:val="210B3EDB"/>
    <w:rsid w:val="21186BD7"/>
    <w:rsid w:val="211D78B0"/>
    <w:rsid w:val="212154AC"/>
    <w:rsid w:val="212C10FB"/>
    <w:rsid w:val="212E72D0"/>
    <w:rsid w:val="21380A2B"/>
    <w:rsid w:val="213E32F0"/>
    <w:rsid w:val="2149131F"/>
    <w:rsid w:val="2149340F"/>
    <w:rsid w:val="214E43E5"/>
    <w:rsid w:val="21561F3F"/>
    <w:rsid w:val="21600B88"/>
    <w:rsid w:val="217414EF"/>
    <w:rsid w:val="21AD61D1"/>
    <w:rsid w:val="21B53414"/>
    <w:rsid w:val="21C1459A"/>
    <w:rsid w:val="21E5038E"/>
    <w:rsid w:val="21E8206B"/>
    <w:rsid w:val="21EA14F4"/>
    <w:rsid w:val="221C0A03"/>
    <w:rsid w:val="222B101D"/>
    <w:rsid w:val="223E6CF8"/>
    <w:rsid w:val="2243364A"/>
    <w:rsid w:val="224C3884"/>
    <w:rsid w:val="224E045E"/>
    <w:rsid w:val="226823A3"/>
    <w:rsid w:val="227C1E95"/>
    <w:rsid w:val="22873935"/>
    <w:rsid w:val="229226B8"/>
    <w:rsid w:val="22A73267"/>
    <w:rsid w:val="22AF5BBC"/>
    <w:rsid w:val="22BF7796"/>
    <w:rsid w:val="22C677C0"/>
    <w:rsid w:val="22CD1033"/>
    <w:rsid w:val="22DD3C85"/>
    <w:rsid w:val="22E25187"/>
    <w:rsid w:val="232102B1"/>
    <w:rsid w:val="236E03B0"/>
    <w:rsid w:val="23740A0F"/>
    <w:rsid w:val="23773046"/>
    <w:rsid w:val="23795BFF"/>
    <w:rsid w:val="23827050"/>
    <w:rsid w:val="238A31D0"/>
    <w:rsid w:val="23921869"/>
    <w:rsid w:val="239E3959"/>
    <w:rsid w:val="23A012D9"/>
    <w:rsid w:val="23A128D5"/>
    <w:rsid w:val="23A243DF"/>
    <w:rsid w:val="23A25387"/>
    <w:rsid w:val="23B1689B"/>
    <w:rsid w:val="23B42767"/>
    <w:rsid w:val="23B452A1"/>
    <w:rsid w:val="23BA1BE8"/>
    <w:rsid w:val="23CC074A"/>
    <w:rsid w:val="23E303FA"/>
    <w:rsid w:val="23EA577B"/>
    <w:rsid w:val="23EB5574"/>
    <w:rsid w:val="23F911BA"/>
    <w:rsid w:val="23FE56CB"/>
    <w:rsid w:val="240B1533"/>
    <w:rsid w:val="24283062"/>
    <w:rsid w:val="242B39CD"/>
    <w:rsid w:val="242C61E4"/>
    <w:rsid w:val="242D3C66"/>
    <w:rsid w:val="242D516F"/>
    <w:rsid w:val="243335F1"/>
    <w:rsid w:val="245247ED"/>
    <w:rsid w:val="24575A93"/>
    <w:rsid w:val="248B67FD"/>
    <w:rsid w:val="248F6CA6"/>
    <w:rsid w:val="24BF3406"/>
    <w:rsid w:val="24D97602"/>
    <w:rsid w:val="25007ACF"/>
    <w:rsid w:val="2508212D"/>
    <w:rsid w:val="251D6DF2"/>
    <w:rsid w:val="252B038C"/>
    <w:rsid w:val="252D50E0"/>
    <w:rsid w:val="252E1698"/>
    <w:rsid w:val="25496D80"/>
    <w:rsid w:val="25533A48"/>
    <w:rsid w:val="25543DDA"/>
    <w:rsid w:val="255F7AD2"/>
    <w:rsid w:val="2562439C"/>
    <w:rsid w:val="256D4FBD"/>
    <w:rsid w:val="25710A7A"/>
    <w:rsid w:val="257E016B"/>
    <w:rsid w:val="258B7426"/>
    <w:rsid w:val="259B76C0"/>
    <w:rsid w:val="25AA58E4"/>
    <w:rsid w:val="25B52A47"/>
    <w:rsid w:val="25C10491"/>
    <w:rsid w:val="25C46D47"/>
    <w:rsid w:val="25E074E7"/>
    <w:rsid w:val="25E258B6"/>
    <w:rsid w:val="25EE4017"/>
    <w:rsid w:val="25F63B93"/>
    <w:rsid w:val="25F97290"/>
    <w:rsid w:val="2601616B"/>
    <w:rsid w:val="260512EE"/>
    <w:rsid w:val="26223B26"/>
    <w:rsid w:val="26241D26"/>
    <w:rsid w:val="2627224F"/>
    <w:rsid w:val="262B372C"/>
    <w:rsid w:val="263E274C"/>
    <w:rsid w:val="265B0A5D"/>
    <w:rsid w:val="266360FF"/>
    <w:rsid w:val="266A6A94"/>
    <w:rsid w:val="266C4868"/>
    <w:rsid w:val="26862B41"/>
    <w:rsid w:val="26960BDD"/>
    <w:rsid w:val="269C0568"/>
    <w:rsid w:val="269D762C"/>
    <w:rsid w:val="26A10A3D"/>
    <w:rsid w:val="26AA7CF2"/>
    <w:rsid w:val="26C976F8"/>
    <w:rsid w:val="26E31456"/>
    <w:rsid w:val="26E563DD"/>
    <w:rsid w:val="26EF72E5"/>
    <w:rsid w:val="26FC4A2E"/>
    <w:rsid w:val="270B0E4A"/>
    <w:rsid w:val="27114CA3"/>
    <w:rsid w:val="27180E6A"/>
    <w:rsid w:val="271E393C"/>
    <w:rsid w:val="271E669F"/>
    <w:rsid w:val="27333A9E"/>
    <w:rsid w:val="27334708"/>
    <w:rsid w:val="273D5A6D"/>
    <w:rsid w:val="274023D4"/>
    <w:rsid w:val="274253D5"/>
    <w:rsid w:val="274C4E88"/>
    <w:rsid w:val="274E038B"/>
    <w:rsid w:val="2750388E"/>
    <w:rsid w:val="275C4318"/>
    <w:rsid w:val="275D2BA4"/>
    <w:rsid w:val="27663E92"/>
    <w:rsid w:val="276D74EC"/>
    <w:rsid w:val="276F6A21"/>
    <w:rsid w:val="27771DBE"/>
    <w:rsid w:val="277B2154"/>
    <w:rsid w:val="2788146A"/>
    <w:rsid w:val="278A534F"/>
    <w:rsid w:val="27C128C8"/>
    <w:rsid w:val="27D163B4"/>
    <w:rsid w:val="27F37895"/>
    <w:rsid w:val="27F4659B"/>
    <w:rsid w:val="28002089"/>
    <w:rsid w:val="280542B6"/>
    <w:rsid w:val="280D4F46"/>
    <w:rsid w:val="281C1B43"/>
    <w:rsid w:val="281C3EC7"/>
    <w:rsid w:val="281C4CDA"/>
    <w:rsid w:val="281D775F"/>
    <w:rsid w:val="282B36F9"/>
    <w:rsid w:val="28341F69"/>
    <w:rsid w:val="28375A3F"/>
    <w:rsid w:val="28520495"/>
    <w:rsid w:val="28713562"/>
    <w:rsid w:val="287813D0"/>
    <w:rsid w:val="287A7AF8"/>
    <w:rsid w:val="28901C9C"/>
    <w:rsid w:val="2893739E"/>
    <w:rsid w:val="28A013AD"/>
    <w:rsid w:val="28A46793"/>
    <w:rsid w:val="28A813E1"/>
    <w:rsid w:val="28B92E20"/>
    <w:rsid w:val="28B93CEB"/>
    <w:rsid w:val="28E02A8F"/>
    <w:rsid w:val="28E1683E"/>
    <w:rsid w:val="28F97D4B"/>
    <w:rsid w:val="29125D60"/>
    <w:rsid w:val="292B1C11"/>
    <w:rsid w:val="29311825"/>
    <w:rsid w:val="293E7836"/>
    <w:rsid w:val="29437541"/>
    <w:rsid w:val="29454C43"/>
    <w:rsid w:val="2960365F"/>
    <w:rsid w:val="29614573"/>
    <w:rsid w:val="299A22A0"/>
    <w:rsid w:val="29BA3FA4"/>
    <w:rsid w:val="29C44761"/>
    <w:rsid w:val="29C73F17"/>
    <w:rsid w:val="29D10A88"/>
    <w:rsid w:val="29DA2F38"/>
    <w:rsid w:val="29F85218"/>
    <w:rsid w:val="2A01667B"/>
    <w:rsid w:val="2A020879"/>
    <w:rsid w:val="2A1A46E9"/>
    <w:rsid w:val="2A2A2452"/>
    <w:rsid w:val="2A3717F0"/>
    <w:rsid w:val="2A3A4256"/>
    <w:rsid w:val="2A437712"/>
    <w:rsid w:val="2A441BE1"/>
    <w:rsid w:val="2A4836B1"/>
    <w:rsid w:val="2A4A0382"/>
    <w:rsid w:val="2A5E4337"/>
    <w:rsid w:val="2A7541F8"/>
    <w:rsid w:val="2A851BD9"/>
    <w:rsid w:val="2A863893"/>
    <w:rsid w:val="2A9248E5"/>
    <w:rsid w:val="2A932720"/>
    <w:rsid w:val="2A946DF4"/>
    <w:rsid w:val="2A9A1CF1"/>
    <w:rsid w:val="2A9D2C76"/>
    <w:rsid w:val="2AA02867"/>
    <w:rsid w:val="2AB357E7"/>
    <w:rsid w:val="2AC9578D"/>
    <w:rsid w:val="2ACA60C4"/>
    <w:rsid w:val="2ACC5C5A"/>
    <w:rsid w:val="2AD74E2E"/>
    <w:rsid w:val="2ADE4D64"/>
    <w:rsid w:val="2AF04F6E"/>
    <w:rsid w:val="2B000827"/>
    <w:rsid w:val="2B0E422E"/>
    <w:rsid w:val="2B420288"/>
    <w:rsid w:val="2B421328"/>
    <w:rsid w:val="2B4D2E1A"/>
    <w:rsid w:val="2B563729"/>
    <w:rsid w:val="2B5E1033"/>
    <w:rsid w:val="2B6366C1"/>
    <w:rsid w:val="2B641D7F"/>
    <w:rsid w:val="2B6D3C7A"/>
    <w:rsid w:val="2B7462A4"/>
    <w:rsid w:val="2B786D85"/>
    <w:rsid w:val="2B827A70"/>
    <w:rsid w:val="2B955445"/>
    <w:rsid w:val="2BA95732"/>
    <w:rsid w:val="2BAF763B"/>
    <w:rsid w:val="2BB23B01"/>
    <w:rsid w:val="2BB32D41"/>
    <w:rsid w:val="2BC069D0"/>
    <w:rsid w:val="2BC26022"/>
    <w:rsid w:val="2BC367B8"/>
    <w:rsid w:val="2BD70B13"/>
    <w:rsid w:val="2BE30D8F"/>
    <w:rsid w:val="2BE46810"/>
    <w:rsid w:val="2BE960EF"/>
    <w:rsid w:val="2C071A15"/>
    <w:rsid w:val="2C0B44D1"/>
    <w:rsid w:val="2C0B64AA"/>
    <w:rsid w:val="2C2D3420"/>
    <w:rsid w:val="2C372A17"/>
    <w:rsid w:val="2C486535"/>
    <w:rsid w:val="2C55584A"/>
    <w:rsid w:val="2C732934"/>
    <w:rsid w:val="2C792640"/>
    <w:rsid w:val="2C7B4E8C"/>
    <w:rsid w:val="2C842D34"/>
    <w:rsid w:val="2C9446A0"/>
    <w:rsid w:val="2C9A6113"/>
    <w:rsid w:val="2CA04D25"/>
    <w:rsid w:val="2CA13945"/>
    <w:rsid w:val="2CCF1C91"/>
    <w:rsid w:val="2CD6709D"/>
    <w:rsid w:val="2CE73722"/>
    <w:rsid w:val="2CED77C1"/>
    <w:rsid w:val="2CF617E0"/>
    <w:rsid w:val="2CFD14DB"/>
    <w:rsid w:val="2D16631A"/>
    <w:rsid w:val="2D4C5A5E"/>
    <w:rsid w:val="2D5544C3"/>
    <w:rsid w:val="2D5A4743"/>
    <w:rsid w:val="2D6C2100"/>
    <w:rsid w:val="2D762BBA"/>
    <w:rsid w:val="2D7D7F0E"/>
    <w:rsid w:val="2D9263A7"/>
    <w:rsid w:val="2D944CD1"/>
    <w:rsid w:val="2DBB723B"/>
    <w:rsid w:val="2DC37DF1"/>
    <w:rsid w:val="2DCE0619"/>
    <w:rsid w:val="2DD35AE8"/>
    <w:rsid w:val="2DE463B0"/>
    <w:rsid w:val="2DE64BF5"/>
    <w:rsid w:val="2DE84AF7"/>
    <w:rsid w:val="2DED4EA0"/>
    <w:rsid w:val="2E0D173F"/>
    <w:rsid w:val="2E273547"/>
    <w:rsid w:val="2E307DB7"/>
    <w:rsid w:val="2E3E5270"/>
    <w:rsid w:val="2E601123"/>
    <w:rsid w:val="2E6011D7"/>
    <w:rsid w:val="2E627EA9"/>
    <w:rsid w:val="2E695B55"/>
    <w:rsid w:val="2E76670C"/>
    <w:rsid w:val="2E961606"/>
    <w:rsid w:val="2EA22E91"/>
    <w:rsid w:val="2EC54F0E"/>
    <w:rsid w:val="2EEC173E"/>
    <w:rsid w:val="2EFE7D6E"/>
    <w:rsid w:val="2F1507D9"/>
    <w:rsid w:val="2F1E74CF"/>
    <w:rsid w:val="2F25085E"/>
    <w:rsid w:val="2F486EA2"/>
    <w:rsid w:val="2F747966"/>
    <w:rsid w:val="2F984ABB"/>
    <w:rsid w:val="2FB67708"/>
    <w:rsid w:val="2FBE480E"/>
    <w:rsid w:val="2FC254E7"/>
    <w:rsid w:val="303F594F"/>
    <w:rsid w:val="30534DD6"/>
    <w:rsid w:val="30561692"/>
    <w:rsid w:val="30600479"/>
    <w:rsid w:val="306927FC"/>
    <w:rsid w:val="30702187"/>
    <w:rsid w:val="309E4373"/>
    <w:rsid w:val="30AA13BF"/>
    <w:rsid w:val="30CA159C"/>
    <w:rsid w:val="30DF6CA0"/>
    <w:rsid w:val="30E61DC6"/>
    <w:rsid w:val="30ED32FC"/>
    <w:rsid w:val="30F139DA"/>
    <w:rsid w:val="310061F3"/>
    <w:rsid w:val="31143B11"/>
    <w:rsid w:val="31195802"/>
    <w:rsid w:val="311A5A74"/>
    <w:rsid w:val="31256CB3"/>
    <w:rsid w:val="31286700"/>
    <w:rsid w:val="312C253A"/>
    <w:rsid w:val="313533BC"/>
    <w:rsid w:val="313E4759"/>
    <w:rsid w:val="3140197F"/>
    <w:rsid w:val="314B1C9B"/>
    <w:rsid w:val="31612184"/>
    <w:rsid w:val="317B5B3D"/>
    <w:rsid w:val="317D0C73"/>
    <w:rsid w:val="31926D16"/>
    <w:rsid w:val="3194218A"/>
    <w:rsid w:val="31A50EFF"/>
    <w:rsid w:val="31B444D7"/>
    <w:rsid w:val="31BB6926"/>
    <w:rsid w:val="31C33D33"/>
    <w:rsid w:val="31C342A2"/>
    <w:rsid w:val="31C97E3A"/>
    <w:rsid w:val="31E0281A"/>
    <w:rsid w:val="31F83438"/>
    <w:rsid w:val="31FC5556"/>
    <w:rsid w:val="32021299"/>
    <w:rsid w:val="32170FF5"/>
    <w:rsid w:val="32230959"/>
    <w:rsid w:val="32356B5E"/>
    <w:rsid w:val="324326C2"/>
    <w:rsid w:val="324E226E"/>
    <w:rsid w:val="32AF1AA3"/>
    <w:rsid w:val="32C1086E"/>
    <w:rsid w:val="32D4454C"/>
    <w:rsid w:val="32DA44FC"/>
    <w:rsid w:val="32DD76BC"/>
    <w:rsid w:val="32F341BB"/>
    <w:rsid w:val="32F54E61"/>
    <w:rsid w:val="32FD49B4"/>
    <w:rsid w:val="330001A2"/>
    <w:rsid w:val="33055644"/>
    <w:rsid w:val="331830EB"/>
    <w:rsid w:val="331B3B35"/>
    <w:rsid w:val="332A6927"/>
    <w:rsid w:val="333077D1"/>
    <w:rsid w:val="33434A04"/>
    <w:rsid w:val="334713E7"/>
    <w:rsid w:val="33541442"/>
    <w:rsid w:val="335C0F0C"/>
    <w:rsid w:val="3363480C"/>
    <w:rsid w:val="33770F5C"/>
    <w:rsid w:val="338257CE"/>
    <w:rsid w:val="338813BB"/>
    <w:rsid w:val="339B35BC"/>
    <w:rsid w:val="33DA309D"/>
    <w:rsid w:val="33EA4F8B"/>
    <w:rsid w:val="33EF3043"/>
    <w:rsid w:val="33FA13D4"/>
    <w:rsid w:val="34006B60"/>
    <w:rsid w:val="34027E2D"/>
    <w:rsid w:val="34083F6D"/>
    <w:rsid w:val="3417738B"/>
    <w:rsid w:val="341A1198"/>
    <w:rsid w:val="34237B7A"/>
    <w:rsid w:val="34384B8F"/>
    <w:rsid w:val="344A5CAF"/>
    <w:rsid w:val="34627AFE"/>
    <w:rsid w:val="34627E84"/>
    <w:rsid w:val="346907A6"/>
    <w:rsid w:val="346C4843"/>
    <w:rsid w:val="34761B3D"/>
    <w:rsid w:val="347C6980"/>
    <w:rsid w:val="34845AB5"/>
    <w:rsid w:val="34861646"/>
    <w:rsid w:val="3486483B"/>
    <w:rsid w:val="34A22AE6"/>
    <w:rsid w:val="34D32B0A"/>
    <w:rsid w:val="34E96ADE"/>
    <w:rsid w:val="34ED2EF3"/>
    <w:rsid w:val="34FB6280"/>
    <w:rsid w:val="35184C6D"/>
    <w:rsid w:val="351C016C"/>
    <w:rsid w:val="351F0B3B"/>
    <w:rsid w:val="353D1B92"/>
    <w:rsid w:val="354143E4"/>
    <w:rsid w:val="355754E9"/>
    <w:rsid w:val="35643762"/>
    <w:rsid w:val="356A2C20"/>
    <w:rsid w:val="35773F4E"/>
    <w:rsid w:val="358259D7"/>
    <w:rsid w:val="358B1967"/>
    <w:rsid w:val="358D3D69"/>
    <w:rsid w:val="35906410"/>
    <w:rsid w:val="359E09A4"/>
    <w:rsid w:val="35A23D0E"/>
    <w:rsid w:val="35AA797D"/>
    <w:rsid w:val="35BE61A8"/>
    <w:rsid w:val="35D408E8"/>
    <w:rsid w:val="35D903FF"/>
    <w:rsid w:val="35DB2555"/>
    <w:rsid w:val="35E1119D"/>
    <w:rsid w:val="35EF609A"/>
    <w:rsid w:val="360E3D96"/>
    <w:rsid w:val="361352C6"/>
    <w:rsid w:val="361D3657"/>
    <w:rsid w:val="362B1258"/>
    <w:rsid w:val="36475791"/>
    <w:rsid w:val="366F28DB"/>
    <w:rsid w:val="36735C80"/>
    <w:rsid w:val="368178C2"/>
    <w:rsid w:val="36890788"/>
    <w:rsid w:val="36897EB8"/>
    <w:rsid w:val="368A2987"/>
    <w:rsid w:val="36906629"/>
    <w:rsid w:val="36914A2B"/>
    <w:rsid w:val="369301F2"/>
    <w:rsid w:val="369C6124"/>
    <w:rsid w:val="369F5F8F"/>
    <w:rsid w:val="36A056B5"/>
    <w:rsid w:val="36A1205A"/>
    <w:rsid w:val="36A46172"/>
    <w:rsid w:val="36B65E9E"/>
    <w:rsid w:val="36CD7058"/>
    <w:rsid w:val="36D22E56"/>
    <w:rsid w:val="36D90673"/>
    <w:rsid w:val="36F55F5E"/>
    <w:rsid w:val="36FE0747"/>
    <w:rsid w:val="370666E5"/>
    <w:rsid w:val="37305FF2"/>
    <w:rsid w:val="373511EA"/>
    <w:rsid w:val="373F25CC"/>
    <w:rsid w:val="374D3D49"/>
    <w:rsid w:val="374E3698"/>
    <w:rsid w:val="374E6478"/>
    <w:rsid w:val="375111F8"/>
    <w:rsid w:val="375D0761"/>
    <w:rsid w:val="3776710C"/>
    <w:rsid w:val="37785578"/>
    <w:rsid w:val="378123A9"/>
    <w:rsid w:val="379501B2"/>
    <w:rsid w:val="37AB75F3"/>
    <w:rsid w:val="37B77B75"/>
    <w:rsid w:val="37C37A26"/>
    <w:rsid w:val="37DD61FF"/>
    <w:rsid w:val="37DE77FC"/>
    <w:rsid w:val="37E56DDC"/>
    <w:rsid w:val="37E92B66"/>
    <w:rsid w:val="37ED5C91"/>
    <w:rsid w:val="37F66761"/>
    <w:rsid w:val="37FB2BE8"/>
    <w:rsid w:val="3818637F"/>
    <w:rsid w:val="383A3644"/>
    <w:rsid w:val="385F1A9D"/>
    <w:rsid w:val="386B4E07"/>
    <w:rsid w:val="3883540B"/>
    <w:rsid w:val="388614C8"/>
    <w:rsid w:val="38910707"/>
    <w:rsid w:val="389712F2"/>
    <w:rsid w:val="38A65C6F"/>
    <w:rsid w:val="38AF2F46"/>
    <w:rsid w:val="38B42B1B"/>
    <w:rsid w:val="38C42E95"/>
    <w:rsid w:val="38D428CC"/>
    <w:rsid w:val="38DD3307"/>
    <w:rsid w:val="38E23DE0"/>
    <w:rsid w:val="38EC0F5C"/>
    <w:rsid w:val="38F46D95"/>
    <w:rsid w:val="38FF590E"/>
    <w:rsid w:val="390447E4"/>
    <w:rsid w:val="390C2A26"/>
    <w:rsid w:val="390F1C92"/>
    <w:rsid w:val="39293DB0"/>
    <w:rsid w:val="3932357B"/>
    <w:rsid w:val="393542AD"/>
    <w:rsid w:val="393C0FF6"/>
    <w:rsid w:val="393E44F9"/>
    <w:rsid w:val="39661E3A"/>
    <w:rsid w:val="3968533E"/>
    <w:rsid w:val="398630C2"/>
    <w:rsid w:val="398D772B"/>
    <w:rsid w:val="39945775"/>
    <w:rsid w:val="39A03524"/>
    <w:rsid w:val="39A06505"/>
    <w:rsid w:val="39A828A4"/>
    <w:rsid w:val="39AA162A"/>
    <w:rsid w:val="39AD1252"/>
    <w:rsid w:val="39B13AE1"/>
    <w:rsid w:val="39D5466D"/>
    <w:rsid w:val="39E901AB"/>
    <w:rsid w:val="39F36619"/>
    <w:rsid w:val="39FC2F9F"/>
    <w:rsid w:val="39FF07C8"/>
    <w:rsid w:val="3A2940F7"/>
    <w:rsid w:val="3A405AB1"/>
    <w:rsid w:val="3A5D2151"/>
    <w:rsid w:val="3A5E6443"/>
    <w:rsid w:val="3A6E01EF"/>
    <w:rsid w:val="3A8D3267"/>
    <w:rsid w:val="3A956CA9"/>
    <w:rsid w:val="3A9A5F88"/>
    <w:rsid w:val="3A9B3EA5"/>
    <w:rsid w:val="3A9E0B45"/>
    <w:rsid w:val="3AB86041"/>
    <w:rsid w:val="3ABD23EC"/>
    <w:rsid w:val="3AC06BF4"/>
    <w:rsid w:val="3AC53565"/>
    <w:rsid w:val="3AD30754"/>
    <w:rsid w:val="3AD31A4B"/>
    <w:rsid w:val="3AD63FAA"/>
    <w:rsid w:val="3AD82BC6"/>
    <w:rsid w:val="3ADE2921"/>
    <w:rsid w:val="3AE96733"/>
    <w:rsid w:val="3AFE2C6B"/>
    <w:rsid w:val="3B1866F7"/>
    <w:rsid w:val="3B2B2A20"/>
    <w:rsid w:val="3B376687"/>
    <w:rsid w:val="3B3E6939"/>
    <w:rsid w:val="3B4A1AE9"/>
    <w:rsid w:val="3B4F12B2"/>
    <w:rsid w:val="3B5B73B5"/>
    <w:rsid w:val="3B6343C3"/>
    <w:rsid w:val="3B730A2C"/>
    <w:rsid w:val="3B760E54"/>
    <w:rsid w:val="3B77509E"/>
    <w:rsid w:val="3BA46E66"/>
    <w:rsid w:val="3BAB412E"/>
    <w:rsid w:val="3BAC4273"/>
    <w:rsid w:val="3BAE5839"/>
    <w:rsid w:val="3BC73BD4"/>
    <w:rsid w:val="3BCE5AAC"/>
    <w:rsid w:val="3BDB763B"/>
    <w:rsid w:val="3BFB5246"/>
    <w:rsid w:val="3C0A04BB"/>
    <w:rsid w:val="3C3360EC"/>
    <w:rsid w:val="3C3643F9"/>
    <w:rsid w:val="3C3F3B8F"/>
    <w:rsid w:val="3C452831"/>
    <w:rsid w:val="3C491387"/>
    <w:rsid w:val="3C5D17C0"/>
    <w:rsid w:val="3C5D5748"/>
    <w:rsid w:val="3C5E539B"/>
    <w:rsid w:val="3C7057AE"/>
    <w:rsid w:val="3C741ABD"/>
    <w:rsid w:val="3C795D45"/>
    <w:rsid w:val="3C841D58"/>
    <w:rsid w:val="3CA53C3A"/>
    <w:rsid w:val="3CA60B04"/>
    <w:rsid w:val="3CA74A0B"/>
    <w:rsid w:val="3CA97F92"/>
    <w:rsid w:val="3CBB45AF"/>
    <w:rsid w:val="3CC1259B"/>
    <w:rsid w:val="3CCA6C49"/>
    <w:rsid w:val="3CDB442E"/>
    <w:rsid w:val="3CE242F0"/>
    <w:rsid w:val="3CEA1C78"/>
    <w:rsid w:val="3CF0119C"/>
    <w:rsid w:val="3D045B29"/>
    <w:rsid w:val="3D136199"/>
    <w:rsid w:val="3D3056F4"/>
    <w:rsid w:val="3D37642D"/>
    <w:rsid w:val="3D4B442E"/>
    <w:rsid w:val="3D53112B"/>
    <w:rsid w:val="3D672756"/>
    <w:rsid w:val="3D6D69CE"/>
    <w:rsid w:val="3D8D5B29"/>
    <w:rsid w:val="3D945377"/>
    <w:rsid w:val="3D9C11FA"/>
    <w:rsid w:val="3D9C6FA1"/>
    <w:rsid w:val="3DA962B7"/>
    <w:rsid w:val="3DB13B3B"/>
    <w:rsid w:val="3DC065C6"/>
    <w:rsid w:val="3DC70F93"/>
    <w:rsid w:val="3DDC0B07"/>
    <w:rsid w:val="3DDC7D8B"/>
    <w:rsid w:val="3DE051EE"/>
    <w:rsid w:val="3DF33233"/>
    <w:rsid w:val="3E0169BD"/>
    <w:rsid w:val="3E16578E"/>
    <w:rsid w:val="3E2C3483"/>
    <w:rsid w:val="3E2E4312"/>
    <w:rsid w:val="3E3D3FF6"/>
    <w:rsid w:val="3E4203B8"/>
    <w:rsid w:val="3E5700F6"/>
    <w:rsid w:val="3E5D317C"/>
    <w:rsid w:val="3E790CAC"/>
    <w:rsid w:val="3E7A3FF6"/>
    <w:rsid w:val="3E7B17BF"/>
    <w:rsid w:val="3E802A97"/>
    <w:rsid w:val="3E9E3D62"/>
    <w:rsid w:val="3EB721C8"/>
    <w:rsid w:val="3EBF7C5B"/>
    <w:rsid w:val="3EC7628C"/>
    <w:rsid w:val="3EE14631"/>
    <w:rsid w:val="3EE44D3A"/>
    <w:rsid w:val="3EF4037B"/>
    <w:rsid w:val="3F0355EF"/>
    <w:rsid w:val="3F197280"/>
    <w:rsid w:val="3F4B496B"/>
    <w:rsid w:val="3F4B6BB2"/>
    <w:rsid w:val="3F7B3FB4"/>
    <w:rsid w:val="3F8A64BB"/>
    <w:rsid w:val="3F8A67CD"/>
    <w:rsid w:val="3F8F2C54"/>
    <w:rsid w:val="3F903F59"/>
    <w:rsid w:val="3F91658F"/>
    <w:rsid w:val="3F965E62"/>
    <w:rsid w:val="3FA45178"/>
    <w:rsid w:val="3FA46EF8"/>
    <w:rsid w:val="3FA660FD"/>
    <w:rsid w:val="3FB83E19"/>
    <w:rsid w:val="3FEC6BE3"/>
    <w:rsid w:val="4010076E"/>
    <w:rsid w:val="402203F5"/>
    <w:rsid w:val="40223297"/>
    <w:rsid w:val="402657A8"/>
    <w:rsid w:val="4028158A"/>
    <w:rsid w:val="403D4072"/>
    <w:rsid w:val="40554F9C"/>
    <w:rsid w:val="40574F8A"/>
    <w:rsid w:val="40AE5034"/>
    <w:rsid w:val="40B35057"/>
    <w:rsid w:val="40BF6BC9"/>
    <w:rsid w:val="40D24565"/>
    <w:rsid w:val="41091371"/>
    <w:rsid w:val="411029F0"/>
    <w:rsid w:val="41303C39"/>
    <w:rsid w:val="41364AA2"/>
    <w:rsid w:val="41425B1E"/>
    <w:rsid w:val="414F74CB"/>
    <w:rsid w:val="415B6654"/>
    <w:rsid w:val="41636FFF"/>
    <w:rsid w:val="41662EBF"/>
    <w:rsid w:val="416745BC"/>
    <w:rsid w:val="41690F03"/>
    <w:rsid w:val="417C2EE6"/>
    <w:rsid w:val="41872CB2"/>
    <w:rsid w:val="418A3D14"/>
    <w:rsid w:val="41907140"/>
    <w:rsid w:val="41A171BC"/>
    <w:rsid w:val="41A55BC2"/>
    <w:rsid w:val="41B119D5"/>
    <w:rsid w:val="41B13BD3"/>
    <w:rsid w:val="41BF23A4"/>
    <w:rsid w:val="41C46BAD"/>
    <w:rsid w:val="41CC21FF"/>
    <w:rsid w:val="41D12A32"/>
    <w:rsid w:val="41D301C3"/>
    <w:rsid w:val="41D623AF"/>
    <w:rsid w:val="41E05BEB"/>
    <w:rsid w:val="41E06CA1"/>
    <w:rsid w:val="41F6377C"/>
    <w:rsid w:val="420B66EE"/>
    <w:rsid w:val="421B5801"/>
    <w:rsid w:val="422F49B3"/>
    <w:rsid w:val="42301F23"/>
    <w:rsid w:val="423767ED"/>
    <w:rsid w:val="425213C3"/>
    <w:rsid w:val="425968DE"/>
    <w:rsid w:val="42664FBD"/>
    <w:rsid w:val="426E68C9"/>
    <w:rsid w:val="427E58A6"/>
    <w:rsid w:val="42802614"/>
    <w:rsid w:val="42B01704"/>
    <w:rsid w:val="42CA554C"/>
    <w:rsid w:val="42CC4106"/>
    <w:rsid w:val="42D22B67"/>
    <w:rsid w:val="42DC0E76"/>
    <w:rsid w:val="42DF0DC2"/>
    <w:rsid w:val="42E21D47"/>
    <w:rsid w:val="42E661CE"/>
    <w:rsid w:val="42E92879"/>
    <w:rsid w:val="42EC69CA"/>
    <w:rsid w:val="42EE6E5E"/>
    <w:rsid w:val="42FB4A28"/>
    <w:rsid w:val="42FC375F"/>
    <w:rsid w:val="431F1AE3"/>
    <w:rsid w:val="433858A5"/>
    <w:rsid w:val="434028D7"/>
    <w:rsid w:val="43527105"/>
    <w:rsid w:val="436D237B"/>
    <w:rsid w:val="436D4954"/>
    <w:rsid w:val="438753A5"/>
    <w:rsid w:val="43891048"/>
    <w:rsid w:val="438F3A45"/>
    <w:rsid w:val="43920E07"/>
    <w:rsid w:val="43951B04"/>
    <w:rsid w:val="43A24887"/>
    <w:rsid w:val="43DA20AE"/>
    <w:rsid w:val="43F715ED"/>
    <w:rsid w:val="44000E21"/>
    <w:rsid w:val="440875AB"/>
    <w:rsid w:val="440B6331"/>
    <w:rsid w:val="440D15A1"/>
    <w:rsid w:val="4413593C"/>
    <w:rsid w:val="442B201A"/>
    <w:rsid w:val="44444E8A"/>
    <w:rsid w:val="444B4C5F"/>
    <w:rsid w:val="44511355"/>
    <w:rsid w:val="44621DE3"/>
    <w:rsid w:val="44655A6C"/>
    <w:rsid w:val="4467168F"/>
    <w:rsid w:val="44766B6D"/>
    <w:rsid w:val="44864A89"/>
    <w:rsid w:val="44890DFE"/>
    <w:rsid w:val="448F50C0"/>
    <w:rsid w:val="44983838"/>
    <w:rsid w:val="44984355"/>
    <w:rsid w:val="44A8226D"/>
    <w:rsid w:val="44AA08C6"/>
    <w:rsid w:val="44B32010"/>
    <w:rsid w:val="44C84166"/>
    <w:rsid w:val="44D04DF5"/>
    <w:rsid w:val="44EF4A70"/>
    <w:rsid w:val="44FE14DD"/>
    <w:rsid w:val="45011D41"/>
    <w:rsid w:val="45012D7B"/>
    <w:rsid w:val="452364C9"/>
    <w:rsid w:val="452B7DF8"/>
    <w:rsid w:val="45342FB5"/>
    <w:rsid w:val="454C0370"/>
    <w:rsid w:val="4550153F"/>
    <w:rsid w:val="455D4659"/>
    <w:rsid w:val="455E7EDC"/>
    <w:rsid w:val="45631ACD"/>
    <w:rsid w:val="45660998"/>
    <w:rsid w:val="458000C7"/>
    <w:rsid w:val="45806396"/>
    <w:rsid w:val="4585213C"/>
    <w:rsid w:val="458B3F95"/>
    <w:rsid w:val="45967A06"/>
    <w:rsid w:val="45AA2F38"/>
    <w:rsid w:val="45C41CBE"/>
    <w:rsid w:val="45CF1BC3"/>
    <w:rsid w:val="45F428E0"/>
    <w:rsid w:val="4601483F"/>
    <w:rsid w:val="46025A85"/>
    <w:rsid w:val="461A266E"/>
    <w:rsid w:val="46323738"/>
    <w:rsid w:val="46401681"/>
    <w:rsid w:val="464B7FDD"/>
    <w:rsid w:val="465530CB"/>
    <w:rsid w:val="4669507C"/>
    <w:rsid w:val="46760020"/>
    <w:rsid w:val="468C2B4D"/>
    <w:rsid w:val="468D05CE"/>
    <w:rsid w:val="46982676"/>
    <w:rsid w:val="469D2F6D"/>
    <w:rsid w:val="46A7659A"/>
    <w:rsid w:val="46B02CAB"/>
    <w:rsid w:val="46D00C57"/>
    <w:rsid w:val="46D06EA9"/>
    <w:rsid w:val="46D17AD3"/>
    <w:rsid w:val="46F956FF"/>
    <w:rsid w:val="47230AF2"/>
    <w:rsid w:val="47262F6D"/>
    <w:rsid w:val="47496783"/>
    <w:rsid w:val="474B1C86"/>
    <w:rsid w:val="47630D4C"/>
    <w:rsid w:val="476A14DB"/>
    <w:rsid w:val="476A5FE9"/>
    <w:rsid w:val="4782435E"/>
    <w:rsid w:val="4790205D"/>
    <w:rsid w:val="47941C85"/>
    <w:rsid w:val="479804CC"/>
    <w:rsid w:val="47A56E76"/>
    <w:rsid w:val="47AC0A26"/>
    <w:rsid w:val="47B75E90"/>
    <w:rsid w:val="47C03E43"/>
    <w:rsid w:val="47C56CDE"/>
    <w:rsid w:val="47D74267"/>
    <w:rsid w:val="47FD3740"/>
    <w:rsid w:val="48082BD4"/>
    <w:rsid w:val="481903DC"/>
    <w:rsid w:val="48195197"/>
    <w:rsid w:val="48266030"/>
    <w:rsid w:val="483319A6"/>
    <w:rsid w:val="483413B6"/>
    <w:rsid w:val="48383932"/>
    <w:rsid w:val="48431FBC"/>
    <w:rsid w:val="48490A61"/>
    <w:rsid w:val="4853720C"/>
    <w:rsid w:val="487657D6"/>
    <w:rsid w:val="4884619D"/>
    <w:rsid w:val="48A57A1A"/>
    <w:rsid w:val="48D664FA"/>
    <w:rsid w:val="49001E86"/>
    <w:rsid w:val="49081412"/>
    <w:rsid w:val="490B081A"/>
    <w:rsid w:val="4924150C"/>
    <w:rsid w:val="492A223F"/>
    <w:rsid w:val="494B2817"/>
    <w:rsid w:val="49500C1A"/>
    <w:rsid w:val="49554B29"/>
    <w:rsid w:val="495B1646"/>
    <w:rsid w:val="496D50BB"/>
    <w:rsid w:val="49831FB1"/>
    <w:rsid w:val="49834DA9"/>
    <w:rsid w:val="498E1308"/>
    <w:rsid w:val="498E392B"/>
    <w:rsid w:val="49953FD2"/>
    <w:rsid w:val="49A60395"/>
    <w:rsid w:val="49A67FEA"/>
    <w:rsid w:val="49A75C13"/>
    <w:rsid w:val="49B42357"/>
    <w:rsid w:val="49BE170B"/>
    <w:rsid w:val="49C60D15"/>
    <w:rsid w:val="49CC282C"/>
    <w:rsid w:val="49CE19A5"/>
    <w:rsid w:val="49D14C7B"/>
    <w:rsid w:val="49EE2E55"/>
    <w:rsid w:val="49F64E88"/>
    <w:rsid w:val="49FE3D2D"/>
    <w:rsid w:val="4A0B5680"/>
    <w:rsid w:val="4A1C41B3"/>
    <w:rsid w:val="4A442DE8"/>
    <w:rsid w:val="4A4C3C76"/>
    <w:rsid w:val="4A4F6B22"/>
    <w:rsid w:val="4A582F08"/>
    <w:rsid w:val="4A586086"/>
    <w:rsid w:val="4A5B47E7"/>
    <w:rsid w:val="4A5C19ED"/>
    <w:rsid w:val="4A713EF7"/>
    <w:rsid w:val="4A71669A"/>
    <w:rsid w:val="4A990DB8"/>
    <w:rsid w:val="4AB30EDE"/>
    <w:rsid w:val="4ACE7349"/>
    <w:rsid w:val="4AE65862"/>
    <w:rsid w:val="4AE87797"/>
    <w:rsid w:val="4AEA5999"/>
    <w:rsid w:val="4B0A392B"/>
    <w:rsid w:val="4B100A0B"/>
    <w:rsid w:val="4B140282"/>
    <w:rsid w:val="4B341F77"/>
    <w:rsid w:val="4B383175"/>
    <w:rsid w:val="4B3F27FC"/>
    <w:rsid w:val="4B475260"/>
    <w:rsid w:val="4B4C4394"/>
    <w:rsid w:val="4B536B77"/>
    <w:rsid w:val="4B7B039D"/>
    <w:rsid w:val="4B7D207A"/>
    <w:rsid w:val="4B875EB6"/>
    <w:rsid w:val="4B8D42B7"/>
    <w:rsid w:val="4B982295"/>
    <w:rsid w:val="4B9F639D"/>
    <w:rsid w:val="4BAB57EF"/>
    <w:rsid w:val="4BB308C1"/>
    <w:rsid w:val="4BBC3115"/>
    <w:rsid w:val="4BE63A02"/>
    <w:rsid w:val="4C1750C8"/>
    <w:rsid w:val="4C3A6B73"/>
    <w:rsid w:val="4C3D761E"/>
    <w:rsid w:val="4C3F21A1"/>
    <w:rsid w:val="4C43011D"/>
    <w:rsid w:val="4C4658B1"/>
    <w:rsid w:val="4C657AAE"/>
    <w:rsid w:val="4C6C226D"/>
    <w:rsid w:val="4C7D1FFD"/>
    <w:rsid w:val="4C8A275C"/>
    <w:rsid w:val="4C8C446E"/>
    <w:rsid w:val="4CA97B54"/>
    <w:rsid w:val="4CC43F81"/>
    <w:rsid w:val="4CC74F06"/>
    <w:rsid w:val="4CD377AA"/>
    <w:rsid w:val="4CE51F37"/>
    <w:rsid w:val="4CF5763E"/>
    <w:rsid w:val="4D1400D2"/>
    <w:rsid w:val="4D1B6B8E"/>
    <w:rsid w:val="4D1E7969"/>
    <w:rsid w:val="4D2A0882"/>
    <w:rsid w:val="4D3951FB"/>
    <w:rsid w:val="4D3F7CBF"/>
    <w:rsid w:val="4D473FC5"/>
    <w:rsid w:val="4D4D4DDF"/>
    <w:rsid w:val="4D555A6E"/>
    <w:rsid w:val="4D5D520F"/>
    <w:rsid w:val="4D6D4C62"/>
    <w:rsid w:val="4DA65831"/>
    <w:rsid w:val="4DAC647D"/>
    <w:rsid w:val="4DB7491F"/>
    <w:rsid w:val="4DC46301"/>
    <w:rsid w:val="4DCD6596"/>
    <w:rsid w:val="4DEF23EA"/>
    <w:rsid w:val="4DF036EE"/>
    <w:rsid w:val="4DF71CA3"/>
    <w:rsid w:val="4DF807D9"/>
    <w:rsid w:val="4DFE3CC8"/>
    <w:rsid w:val="4E096817"/>
    <w:rsid w:val="4E1230AB"/>
    <w:rsid w:val="4E3450DC"/>
    <w:rsid w:val="4E3F7ECE"/>
    <w:rsid w:val="4E4E418E"/>
    <w:rsid w:val="4E5C1022"/>
    <w:rsid w:val="4E8167AD"/>
    <w:rsid w:val="4EA902EC"/>
    <w:rsid w:val="4EAD5D22"/>
    <w:rsid w:val="4EAF2828"/>
    <w:rsid w:val="4EBE3E8A"/>
    <w:rsid w:val="4ED107DE"/>
    <w:rsid w:val="4EE058CB"/>
    <w:rsid w:val="4EF8069D"/>
    <w:rsid w:val="4EFF706A"/>
    <w:rsid w:val="4F0A7123"/>
    <w:rsid w:val="4F2A3762"/>
    <w:rsid w:val="4F2E0DB1"/>
    <w:rsid w:val="4F360EA8"/>
    <w:rsid w:val="4F802128"/>
    <w:rsid w:val="4F871206"/>
    <w:rsid w:val="4F8B568E"/>
    <w:rsid w:val="4F9F1B0F"/>
    <w:rsid w:val="4FA56238"/>
    <w:rsid w:val="4FA67F9C"/>
    <w:rsid w:val="4FA904C1"/>
    <w:rsid w:val="4FD41C1D"/>
    <w:rsid w:val="4FD64C5B"/>
    <w:rsid w:val="4FDA48F5"/>
    <w:rsid w:val="4FE0099B"/>
    <w:rsid w:val="4FE30C63"/>
    <w:rsid w:val="4FED2322"/>
    <w:rsid w:val="4FEE647A"/>
    <w:rsid w:val="4FFD53C6"/>
    <w:rsid w:val="501040B3"/>
    <w:rsid w:val="50213603"/>
    <w:rsid w:val="50321789"/>
    <w:rsid w:val="50353485"/>
    <w:rsid w:val="503D1B16"/>
    <w:rsid w:val="50795316"/>
    <w:rsid w:val="508E47DC"/>
    <w:rsid w:val="50A05B3E"/>
    <w:rsid w:val="50A90064"/>
    <w:rsid w:val="50AE3F83"/>
    <w:rsid w:val="50CF7A4B"/>
    <w:rsid w:val="50E92709"/>
    <w:rsid w:val="50FD7AEE"/>
    <w:rsid w:val="510B7C04"/>
    <w:rsid w:val="51145515"/>
    <w:rsid w:val="511A741E"/>
    <w:rsid w:val="51354115"/>
    <w:rsid w:val="5137564E"/>
    <w:rsid w:val="514E0A72"/>
    <w:rsid w:val="51576FE4"/>
    <w:rsid w:val="51586419"/>
    <w:rsid w:val="515D338B"/>
    <w:rsid w:val="5164091A"/>
    <w:rsid w:val="516C77CE"/>
    <w:rsid w:val="51954F77"/>
    <w:rsid w:val="519F488C"/>
    <w:rsid w:val="51A27694"/>
    <w:rsid w:val="51BB2504"/>
    <w:rsid w:val="51C5493F"/>
    <w:rsid w:val="51CA5F3D"/>
    <w:rsid w:val="51DD247A"/>
    <w:rsid w:val="52036385"/>
    <w:rsid w:val="520713EF"/>
    <w:rsid w:val="520923F4"/>
    <w:rsid w:val="520934A3"/>
    <w:rsid w:val="5222282D"/>
    <w:rsid w:val="52257550"/>
    <w:rsid w:val="522762D7"/>
    <w:rsid w:val="52302A27"/>
    <w:rsid w:val="523742BD"/>
    <w:rsid w:val="52450012"/>
    <w:rsid w:val="52547F54"/>
    <w:rsid w:val="5265033A"/>
    <w:rsid w:val="527F07B8"/>
    <w:rsid w:val="528A0778"/>
    <w:rsid w:val="52903990"/>
    <w:rsid w:val="529320FE"/>
    <w:rsid w:val="5296438C"/>
    <w:rsid w:val="52990A97"/>
    <w:rsid w:val="529A30BA"/>
    <w:rsid w:val="529A6D62"/>
    <w:rsid w:val="529D3476"/>
    <w:rsid w:val="529D4EC7"/>
    <w:rsid w:val="529E7DC9"/>
    <w:rsid w:val="52A1157D"/>
    <w:rsid w:val="52A501FA"/>
    <w:rsid w:val="52DE4780"/>
    <w:rsid w:val="530B2D71"/>
    <w:rsid w:val="530C4EFF"/>
    <w:rsid w:val="530D3EEC"/>
    <w:rsid w:val="53194965"/>
    <w:rsid w:val="532452B2"/>
    <w:rsid w:val="532838FB"/>
    <w:rsid w:val="53316F22"/>
    <w:rsid w:val="533237C4"/>
    <w:rsid w:val="53331AF6"/>
    <w:rsid w:val="5333550F"/>
    <w:rsid w:val="534357AA"/>
    <w:rsid w:val="534E3B3B"/>
    <w:rsid w:val="535B4CF0"/>
    <w:rsid w:val="53693CDD"/>
    <w:rsid w:val="538006C3"/>
    <w:rsid w:val="538A5F1E"/>
    <w:rsid w:val="538C4158"/>
    <w:rsid w:val="539C576C"/>
    <w:rsid w:val="53AA6453"/>
    <w:rsid w:val="53BA08AE"/>
    <w:rsid w:val="53BC278B"/>
    <w:rsid w:val="53D146C7"/>
    <w:rsid w:val="53D53162"/>
    <w:rsid w:val="53E06252"/>
    <w:rsid w:val="53F71F19"/>
    <w:rsid w:val="5400093A"/>
    <w:rsid w:val="540F6177"/>
    <w:rsid w:val="54103BF9"/>
    <w:rsid w:val="54140080"/>
    <w:rsid w:val="541A1B62"/>
    <w:rsid w:val="541A5C08"/>
    <w:rsid w:val="542D76E9"/>
    <w:rsid w:val="543B6670"/>
    <w:rsid w:val="543E150A"/>
    <w:rsid w:val="544A4CD7"/>
    <w:rsid w:val="54503E85"/>
    <w:rsid w:val="54760CFA"/>
    <w:rsid w:val="547747B8"/>
    <w:rsid w:val="547F24EC"/>
    <w:rsid w:val="54B972CF"/>
    <w:rsid w:val="54E164AC"/>
    <w:rsid w:val="54E67898"/>
    <w:rsid w:val="551B6B41"/>
    <w:rsid w:val="552227BC"/>
    <w:rsid w:val="55230827"/>
    <w:rsid w:val="552968C4"/>
    <w:rsid w:val="553E2FE6"/>
    <w:rsid w:val="55411377"/>
    <w:rsid w:val="55671C2C"/>
    <w:rsid w:val="55781EC6"/>
    <w:rsid w:val="55992746"/>
    <w:rsid w:val="55A15285"/>
    <w:rsid w:val="55A96275"/>
    <w:rsid w:val="55AE7D4E"/>
    <w:rsid w:val="55B31E70"/>
    <w:rsid w:val="55C05B3D"/>
    <w:rsid w:val="55C51BA3"/>
    <w:rsid w:val="55C9649C"/>
    <w:rsid w:val="55DA41BD"/>
    <w:rsid w:val="56063D5E"/>
    <w:rsid w:val="5625421C"/>
    <w:rsid w:val="564306A0"/>
    <w:rsid w:val="564451BE"/>
    <w:rsid w:val="564E3912"/>
    <w:rsid w:val="564F4128"/>
    <w:rsid w:val="565076BF"/>
    <w:rsid w:val="565B2641"/>
    <w:rsid w:val="56617B1E"/>
    <w:rsid w:val="56625644"/>
    <w:rsid w:val="569B59A6"/>
    <w:rsid w:val="56A62938"/>
    <w:rsid w:val="56E6209D"/>
    <w:rsid w:val="56EA4326"/>
    <w:rsid w:val="570D57DF"/>
    <w:rsid w:val="57132F95"/>
    <w:rsid w:val="572664EB"/>
    <w:rsid w:val="572D4E3F"/>
    <w:rsid w:val="572D56F6"/>
    <w:rsid w:val="572F3796"/>
    <w:rsid w:val="5732287F"/>
    <w:rsid w:val="573C5E95"/>
    <w:rsid w:val="573D052D"/>
    <w:rsid w:val="57452597"/>
    <w:rsid w:val="57454D4A"/>
    <w:rsid w:val="57476D14"/>
    <w:rsid w:val="57521214"/>
    <w:rsid w:val="57606393"/>
    <w:rsid w:val="57686C8A"/>
    <w:rsid w:val="57733E7E"/>
    <w:rsid w:val="57871C26"/>
    <w:rsid w:val="57894A0E"/>
    <w:rsid w:val="57961A49"/>
    <w:rsid w:val="57A77F5C"/>
    <w:rsid w:val="57C02302"/>
    <w:rsid w:val="57C63600"/>
    <w:rsid w:val="57D83FAF"/>
    <w:rsid w:val="57DB3900"/>
    <w:rsid w:val="57E148BE"/>
    <w:rsid w:val="57E8417C"/>
    <w:rsid w:val="581D479D"/>
    <w:rsid w:val="582B03E3"/>
    <w:rsid w:val="583077A8"/>
    <w:rsid w:val="58315DB1"/>
    <w:rsid w:val="58430210"/>
    <w:rsid w:val="585838C1"/>
    <w:rsid w:val="58606A21"/>
    <w:rsid w:val="5863214C"/>
    <w:rsid w:val="58663849"/>
    <w:rsid w:val="58717162"/>
    <w:rsid w:val="58857496"/>
    <w:rsid w:val="58871392"/>
    <w:rsid w:val="58B96227"/>
    <w:rsid w:val="58BA754E"/>
    <w:rsid w:val="58ED44C3"/>
    <w:rsid w:val="5947124D"/>
    <w:rsid w:val="59647B33"/>
    <w:rsid w:val="596C7E01"/>
    <w:rsid w:val="597F1615"/>
    <w:rsid w:val="59801346"/>
    <w:rsid w:val="59A044B9"/>
    <w:rsid w:val="59A47948"/>
    <w:rsid w:val="59B447B9"/>
    <w:rsid w:val="59DC43D8"/>
    <w:rsid w:val="5A22286F"/>
    <w:rsid w:val="5A270225"/>
    <w:rsid w:val="5A366BCB"/>
    <w:rsid w:val="5A400973"/>
    <w:rsid w:val="5A6776CD"/>
    <w:rsid w:val="5A706581"/>
    <w:rsid w:val="5A736072"/>
    <w:rsid w:val="5A737DB0"/>
    <w:rsid w:val="5A7747D4"/>
    <w:rsid w:val="5A7F451A"/>
    <w:rsid w:val="5A8042EB"/>
    <w:rsid w:val="5A8A0F99"/>
    <w:rsid w:val="5AA549B2"/>
    <w:rsid w:val="5AAE2C06"/>
    <w:rsid w:val="5AB51DDE"/>
    <w:rsid w:val="5ACD067E"/>
    <w:rsid w:val="5AD36B10"/>
    <w:rsid w:val="5ADC7386"/>
    <w:rsid w:val="5B117F79"/>
    <w:rsid w:val="5B5104F9"/>
    <w:rsid w:val="5B584E6A"/>
    <w:rsid w:val="5B5D0855"/>
    <w:rsid w:val="5B654DE1"/>
    <w:rsid w:val="5B7D50AA"/>
    <w:rsid w:val="5B817F90"/>
    <w:rsid w:val="5BAC4E3A"/>
    <w:rsid w:val="5BBD471D"/>
    <w:rsid w:val="5BC87CA3"/>
    <w:rsid w:val="5BCC3C8B"/>
    <w:rsid w:val="5BD347B4"/>
    <w:rsid w:val="5BF65C6D"/>
    <w:rsid w:val="5C012B8C"/>
    <w:rsid w:val="5C362AF4"/>
    <w:rsid w:val="5C3B6CBD"/>
    <w:rsid w:val="5C3E4720"/>
    <w:rsid w:val="5C526BB4"/>
    <w:rsid w:val="5C5477DD"/>
    <w:rsid w:val="5C5B3413"/>
    <w:rsid w:val="5C615D0C"/>
    <w:rsid w:val="5C694A3B"/>
    <w:rsid w:val="5C9B09C7"/>
    <w:rsid w:val="5CAD579C"/>
    <w:rsid w:val="5CB660AB"/>
    <w:rsid w:val="5CB815AE"/>
    <w:rsid w:val="5CC85BD5"/>
    <w:rsid w:val="5CD252D1"/>
    <w:rsid w:val="5CDC5954"/>
    <w:rsid w:val="5CE018DD"/>
    <w:rsid w:val="5CEB5280"/>
    <w:rsid w:val="5D0403A9"/>
    <w:rsid w:val="5D153EC6"/>
    <w:rsid w:val="5D1928CC"/>
    <w:rsid w:val="5D1B01A7"/>
    <w:rsid w:val="5D26561D"/>
    <w:rsid w:val="5D317F73"/>
    <w:rsid w:val="5D4C4020"/>
    <w:rsid w:val="5D4C7389"/>
    <w:rsid w:val="5D530128"/>
    <w:rsid w:val="5D5B7D4A"/>
    <w:rsid w:val="5D602734"/>
    <w:rsid w:val="5D6A35D0"/>
    <w:rsid w:val="5D7209DD"/>
    <w:rsid w:val="5DA46C2D"/>
    <w:rsid w:val="5DB554E1"/>
    <w:rsid w:val="5DBA0DD1"/>
    <w:rsid w:val="5DE233F0"/>
    <w:rsid w:val="5DE52DE2"/>
    <w:rsid w:val="5DF04B2E"/>
    <w:rsid w:val="5DF72B16"/>
    <w:rsid w:val="5E0314BA"/>
    <w:rsid w:val="5E0324CA"/>
    <w:rsid w:val="5E074110"/>
    <w:rsid w:val="5E0854EE"/>
    <w:rsid w:val="5E0B78D6"/>
    <w:rsid w:val="5E214762"/>
    <w:rsid w:val="5E486ECD"/>
    <w:rsid w:val="5E6200F2"/>
    <w:rsid w:val="5E8720EC"/>
    <w:rsid w:val="5E8E1E7B"/>
    <w:rsid w:val="5E933865"/>
    <w:rsid w:val="5E987E55"/>
    <w:rsid w:val="5E9D308B"/>
    <w:rsid w:val="5EAB5261"/>
    <w:rsid w:val="5EAF3C67"/>
    <w:rsid w:val="5EB1181D"/>
    <w:rsid w:val="5EBC03E1"/>
    <w:rsid w:val="5EC33BF1"/>
    <w:rsid w:val="5EC52109"/>
    <w:rsid w:val="5EDC6635"/>
    <w:rsid w:val="5EDF242A"/>
    <w:rsid w:val="5EE04437"/>
    <w:rsid w:val="5EEC4CC9"/>
    <w:rsid w:val="5EF03EB9"/>
    <w:rsid w:val="5EF14313"/>
    <w:rsid w:val="5EF85E29"/>
    <w:rsid w:val="5EFC424F"/>
    <w:rsid w:val="5F0C439F"/>
    <w:rsid w:val="5F0E1A83"/>
    <w:rsid w:val="5F29359B"/>
    <w:rsid w:val="5F3062DF"/>
    <w:rsid w:val="5F387DD8"/>
    <w:rsid w:val="5F3F4450"/>
    <w:rsid w:val="5F610F9A"/>
    <w:rsid w:val="5F622211"/>
    <w:rsid w:val="5F6601DC"/>
    <w:rsid w:val="5F712D16"/>
    <w:rsid w:val="5F782C2C"/>
    <w:rsid w:val="5F8416C1"/>
    <w:rsid w:val="5F88611B"/>
    <w:rsid w:val="5F925D02"/>
    <w:rsid w:val="5FA6205D"/>
    <w:rsid w:val="5FA93E7F"/>
    <w:rsid w:val="5FBD7E8C"/>
    <w:rsid w:val="5FC72CEE"/>
    <w:rsid w:val="5FD27242"/>
    <w:rsid w:val="5FDE64E9"/>
    <w:rsid w:val="5FE17054"/>
    <w:rsid w:val="5FED5F7E"/>
    <w:rsid w:val="5FF04AF3"/>
    <w:rsid w:val="6001450E"/>
    <w:rsid w:val="60056797"/>
    <w:rsid w:val="6012222A"/>
    <w:rsid w:val="602B5EDC"/>
    <w:rsid w:val="602C20DD"/>
    <w:rsid w:val="603C0E70"/>
    <w:rsid w:val="60442474"/>
    <w:rsid w:val="60452D1D"/>
    <w:rsid w:val="60472A84"/>
    <w:rsid w:val="60636B31"/>
    <w:rsid w:val="606964BC"/>
    <w:rsid w:val="606A3F3D"/>
    <w:rsid w:val="60844AE7"/>
    <w:rsid w:val="609C218E"/>
    <w:rsid w:val="60B12374"/>
    <w:rsid w:val="60B12B22"/>
    <w:rsid w:val="60BE39C7"/>
    <w:rsid w:val="60CB5CDD"/>
    <w:rsid w:val="60D14E8D"/>
    <w:rsid w:val="60D45B6B"/>
    <w:rsid w:val="610E11C8"/>
    <w:rsid w:val="610E2650"/>
    <w:rsid w:val="61177267"/>
    <w:rsid w:val="611C7D9F"/>
    <w:rsid w:val="61614E76"/>
    <w:rsid w:val="61623A9A"/>
    <w:rsid w:val="617519E8"/>
    <w:rsid w:val="618A7FBC"/>
    <w:rsid w:val="61B42655"/>
    <w:rsid w:val="61B473D7"/>
    <w:rsid w:val="61BF394A"/>
    <w:rsid w:val="61C55F03"/>
    <w:rsid w:val="61DC62AA"/>
    <w:rsid w:val="61E01520"/>
    <w:rsid w:val="61EB04E9"/>
    <w:rsid w:val="621825F1"/>
    <w:rsid w:val="622F4266"/>
    <w:rsid w:val="622F7878"/>
    <w:rsid w:val="62390CB6"/>
    <w:rsid w:val="623D18BA"/>
    <w:rsid w:val="62462A72"/>
    <w:rsid w:val="624C1ED5"/>
    <w:rsid w:val="6259166C"/>
    <w:rsid w:val="626A1485"/>
    <w:rsid w:val="62846CDE"/>
    <w:rsid w:val="62A42D3A"/>
    <w:rsid w:val="62B95A2A"/>
    <w:rsid w:val="62C751AC"/>
    <w:rsid w:val="62D00E29"/>
    <w:rsid w:val="62EA6460"/>
    <w:rsid w:val="63030F14"/>
    <w:rsid w:val="63185A08"/>
    <w:rsid w:val="63375355"/>
    <w:rsid w:val="634A2CF1"/>
    <w:rsid w:val="635051A2"/>
    <w:rsid w:val="63607EDD"/>
    <w:rsid w:val="637C0957"/>
    <w:rsid w:val="63806113"/>
    <w:rsid w:val="638A3ADA"/>
    <w:rsid w:val="63942F1D"/>
    <w:rsid w:val="63AA400F"/>
    <w:rsid w:val="63B15515"/>
    <w:rsid w:val="63D25CA3"/>
    <w:rsid w:val="63D26110"/>
    <w:rsid w:val="63D57637"/>
    <w:rsid w:val="63E477B4"/>
    <w:rsid w:val="63ED6827"/>
    <w:rsid w:val="63F10007"/>
    <w:rsid w:val="64087C2C"/>
    <w:rsid w:val="641C6E32"/>
    <w:rsid w:val="64432E01"/>
    <w:rsid w:val="6453132F"/>
    <w:rsid w:val="6470710A"/>
    <w:rsid w:val="649B6252"/>
    <w:rsid w:val="64A036C7"/>
    <w:rsid w:val="64A05CB5"/>
    <w:rsid w:val="64C22BED"/>
    <w:rsid w:val="64D82908"/>
    <w:rsid w:val="64D91523"/>
    <w:rsid w:val="64DB2E27"/>
    <w:rsid w:val="64DE058B"/>
    <w:rsid w:val="64E77440"/>
    <w:rsid w:val="64EC5F80"/>
    <w:rsid w:val="64F41B5D"/>
    <w:rsid w:val="65016124"/>
    <w:rsid w:val="65067B4F"/>
    <w:rsid w:val="65257F68"/>
    <w:rsid w:val="652F708D"/>
    <w:rsid w:val="654B1ECF"/>
    <w:rsid w:val="65585BAA"/>
    <w:rsid w:val="65622439"/>
    <w:rsid w:val="656C203B"/>
    <w:rsid w:val="656E52FB"/>
    <w:rsid w:val="657D7DA4"/>
    <w:rsid w:val="65811A17"/>
    <w:rsid w:val="658D680B"/>
    <w:rsid w:val="659D4F99"/>
    <w:rsid w:val="65A12770"/>
    <w:rsid w:val="65D976D1"/>
    <w:rsid w:val="65EC32C5"/>
    <w:rsid w:val="65F94B59"/>
    <w:rsid w:val="66035B03"/>
    <w:rsid w:val="661462F7"/>
    <w:rsid w:val="66150AEC"/>
    <w:rsid w:val="66386A97"/>
    <w:rsid w:val="6650158D"/>
    <w:rsid w:val="665A22F4"/>
    <w:rsid w:val="666F3B91"/>
    <w:rsid w:val="66770CAA"/>
    <w:rsid w:val="668B5CC3"/>
    <w:rsid w:val="66901A75"/>
    <w:rsid w:val="66AA0200"/>
    <w:rsid w:val="66B06886"/>
    <w:rsid w:val="66D238E8"/>
    <w:rsid w:val="66E30E48"/>
    <w:rsid w:val="67010AE3"/>
    <w:rsid w:val="670B371C"/>
    <w:rsid w:val="670F1CAF"/>
    <w:rsid w:val="670F7F24"/>
    <w:rsid w:val="67110EA9"/>
    <w:rsid w:val="67251571"/>
    <w:rsid w:val="672524A2"/>
    <w:rsid w:val="672542C6"/>
    <w:rsid w:val="67322B5A"/>
    <w:rsid w:val="67352362"/>
    <w:rsid w:val="67410373"/>
    <w:rsid w:val="67433876"/>
    <w:rsid w:val="676D5D3F"/>
    <w:rsid w:val="6783286B"/>
    <w:rsid w:val="67851192"/>
    <w:rsid w:val="678A5539"/>
    <w:rsid w:val="6794124F"/>
    <w:rsid w:val="67972ADA"/>
    <w:rsid w:val="67B11F87"/>
    <w:rsid w:val="67C373D8"/>
    <w:rsid w:val="67C7664D"/>
    <w:rsid w:val="67DB42ED"/>
    <w:rsid w:val="67DD4F5A"/>
    <w:rsid w:val="67E62186"/>
    <w:rsid w:val="67EA5309"/>
    <w:rsid w:val="67EE40CD"/>
    <w:rsid w:val="67F035BE"/>
    <w:rsid w:val="67F22715"/>
    <w:rsid w:val="68002120"/>
    <w:rsid w:val="68075EEC"/>
    <w:rsid w:val="68183231"/>
    <w:rsid w:val="68423799"/>
    <w:rsid w:val="68633281"/>
    <w:rsid w:val="68695ADC"/>
    <w:rsid w:val="687112E4"/>
    <w:rsid w:val="687E455F"/>
    <w:rsid w:val="68811569"/>
    <w:rsid w:val="688D02FE"/>
    <w:rsid w:val="688D5AAB"/>
    <w:rsid w:val="689F47D3"/>
    <w:rsid w:val="68BC6E36"/>
    <w:rsid w:val="68C83A2C"/>
    <w:rsid w:val="68E814B4"/>
    <w:rsid w:val="68F44821"/>
    <w:rsid w:val="68F91EAB"/>
    <w:rsid w:val="6902495C"/>
    <w:rsid w:val="6905258B"/>
    <w:rsid w:val="690A6A65"/>
    <w:rsid w:val="69121E3A"/>
    <w:rsid w:val="69154D60"/>
    <w:rsid w:val="691D7C84"/>
    <w:rsid w:val="691F4D9F"/>
    <w:rsid w:val="69206401"/>
    <w:rsid w:val="694655C5"/>
    <w:rsid w:val="694A6DBA"/>
    <w:rsid w:val="69701C8D"/>
    <w:rsid w:val="69723EB6"/>
    <w:rsid w:val="69732C11"/>
    <w:rsid w:val="697E47D3"/>
    <w:rsid w:val="699243C0"/>
    <w:rsid w:val="699954C4"/>
    <w:rsid w:val="699D36D6"/>
    <w:rsid w:val="69A7578F"/>
    <w:rsid w:val="69B02560"/>
    <w:rsid w:val="69B779BF"/>
    <w:rsid w:val="69C21B11"/>
    <w:rsid w:val="69CD7FDE"/>
    <w:rsid w:val="69DC2306"/>
    <w:rsid w:val="69F0323B"/>
    <w:rsid w:val="69F55085"/>
    <w:rsid w:val="6A07214F"/>
    <w:rsid w:val="6A097C8B"/>
    <w:rsid w:val="6A0B4089"/>
    <w:rsid w:val="6A1E7827"/>
    <w:rsid w:val="6A2E2210"/>
    <w:rsid w:val="6A2F7723"/>
    <w:rsid w:val="6A3A1355"/>
    <w:rsid w:val="6A586D90"/>
    <w:rsid w:val="6A6F632C"/>
    <w:rsid w:val="6A7263A9"/>
    <w:rsid w:val="6A7E510F"/>
    <w:rsid w:val="6A9F44B9"/>
    <w:rsid w:val="6AA9740B"/>
    <w:rsid w:val="6ABB21A6"/>
    <w:rsid w:val="6ABF6D3B"/>
    <w:rsid w:val="6ACE0CEA"/>
    <w:rsid w:val="6ACE1BC9"/>
    <w:rsid w:val="6ADB2F03"/>
    <w:rsid w:val="6AE2354A"/>
    <w:rsid w:val="6AEB5722"/>
    <w:rsid w:val="6AF8649D"/>
    <w:rsid w:val="6AFA7A77"/>
    <w:rsid w:val="6AFB24CA"/>
    <w:rsid w:val="6AFF2463"/>
    <w:rsid w:val="6B0874EA"/>
    <w:rsid w:val="6B1D20DD"/>
    <w:rsid w:val="6B1F10AD"/>
    <w:rsid w:val="6B22477C"/>
    <w:rsid w:val="6B2C79E4"/>
    <w:rsid w:val="6B320A31"/>
    <w:rsid w:val="6B3555BC"/>
    <w:rsid w:val="6B491DA4"/>
    <w:rsid w:val="6B513865"/>
    <w:rsid w:val="6B594672"/>
    <w:rsid w:val="6B5D28FD"/>
    <w:rsid w:val="6B5E4D2E"/>
    <w:rsid w:val="6B7113D2"/>
    <w:rsid w:val="6B75365C"/>
    <w:rsid w:val="6B8B79FD"/>
    <w:rsid w:val="6BAE5444"/>
    <w:rsid w:val="6BB05F5F"/>
    <w:rsid w:val="6BE116D3"/>
    <w:rsid w:val="6BE970D1"/>
    <w:rsid w:val="6BFB6DB8"/>
    <w:rsid w:val="6C027255"/>
    <w:rsid w:val="6C2A7865"/>
    <w:rsid w:val="6C2C6080"/>
    <w:rsid w:val="6C506213"/>
    <w:rsid w:val="6C5D5B58"/>
    <w:rsid w:val="6C620EF9"/>
    <w:rsid w:val="6C670665"/>
    <w:rsid w:val="6C6A54FD"/>
    <w:rsid w:val="6C737CFB"/>
    <w:rsid w:val="6C902E09"/>
    <w:rsid w:val="6C950FE9"/>
    <w:rsid w:val="6C983716"/>
    <w:rsid w:val="6CCB618B"/>
    <w:rsid w:val="6CF02B48"/>
    <w:rsid w:val="6CF6746A"/>
    <w:rsid w:val="6D1055FB"/>
    <w:rsid w:val="6D127D3D"/>
    <w:rsid w:val="6D203E37"/>
    <w:rsid w:val="6D21370B"/>
    <w:rsid w:val="6D22461C"/>
    <w:rsid w:val="6D2D03F9"/>
    <w:rsid w:val="6D455BB8"/>
    <w:rsid w:val="6D48513C"/>
    <w:rsid w:val="6D660588"/>
    <w:rsid w:val="6D673814"/>
    <w:rsid w:val="6D802B33"/>
    <w:rsid w:val="6D9767D9"/>
    <w:rsid w:val="6D9E588E"/>
    <w:rsid w:val="6DA94262"/>
    <w:rsid w:val="6DB70CB4"/>
    <w:rsid w:val="6DE74955"/>
    <w:rsid w:val="6DEE71E8"/>
    <w:rsid w:val="6DF67E77"/>
    <w:rsid w:val="6E001573"/>
    <w:rsid w:val="6E094352"/>
    <w:rsid w:val="6E0A2C2C"/>
    <w:rsid w:val="6E0D62B9"/>
    <w:rsid w:val="6E135B2D"/>
    <w:rsid w:val="6E4E6307"/>
    <w:rsid w:val="6E520C8F"/>
    <w:rsid w:val="6E540211"/>
    <w:rsid w:val="6E5864AC"/>
    <w:rsid w:val="6E7579F1"/>
    <w:rsid w:val="6E7855AD"/>
    <w:rsid w:val="6E92195E"/>
    <w:rsid w:val="6E9D66DB"/>
    <w:rsid w:val="6EA9791B"/>
    <w:rsid w:val="6EAD6321"/>
    <w:rsid w:val="6EE64C0C"/>
    <w:rsid w:val="6EEC1689"/>
    <w:rsid w:val="6F0C79BF"/>
    <w:rsid w:val="6F1624CD"/>
    <w:rsid w:val="6F19182E"/>
    <w:rsid w:val="6F1E7F02"/>
    <w:rsid w:val="6F3626B6"/>
    <w:rsid w:val="6F3F40AE"/>
    <w:rsid w:val="6F7B6F1E"/>
    <w:rsid w:val="6F815117"/>
    <w:rsid w:val="6FAD7EFC"/>
    <w:rsid w:val="6FC91EF0"/>
    <w:rsid w:val="6FDC6A13"/>
    <w:rsid w:val="6FEA4288"/>
    <w:rsid w:val="70234308"/>
    <w:rsid w:val="702A2DF0"/>
    <w:rsid w:val="70567B70"/>
    <w:rsid w:val="70650EF5"/>
    <w:rsid w:val="708020B9"/>
    <w:rsid w:val="708304A5"/>
    <w:rsid w:val="708F3F4F"/>
    <w:rsid w:val="709771CD"/>
    <w:rsid w:val="70B269EA"/>
    <w:rsid w:val="70DA275C"/>
    <w:rsid w:val="70DB30B2"/>
    <w:rsid w:val="70E329E4"/>
    <w:rsid w:val="70F40DF1"/>
    <w:rsid w:val="70F52EE5"/>
    <w:rsid w:val="70FD13AF"/>
    <w:rsid w:val="71026C27"/>
    <w:rsid w:val="71155E1B"/>
    <w:rsid w:val="712447AC"/>
    <w:rsid w:val="71313F5D"/>
    <w:rsid w:val="71393588"/>
    <w:rsid w:val="714D6812"/>
    <w:rsid w:val="716A5681"/>
    <w:rsid w:val="7170308B"/>
    <w:rsid w:val="717A2FBC"/>
    <w:rsid w:val="718E21F2"/>
    <w:rsid w:val="718E63D9"/>
    <w:rsid w:val="71946BA2"/>
    <w:rsid w:val="71971267"/>
    <w:rsid w:val="71995F66"/>
    <w:rsid w:val="719E503F"/>
    <w:rsid w:val="71A5799C"/>
    <w:rsid w:val="71AB3036"/>
    <w:rsid w:val="71AC3D91"/>
    <w:rsid w:val="71CC455D"/>
    <w:rsid w:val="71D62051"/>
    <w:rsid w:val="71E65261"/>
    <w:rsid w:val="71E87D6D"/>
    <w:rsid w:val="71EC253A"/>
    <w:rsid w:val="71F31B1A"/>
    <w:rsid w:val="71FF0740"/>
    <w:rsid w:val="71FF0BB1"/>
    <w:rsid w:val="720D0234"/>
    <w:rsid w:val="7238693B"/>
    <w:rsid w:val="723D27EE"/>
    <w:rsid w:val="72534E9D"/>
    <w:rsid w:val="726409BB"/>
    <w:rsid w:val="72804A68"/>
    <w:rsid w:val="72856C67"/>
    <w:rsid w:val="72896FE0"/>
    <w:rsid w:val="728E5F19"/>
    <w:rsid w:val="72907369"/>
    <w:rsid w:val="729A1F96"/>
    <w:rsid w:val="72A31F40"/>
    <w:rsid w:val="72A5093A"/>
    <w:rsid w:val="72BA3948"/>
    <w:rsid w:val="72C773DB"/>
    <w:rsid w:val="73013FCC"/>
    <w:rsid w:val="73047240"/>
    <w:rsid w:val="73085C46"/>
    <w:rsid w:val="730E64E0"/>
    <w:rsid w:val="73221F8B"/>
    <w:rsid w:val="73245D0B"/>
    <w:rsid w:val="73357A0F"/>
    <w:rsid w:val="733866F9"/>
    <w:rsid w:val="73547991"/>
    <w:rsid w:val="736938A6"/>
    <w:rsid w:val="736D75D5"/>
    <w:rsid w:val="73796EEC"/>
    <w:rsid w:val="738E6C88"/>
    <w:rsid w:val="739169F9"/>
    <w:rsid w:val="739D39C9"/>
    <w:rsid w:val="73A52AED"/>
    <w:rsid w:val="73C43DFB"/>
    <w:rsid w:val="73CD33BB"/>
    <w:rsid w:val="73E159A2"/>
    <w:rsid w:val="73F44C19"/>
    <w:rsid w:val="74031DA5"/>
    <w:rsid w:val="740C6947"/>
    <w:rsid w:val="742D4234"/>
    <w:rsid w:val="74326F65"/>
    <w:rsid w:val="743F4CBA"/>
    <w:rsid w:val="74404DBF"/>
    <w:rsid w:val="7443040B"/>
    <w:rsid w:val="744765D2"/>
    <w:rsid w:val="74504A57"/>
    <w:rsid w:val="7473071B"/>
    <w:rsid w:val="747E452E"/>
    <w:rsid w:val="748051BB"/>
    <w:rsid w:val="74825416"/>
    <w:rsid w:val="748A000B"/>
    <w:rsid w:val="7490224A"/>
    <w:rsid w:val="749330FE"/>
    <w:rsid w:val="749331CE"/>
    <w:rsid w:val="74942EB6"/>
    <w:rsid w:val="749B3E5E"/>
    <w:rsid w:val="749E119A"/>
    <w:rsid w:val="74A356E3"/>
    <w:rsid w:val="74A37C5A"/>
    <w:rsid w:val="74AC1B7A"/>
    <w:rsid w:val="74D33EF6"/>
    <w:rsid w:val="74D81279"/>
    <w:rsid w:val="74DD4D68"/>
    <w:rsid w:val="74E1558B"/>
    <w:rsid w:val="74ED25E3"/>
    <w:rsid w:val="74F26A6B"/>
    <w:rsid w:val="75157FF9"/>
    <w:rsid w:val="75427AEF"/>
    <w:rsid w:val="754B297D"/>
    <w:rsid w:val="75536DC9"/>
    <w:rsid w:val="7560709F"/>
    <w:rsid w:val="757356C1"/>
    <w:rsid w:val="75776CC4"/>
    <w:rsid w:val="7585337A"/>
    <w:rsid w:val="75A01957"/>
    <w:rsid w:val="75A41F9F"/>
    <w:rsid w:val="75B456A9"/>
    <w:rsid w:val="75C03C40"/>
    <w:rsid w:val="75C404DC"/>
    <w:rsid w:val="75C50AA6"/>
    <w:rsid w:val="75D94171"/>
    <w:rsid w:val="75E64D79"/>
    <w:rsid w:val="75EA51DF"/>
    <w:rsid w:val="75EB4A8F"/>
    <w:rsid w:val="76016C28"/>
    <w:rsid w:val="76051776"/>
    <w:rsid w:val="7605782D"/>
    <w:rsid w:val="760B6FB5"/>
    <w:rsid w:val="760C646B"/>
    <w:rsid w:val="763B7D07"/>
    <w:rsid w:val="76435113"/>
    <w:rsid w:val="766F2EEF"/>
    <w:rsid w:val="76905212"/>
    <w:rsid w:val="769D4442"/>
    <w:rsid w:val="76AE0A05"/>
    <w:rsid w:val="76AF515A"/>
    <w:rsid w:val="76B61F68"/>
    <w:rsid w:val="76CC1292"/>
    <w:rsid w:val="76D54682"/>
    <w:rsid w:val="77210231"/>
    <w:rsid w:val="773D64AD"/>
    <w:rsid w:val="77437CF9"/>
    <w:rsid w:val="774E77F3"/>
    <w:rsid w:val="775D10E3"/>
    <w:rsid w:val="77617D97"/>
    <w:rsid w:val="77723A3F"/>
    <w:rsid w:val="777703EE"/>
    <w:rsid w:val="77816A4D"/>
    <w:rsid w:val="77A33763"/>
    <w:rsid w:val="77B77A99"/>
    <w:rsid w:val="77CB1717"/>
    <w:rsid w:val="77D01510"/>
    <w:rsid w:val="77E2543A"/>
    <w:rsid w:val="78023DEF"/>
    <w:rsid w:val="78203AD8"/>
    <w:rsid w:val="78437924"/>
    <w:rsid w:val="78447F3E"/>
    <w:rsid w:val="78531D63"/>
    <w:rsid w:val="785D6A87"/>
    <w:rsid w:val="78615D56"/>
    <w:rsid w:val="7879213E"/>
    <w:rsid w:val="78A15077"/>
    <w:rsid w:val="78B54873"/>
    <w:rsid w:val="78BC2324"/>
    <w:rsid w:val="78C445BB"/>
    <w:rsid w:val="78C83AD2"/>
    <w:rsid w:val="78DB3308"/>
    <w:rsid w:val="78F03A78"/>
    <w:rsid w:val="790106AE"/>
    <w:rsid w:val="790F0AA9"/>
    <w:rsid w:val="79306213"/>
    <w:rsid w:val="793842B6"/>
    <w:rsid w:val="79395171"/>
    <w:rsid w:val="793D3F4B"/>
    <w:rsid w:val="79424A2B"/>
    <w:rsid w:val="79442C5B"/>
    <w:rsid w:val="79516F63"/>
    <w:rsid w:val="79565544"/>
    <w:rsid w:val="795F53B0"/>
    <w:rsid w:val="79614697"/>
    <w:rsid w:val="796660A9"/>
    <w:rsid w:val="796946E1"/>
    <w:rsid w:val="796E1666"/>
    <w:rsid w:val="798A5C60"/>
    <w:rsid w:val="798F487B"/>
    <w:rsid w:val="79932EBA"/>
    <w:rsid w:val="79A07515"/>
    <w:rsid w:val="79A61220"/>
    <w:rsid w:val="79A9103A"/>
    <w:rsid w:val="79AB36F9"/>
    <w:rsid w:val="79BA116F"/>
    <w:rsid w:val="79C51CFD"/>
    <w:rsid w:val="79C71FD3"/>
    <w:rsid w:val="79D60872"/>
    <w:rsid w:val="79DD1D32"/>
    <w:rsid w:val="79EB1886"/>
    <w:rsid w:val="79EC4C14"/>
    <w:rsid w:val="79EF06E6"/>
    <w:rsid w:val="79F06745"/>
    <w:rsid w:val="7A00729F"/>
    <w:rsid w:val="7A230972"/>
    <w:rsid w:val="7A402138"/>
    <w:rsid w:val="7A435623"/>
    <w:rsid w:val="7A4A4C3A"/>
    <w:rsid w:val="7A51551F"/>
    <w:rsid w:val="7A5C78B1"/>
    <w:rsid w:val="7A5E3C4E"/>
    <w:rsid w:val="7A733BF4"/>
    <w:rsid w:val="7A8C4B1E"/>
    <w:rsid w:val="7AAA2726"/>
    <w:rsid w:val="7AAC1296"/>
    <w:rsid w:val="7AC313F4"/>
    <w:rsid w:val="7ACA5466"/>
    <w:rsid w:val="7AD45C10"/>
    <w:rsid w:val="7AD522D5"/>
    <w:rsid w:val="7AE244DA"/>
    <w:rsid w:val="7AE318EE"/>
    <w:rsid w:val="7AFB2BD3"/>
    <w:rsid w:val="7AFF0807"/>
    <w:rsid w:val="7B07175A"/>
    <w:rsid w:val="7B0A6A9B"/>
    <w:rsid w:val="7B0D2818"/>
    <w:rsid w:val="7B3D676B"/>
    <w:rsid w:val="7B416F0A"/>
    <w:rsid w:val="7B5D35F7"/>
    <w:rsid w:val="7B912D47"/>
    <w:rsid w:val="7B917CAE"/>
    <w:rsid w:val="7B92467D"/>
    <w:rsid w:val="7B943CCB"/>
    <w:rsid w:val="7B994E29"/>
    <w:rsid w:val="7B9D745B"/>
    <w:rsid w:val="7BAD3F83"/>
    <w:rsid w:val="7BB12C0A"/>
    <w:rsid w:val="7BB73BB8"/>
    <w:rsid w:val="7BC96E50"/>
    <w:rsid w:val="7BD24E35"/>
    <w:rsid w:val="7BDA36FA"/>
    <w:rsid w:val="7BEC5FD1"/>
    <w:rsid w:val="7C005CAF"/>
    <w:rsid w:val="7C055284"/>
    <w:rsid w:val="7C254F1C"/>
    <w:rsid w:val="7C302710"/>
    <w:rsid w:val="7C424F97"/>
    <w:rsid w:val="7C425CF3"/>
    <w:rsid w:val="7C4C2BF6"/>
    <w:rsid w:val="7C5533D1"/>
    <w:rsid w:val="7C57415F"/>
    <w:rsid w:val="7C57508E"/>
    <w:rsid w:val="7C594D0E"/>
    <w:rsid w:val="7C5D3714"/>
    <w:rsid w:val="7C60651C"/>
    <w:rsid w:val="7C640CBC"/>
    <w:rsid w:val="7C71680F"/>
    <w:rsid w:val="7C796B8F"/>
    <w:rsid w:val="7C812178"/>
    <w:rsid w:val="7C8415C1"/>
    <w:rsid w:val="7C912A1E"/>
    <w:rsid w:val="7CA83B93"/>
    <w:rsid w:val="7CAA7279"/>
    <w:rsid w:val="7CB82DCD"/>
    <w:rsid w:val="7CBC3199"/>
    <w:rsid w:val="7CC72DC3"/>
    <w:rsid w:val="7CCA3477"/>
    <w:rsid w:val="7CCB17CA"/>
    <w:rsid w:val="7CD66DE6"/>
    <w:rsid w:val="7CE57657"/>
    <w:rsid w:val="7CF348C1"/>
    <w:rsid w:val="7D1E37C3"/>
    <w:rsid w:val="7D225A5C"/>
    <w:rsid w:val="7D3A42B0"/>
    <w:rsid w:val="7D653F46"/>
    <w:rsid w:val="7D6F1CD1"/>
    <w:rsid w:val="7D723F16"/>
    <w:rsid w:val="7D896705"/>
    <w:rsid w:val="7D8E3A4A"/>
    <w:rsid w:val="7D972197"/>
    <w:rsid w:val="7D990F1D"/>
    <w:rsid w:val="7D9A2209"/>
    <w:rsid w:val="7DA9460F"/>
    <w:rsid w:val="7DB70989"/>
    <w:rsid w:val="7DC73FEB"/>
    <w:rsid w:val="7DC80B9A"/>
    <w:rsid w:val="7DCB29F1"/>
    <w:rsid w:val="7DD47EE4"/>
    <w:rsid w:val="7DE03DE0"/>
    <w:rsid w:val="7DE5055D"/>
    <w:rsid w:val="7DE65FBE"/>
    <w:rsid w:val="7DFF6F70"/>
    <w:rsid w:val="7E1C41A7"/>
    <w:rsid w:val="7E2461C2"/>
    <w:rsid w:val="7E252460"/>
    <w:rsid w:val="7E397349"/>
    <w:rsid w:val="7E3B2283"/>
    <w:rsid w:val="7E425EB3"/>
    <w:rsid w:val="7E676FEC"/>
    <w:rsid w:val="7E7452A4"/>
    <w:rsid w:val="7E826950"/>
    <w:rsid w:val="7E89682B"/>
    <w:rsid w:val="7E8A1B2B"/>
    <w:rsid w:val="7E904003"/>
    <w:rsid w:val="7E9064E4"/>
    <w:rsid w:val="7EA66AB7"/>
    <w:rsid w:val="7EA85236"/>
    <w:rsid w:val="7EB76F44"/>
    <w:rsid w:val="7EBB18A6"/>
    <w:rsid w:val="7EBC33F7"/>
    <w:rsid w:val="7EBE7B90"/>
    <w:rsid w:val="7ED60925"/>
    <w:rsid w:val="7EF249D2"/>
    <w:rsid w:val="7EFC7B34"/>
    <w:rsid w:val="7EFF5CB3"/>
    <w:rsid w:val="7F0F1615"/>
    <w:rsid w:val="7F113622"/>
    <w:rsid w:val="7F1E0D19"/>
    <w:rsid w:val="7F314CA2"/>
    <w:rsid w:val="7F4C1035"/>
    <w:rsid w:val="7F50176F"/>
    <w:rsid w:val="7F7057E9"/>
    <w:rsid w:val="7F7405C7"/>
    <w:rsid w:val="7F7F75D9"/>
    <w:rsid w:val="7F8B38CC"/>
    <w:rsid w:val="7FAF6BB9"/>
    <w:rsid w:val="7FBB179D"/>
    <w:rsid w:val="7FCF43C0"/>
    <w:rsid w:val="7FD208D9"/>
    <w:rsid w:val="7FD44198"/>
    <w:rsid w:val="7FDB4950"/>
    <w:rsid w:val="7FDF55E5"/>
    <w:rsid w:val="7FDF5D5C"/>
    <w:rsid w:val="7FFA2F91"/>
    <w:rsid w:val="7FFF38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54"/>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5"/>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6"/>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7"/>
    <w:semiHidden/>
    <w:unhideWhenUsed/>
    <w:qFormat/>
    <w:uiPriority w:val="0"/>
    <w:pPr>
      <w:keepNext/>
      <w:keepLines/>
      <w:jc w:val="left"/>
      <w:outlineLvl w:val="3"/>
    </w:pPr>
    <w:rPr>
      <w:rFonts w:ascii="Arial" w:hAnsi="Arial" w:cs="Arial"/>
      <w:b/>
      <w:bCs/>
      <w:sz w:val="32"/>
      <w:szCs w:val="32"/>
    </w:rPr>
  </w:style>
  <w:style w:type="paragraph" w:styleId="6">
    <w:name w:val="heading 6"/>
    <w:basedOn w:val="1"/>
    <w:next w:val="1"/>
    <w:autoRedefine/>
    <w:qFormat/>
    <w:uiPriority w:val="1"/>
    <w:pPr>
      <w:ind w:left="878"/>
      <w:outlineLvl w:val="5"/>
    </w:pPr>
    <w:rPr>
      <w:rFonts w:ascii="仿宋" w:hAnsi="仿宋" w:eastAsia="仿宋" w:cs="仿宋"/>
      <w:b/>
      <w:bCs/>
      <w:sz w:val="28"/>
      <w:szCs w:val="28"/>
      <w:lang w:val="zh-CN" w:bidi="zh-CN"/>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oc 7"/>
    <w:basedOn w:val="1"/>
    <w:next w:val="1"/>
    <w:autoRedefine/>
    <w:qFormat/>
    <w:uiPriority w:val="0"/>
    <w:pPr>
      <w:ind w:left="1260"/>
      <w:jc w:val="left"/>
    </w:pPr>
    <w:rPr>
      <w:rFonts w:asciiTheme="minorHAnsi" w:hAnsiTheme="minorHAnsi"/>
      <w:sz w:val="18"/>
      <w:szCs w:val="18"/>
    </w:rPr>
  </w:style>
  <w:style w:type="paragraph" w:styleId="8">
    <w:name w:val="Normal Indent"/>
    <w:basedOn w:val="1"/>
    <w:autoRedefine/>
    <w:qFormat/>
    <w:uiPriority w:val="0"/>
    <w:pPr>
      <w:ind w:firstLine="420"/>
    </w:pPr>
  </w:style>
  <w:style w:type="paragraph" w:styleId="9">
    <w:name w:val="toa heading"/>
    <w:basedOn w:val="1"/>
    <w:next w:val="1"/>
    <w:autoRedefine/>
    <w:unhideWhenUsed/>
    <w:qFormat/>
    <w:uiPriority w:val="0"/>
    <w:pPr>
      <w:spacing w:before="120"/>
    </w:pPr>
    <w:rPr>
      <w:rFonts w:asciiTheme="majorHAnsi" w:hAnsiTheme="majorHAnsi" w:cstheme="majorBidi"/>
      <w:sz w:val="24"/>
    </w:rPr>
  </w:style>
  <w:style w:type="paragraph" w:styleId="10">
    <w:name w:val="annotation text"/>
    <w:basedOn w:val="1"/>
    <w:link w:val="58"/>
    <w:autoRedefine/>
    <w:qFormat/>
    <w:uiPriority w:val="0"/>
    <w:pPr>
      <w:jc w:val="left"/>
    </w:pPr>
    <w:rPr>
      <w:rFonts w:ascii="宋体" w:cs="宋体"/>
      <w:kern w:val="0"/>
      <w:sz w:val="34"/>
      <w:szCs w:val="34"/>
    </w:rPr>
  </w:style>
  <w:style w:type="paragraph" w:styleId="11">
    <w:name w:val="Body Text 3"/>
    <w:basedOn w:val="1"/>
    <w:next w:val="12"/>
    <w:qFormat/>
    <w:uiPriority w:val="0"/>
    <w:pPr>
      <w:spacing w:line="360" w:lineRule="exact"/>
    </w:pPr>
    <w:rPr>
      <w:sz w:val="28"/>
      <w:szCs w:val="16"/>
    </w:rPr>
  </w:style>
  <w:style w:type="paragraph" w:styleId="12">
    <w:name w:val="Body Text"/>
    <w:basedOn w:val="1"/>
    <w:next w:val="1"/>
    <w:link w:val="59"/>
    <w:autoRedefine/>
    <w:unhideWhenUsed/>
    <w:qFormat/>
    <w:uiPriority w:val="99"/>
  </w:style>
  <w:style w:type="paragraph" w:styleId="13">
    <w:name w:val="Body Text Indent"/>
    <w:basedOn w:val="1"/>
    <w:link w:val="60"/>
    <w:autoRedefine/>
    <w:qFormat/>
    <w:uiPriority w:val="0"/>
    <w:pPr>
      <w:spacing w:after="120"/>
      <w:ind w:left="420" w:leftChars="200"/>
    </w:pPr>
  </w:style>
  <w:style w:type="paragraph" w:styleId="14">
    <w:name w:val="Block Text"/>
    <w:basedOn w:val="1"/>
    <w:autoRedefine/>
    <w:qFormat/>
    <w:uiPriority w:val="0"/>
    <w:pPr>
      <w:spacing w:after="120"/>
      <w:ind w:left="1440" w:leftChars="700" w:right="700" w:rightChars="700"/>
    </w:pPr>
  </w:style>
  <w:style w:type="paragraph" w:styleId="15">
    <w:name w:val="toc 5"/>
    <w:basedOn w:val="1"/>
    <w:next w:val="1"/>
    <w:autoRedefine/>
    <w:qFormat/>
    <w:uiPriority w:val="0"/>
    <w:pPr>
      <w:ind w:left="840"/>
      <w:jc w:val="left"/>
    </w:pPr>
    <w:rPr>
      <w:rFonts w:asciiTheme="minorHAnsi" w:hAnsiTheme="minorHAnsi"/>
      <w:sz w:val="18"/>
      <w:szCs w:val="18"/>
    </w:rPr>
  </w:style>
  <w:style w:type="paragraph" w:styleId="16">
    <w:name w:val="toc 3"/>
    <w:basedOn w:val="1"/>
    <w:next w:val="1"/>
    <w:autoRedefine/>
    <w:qFormat/>
    <w:uiPriority w:val="0"/>
    <w:pPr>
      <w:ind w:left="420"/>
      <w:jc w:val="left"/>
    </w:pPr>
    <w:rPr>
      <w:rFonts w:asciiTheme="minorHAnsi" w:hAnsiTheme="minorHAnsi"/>
      <w:i/>
      <w:iCs/>
      <w:sz w:val="20"/>
      <w:szCs w:val="20"/>
    </w:rPr>
  </w:style>
  <w:style w:type="paragraph" w:styleId="17">
    <w:name w:val="Plain Text"/>
    <w:basedOn w:val="1"/>
    <w:link w:val="61"/>
    <w:autoRedefine/>
    <w:qFormat/>
    <w:uiPriority w:val="0"/>
    <w:pPr>
      <w:spacing w:line="324" w:lineRule="auto"/>
    </w:pPr>
    <w:rPr>
      <w:rFonts w:ascii="宋体" w:hAnsi="Courier New" w:cs="宋体"/>
    </w:rPr>
  </w:style>
  <w:style w:type="paragraph" w:styleId="18">
    <w:name w:val="toc 8"/>
    <w:basedOn w:val="1"/>
    <w:next w:val="1"/>
    <w:autoRedefine/>
    <w:qFormat/>
    <w:uiPriority w:val="0"/>
    <w:pPr>
      <w:ind w:left="1470"/>
      <w:jc w:val="left"/>
    </w:pPr>
    <w:rPr>
      <w:rFonts w:asciiTheme="minorHAnsi" w:hAnsiTheme="minorHAnsi"/>
      <w:sz w:val="18"/>
      <w:szCs w:val="18"/>
    </w:rPr>
  </w:style>
  <w:style w:type="paragraph" w:styleId="19">
    <w:name w:val="Date"/>
    <w:basedOn w:val="1"/>
    <w:next w:val="1"/>
    <w:link w:val="85"/>
    <w:autoRedefine/>
    <w:qFormat/>
    <w:uiPriority w:val="0"/>
    <w:pPr>
      <w:ind w:left="100" w:leftChars="2500"/>
    </w:pPr>
  </w:style>
  <w:style w:type="paragraph" w:styleId="20">
    <w:name w:val="Body Text Indent 2"/>
    <w:basedOn w:val="1"/>
    <w:link w:val="62"/>
    <w:autoRedefine/>
    <w:qFormat/>
    <w:uiPriority w:val="0"/>
    <w:pPr>
      <w:spacing w:after="120" w:line="480" w:lineRule="auto"/>
      <w:ind w:left="420" w:leftChars="200"/>
    </w:pPr>
  </w:style>
  <w:style w:type="paragraph" w:styleId="21">
    <w:name w:val="Balloon Text"/>
    <w:basedOn w:val="1"/>
    <w:link w:val="63"/>
    <w:autoRedefine/>
    <w:qFormat/>
    <w:uiPriority w:val="0"/>
    <w:rPr>
      <w:sz w:val="18"/>
      <w:szCs w:val="18"/>
    </w:rPr>
  </w:style>
  <w:style w:type="paragraph" w:styleId="22">
    <w:name w:val="footer"/>
    <w:basedOn w:val="1"/>
    <w:link w:val="64"/>
    <w:autoRedefine/>
    <w:unhideWhenUsed/>
    <w:qFormat/>
    <w:uiPriority w:val="99"/>
    <w:pPr>
      <w:tabs>
        <w:tab w:val="center" w:pos="4153"/>
        <w:tab w:val="right" w:pos="8306"/>
      </w:tabs>
      <w:snapToGrid w:val="0"/>
      <w:jc w:val="left"/>
    </w:pPr>
    <w:rPr>
      <w:sz w:val="18"/>
      <w:szCs w:val="18"/>
    </w:rPr>
  </w:style>
  <w:style w:type="paragraph" w:styleId="23">
    <w:name w:val="envelope return"/>
    <w:basedOn w:val="1"/>
    <w:unhideWhenUsed/>
    <w:qFormat/>
    <w:uiPriority w:val="0"/>
    <w:pPr>
      <w:snapToGrid w:val="0"/>
    </w:pPr>
    <w:rPr>
      <w:rFonts w:ascii="Arial" w:hAnsi="Arial" w:eastAsia="宋体"/>
      <w:szCs w:val="24"/>
    </w:rPr>
  </w:style>
  <w:style w:type="paragraph" w:styleId="24">
    <w:name w:val="header"/>
    <w:basedOn w:val="1"/>
    <w:link w:val="65"/>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qFormat/>
    <w:uiPriority w:val="0"/>
    <w:pPr>
      <w:ind w:left="630"/>
      <w:jc w:val="left"/>
    </w:pPr>
    <w:rPr>
      <w:rFonts w:asciiTheme="minorHAnsi" w:hAnsiTheme="minorHAnsi"/>
      <w:sz w:val="18"/>
      <w:szCs w:val="18"/>
    </w:rPr>
  </w:style>
  <w:style w:type="paragraph" w:styleId="27">
    <w:name w:val="footnote text"/>
    <w:basedOn w:val="1"/>
    <w:autoRedefine/>
    <w:qFormat/>
    <w:uiPriority w:val="0"/>
    <w:pPr>
      <w:snapToGrid w:val="0"/>
      <w:jc w:val="left"/>
    </w:pPr>
    <w:rPr>
      <w:sz w:val="18"/>
    </w:rPr>
  </w:style>
  <w:style w:type="paragraph" w:styleId="28">
    <w:name w:val="toc 6"/>
    <w:basedOn w:val="1"/>
    <w:next w:val="1"/>
    <w:autoRedefine/>
    <w:qFormat/>
    <w:uiPriority w:val="0"/>
    <w:pPr>
      <w:ind w:left="1050"/>
      <w:jc w:val="left"/>
    </w:pPr>
    <w:rPr>
      <w:rFonts w:asciiTheme="minorHAnsi" w:hAnsiTheme="minorHAnsi"/>
      <w:sz w:val="18"/>
      <w:szCs w:val="18"/>
    </w:rPr>
  </w:style>
  <w:style w:type="paragraph" w:styleId="29">
    <w:name w:val="toc 2"/>
    <w:basedOn w:val="1"/>
    <w:next w:val="1"/>
    <w:autoRedefine/>
    <w:qFormat/>
    <w:uiPriority w:val="0"/>
    <w:pPr>
      <w:ind w:left="210"/>
      <w:jc w:val="left"/>
    </w:pPr>
    <w:rPr>
      <w:rFonts w:asciiTheme="minorHAnsi" w:hAnsiTheme="minorHAnsi"/>
      <w:smallCaps/>
      <w:sz w:val="20"/>
      <w:szCs w:val="20"/>
    </w:rPr>
  </w:style>
  <w:style w:type="paragraph" w:styleId="30">
    <w:name w:val="toc 9"/>
    <w:basedOn w:val="1"/>
    <w:next w:val="1"/>
    <w:autoRedefine/>
    <w:qFormat/>
    <w:uiPriority w:val="0"/>
    <w:pPr>
      <w:ind w:left="1680"/>
      <w:jc w:val="left"/>
    </w:pPr>
    <w:rPr>
      <w:rFonts w:asciiTheme="minorHAnsi" w:hAnsiTheme="minorHAnsi"/>
      <w:sz w:val="18"/>
      <w:szCs w:val="18"/>
    </w:rPr>
  </w:style>
  <w:style w:type="paragraph" w:styleId="31">
    <w:name w:val="Body Text 2"/>
    <w:basedOn w:val="1"/>
    <w:link w:val="66"/>
    <w:autoRedefine/>
    <w:qFormat/>
    <w:uiPriority w:val="0"/>
    <w:pPr>
      <w:jc w:val="center"/>
    </w:pPr>
    <w:rPr>
      <w:b/>
      <w:bCs/>
      <w:spacing w:val="-20"/>
      <w:w w:val="130"/>
      <w:sz w:val="48"/>
      <w:szCs w:val="48"/>
    </w:rPr>
  </w:style>
  <w:style w:type="paragraph" w:styleId="3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3">
    <w:name w:val="annotation subject"/>
    <w:basedOn w:val="10"/>
    <w:next w:val="1"/>
    <w:link w:val="95"/>
    <w:autoRedefine/>
    <w:qFormat/>
    <w:uiPriority w:val="0"/>
    <w:rPr>
      <w:rFonts w:ascii="Calibri" w:cs="Calibri"/>
      <w:b/>
      <w:bCs/>
      <w:kern w:val="2"/>
      <w:sz w:val="21"/>
      <w:szCs w:val="21"/>
    </w:rPr>
  </w:style>
  <w:style w:type="paragraph" w:styleId="34">
    <w:name w:val="Body Text First Indent"/>
    <w:basedOn w:val="12"/>
    <w:next w:val="35"/>
    <w:autoRedefine/>
    <w:qFormat/>
    <w:uiPriority w:val="0"/>
    <w:pPr>
      <w:ind w:firstLine="420" w:firstLineChars="100"/>
    </w:pPr>
  </w:style>
  <w:style w:type="paragraph" w:styleId="35">
    <w:name w:val="Body Text First Indent 2"/>
    <w:basedOn w:val="13"/>
    <w:autoRedefine/>
    <w:qFormat/>
    <w:uiPriority w:val="99"/>
    <w:pPr>
      <w:tabs>
        <w:tab w:val="left" w:pos="4900"/>
      </w:tabs>
      <w:ind w:firstLine="420" w:firstLineChars="200"/>
    </w:pPr>
  </w:style>
  <w:style w:type="table" w:styleId="37">
    <w:name w:val="Table Grid"/>
    <w:basedOn w:val="3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sz w:val="24"/>
      <w:szCs w:val="24"/>
    </w:rPr>
  </w:style>
  <w:style w:type="character" w:styleId="40">
    <w:name w:val="page number"/>
    <w:basedOn w:val="38"/>
    <w:autoRedefine/>
    <w:qFormat/>
    <w:uiPriority w:val="0"/>
  </w:style>
  <w:style w:type="character" w:styleId="41">
    <w:name w:val="Emphasis"/>
    <w:autoRedefine/>
    <w:qFormat/>
    <w:uiPriority w:val="0"/>
    <w:rPr>
      <w:i/>
      <w:iCs/>
    </w:rPr>
  </w:style>
  <w:style w:type="character" w:styleId="42">
    <w:name w:val="Hyperlink"/>
    <w:autoRedefine/>
    <w:qFormat/>
    <w:uiPriority w:val="99"/>
    <w:rPr>
      <w:color w:val="0000FF"/>
      <w:u w:val="single"/>
    </w:rPr>
  </w:style>
  <w:style w:type="character" w:styleId="43">
    <w:name w:val="annotation reference"/>
    <w:autoRedefine/>
    <w:qFormat/>
    <w:uiPriority w:val="0"/>
    <w:rPr>
      <w:sz w:val="21"/>
      <w:szCs w:val="21"/>
    </w:rPr>
  </w:style>
  <w:style w:type="character" w:styleId="44">
    <w:name w:val="HTML Cite"/>
    <w:autoRedefine/>
    <w:qFormat/>
    <w:uiPriority w:val="0"/>
    <w:rPr>
      <w:sz w:val="24"/>
      <w:szCs w:val="24"/>
    </w:rPr>
  </w:style>
  <w:style w:type="character" w:styleId="45">
    <w:name w:val="footnote reference"/>
    <w:basedOn w:val="38"/>
    <w:autoRedefine/>
    <w:qFormat/>
    <w:uiPriority w:val="0"/>
    <w:rPr>
      <w:vertAlign w:val="superscript"/>
    </w:rPr>
  </w:style>
  <w:style w:type="paragraph" w:customStyle="1" w:styleId="46">
    <w:name w:val="样式 标题 3 + (中文) 黑体 小四 非加粗 段前: 7.8 磅 段后: 0 磅 行距: 固定值 20 磅_0"/>
    <w:basedOn w:val="47"/>
    <w:qFormat/>
    <w:uiPriority w:val="0"/>
    <w:pPr>
      <w:spacing w:before="0" w:after="0" w:line="400" w:lineRule="exact"/>
    </w:pPr>
    <w:rPr>
      <w:rFonts w:ascii="Times New Roman" w:hAnsi="Times New Roman" w:eastAsia="黑体" w:cs="宋体"/>
      <w:b w:val="0"/>
      <w:bCs w:val="0"/>
      <w:sz w:val="21"/>
      <w:szCs w:val="20"/>
    </w:rPr>
  </w:style>
  <w:style w:type="paragraph" w:customStyle="1" w:styleId="47">
    <w:name w:val="标题 3_0"/>
    <w:basedOn w:val="48"/>
    <w:next w:val="49"/>
    <w:qFormat/>
    <w:uiPriority w:val="0"/>
    <w:pPr>
      <w:keepNext/>
      <w:keepLines/>
      <w:spacing w:before="260" w:after="260" w:line="416" w:lineRule="auto"/>
      <w:outlineLvl w:val="2"/>
    </w:pPr>
    <w:rPr>
      <w:rFonts w:ascii="Calibri" w:hAnsi="Calibri" w:eastAsia="宋体"/>
      <w:b/>
      <w:bCs/>
      <w:sz w:val="32"/>
      <w:szCs w:val="32"/>
    </w:rPr>
  </w:style>
  <w:style w:type="paragraph" w:customStyle="1" w:styleId="48">
    <w:name w:val="正文_0"/>
    <w:next w:val="35"/>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正文_1"/>
    <w:next w:val="35"/>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50">
    <w:name w:val="Default"/>
    <w:next w:val="29"/>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1">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52">
    <w:name w:val="列出段落1"/>
    <w:basedOn w:val="1"/>
    <w:autoRedefine/>
    <w:qFormat/>
    <w:uiPriority w:val="99"/>
    <w:pPr>
      <w:ind w:firstLine="420" w:firstLineChars="200"/>
    </w:pPr>
  </w:style>
  <w:style w:type="paragraph" w:customStyle="1" w:styleId="53">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54">
    <w:name w:val="标题 1 字符"/>
    <w:link w:val="2"/>
    <w:autoRedefine/>
    <w:qFormat/>
    <w:locked/>
    <w:uiPriority w:val="99"/>
    <w:rPr>
      <w:rFonts w:ascii="Calibri" w:hAnsi="Calibri" w:cs="Calibri"/>
      <w:b/>
      <w:bCs/>
      <w:kern w:val="44"/>
      <w:sz w:val="44"/>
      <w:szCs w:val="44"/>
    </w:rPr>
  </w:style>
  <w:style w:type="character" w:customStyle="1" w:styleId="55">
    <w:name w:val="标题 2 字符"/>
    <w:link w:val="3"/>
    <w:autoRedefine/>
    <w:qFormat/>
    <w:locked/>
    <w:uiPriority w:val="99"/>
    <w:rPr>
      <w:rFonts w:ascii="Cambria" w:hAnsi="Cambria" w:eastAsia="宋体" w:cs="Cambria"/>
      <w:b/>
      <w:bCs/>
      <w:sz w:val="32"/>
      <w:szCs w:val="32"/>
    </w:rPr>
  </w:style>
  <w:style w:type="character" w:customStyle="1" w:styleId="56">
    <w:name w:val="标题 3 字符"/>
    <w:link w:val="4"/>
    <w:autoRedefine/>
    <w:semiHidden/>
    <w:qFormat/>
    <w:locked/>
    <w:uiPriority w:val="99"/>
    <w:rPr>
      <w:rFonts w:ascii="Calibri" w:hAnsi="Calibri" w:cs="Calibri"/>
      <w:b/>
      <w:bCs/>
      <w:sz w:val="32"/>
      <w:szCs w:val="32"/>
    </w:rPr>
  </w:style>
  <w:style w:type="character" w:customStyle="1" w:styleId="57">
    <w:name w:val="标题 4 字符"/>
    <w:link w:val="5"/>
    <w:autoRedefine/>
    <w:semiHidden/>
    <w:qFormat/>
    <w:uiPriority w:val="9"/>
    <w:rPr>
      <w:rFonts w:ascii="Cambria" w:hAnsi="Cambria" w:eastAsia="宋体" w:cs="Times New Roman"/>
      <w:b/>
      <w:bCs/>
      <w:sz w:val="28"/>
      <w:szCs w:val="28"/>
    </w:rPr>
  </w:style>
  <w:style w:type="character" w:customStyle="1" w:styleId="58">
    <w:name w:val="批注文字 字符"/>
    <w:link w:val="10"/>
    <w:autoRedefine/>
    <w:qFormat/>
    <w:locked/>
    <w:uiPriority w:val="99"/>
    <w:rPr>
      <w:rFonts w:ascii="宋体" w:hAnsi="Calibri" w:eastAsia="宋体" w:cs="宋体"/>
      <w:sz w:val="22"/>
      <w:szCs w:val="22"/>
    </w:rPr>
  </w:style>
  <w:style w:type="character" w:customStyle="1" w:styleId="59">
    <w:name w:val="正文文本 字符"/>
    <w:link w:val="12"/>
    <w:autoRedefine/>
    <w:semiHidden/>
    <w:qFormat/>
    <w:locked/>
    <w:uiPriority w:val="99"/>
    <w:rPr>
      <w:rFonts w:ascii="Calibri" w:hAnsi="Calibri" w:cs="Calibri"/>
    </w:rPr>
  </w:style>
  <w:style w:type="character" w:customStyle="1" w:styleId="60">
    <w:name w:val="正文文本缩进 字符"/>
    <w:link w:val="13"/>
    <w:autoRedefine/>
    <w:semiHidden/>
    <w:qFormat/>
    <w:uiPriority w:val="99"/>
    <w:rPr>
      <w:rFonts w:ascii="Calibri" w:hAnsi="Calibri" w:cs="Calibri"/>
      <w:szCs w:val="21"/>
    </w:rPr>
  </w:style>
  <w:style w:type="character" w:customStyle="1" w:styleId="61">
    <w:name w:val="纯文本 字符"/>
    <w:link w:val="17"/>
    <w:autoRedefine/>
    <w:qFormat/>
    <w:locked/>
    <w:uiPriority w:val="0"/>
    <w:rPr>
      <w:rFonts w:ascii="宋体" w:hAnsi="Courier New" w:cs="宋体"/>
      <w:sz w:val="21"/>
      <w:szCs w:val="21"/>
    </w:rPr>
  </w:style>
  <w:style w:type="character" w:customStyle="1" w:styleId="62">
    <w:name w:val="正文文本缩进 2 字符"/>
    <w:link w:val="20"/>
    <w:autoRedefine/>
    <w:semiHidden/>
    <w:qFormat/>
    <w:locked/>
    <w:uiPriority w:val="99"/>
    <w:rPr>
      <w:rFonts w:ascii="Calibri" w:hAnsi="Calibri" w:cs="Calibri"/>
    </w:rPr>
  </w:style>
  <w:style w:type="character" w:customStyle="1" w:styleId="63">
    <w:name w:val="批注框文本 字符"/>
    <w:link w:val="21"/>
    <w:autoRedefine/>
    <w:qFormat/>
    <w:locked/>
    <w:uiPriority w:val="99"/>
    <w:rPr>
      <w:rFonts w:ascii="Calibri" w:hAnsi="Calibri" w:eastAsia="宋体" w:cs="Calibri"/>
      <w:kern w:val="2"/>
      <w:sz w:val="18"/>
      <w:szCs w:val="18"/>
    </w:rPr>
  </w:style>
  <w:style w:type="character" w:customStyle="1" w:styleId="64">
    <w:name w:val="页脚 字符"/>
    <w:basedOn w:val="38"/>
    <w:link w:val="22"/>
    <w:autoRedefine/>
    <w:qFormat/>
    <w:locked/>
    <w:uiPriority w:val="99"/>
    <w:rPr>
      <w:rFonts w:ascii="Calibri" w:hAnsi="Calibri" w:cs="Calibri"/>
      <w:sz w:val="18"/>
      <w:szCs w:val="18"/>
    </w:rPr>
  </w:style>
  <w:style w:type="character" w:customStyle="1" w:styleId="65">
    <w:name w:val="页眉 字符"/>
    <w:basedOn w:val="38"/>
    <w:link w:val="24"/>
    <w:autoRedefine/>
    <w:qFormat/>
    <w:locked/>
    <w:uiPriority w:val="99"/>
    <w:rPr>
      <w:rFonts w:ascii="Calibri" w:hAnsi="Calibri" w:cs="Calibri"/>
      <w:sz w:val="18"/>
      <w:szCs w:val="18"/>
    </w:rPr>
  </w:style>
  <w:style w:type="character" w:customStyle="1" w:styleId="66">
    <w:name w:val="正文文本 2 字符"/>
    <w:link w:val="31"/>
    <w:autoRedefine/>
    <w:semiHidden/>
    <w:qFormat/>
    <w:locked/>
    <w:uiPriority w:val="99"/>
    <w:rPr>
      <w:rFonts w:ascii="Calibri" w:hAnsi="Calibri" w:cs="Calibri"/>
    </w:rPr>
  </w:style>
  <w:style w:type="paragraph" w:customStyle="1" w:styleId="67">
    <w:name w:val="Char2 Char Char Char"/>
    <w:basedOn w:val="1"/>
    <w:autoRedefine/>
    <w:qFormat/>
    <w:uiPriority w:val="99"/>
    <w:rPr>
      <w:rFonts w:ascii="Tahoma" w:hAnsi="Tahoma" w:cs="Tahoma"/>
      <w:sz w:val="24"/>
      <w:szCs w:val="24"/>
    </w:rPr>
  </w:style>
  <w:style w:type="character" w:customStyle="1" w:styleId="68">
    <w:name w:val="10"/>
    <w:autoRedefine/>
    <w:qFormat/>
    <w:uiPriority w:val="99"/>
    <w:rPr>
      <w:rFonts w:ascii="Calibri" w:hAnsi="Calibri" w:cs="Calibri"/>
    </w:rPr>
  </w:style>
  <w:style w:type="character" w:customStyle="1" w:styleId="69">
    <w:name w:val="15"/>
    <w:autoRedefine/>
    <w:qFormat/>
    <w:uiPriority w:val="99"/>
    <w:rPr>
      <w:rFonts w:ascii="Calibri" w:hAnsi="Calibri" w:cs="Calibri"/>
      <w:i/>
      <w:iCs/>
    </w:rPr>
  </w:style>
  <w:style w:type="paragraph" w:customStyle="1" w:styleId="70">
    <w:name w:val="_Style 2"/>
    <w:basedOn w:val="1"/>
    <w:autoRedefine/>
    <w:qFormat/>
    <w:uiPriority w:val="99"/>
    <w:pPr>
      <w:ind w:firstLine="420" w:firstLineChars="200"/>
    </w:pPr>
  </w:style>
  <w:style w:type="character" w:customStyle="1" w:styleId="71">
    <w:name w:val="apple-style-span"/>
    <w:autoRedefine/>
    <w:qFormat/>
    <w:uiPriority w:val="99"/>
  </w:style>
  <w:style w:type="character" w:customStyle="1" w:styleId="72">
    <w:name w:val="del"/>
    <w:basedOn w:val="38"/>
    <w:autoRedefine/>
    <w:qFormat/>
    <w:uiPriority w:val="99"/>
  </w:style>
  <w:style w:type="character" w:customStyle="1" w:styleId="73">
    <w:name w:val="del1"/>
    <w:autoRedefine/>
    <w:qFormat/>
    <w:uiPriority w:val="99"/>
    <w:rPr>
      <w:vanish/>
      <w:color w:val="auto"/>
      <w:sz w:val="18"/>
      <w:szCs w:val="18"/>
      <w:u w:val="single"/>
    </w:rPr>
  </w:style>
  <w:style w:type="character" w:customStyle="1" w:styleId="74">
    <w:name w:val="del2"/>
    <w:autoRedefine/>
    <w:qFormat/>
    <w:uiPriority w:val="99"/>
    <w:rPr>
      <w:vanish/>
    </w:rPr>
  </w:style>
  <w:style w:type="character" w:customStyle="1" w:styleId="75">
    <w:name w:val="del3"/>
    <w:autoRedefine/>
    <w:qFormat/>
    <w:uiPriority w:val="99"/>
    <w:rPr>
      <w:vanish/>
    </w:rPr>
  </w:style>
  <w:style w:type="paragraph" w:customStyle="1" w:styleId="76">
    <w:name w:val="_Style 4"/>
    <w:basedOn w:val="1"/>
    <w:autoRedefine/>
    <w:qFormat/>
    <w:uiPriority w:val="99"/>
    <w:pPr>
      <w:ind w:firstLine="420" w:firstLineChars="200"/>
    </w:pPr>
  </w:style>
  <w:style w:type="paragraph" w:customStyle="1" w:styleId="77">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8">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9">
    <w:name w:val="font101"/>
    <w:basedOn w:val="38"/>
    <w:autoRedefine/>
    <w:qFormat/>
    <w:uiPriority w:val="0"/>
    <w:rPr>
      <w:rFonts w:hint="eastAsia" w:ascii="宋体" w:hAnsi="宋体" w:eastAsia="宋体" w:cs="宋体"/>
      <w:color w:val="000000"/>
      <w:sz w:val="24"/>
      <w:szCs w:val="24"/>
      <w:u w:val="none"/>
    </w:rPr>
  </w:style>
  <w:style w:type="character" w:customStyle="1" w:styleId="80">
    <w:name w:val="font91"/>
    <w:basedOn w:val="38"/>
    <w:autoRedefine/>
    <w:qFormat/>
    <w:uiPriority w:val="0"/>
    <w:rPr>
      <w:rFonts w:hint="eastAsia" w:ascii="宋体" w:hAnsi="宋体" w:eastAsia="宋体" w:cs="宋体"/>
      <w:color w:val="000000"/>
      <w:sz w:val="24"/>
      <w:szCs w:val="24"/>
      <w:u w:val="none"/>
    </w:rPr>
  </w:style>
  <w:style w:type="character" w:customStyle="1" w:styleId="81">
    <w:name w:val="font41"/>
    <w:basedOn w:val="38"/>
    <w:autoRedefine/>
    <w:qFormat/>
    <w:uiPriority w:val="0"/>
    <w:rPr>
      <w:rFonts w:hint="eastAsia" w:ascii="宋体" w:hAnsi="宋体" w:eastAsia="宋体" w:cs="宋体"/>
      <w:color w:val="000000"/>
      <w:sz w:val="24"/>
      <w:szCs w:val="24"/>
      <w:u w:val="none"/>
    </w:rPr>
  </w:style>
  <w:style w:type="character" w:customStyle="1" w:styleId="82">
    <w:name w:val="font21"/>
    <w:basedOn w:val="38"/>
    <w:autoRedefine/>
    <w:qFormat/>
    <w:uiPriority w:val="0"/>
    <w:rPr>
      <w:rFonts w:hint="eastAsia" w:ascii="宋体" w:hAnsi="宋体" w:eastAsia="宋体" w:cs="宋体"/>
      <w:color w:val="000000"/>
      <w:sz w:val="24"/>
      <w:szCs w:val="24"/>
      <w:u w:val="none"/>
    </w:rPr>
  </w:style>
  <w:style w:type="paragraph" w:styleId="83">
    <w:name w:val="List Paragraph"/>
    <w:basedOn w:val="1"/>
    <w:autoRedefine/>
    <w:qFormat/>
    <w:uiPriority w:val="99"/>
    <w:pPr>
      <w:ind w:firstLine="420" w:firstLineChars="200"/>
    </w:pPr>
  </w:style>
  <w:style w:type="table" w:customStyle="1" w:styleId="84">
    <w:name w:val="TableGrid"/>
    <w:autoRedefine/>
    <w:qFormat/>
    <w:uiPriority w:val="0"/>
    <w:rPr>
      <w:kern w:val="2"/>
      <w:sz w:val="21"/>
      <w:szCs w:val="22"/>
    </w:rPr>
    <w:tblPr>
      <w:tblCellMar>
        <w:top w:w="0" w:type="dxa"/>
        <w:left w:w="0" w:type="dxa"/>
        <w:bottom w:w="0" w:type="dxa"/>
        <w:right w:w="0" w:type="dxa"/>
      </w:tblCellMar>
    </w:tblPr>
  </w:style>
  <w:style w:type="character" w:customStyle="1" w:styleId="85">
    <w:name w:val="日期 字符"/>
    <w:basedOn w:val="38"/>
    <w:link w:val="19"/>
    <w:autoRedefine/>
    <w:qFormat/>
    <w:uiPriority w:val="0"/>
    <w:rPr>
      <w:rFonts w:ascii="Calibri" w:hAnsi="Calibri" w:cs="Calibri"/>
      <w:kern w:val="2"/>
      <w:sz w:val="21"/>
      <w:szCs w:val="21"/>
    </w:rPr>
  </w:style>
  <w:style w:type="character" w:customStyle="1" w:styleId="86">
    <w:name w:val="List Paragraph Char1"/>
    <w:link w:val="87"/>
    <w:autoRedefine/>
    <w:qFormat/>
    <w:locked/>
    <w:uiPriority w:val="0"/>
    <w:rPr>
      <w:sz w:val="24"/>
    </w:rPr>
  </w:style>
  <w:style w:type="paragraph" w:customStyle="1" w:styleId="87">
    <w:name w:val="列出段落2"/>
    <w:basedOn w:val="1"/>
    <w:link w:val="86"/>
    <w:autoRedefine/>
    <w:qFormat/>
    <w:uiPriority w:val="0"/>
    <w:pPr>
      <w:ind w:firstLine="420" w:firstLineChars="200"/>
    </w:pPr>
    <w:rPr>
      <w:rFonts w:ascii="Times New Roman" w:hAnsi="Times New Roman" w:cs="Times New Roman"/>
      <w:kern w:val="0"/>
      <w:sz w:val="24"/>
      <w:szCs w:val="20"/>
    </w:rPr>
  </w:style>
  <w:style w:type="table" w:customStyle="1" w:styleId="88">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0">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1">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2">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3">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5">
    <w:name w:val="批注主题 字符"/>
    <w:basedOn w:val="58"/>
    <w:link w:val="33"/>
    <w:autoRedefine/>
    <w:semiHidden/>
    <w:qFormat/>
    <w:uiPriority w:val="99"/>
    <w:rPr>
      <w:rFonts w:ascii="Calibri" w:hAnsi="Calibri" w:eastAsia="宋体" w:cs="Calibri"/>
      <w:b/>
      <w:bCs/>
      <w:kern w:val="2"/>
      <w:sz w:val="21"/>
      <w:szCs w:val="21"/>
    </w:rPr>
  </w:style>
  <w:style w:type="paragraph" w:customStyle="1" w:styleId="96">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7">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9"/>
    <w:autoRedefine/>
    <w:qFormat/>
    <w:uiPriority w:val="0"/>
    <w:rPr>
      <w:kern w:val="2"/>
      <w:sz w:val="21"/>
      <w:szCs w:val="22"/>
    </w:rPr>
    <w:tblPr>
      <w:tblCellMar>
        <w:top w:w="0" w:type="dxa"/>
        <w:left w:w="0" w:type="dxa"/>
        <w:bottom w:w="0" w:type="dxa"/>
        <w:right w:w="0" w:type="dxa"/>
      </w:tblCellMar>
    </w:tblPr>
  </w:style>
  <w:style w:type="table" w:customStyle="1" w:styleId="99">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1">
    <w:name w:val="TableGrid12"/>
    <w:autoRedefine/>
    <w:qFormat/>
    <w:uiPriority w:val="0"/>
    <w:rPr>
      <w:kern w:val="2"/>
      <w:sz w:val="21"/>
      <w:szCs w:val="22"/>
    </w:rPr>
    <w:tblPr>
      <w:tblCellMar>
        <w:top w:w="0" w:type="dxa"/>
        <w:left w:w="0" w:type="dxa"/>
        <w:bottom w:w="0" w:type="dxa"/>
        <w:right w:w="0" w:type="dxa"/>
      </w:tblCellMar>
    </w:tblPr>
  </w:style>
  <w:style w:type="table" w:customStyle="1" w:styleId="102">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3">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4">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5">
    <w:name w:val="网格型1"/>
    <w:basedOn w:val="3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high-light-bg4"/>
    <w:basedOn w:val="38"/>
    <w:autoRedefine/>
    <w:qFormat/>
    <w:uiPriority w:val="0"/>
  </w:style>
  <w:style w:type="paragraph" w:customStyle="1" w:styleId="107">
    <w:name w:val="p16"/>
    <w:basedOn w:val="1"/>
    <w:autoRedefine/>
    <w:qFormat/>
    <w:uiPriority w:val="0"/>
    <w:rPr>
      <w:rFonts w:ascii="宋体" w:hAnsi="宋体" w:cs="宋体"/>
      <w:sz w:val="28"/>
      <w:szCs w:val="28"/>
    </w:rPr>
  </w:style>
  <w:style w:type="paragraph" w:customStyle="1" w:styleId="108">
    <w:name w:val="+正文"/>
    <w:basedOn w:val="1"/>
    <w:autoRedefine/>
    <w:qFormat/>
    <w:uiPriority w:val="99"/>
    <w:pPr>
      <w:spacing w:line="360" w:lineRule="auto"/>
      <w:ind w:firstLine="200" w:firstLineChars="200"/>
    </w:pPr>
  </w:style>
  <w:style w:type="paragraph" w:customStyle="1" w:styleId="109">
    <w:name w:val="正文 New"/>
    <w:autoRedefine/>
    <w:qFormat/>
    <w:uiPriority w:val="99"/>
    <w:pPr>
      <w:widowControl w:val="0"/>
      <w:jc w:val="both"/>
    </w:pPr>
    <w:rPr>
      <w:rFonts w:ascii="Times New Roman" w:hAnsi="Times New Roman" w:eastAsia="宋体" w:cs="Times New Roman"/>
      <w:lang w:val="en-US" w:eastAsia="zh-CN" w:bidi="ar-SA"/>
    </w:rPr>
  </w:style>
  <w:style w:type="character" w:customStyle="1" w:styleId="110">
    <w:name w:val="font01"/>
    <w:basedOn w:val="38"/>
    <w:autoRedefine/>
    <w:qFormat/>
    <w:uiPriority w:val="0"/>
    <w:rPr>
      <w:rFonts w:hint="eastAsia" w:ascii="仿宋" w:hAnsi="仿宋" w:eastAsia="仿宋" w:cs="仿宋"/>
      <w:color w:val="000000"/>
      <w:sz w:val="28"/>
      <w:szCs w:val="28"/>
      <w:u w:val="none"/>
    </w:rPr>
  </w:style>
  <w:style w:type="character" w:customStyle="1" w:styleId="111">
    <w:name w:val="font31"/>
    <w:basedOn w:val="38"/>
    <w:autoRedefine/>
    <w:qFormat/>
    <w:uiPriority w:val="0"/>
    <w:rPr>
      <w:rFonts w:hint="eastAsia" w:ascii="仿宋" w:hAnsi="仿宋" w:eastAsia="仿宋" w:cs="仿宋"/>
      <w:color w:val="000000"/>
      <w:sz w:val="24"/>
      <w:szCs w:val="24"/>
      <w:u w:val="none"/>
    </w:rPr>
  </w:style>
  <w:style w:type="character" w:customStyle="1" w:styleId="112">
    <w:name w:val="font11"/>
    <w:basedOn w:val="38"/>
    <w:autoRedefine/>
    <w:qFormat/>
    <w:uiPriority w:val="0"/>
    <w:rPr>
      <w:rFonts w:hint="eastAsia" w:ascii="宋体" w:hAnsi="宋体" w:eastAsia="宋体" w:cs="宋体"/>
      <w:color w:val="000000"/>
      <w:sz w:val="32"/>
      <w:szCs w:val="32"/>
      <w:u w:val="none"/>
    </w:rPr>
  </w:style>
  <w:style w:type="paragraph" w:customStyle="1" w:styleId="113">
    <w:name w:val="表格文字"/>
    <w:basedOn w:val="1"/>
    <w:autoRedefine/>
    <w:qFormat/>
    <w:uiPriority w:val="0"/>
    <w:pPr>
      <w:spacing w:before="120" w:after="120"/>
    </w:pPr>
    <w:rPr>
      <w:rFonts w:ascii="新宋体" w:hAnsi="宋体" w:eastAsia="新宋体" w:cstheme="minorBidi"/>
      <w:bCs/>
      <w:color w:val="000000"/>
      <w:sz w:val="18"/>
      <w:szCs w:val="18"/>
    </w:rPr>
  </w:style>
  <w:style w:type="paragraph" w:customStyle="1" w:styleId="114">
    <w:name w:val="正文格式"/>
    <w:basedOn w:val="1"/>
    <w:autoRedefine/>
    <w:qFormat/>
    <w:uiPriority w:val="0"/>
    <w:pPr>
      <w:adjustRightInd w:val="0"/>
      <w:snapToGrid w:val="0"/>
      <w:spacing w:line="400" w:lineRule="atLeast"/>
      <w:ind w:firstLine="482"/>
      <w:textAlignment w:val="baseline"/>
    </w:pPr>
  </w:style>
  <w:style w:type="paragraph" w:customStyle="1" w:styleId="115">
    <w:name w:val="※正文"/>
    <w:basedOn w:val="1"/>
    <w:next w:val="1"/>
    <w:qFormat/>
    <w:uiPriority w:val="0"/>
    <w:pPr>
      <w:widowControl/>
      <w:wordWrap w:val="0"/>
      <w:spacing w:line="400" w:lineRule="exact"/>
    </w:pPr>
    <w:rPr>
      <w:rFonts w:ascii="Calibri Light" w:hAnsi="Calibri Light" w:eastAsia="华文仿宋"/>
      <w:sz w:val="28"/>
      <w:szCs w:val="28"/>
    </w:rPr>
  </w:style>
  <w:style w:type="table" w:customStyle="1" w:styleId="116">
    <w:name w:val="Table Normal"/>
    <w:basedOn w:val="36"/>
    <w:qFormat/>
    <w:uiPriority w:val="0"/>
    <w:rPr>
      <w:rFonts w:ascii="Times New Roman" w:hAnsi="Times New Roman" w:eastAsia="Times New Roman" w:cs="Times New Roman"/>
      <w:kern w:val="0"/>
      <w:sz w:val="20"/>
      <w:szCs w:val="20"/>
      <w14:ligatures w14:val="none"/>
    </w:rPr>
    <w:tblPr>
      <w:tblCellMar>
        <w:left w:w="0" w:type="dxa"/>
        <w:right w:w="0" w:type="dxa"/>
      </w:tblCellMar>
    </w:tblPr>
  </w:style>
  <w:style w:type="paragraph" w:customStyle="1" w:styleId="117">
    <w:name w:val="MSG_EN_FONT_STYLE_NAME_TEMPLATE_ROLE_NUMBER MSG_EN_FONT_STYLE_NAME_BY_ROLE_TEXT 2"/>
    <w:basedOn w:val="1"/>
    <w:qFormat/>
    <w:uiPriority w:val="0"/>
    <w:pPr>
      <w:shd w:val="clear" w:color="auto" w:fill="FFFFFF"/>
      <w:spacing w:after="240" w:line="220" w:lineRule="exact"/>
      <w:jc w:val="distribute"/>
    </w:pPr>
    <w:rPr>
      <w:rFonts w:ascii="宋体" w:hAnsi="宋体" w:eastAsia="宋体" w:cs="宋体"/>
      <w:sz w:val="22"/>
    </w:rPr>
  </w:style>
  <w:style w:type="paragraph" w:customStyle="1" w:styleId="11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9">
    <w:name w:val="正文文本首行缩进 2 字符"/>
    <w:qFormat/>
    <w:uiPriority w:val="0"/>
    <w:rPr>
      <w:rFonts w:hint="default" w:ascii="Calibri" w:hAnsi="Calibri" w:cs="Calibri"/>
      <w:kern w:val="2"/>
      <w:sz w:val="21"/>
      <w:szCs w:val="21"/>
    </w:rPr>
  </w:style>
  <w:style w:type="paragraph" w:customStyle="1" w:styleId="120">
    <w:name w:val="1正文"/>
    <w:basedOn w:val="32"/>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paragraph" w:customStyle="1" w:styleId="121">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22">
    <w:name w:val="font61"/>
    <w:basedOn w:val="38"/>
    <w:qFormat/>
    <w:uiPriority w:val="0"/>
    <w:rPr>
      <w:rFonts w:ascii="Calibri" w:hAnsi="Calibri" w:cs="Calibri"/>
      <w:color w:val="000000"/>
      <w:sz w:val="20"/>
      <w:szCs w:val="20"/>
      <w:u w:val="none"/>
    </w:rPr>
  </w:style>
  <w:style w:type="paragraph" w:customStyle="1" w:styleId="123">
    <w:name w:val="HTML Preformatted"/>
    <w:basedOn w:val="1"/>
    <w:qFormat/>
    <w:uiPriority w:val="0"/>
    <w:rPr>
      <w:rFonts w:ascii="Courier New" w:hAnsi="Courier New"/>
      <w:sz w:val="20"/>
    </w:rPr>
  </w:style>
  <w:style w:type="character" w:customStyle="1" w:styleId="124">
    <w:name w:val="font51"/>
    <w:basedOn w:val="38"/>
    <w:qFormat/>
    <w:uiPriority w:val="0"/>
    <w:rPr>
      <w:rFonts w:hint="eastAsia" w:ascii="宋体" w:hAnsi="宋体" w:eastAsia="宋体" w:cs="宋体"/>
      <w:color w:val="000000"/>
      <w:sz w:val="20"/>
      <w:szCs w:val="20"/>
      <w:u w:val="none"/>
    </w:rPr>
  </w:style>
  <w:style w:type="character" w:customStyle="1" w:styleId="125">
    <w:name w:val="font71"/>
    <w:basedOn w:val="38"/>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55</Pages>
  <Words>19899</Words>
  <Characters>20842</Characters>
  <Lines>176</Lines>
  <Paragraphs>49</Paragraphs>
  <TotalTime>122</TotalTime>
  <ScaleCrop>false</ScaleCrop>
  <LinksUpToDate>false</LinksUpToDate>
  <CharactersWithSpaces>21129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2023-06-08T02:12:00Z</dcterms:created>
  <dc:creator>Administrator</dc:creator>
  <cp:lastModifiedBy>WPS_1528011989</cp:lastModifiedBy>
  <cp:lastPrinted>2024-10-16T09:09:00Z</cp:lastPrinted>
  <dcterms:modified xsi:type="dcterms:W3CDTF">2026-06-30T09:15:42Z</dcterms:modified>
  <dc:title>政府采购项目</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F6C6F1C02CF34484912EE5F747140B9C_13</vt:lpwstr>
  </property>
  <property fmtid="{D5CDD505-2E9C-101B-9397-08002B2CF9AE}" pid="4" name="KSOTemplateDocerSaveRecord">
    <vt:lpwstr>eyJoZGlkIjoiMDg1OGE3YTllNWRkNjgwY2M5ZDEwMmY0ODQzZDFhY2IiLCJ1c2VySWQiOiIzNzU3MTM1MjkifQ==</vt:lpwstr>
  </property>
</Properties>
</file>