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33FB50">
      <w:pPr>
        <w:keepNext w:val="0"/>
        <w:keepLines w:val="0"/>
        <w:pageBreakBefore w:val="0"/>
        <w:widowControl/>
        <w:kinsoku/>
        <w:wordWrap/>
        <w:overflowPunct/>
        <w:topLinePunct w:val="0"/>
        <w:autoSpaceDE/>
        <w:autoSpaceDN/>
        <w:bidi w:val="0"/>
        <w:adjustRightInd/>
        <w:snapToGrid/>
        <w:spacing w:after="0" w:line="360" w:lineRule="auto"/>
        <w:ind w:firstLine="0"/>
        <w:jc w:val="center"/>
        <w:textAlignment w:val="auto"/>
        <w:rPr>
          <w:rFonts w:hint="eastAsia" w:ascii="仿宋" w:hAnsi="仿宋" w:eastAsia="仿宋" w:cs="仿宋"/>
          <w:b/>
          <w:bCs/>
        </w:rPr>
      </w:pPr>
      <w:r>
        <w:rPr>
          <w:rFonts w:hint="eastAsia" w:ascii="仿宋" w:hAnsi="仿宋" w:eastAsia="仿宋" w:cs="仿宋"/>
          <w:b/>
          <w:bCs/>
          <w:sz w:val="44"/>
          <w:szCs w:val="44"/>
        </w:rPr>
        <w:t>洗涤服务合同</w:t>
      </w:r>
    </w:p>
    <w:p w14:paraId="01F5C438">
      <w:pPr>
        <w:keepNext w:val="0"/>
        <w:keepLines w:val="0"/>
        <w:pageBreakBefore w:val="0"/>
        <w:widowControl/>
        <w:kinsoku/>
        <w:wordWrap/>
        <w:overflowPunct/>
        <w:topLinePunct w:val="0"/>
        <w:autoSpaceDE/>
        <w:autoSpaceDN/>
        <w:bidi w:val="0"/>
        <w:adjustRightInd/>
        <w:snapToGrid/>
        <w:spacing w:after="0" w:line="360" w:lineRule="auto"/>
        <w:ind w:firstLine="0"/>
        <w:textAlignment w:val="auto"/>
        <w:rPr>
          <w:rFonts w:hint="eastAsia" w:ascii="仿宋" w:hAnsi="仿宋" w:eastAsia="仿宋" w:cs="仿宋"/>
          <w:b w:val="0"/>
          <w:bCs w:val="0"/>
        </w:rPr>
      </w:pPr>
      <w:r>
        <w:rPr>
          <w:rFonts w:hint="eastAsia" w:ascii="仿宋" w:hAnsi="仿宋" w:eastAsia="仿宋" w:cs="仿宋"/>
          <w:b w:val="0"/>
          <w:bCs w:val="0"/>
        </w:rPr>
        <w:t>甲方：</w:t>
      </w:r>
      <w:r>
        <w:rPr>
          <w:rFonts w:hint="eastAsia" w:ascii="仿宋" w:hAnsi="仿宋" w:eastAsia="仿宋" w:cs="仿宋"/>
          <w:b w:val="0"/>
          <w:bCs w:val="0"/>
          <w:u w:val="single"/>
        </w:rPr>
        <w:t>西安市鄠邑区中医医院</w:t>
      </w:r>
    </w:p>
    <w:p w14:paraId="633532C3">
      <w:pPr>
        <w:keepNext w:val="0"/>
        <w:keepLines w:val="0"/>
        <w:pageBreakBefore w:val="0"/>
        <w:widowControl/>
        <w:kinsoku/>
        <w:wordWrap/>
        <w:overflowPunct/>
        <w:topLinePunct w:val="0"/>
        <w:autoSpaceDE/>
        <w:autoSpaceDN/>
        <w:bidi w:val="0"/>
        <w:adjustRightInd/>
        <w:snapToGrid/>
        <w:spacing w:after="0" w:line="360" w:lineRule="auto"/>
        <w:ind w:firstLine="0"/>
        <w:textAlignment w:val="auto"/>
        <w:rPr>
          <w:rFonts w:hint="default" w:ascii="仿宋" w:hAnsi="仿宋" w:eastAsia="仿宋" w:cs="仿宋"/>
          <w:b w:val="0"/>
          <w:bCs w:val="0"/>
          <w:lang w:val="en-US" w:eastAsia="zh-CN"/>
        </w:rPr>
      </w:pPr>
      <w:r>
        <w:rPr>
          <w:rFonts w:hint="eastAsia" w:ascii="仿宋" w:hAnsi="仿宋" w:eastAsia="仿宋" w:cs="仿宋"/>
          <w:b w:val="0"/>
          <w:bCs w:val="0"/>
          <w:lang w:val="en-US" w:eastAsia="zh-CN"/>
        </w:rPr>
        <w:t>乙</w:t>
      </w:r>
      <w:r>
        <w:rPr>
          <w:rFonts w:hint="eastAsia" w:ascii="仿宋" w:hAnsi="仿宋" w:eastAsia="仿宋" w:cs="仿宋"/>
          <w:b w:val="0"/>
          <w:bCs w:val="0"/>
        </w:rPr>
        <w:t>方：</w:t>
      </w:r>
      <w:r>
        <w:rPr>
          <w:rFonts w:hint="eastAsia" w:ascii="仿宋" w:hAnsi="仿宋" w:eastAsia="仿宋" w:cs="仿宋"/>
          <w:b w:val="0"/>
          <w:bCs w:val="0"/>
          <w:u w:val="single"/>
          <w:lang w:val="en-US" w:eastAsia="zh-CN"/>
        </w:rPr>
        <w:t xml:space="preserve">                    </w:t>
      </w:r>
    </w:p>
    <w:p w14:paraId="5BDD2F1B">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rPr>
      </w:pPr>
      <w:r>
        <w:rPr>
          <w:rFonts w:hint="eastAsia" w:ascii="仿宋" w:hAnsi="仿宋" w:eastAsia="仿宋" w:cs="仿宋"/>
          <w:b w:val="0"/>
          <w:bCs w:val="0"/>
        </w:rPr>
        <w:t>依据《中华人民共和国政府采购法》及实施条例、《中华人民共和国民法典》和甲方</w:t>
      </w:r>
      <w:r>
        <w:rPr>
          <w:rFonts w:hint="eastAsia" w:ascii="仿宋" w:hAnsi="仿宋" w:eastAsia="仿宋" w:cs="仿宋"/>
          <w:b w:val="0"/>
          <w:bCs w:val="0"/>
          <w:u w:val="single"/>
        </w:rPr>
        <w:t xml:space="preserve"> （项目名称） （项目编号）</w:t>
      </w:r>
      <w:r>
        <w:rPr>
          <w:rFonts w:hint="eastAsia" w:ascii="仿宋" w:hAnsi="仿宋" w:eastAsia="仿宋" w:cs="仿宋"/>
          <w:b w:val="0"/>
          <w:bCs w:val="0"/>
        </w:rPr>
        <w:t>的竞争性磋商文件、响应文件等有关规定，为确保甲方采购项目的顺利实施，甲、乙双方在平等自愿原则下签订本合同，并共同遵守如下条款：</w:t>
      </w:r>
    </w:p>
    <w:p w14:paraId="3590C18E">
      <w:pPr>
        <w:keepNext w:val="0"/>
        <w:keepLines w:val="0"/>
        <w:pageBreakBefore w:val="0"/>
        <w:widowControl/>
        <w:kinsoku/>
        <w:wordWrap/>
        <w:overflowPunct/>
        <w:topLinePunct w:val="0"/>
        <w:autoSpaceDE/>
        <w:autoSpaceDN/>
        <w:bidi w:val="0"/>
        <w:adjustRightInd/>
        <w:snapToGrid/>
        <w:spacing w:after="0" w:line="360" w:lineRule="auto"/>
        <w:ind w:firstLine="0"/>
        <w:textAlignment w:val="auto"/>
        <w:rPr>
          <w:rFonts w:hint="eastAsia" w:ascii="仿宋" w:hAnsi="仿宋" w:eastAsia="仿宋" w:cs="仿宋"/>
          <w:b/>
          <w:bCs/>
        </w:rPr>
      </w:pPr>
      <w:r>
        <w:rPr>
          <w:rFonts w:hint="eastAsia" w:ascii="仿宋" w:hAnsi="仿宋" w:eastAsia="仿宋" w:cs="仿宋"/>
          <w:b/>
          <w:bCs/>
        </w:rPr>
        <w:t>第一条</w:t>
      </w:r>
      <w:r>
        <w:rPr>
          <w:rFonts w:hint="eastAsia" w:ascii="仿宋" w:hAnsi="仿宋" w:eastAsia="仿宋" w:cs="仿宋"/>
          <w:b/>
          <w:bCs/>
          <w:lang w:val="en-US" w:eastAsia="zh-CN"/>
        </w:rPr>
        <w:t xml:space="preserve">  </w:t>
      </w:r>
      <w:r>
        <w:rPr>
          <w:rFonts w:hint="eastAsia" w:ascii="仿宋" w:hAnsi="仿宋" w:eastAsia="仿宋" w:cs="仿宋"/>
          <w:b/>
          <w:bCs/>
        </w:rPr>
        <w:t>服务内容</w:t>
      </w:r>
    </w:p>
    <w:p w14:paraId="3AA71DD5">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rPr>
      </w:pPr>
      <w:r>
        <w:rPr>
          <w:rFonts w:hint="eastAsia" w:ascii="仿宋" w:hAnsi="仿宋" w:eastAsia="仿宋" w:cs="仿宋"/>
          <w:b w:val="0"/>
          <w:bCs w:val="0"/>
        </w:rPr>
        <w:t>（一）洗涤内容</w:t>
      </w:r>
    </w:p>
    <w:p w14:paraId="63FC4324">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rPr>
      </w:pPr>
      <w:r>
        <w:rPr>
          <w:rFonts w:hint="eastAsia" w:ascii="仿宋" w:hAnsi="仿宋" w:eastAsia="仿宋" w:cs="仿宋"/>
          <w:b w:val="0"/>
          <w:bCs w:val="0"/>
          <w:lang w:val="en-US" w:eastAsia="zh-CN"/>
        </w:rPr>
        <w:t>1</w:t>
      </w:r>
      <w:r>
        <w:rPr>
          <w:rFonts w:hint="eastAsia" w:ascii="仿宋" w:hAnsi="仿宋" w:eastAsia="仿宋" w:cs="仿宋"/>
          <w:b w:val="0"/>
          <w:bCs w:val="0"/>
        </w:rPr>
        <w:t>、根据医院实际情况，医院医用被芯、褥芯、被褥、病员服、敷料、工作服、窗帘等物品的洗涤、熨烫、拆洗、整理、缝补、钉带、配送等服务。</w:t>
      </w:r>
    </w:p>
    <w:p w14:paraId="22AF17B6">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2、所有参洗衣裤有脱线、裂缝、兜口袖口有开裂，乙方为甲方提供专业美观的缝补，缝补后不留线头，不抽线、不折皱。</w:t>
      </w:r>
    </w:p>
    <w:p w14:paraId="13483AE2">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3、所有参洗的医护服、医护裤，掉扣、烂扣现象，乙方为甲方免费重新换订新扣子。新扣子要保持和原衣服上的扣子花纹、图案、颜色、规格、质地尽量保持一致。</w:t>
      </w:r>
    </w:p>
    <w:p w14:paraId="67B314AB">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4、熨烫，接缝处、扎线明处、夹边处无明显折皱。衣领、袖口、胸边使其凭证无折皱。</w:t>
      </w:r>
    </w:p>
    <w:p w14:paraId="7B05937E">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5、折叠包装，按同一种折叠方法进行折叠，印有院方标记的一面朝外。每单件折叠平整、美观、单独包装、封袋。</w:t>
      </w:r>
    </w:p>
    <w:p w14:paraId="5412C241">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（二）服务要求</w:t>
      </w:r>
    </w:p>
    <w:p w14:paraId="649B9B21">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1、收送地点：西安市鄠邑区中医医院</w:t>
      </w:r>
    </w:p>
    <w:p w14:paraId="21051CBD">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2、收送时间：周一至周天，早8:00—9：00收送医用织物。节假日不休。</w:t>
      </w:r>
    </w:p>
    <w:p w14:paraId="6DAE62E8">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3、要求根据医院规定的时间，按时将待洗涤物品从洗衣房收取，并将洗涤洁净物品送回至医院洗衣房。</w:t>
      </w:r>
    </w:p>
    <w:p w14:paraId="35660D17">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4、乙方提供的服务应符合WS/T508—2025《医疗机构医用织物洗涤消毒技术标准》或国家最新规范相关规定，确保服务质量合格。乙方对提供的服务质量、安全、环保等负全部责任。</w:t>
      </w:r>
    </w:p>
    <w:p w14:paraId="22A7E886">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5、乙方应具有独立合法的工作场所，保证洗涤物品的不中断供应。</w:t>
      </w:r>
    </w:p>
    <w:p w14:paraId="04F92009">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6、洗涤作业区域污染区及清洁区有完全隔离屏障，人流、物流、空气流不交叉不逆行，应符合医用织物洗涤规范对洗涤作业场地、空间、空气的要求，保证所提供的洗涤、熨烫、消毒等服务均按国内通行的现行标准和相应的技术规范执行，这些标准和技术规范为合同签订日为止最新公布发行的标准和技术规范。</w:t>
      </w:r>
    </w:p>
    <w:p w14:paraId="49873BB0">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7、乙方应有稳定高效的全套医用织物专业洗涤设备，根据布料质地，污染程度，污染性质的不同，选择适合的洗涤工艺标准，科学安排洗涤工序，保证洗涤质量。</w:t>
      </w:r>
    </w:p>
    <w:p w14:paraId="15145865">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8、洗涤剂为经检测合格的无磷专用产品，保证所使用的洗涤原料无毒、环保，符合国家及行业标准。</w:t>
      </w:r>
    </w:p>
    <w:p w14:paraId="7B897B6C">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9、乙方应有专用车辆，车辆要求洁污分开，车牌号固定；车辆需按照院内指定路线通行，工作；车辆维修保养须自行解决，洗涤物品的运输工具由乙方自行提供，甲方仅负责给乙方车辆办理出入证。</w:t>
      </w:r>
    </w:p>
    <w:p w14:paraId="2D36FB9A">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10、医院有权对乙方所洗被服物品和洗涤场所进行抽查和检验，并要求洗涤公司及时整改。如出现应洗清而实际未洗清物品，医院有权按此物品洗涤价格予以罚款。手术衣物及辅料的折叠应按科室要求规范折叠，并保证洁净度。所有洗涤物品必须封装完好送回医院指定位置。</w:t>
      </w:r>
    </w:p>
    <w:p w14:paraId="1320251C">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11、由于乙方原因造成送洗被服遗失乙方应按原价赔偿。破损折价补偿，洗涤公司所洗涤物品的缝补和钉带、钉扣由洗涤公司负责，保证所洗物品完整性。</w:t>
      </w:r>
    </w:p>
    <w:p w14:paraId="37EFDBAB">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12、要求每月初5日前向医院相关管理部门提交各部门科室上月被服类的分类汇总报表。</w:t>
      </w:r>
    </w:p>
    <w:p w14:paraId="76175B7D">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13、如出现乙方停电或机器故障等突发情况，乙方应有完善的应急预案并应及时告知甲方，且不能影响甲方正常工作。</w:t>
      </w:r>
    </w:p>
    <w:p w14:paraId="4AD0B1AE">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14、不得将本项目洗涤服务进行分包或转包。</w:t>
      </w:r>
    </w:p>
    <w:p w14:paraId="69BE738C">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15、清洁织物卫生质量：感官指标：清洁织物外观应整洁、干燥、无异味、异物、破损。送回院方的干净布草要求：整洁、干燥、无污渍、无异味。送回院方的干净被服按照布草颜色分类捆扎；工服按照感控要求装袋；手术敷料按照院方手术科室要求进行规范折叠。</w:t>
      </w:r>
    </w:p>
    <w:p w14:paraId="61258EF8">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16、清洁织物微生物指标:（根据甲方需要，乙方按季度提供由疾控中心或国家认可的第三方检测且达标的检测报告）</w:t>
      </w:r>
    </w:p>
    <w:tbl>
      <w:tblPr>
        <w:tblStyle w:val="8"/>
        <w:tblW w:w="4999"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014"/>
        <w:gridCol w:w="2500"/>
      </w:tblGrid>
      <w:tr w14:paraId="273E6A4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531"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DB5626C">
            <w:pPr>
              <w:keepNext w:val="0"/>
              <w:keepLines w:val="0"/>
              <w:pageBreakBefore w:val="0"/>
              <w:widowControl/>
              <w:kinsoku/>
              <w:wordWrap/>
              <w:overflowPunct/>
              <w:topLinePunct w:val="0"/>
              <w:autoSpaceDE/>
              <w:autoSpaceDN/>
              <w:bidi w:val="0"/>
              <w:adjustRightInd/>
              <w:snapToGrid/>
              <w:spacing w:after="0" w:line="360" w:lineRule="auto"/>
              <w:ind w:firstLine="0" w:firstLineChars="0"/>
              <w:jc w:val="left"/>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项目</w:t>
            </w:r>
          </w:p>
        </w:tc>
        <w:tc>
          <w:tcPr>
            <w:tcW w:w="1468"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5DCAB98">
            <w:pPr>
              <w:keepNext w:val="0"/>
              <w:keepLines w:val="0"/>
              <w:pageBreakBefore w:val="0"/>
              <w:widowControl/>
              <w:kinsoku/>
              <w:wordWrap/>
              <w:overflowPunct/>
              <w:topLinePunct w:val="0"/>
              <w:autoSpaceDE/>
              <w:autoSpaceDN/>
              <w:bidi w:val="0"/>
              <w:adjustRightInd/>
              <w:snapToGrid/>
              <w:spacing w:after="0" w:line="360" w:lineRule="auto"/>
              <w:ind w:firstLine="0" w:firstLineChars="0"/>
              <w:jc w:val="center"/>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指标</w:t>
            </w:r>
          </w:p>
        </w:tc>
      </w:tr>
      <w:tr w14:paraId="5FD13F6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531"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CE730B4">
            <w:pPr>
              <w:keepNext w:val="0"/>
              <w:keepLines w:val="0"/>
              <w:pageBreakBefore w:val="0"/>
              <w:widowControl/>
              <w:kinsoku/>
              <w:wordWrap/>
              <w:overflowPunct/>
              <w:topLinePunct w:val="0"/>
              <w:autoSpaceDE/>
              <w:autoSpaceDN/>
              <w:bidi w:val="0"/>
              <w:adjustRightInd/>
              <w:snapToGrid/>
              <w:spacing w:after="0" w:line="360" w:lineRule="auto"/>
              <w:ind w:firstLine="0" w:firstLineChars="0"/>
              <w:jc w:val="left"/>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细菌菌落总数/（CFU/100 cm²）</w:t>
            </w:r>
          </w:p>
        </w:tc>
        <w:tc>
          <w:tcPr>
            <w:tcW w:w="1468"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66E46FC">
            <w:pPr>
              <w:keepNext w:val="0"/>
              <w:keepLines w:val="0"/>
              <w:pageBreakBefore w:val="0"/>
              <w:widowControl/>
              <w:kinsoku/>
              <w:wordWrap/>
              <w:overflowPunct/>
              <w:topLinePunct w:val="0"/>
              <w:autoSpaceDE/>
              <w:autoSpaceDN/>
              <w:bidi w:val="0"/>
              <w:adjustRightInd/>
              <w:snapToGrid/>
              <w:spacing w:after="0" w:line="360" w:lineRule="auto"/>
              <w:ind w:firstLine="0" w:firstLineChars="0"/>
              <w:jc w:val="center"/>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≤200</w:t>
            </w:r>
          </w:p>
        </w:tc>
      </w:tr>
      <w:tr w14:paraId="11E4E80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531"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F8D8C2F">
            <w:pPr>
              <w:keepNext w:val="0"/>
              <w:keepLines w:val="0"/>
              <w:pageBreakBefore w:val="0"/>
              <w:widowControl/>
              <w:kinsoku/>
              <w:wordWrap/>
              <w:overflowPunct/>
              <w:topLinePunct w:val="0"/>
              <w:autoSpaceDE/>
              <w:autoSpaceDN/>
              <w:bidi w:val="0"/>
              <w:adjustRightInd/>
              <w:snapToGrid/>
              <w:spacing w:after="0" w:line="360" w:lineRule="auto"/>
              <w:ind w:firstLine="0" w:firstLineChars="0"/>
              <w:jc w:val="left"/>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大肠杆菌</w:t>
            </w:r>
          </w:p>
        </w:tc>
        <w:tc>
          <w:tcPr>
            <w:tcW w:w="1468"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3EE846F">
            <w:pPr>
              <w:keepNext w:val="0"/>
              <w:keepLines w:val="0"/>
              <w:pageBreakBefore w:val="0"/>
              <w:widowControl/>
              <w:kinsoku/>
              <w:wordWrap/>
              <w:overflowPunct/>
              <w:topLinePunct w:val="0"/>
              <w:autoSpaceDE/>
              <w:autoSpaceDN/>
              <w:bidi w:val="0"/>
              <w:adjustRightInd/>
              <w:snapToGrid/>
              <w:spacing w:after="0" w:line="360" w:lineRule="auto"/>
              <w:ind w:firstLine="0" w:firstLineChars="0"/>
              <w:jc w:val="center"/>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不得检出</w:t>
            </w:r>
          </w:p>
        </w:tc>
      </w:tr>
      <w:tr w14:paraId="4C8AE14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3531"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E767E37">
            <w:pPr>
              <w:keepNext w:val="0"/>
              <w:keepLines w:val="0"/>
              <w:pageBreakBefore w:val="0"/>
              <w:widowControl/>
              <w:kinsoku/>
              <w:wordWrap/>
              <w:overflowPunct/>
              <w:topLinePunct w:val="0"/>
              <w:autoSpaceDE/>
              <w:autoSpaceDN/>
              <w:bidi w:val="0"/>
              <w:adjustRightInd/>
              <w:snapToGrid/>
              <w:spacing w:after="0" w:line="360" w:lineRule="auto"/>
              <w:ind w:firstLine="0" w:firstLineChars="0"/>
              <w:jc w:val="left"/>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金黄色葡糖球菌</w:t>
            </w:r>
          </w:p>
        </w:tc>
        <w:tc>
          <w:tcPr>
            <w:tcW w:w="1468" w:type="pc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FDE35D6">
            <w:pPr>
              <w:keepNext w:val="0"/>
              <w:keepLines w:val="0"/>
              <w:pageBreakBefore w:val="0"/>
              <w:widowControl/>
              <w:kinsoku/>
              <w:wordWrap/>
              <w:overflowPunct/>
              <w:topLinePunct w:val="0"/>
              <w:autoSpaceDE/>
              <w:autoSpaceDN/>
              <w:bidi w:val="0"/>
              <w:adjustRightInd/>
              <w:snapToGrid/>
              <w:spacing w:after="0" w:line="360" w:lineRule="auto"/>
              <w:ind w:firstLine="0" w:firstLineChars="0"/>
              <w:jc w:val="center"/>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不得检出</w:t>
            </w:r>
          </w:p>
        </w:tc>
      </w:tr>
    </w:tbl>
    <w:p w14:paraId="1F3E0382">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17、对于甲方应急性需求，应在1小时内满足。</w:t>
      </w:r>
    </w:p>
    <w:p w14:paraId="7A1CC66D">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18、如遇甲方对配送或收取时间、频次进行调整，乙方应无条件执行。</w:t>
      </w:r>
    </w:p>
    <w:p w14:paraId="68D3505B">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19、接受甲方感染管理部门对乙方的生物污染风险评估，对存在的问题在规定期限内整改到位。</w:t>
      </w:r>
    </w:p>
    <w:p w14:paraId="755F9986">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default" w:ascii="仿宋" w:hAnsi="仿宋" w:eastAsia="仿宋" w:cs="仿宋"/>
          <w:b w:val="0"/>
          <w:bCs w:val="0"/>
          <w:lang w:val="en-US" w:eastAsia="zh-CN"/>
        </w:rPr>
      </w:pPr>
      <w:r>
        <w:rPr>
          <w:rFonts w:hint="eastAsia" w:ascii="仿宋" w:hAnsi="仿宋" w:eastAsia="仿宋" w:cs="仿宋"/>
          <w:b w:val="0"/>
          <w:bCs w:val="0"/>
          <w:lang w:val="en-US" w:eastAsia="zh-CN"/>
        </w:rPr>
        <w:t>20、随时接受甲方和卫生监管部门的检查、监督、指导，对存在的问题在规定期限内整改到位。</w:t>
      </w:r>
    </w:p>
    <w:p w14:paraId="2E13572B">
      <w:pPr>
        <w:keepNext w:val="0"/>
        <w:keepLines w:val="0"/>
        <w:pageBreakBefore w:val="0"/>
        <w:widowControl/>
        <w:kinsoku/>
        <w:wordWrap/>
        <w:overflowPunct/>
        <w:topLinePunct w:val="0"/>
        <w:autoSpaceDE/>
        <w:autoSpaceDN/>
        <w:bidi w:val="0"/>
        <w:adjustRightInd/>
        <w:snapToGrid/>
        <w:spacing w:after="0" w:line="360" w:lineRule="auto"/>
        <w:ind w:firstLine="0"/>
        <w:textAlignment w:val="auto"/>
        <w:rPr>
          <w:rFonts w:hint="eastAsia" w:ascii="仿宋" w:hAnsi="仿宋" w:eastAsia="仿宋" w:cs="仿宋"/>
          <w:b/>
          <w:bCs/>
          <w:lang w:val="en-US" w:eastAsia="zh-CN"/>
        </w:rPr>
      </w:pPr>
      <w:r>
        <w:rPr>
          <w:rFonts w:hint="eastAsia" w:ascii="仿宋" w:hAnsi="仿宋" w:eastAsia="仿宋" w:cs="仿宋"/>
          <w:b/>
          <w:bCs/>
          <w:lang w:val="en-US" w:eastAsia="zh-CN"/>
        </w:rPr>
        <w:t>第二条  洗涤与消毒</w:t>
      </w:r>
    </w:p>
    <w:p w14:paraId="177B92D8">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1、常规洗涤程序如下：收洗的被服到我公司后首先进行分拣，将收洗的被服按轻污、重污、特殊污迹分开，病床用品、工作服、婴儿用品、手术室用品分开洗涤，手术室用品先浸泡消毒然后再洗涤。</w:t>
      </w:r>
    </w:p>
    <w:p w14:paraId="0B4C46EF">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2、洗涤被服前，检查被服内是否藏有纸屑、胶片、针头等杂物，并将其先行清理。</w:t>
      </w:r>
    </w:p>
    <w:p w14:paraId="70DFE29A">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3、分检掏兜：将医护人员白大衣口袋中遗留下的圆珠笔、签字笔、口红、手纸等物品掏出。</w:t>
      </w:r>
    </w:p>
    <w:p w14:paraId="6D348797">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4、对医护人员的工作服，洗涤前先将衣领、袖口先用衣刷刷干净。</w:t>
      </w:r>
    </w:p>
    <w:p w14:paraId="3F01B14D">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5、衣物装机量为洗衣机核定载重量的2/3装量较为合适。</w:t>
      </w:r>
    </w:p>
    <w:p w14:paraId="23C51E0B">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6、预洗：用清水(常温)注入高水位，洗3分钟，排污水。</w:t>
      </w:r>
    </w:p>
    <w:p w14:paraId="5D05BD2E">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7、主洗采用低水位加洗衣粉、除油剂、消佳净、漂白粉，在常温下洗涤20分钟，随后注入蒸汽至80℃高温洗涤25分钟后排水。</w:t>
      </w:r>
    </w:p>
    <w:p w14:paraId="5834FE32">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8、漂洗：</w:t>
      </w:r>
    </w:p>
    <w:p w14:paraId="21DD419B">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1）第一次漂洗：注入高水位水量洗8分钟后中脱水。</w:t>
      </w:r>
    </w:p>
    <w:p w14:paraId="57D78A2F">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2）第二、第三次漂洗：高水位水量洗涤 5分钟，随后高脱。</w:t>
      </w:r>
    </w:p>
    <w:p w14:paraId="2DF90297">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3）漂洗逐步降温以防死折出现。</w:t>
      </w:r>
    </w:p>
    <w:p w14:paraId="442636BD">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4）第四次漂洗：注冷水，等温度下降再脱水。</w:t>
      </w:r>
    </w:p>
    <w:p w14:paraId="453C0C7C">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rPr>
      </w:pPr>
      <w:r>
        <w:rPr>
          <w:rFonts w:hint="eastAsia" w:ascii="仿宋" w:hAnsi="仿宋" w:eastAsia="仿宋" w:cs="仿宋"/>
          <w:b w:val="0"/>
          <w:bCs w:val="0"/>
          <w:lang w:val="en-US" w:eastAsia="zh-CN"/>
        </w:rPr>
        <w:t>9、</w:t>
      </w:r>
      <w:r>
        <w:rPr>
          <w:rFonts w:hint="eastAsia" w:ascii="仿宋" w:hAnsi="仿宋" w:eastAsia="仿宋" w:cs="仿宋"/>
          <w:b w:val="0"/>
          <w:bCs w:val="0"/>
          <w:lang w:val="en-US"/>
        </w:rPr>
        <w:t>消毒(三重保障)</w:t>
      </w:r>
    </w:p>
    <w:p w14:paraId="5BA9B7D9">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1）洗衣机内的蒸汽消毒。消毒水、彩漂粉的消毒。</w:t>
      </w:r>
    </w:p>
    <w:p w14:paraId="47B5FF67">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2）高温烘干消毒，温度130℃，不低于40分钟</w:t>
      </w:r>
    </w:p>
    <w:p w14:paraId="6A2E436C">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3）干热消毒，烫平机(150℃)和熨烫机的消毒，有足够的时间杀灭微生物。</w:t>
      </w:r>
    </w:p>
    <w:p w14:paraId="1BCF4097">
      <w:pPr>
        <w:keepNext w:val="0"/>
        <w:keepLines w:val="0"/>
        <w:pageBreakBefore w:val="0"/>
        <w:widowControl/>
        <w:kinsoku/>
        <w:wordWrap/>
        <w:overflowPunct/>
        <w:topLinePunct w:val="0"/>
        <w:autoSpaceDE/>
        <w:autoSpaceDN/>
        <w:bidi w:val="0"/>
        <w:adjustRightInd/>
        <w:snapToGrid/>
        <w:spacing w:after="0" w:line="360" w:lineRule="auto"/>
        <w:ind w:firstLine="0"/>
        <w:textAlignment w:val="auto"/>
        <w:rPr>
          <w:rFonts w:hint="eastAsia" w:ascii="仿宋" w:hAnsi="仿宋" w:eastAsia="仿宋" w:cs="仿宋"/>
          <w:b/>
          <w:bCs/>
        </w:rPr>
      </w:pPr>
      <w:r>
        <w:rPr>
          <w:rFonts w:hint="eastAsia" w:ascii="仿宋" w:hAnsi="仿宋" w:eastAsia="仿宋" w:cs="仿宋"/>
          <w:b/>
          <w:bCs/>
          <w:lang w:val="en-US"/>
        </w:rPr>
        <w:t>第三条</w:t>
      </w:r>
      <w:r>
        <w:rPr>
          <w:rFonts w:hint="eastAsia" w:ascii="仿宋" w:hAnsi="仿宋" w:eastAsia="仿宋" w:cs="仿宋"/>
          <w:b/>
          <w:bCs/>
          <w:lang w:val="en-US" w:eastAsia="zh-CN"/>
        </w:rPr>
        <w:t xml:space="preserve">  </w:t>
      </w:r>
      <w:r>
        <w:rPr>
          <w:rFonts w:hint="eastAsia" w:ascii="仿宋" w:hAnsi="仿宋" w:eastAsia="仿宋" w:cs="仿宋"/>
          <w:b/>
          <w:bCs/>
          <w:lang w:val="en-US"/>
        </w:rPr>
        <w:t>费用结算</w:t>
      </w:r>
    </w:p>
    <w:p w14:paraId="1A30B989">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_GB2312" w:hAnsi="仿宋_GB2312" w:eastAsia="仿宋_GB2312" w:cs="仿宋_GB2312"/>
        </w:rPr>
      </w:pPr>
      <w:r>
        <w:rPr>
          <w:rFonts w:hint="eastAsia" w:ascii="仿宋" w:hAnsi="仿宋" w:eastAsia="仿宋" w:cs="仿宋"/>
          <w:b w:val="0"/>
          <w:bCs w:val="0"/>
          <w:lang w:val="en-US" w:eastAsia="zh-CN"/>
        </w:rPr>
        <w:t>1、</w:t>
      </w:r>
      <w:r>
        <w:rPr>
          <w:rFonts w:hint="eastAsia" w:ascii="仿宋_GB2312" w:hAnsi="仿宋_GB2312" w:eastAsia="仿宋_GB2312" w:cs="仿宋_GB2312"/>
        </w:rPr>
        <w:t>本项目为固定单价项目，不因市场因素、政府政策调整、费率调整和税收变化等而作任何调整，</w:t>
      </w:r>
      <w:r>
        <w:rPr>
          <w:rFonts w:hint="eastAsia" w:ascii="仿宋_GB2312" w:hAnsi="仿宋_GB2312" w:eastAsia="仿宋_GB2312" w:cs="仿宋_GB2312"/>
          <w:lang w:eastAsia="zh-CN"/>
        </w:rPr>
        <w:t>甲方</w:t>
      </w:r>
      <w:r>
        <w:rPr>
          <w:rFonts w:hint="eastAsia" w:ascii="仿宋_GB2312" w:hAnsi="仿宋_GB2312" w:eastAsia="仿宋_GB2312" w:cs="仿宋_GB2312"/>
        </w:rPr>
        <w:t>不再支付单价以外的任何费用。</w:t>
      </w:r>
    </w:p>
    <w:p w14:paraId="4A38B6EE">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_GB2312" w:hAnsi="仿宋_GB2312" w:eastAsia="仿宋_GB2312" w:cs="仿宋_GB2312"/>
        </w:rPr>
      </w:pPr>
      <w:r>
        <w:rPr>
          <w:rFonts w:hint="eastAsia" w:ascii="仿宋_GB2312" w:hAnsi="仿宋_GB2312" w:eastAsia="仿宋_GB2312" w:cs="仿宋_GB2312"/>
          <w:lang w:val="en-US" w:eastAsia="zh-CN"/>
        </w:rPr>
        <w:t>2、</w:t>
      </w:r>
      <w:r>
        <w:rPr>
          <w:rFonts w:hint="eastAsia" w:ascii="仿宋_GB2312" w:hAnsi="仿宋_GB2312" w:eastAsia="仿宋_GB2312" w:cs="仿宋_GB2312"/>
          <w:lang w:eastAsia="zh-CN"/>
        </w:rPr>
        <w:t>甲方</w:t>
      </w:r>
      <w:r>
        <w:rPr>
          <w:rFonts w:hint="eastAsia" w:ascii="仿宋_GB2312" w:hAnsi="仿宋_GB2312" w:eastAsia="仿宋_GB2312" w:cs="仿宋_GB2312"/>
        </w:rPr>
        <w:t>依据洗涤数量及成交单价按月度向成交</w:t>
      </w:r>
      <w:r>
        <w:rPr>
          <w:rFonts w:hint="eastAsia" w:ascii="仿宋_GB2312" w:hAnsi="仿宋_GB2312" w:eastAsia="仿宋_GB2312" w:cs="仿宋_GB2312"/>
          <w:lang w:eastAsia="zh-CN"/>
        </w:rPr>
        <w:t>乙方</w:t>
      </w:r>
      <w:r>
        <w:rPr>
          <w:rFonts w:hint="eastAsia" w:ascii="仿宋_GB2312" w:hAnsi="仿宋_GB2312" w:eastAsia="仿宋_GB2312" w:cs="仿宋_GB2312"/>
        </w:rPr>
        <w:t>据实结算。在付款前，由</w:t>
      </w:r>
      <w:r>
        <w:rPr>
          <w:rFonts w:hint="eastAsia" w:ascii="仿宋_GB2312" w:hAnsi="仿宋_GB2312" w:eastAsia="仿宋_GB2312" w:cs="仿宋_GB2312"/>
          <w:lang w:eastAsia="zh-CN"/>
        </w:rPr>
        <w:t>甲方</w:t>
      </w:r>
      <w:r>
        <w:rPr>
          <w:rFonts w:hint="eastAsia" w:ascii="仿宋_GB2312" w:hAnsi="仿宋_GB2312" w:eastAsia="仿宋_GB2312" w:cs="仿宋_GB2312"/>
        </w:rPr>
        <w:t>核验成交</w:t>
      </w:r>
      <w:r>
        <w:rPr>
          <w:rFonts w:hint="eastAsia" w:ascii="仿宋_GB2312" w:hAnsi="仿宋_GB2312" w:eastAsia="仿宋_GB2312" w:cs="仿宋_GB2312"/>
          <w:lang w:eastAsia="zh-CN"/>
        </w:rPr>
        <w:t>乙方</w:t>
      </w:r>
      <w:r>
        <w:rPr>
          <w:rFonts w:hint="eastAsia" w:ascii="仿宋_GB2312" w:hAnsi="仿宋_GB2312" w:eastAsia="仿宋_GB2312" w:cs="仿宋_GB2312"/>
        </w:rPr>
        <w:t>所提供的洗涤数量无误、品质合格后，成交</w:t>
      </w:r>
      <w:r>
        <w:rPr>
          <w:rFonts w:hint="eastAsia" w:ascii="仿宋_GB2312" w:hAnsi="仿宋_GB2312" w:eastAsia="仿宋_GB2312" w:cs="仿宋_GB2312"/>
          <w:lang w:eastAsia="zh-CN"/>
        </w:rPr>
        <w:t>乙方</w:t>
      </w:r>
      <w:r>
        <w:rPr>
          <w:rFonts w:hint="eastAsia" w:ascii="仿宋_GB2312" w:hAnsi="仿宋_GB2312" w:eastAsia="仿宋_GB2312" w:cs="仿宋_GB2312"/>
        </w:rPr>
        <w:t>开具与结算金额一致的全额发票给</w:t>
      </w:r>
      <w:r>
        <w:rPr>
          <w:rFonts w:hint="eastAsia" w:ascii="仿宋_GB2312" w:hAnsi="仿宋_GB2312" w:eastAsia="仿宋_GB2312" w:cs="仿宋_GB2312"/>
          <w:lang w:eastAsia="zh-CN"/>
        </w:rPr>
        <w:t>甲方</w:t>
      </w:r>
      <w:r>
        <w:rPr>
          <w:rFonts w:hint="eastAsia" w:ascii="仿宋_GB2312" w:hAnsi="仿宋_GB2312" w:eastAsia="仿宋_GB2312" w:cs="仿宋_GB2312"/>
        </w:rPr>
        <w:t>，否则</w:t>
      </w:r>
      <w:r>
        <w:rPr>
          <w:rFonts w:hint="eastAsia" w:ascii="仿宋_GB2312" w:hAnsi="仿宋_GB2312" w:eastAsia="仿宋_GB2312" w:cs="仿宋_GB2312"/>
          <w:lang w:eastAsia="zh-CN"/>
        </w:rPr>
        <w:t>甲方</w:t>
      </w:r>
      <w:r>
        <w:rPr>
          <w:rFonts w:hint="eastAsia" w:ascii="仿宋_GB2312" w:hAnsi="仿宋_GB2312" w:eastAsia="仿宋_GB2312" w:cs="仿宋_GB2312"/>
        </w:rPr>
        <w:t>有权拒绝付款，且无须承担任何责任，成交</w:t>
      </w:r>
      <w:r>
        <w:rPr>
          <w:rFonts w:hint="eastAsia" w:ascii="仿宋_GB2312" w:hAnsi="仿宋_GB2312" w:eastAsia="仿宋_GB2312" w:cs="仿宋_GB2312"/>
          <w:lang w:eastAsia="zh-CN"/>
        </w:rPr>
        <w:t>乙方</w:t>
      </w:r>
      <w:r>
        <w:rPr>
          <w:rFonts w:hint="eastAsia" w:ascii="仿宋_GB2312" w:hAnsi="仿宋_GB2312" w:eastAsia="仿宋_GB2312" w:cs="仿宋_GB2312"/>
        </w:rPr>
        <w:t>不得以此为由拒绝履行合同义务。</w:t>
      </w:r>
    </w:p>
    <w:p w14:paraId="5B7FAA3E">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_GB2312" w:hAnsi="仿宋_GB2312" w:eastAsia="仿宋_GB2312" w:cs="仿宋_GB2312"/>
        </w:rPr>
      </w:pPr>
      <w:r>
        <w:rPr>
          <w:rFonts w:hint="eastAsia" w:ascii="仿宋_GB2312" w:hAnsi="仿宋_GB2312" w:eastAsia="仿宋_GB2312" w:cs="仿宋_GB2312"/>
          <w:lang w:val="en-US" w:eastAsia="zh-CN"/>
        </w:rPr>
        <w:t>3、</w:t>
      </w:r>
      <w:r>
        <w:rPr>
          <w:rFonts w:hint="eastAsia" w:ascii="仿宋_GB2312" w:hAnsi="仿宋_GB2312" w:eastAsia="仿宋_GB2312" w:cs="仿宋_GB2312"/>
        </w:rPr>
        <w:t>洗涤数量以</w:t>
      </w:r>
      <w:r>
        <w:rPr>
          <w:rFonts w:hint="eastAsia" w:ascii="仿宋_GB2312" w:hAnsi="仿宋_GB2312" w:eastAsia="仿宋_GB2312" w:cs="仿宋_GB2312"/>
          <w:lang w:eastAsia="zh-CN"/>
        </w:rPr>
        <w:t>甲方</w:t>
      </w:r>
      <w:r>
        <w:rPr>
          <w:rFonts w:hint="eastAsia" w:ascii="仿宋_GB2312" w:hAnsi="仿宋_GB2312" w:eastAsia="仿宋_GB2312" w:cs="仿宋_GB2312"/>
        </w:rPr>
        <w:t>确认的数量为准。</w:t>
      </w:r>
    </w:p>
    <w:p w14:paraId="3C6441D3">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_GB2312" w:hAnsi="仿宋_GB2312" w:eastAsia="仿宋_GB2312" w:cs="仿宋_GB2312"/>
        </w:rPr>
      </w:pPr>
      <w:r>
        <w:rPr>
          <w:rFonts w:hint="eastAsia" w:ascii="仿宋_GB2312" w:hAnsi="仿宋_GB2312" w:eastAsia="仿宋_GB2312" w:cs="仿宋_GB2312"/>
          <w:lang w:val="en-US" w:eastAsia="zh-CN"/>
        </w:rPr>
        <w:t>4、</w:t>
      </w:r>
      <w:r>
        <w:rPr>
          <w:rFonts w:hint="eastAsia" w:ascii="仿宋_GB2312" w:hAnsi="仿宋_GB2312" w:eastAsia="仿宋_GB2312" w:cs="仿宋_GB2312"/>
        </w:rPr>
        <w:t>返洗织物不再结算费用。</w:t>
      </w:r>
    </w:p>
    <w:p w14:paraId="4BE75D8B">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_GB2312" w:hAnsi="仿宋_GB2312" w:eastAsia="仿宋_GB2312" w:cs="仿宋_GB2312"/>
          <w:lang w:val="en-US" w:eastAsia="zh-CN"/>
        </w:rPr>
        <w:t>5、</w:t>
      </w:r>
      <w:r>
        <w:rPr>
          <w:rFonts w:hint="eastAsia" w:ascii="仿宋_GB2312" w:hAnsi="仿宋_GB2312" w:eastAsia="仿宋_GB2312" w:cs="仿宋_GB2312"/>
        </w:rPr>
        <w:t>如合同执行过程中，未列入清单的织物，确需清洗的，按照相同或相近规格织物洗涤中标单价执行</w:t>
      </w:r>
      <w:r>
        <w:rPr>
          <w:rFonts w:hint="eastAsia" w:ascii="仿宋" w:hAnsi="仿宋" w:eastAsia="仿宋" w:cs="仿宋"/>
          <w:b w:val="0"/>
          <w:bCs w:val="0"/>
          <w:lang w:val="en-US" w:eastAsia="zh-CN"/>
        </w:rPr>
        <w:t>。</w:t>
      </w:r>
    </w:p>
    <w:p w14:paraId="4155EA75">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default" w:ascii="仿宋" w:hAnsi="仿宋" w:eastAsia="仿宋" w:cs="仿宋"/>
          <w:b w:val="0"/>
          <w:bCs w:val="0"/>
          <w:lang w:val="en-US" w:eastAsia="zh-CN"/>
        </w:rPr>
      </w:pPr>
      <w:r>
        <w:rPr>
          <w:rFonts w:hint="eastAsia" w:ascii="仿宋" w:hAnsi="仿宋" w:eastAsia="仿宋" w:cs="仿宋"/>
          <w:b w:val="0"/>
          <w:bCs w:val="0"/>
          <w:lang w:val="en-US" w:eastAsia="zh-CN"/>
        </w:rPr>
        <w:t>6、本项目成交总价为</w:t>
      </w:r>
      <w:r>
        <w:rPr>
          <w:rFonts w:hint="eastAsia" w:ascii="仿宋" w:hAnsi="仿宋" w:eastAsia="仿宋" w:cs="仿宋"/>
          <w:b w:val="0"/>
          <w:bCs w:val="0"/>
          <w:u w:val="single"/>
          <w:lang w:val="en-US" w:eastAsia="zh-CN"/>
        </w:rPr>
        <w:t>人民币（大写）         元整；￥          元</w:t>
      </w:r>
      <w:r>
        <w:rPr>
          <w:rFonts w:hint="eastAsia" w:ascii="仿宋" w:hAnsi="仿宋" w:eastAsia="仿宋" w:cs="仿宋"/>
          <w:b w:val="0"/>
          <w:bCs w:val="0"/>
          <w:u w:val="none"/>
          <w:lang w:val="en-US" w:eastAsia="zh-CN"/>
        </w:rPr>
        <w:t>，</w:t>
      </w:r>
      <w:r>
        <w:rPr>
          <w:rFonts w:hint="eastAsia" w:ascii="仿宋_GB2312" w:hAnsi="仿宋_GB2312" w:eastAsia="仿宋_GB2312" w:cs="仿宋_GB2312"/>
        </w:rPr>
        <w:t>依据</w:t>
      </w:r>
      <w:r>
        <w:rPr>
          <w:rFonts w:hint="eastAsia" w:ascii="仿宋_GB2312" w:hAnsi="仿宋_GB2312" w:eastAsia="仿宋_GB2312" w:cs="仿宋_GB2312"/>
          <w:lang w:val="en-US" w:eastAsia="zh-CN"/>
        </w:rPr>
        <w:t>实际</w:t>
      </w:r>
      <w:r>
        <w:rPr>
          <w:rFonts w:hint="eastAsia" w:ascii="仿宋_GB2312" w:hAnsi="仿宋_GB2312" w:eastAsia="仿宋_GB2312" w:cs="仿宋_GB2312"/>
        </w:rPr>
        <w:t>洗涤数量及成交单价</w:t>
      </w:r>
      <w:r>
        <w:rPr>
          <w:rFonts w:hint="eastAsia" w:ascii="仿宋_GB2312" w:hAnsi="仿宋_GB2312" w:eastAsia="仿宋_GB2312" w:cs="仿宋_GB2312"/>
          <w:lang w:val="en-US" w:eastAsia="zh-CN"/>
        </w:rPr>
        <w:t>据实结算，</w:t>
      </w:r>
      <w:r>
        <w:rPr>
          <w:rFonts w:hint="eastAsia" w:ascii="仿宋" w:hAnsi="仿宋" w:eastAsia="仿宋" w:cs="仿宋"/>
          <w:b w:val="0"/>
          <w:bCs w:val="0"/>
          <w:lang w:val="en-US" w:eastAsia="zh-CN"/>
        </w:rPr>
        <w:t>合同最终金额不得超过成交总价。具体成交单价清单附后：</w:t>
      </w:r>
    </w:p>
    <w:p w14:paraId="3FF35B45">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bookmarkStart w:id="0" w:name="_GoBack"/>
      <w:bookmarkEnd w:id="0"/>
    </w:p>
    <w:p w14:paraId="4A58FA08">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p>
    <w:p w14:paraId="1CA827EF">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p>
    <w:p w14:paraId="4E9F3A00">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p>
    <w:p w14:paraId="7A857FB4">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p>
    <w:p w14:paraId="70062404">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7、乙方必须在规定的时间内接送甲方需洗涤的被服，如有拖延情况影响甲方工作的正常开展，甲方可以扣除一定的费用。</w:t>
      </w:r>
    </w:p>
    <w:p w14:paraId="651F667C">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开户银行：</w:t>
      </w:r>
    </w:p>
    <w:p w14:paraId="385B9D4E">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账    号：</w:t>
      </w:r>
    </w:p>
    <w:p w14:paraId="37FB9627">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纳税识别号：</w:t>
      </w:r>
    </w:p>
    <w:p w14:paraId="52C0BB5F">
      <w:pPr>
        <w:keepNext w:val="0"/>
        <w:keepLines w:val="0"/>
        <w:pageBreakBefore w:val="0"/>
        <w:widowControl/>
        <w:kinsoku/>
        <w:wordWrap/>
        <w:overflowPunct/>
        <w:topLinePunct w:val="0"/>
        <w:autoSpaceDE/>
        <w:autoSpaceDN/>
        <w:bidi w:val="0"/>
        <w:adjustRightInd/>
        <w:snapToGrid/>
        <w:spacing w:after="0" w:line="360" w:lineRule="auto"/>
        <w:ind w:firstLine="0"/>
        <w:textAlignment w:val="auto"/>
        <w:rPr>
          <w:rFonts w:hint="eastAsia" w:ascii="仿宋" w:hAnsi="仿宋" w:eastAsia="仿宋" w:cs="仿宋"/>
          <w:b/>
          <w:bCs/>
          <w:lang w:val="en-US" w:eastAsia="zh-CN"/>
        </w:rPr>
      </w:pPr>
      <w:r>
        <w:rPr>
          <w:rFonts w:hint="eastAsia" w:ascii="仿宋" w:hAnsi="仿宋" w:eastAsia="仿宋" w:cs="仿宋"/>
          <w:b/>
          <w:bCs/>
          <w:lang w:val="en-US"/>
        </w:rPr>
        <w:t>第</w:t>
      </w:r>
      <w:r>
        <w:rPr>
          <w:rFonts w:hint="eastAsia" w:ascii="仿宋" w:hAnsi="仿宋" w:eastAsia="仿宋" w:cs="仿宋"/>
          <w:b/>
          <w:bCs/>
          <w:lang w:val="en-US" w:eastAsia="zh-CN"/>
        </w:rPr>
        <w:t>四条  合同期限</w:t>
      </w:r>
    </w:p>
    <w:p w14:paraId="6E8FEF50">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ascii="仿宋_GB2312" w:hAnsi="仿宋_GB2312" w:eastAsia="仿宋_GB2312" w:cs="仿宋_GB2312"/>
        </w:rPr>
        <w:t>自合同签订生效之日起1年</w:t>
      </w:r>
      <w:r>
        <w:rPr>
          <w:rFonts w:hint="eastAsia" w:ascii="仿宋" w:hAnsi="仿宋" w:eastAsia="仿宋" w:cs="仿宋"/>
          <w:b w:val="0"/>
          <w:bCs w:val="0"/>
          <w:lang w:val="en-US" w:eastAsia="zh-CN"/>
        </w:rPr>
        <w:t>，</w:t>
      </w:r>
      <w:r>
        <w:rPr>
          <w:rFonts w:hint="eastAsia" w:ascii="仿宋" w:hAnsi="仿宋" w:eastAsia="仿宋" w:cs="仿宋"/>
          <w:b w:val="0"/>
          <w:bCs w:val="0"/>
          <w:u w:val="single"/>
          <w:lang w:val="en-US" w:eastAsia="zh-CN"/>
        </w:rPr>
        <w:t>自   年   月   日起至   年  月   日止</w:t>
      </w:r>
      <w:r>
        <w:rPr>
          <w:rFonts w:hint="eastAsia" w:ascii="仿宋" w:hAnsi="仿宋" w:eastAsia="仿宋" w:cs="仿宋"/>
          <w:b w:val="0"/>
          <w:bCs w:val="0"/>
          <w:lang w:val="en-US" w:eastAsia="zh-CN"/>
        </w:rPr>
        <w:t>。</w:t>
      </w:r>
    </w:p>
    <w:p w14:paraId="1D675679">
      <w:pPr>
        <w:keepNext w:val="0"/>
        <w:keepLines w:val="0"/>
        <w:pageBreakBefore w:val="0"/>
        <w:widowControl/>
        <w:kinsoku/>
        <w:wordWrap/>
        <w:overflowPunct/>
        <w:topLinePunct w:val="0"/>
        <w:autoSpaceDE/>
        <w:autoSpaceDN/>
        <w:bidi w:val="0"/>
        <w:adjustRightInd/>
        <w:snapToGrid/>
        <w:spacing w:after="0" w:line="360" w:lineRule="auto"/>
        <w:ind w:firstLine="0"/>
        <w:textAlignment w:val="auto"/>
        <w:rPr>
          <w:rFonts w:hint="eastAsia" w:ascii="仿宋" w:hAnsi="仿宋" w:eastAsia="仿宋" w:cs="仿宋"/>
          <w:b/>
          <w:bCs/>
          <w:lang w:val="en-US" w:eastAsia="zh-CN"/>
        </w:rPr>
      </w:pPr>
      <w:r>
        <w:rPr>
          <w:rFonts w:hint="eastAsia" w:ascii="仿宋" w:hAnsi="仿宋" w:eastAsia="仿宋" w:cs="仿宋"/>
          <w:b/>
          <w:bCs/>
          <w:lang w:val="en-US" w:eastAsia="zh-CN"/>
        </w:rPr>
        <w:t>第五条  特别约定</w:t>
      </w:r>
    </w:p>
    <w:p w14:paraId="2F9B719F">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1、乙方应尽职尽责地为甲方提供洗涤品质，参洗衣物进行全面消毒。</w:t>
      </w:r>
    </w:p>
    <w:p w14:paraId="5DB7E68F">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2、由于洗涤行业客观情况，被服在使用和洗涤过程中，不可避免存在自然损耗。乙方不负责甲方被服的褪色、缩水、衣物中财物丢失、自然霉烂、和布料的质劣、变形等责任；因甲方原因造成被服布类严重污染，乙方尽力洗涤但乙方不承担由此造成的赔偿损失。若乙方在洗涤过程中造成损坏、染色、丢失的现象，经确认属乙方责任的，则由甲乙双方协商，乙方进行赔偿，赔偿金额不能高于当月洗涤费用的10%。</w:t>
      </w:r>
    </w:p>
    <w:p w14:paraId="21E97825">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赔偿标准，以新被服为标准。</w:t>
      </w:r>
    </w:p>
    <w:p w14:paraId="5BA10136">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洗涤周期3个月内，由于乙方洗涤不当，所造成的破损，按甲方采购进价的60%赔偿给甲方；</w:t>
      </w:r>
    </w:p>
    <w:p w14:paraId="53FF38EB">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洗涤周期6个月内，由于乙方洗涤不当，所造成的破损，按甲方采购进价的40%赔偿给甲方；</w:t>
      </w:r>
    </w:p>
    <w:p w14:paraId="7FA13309">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洗涤周期12个月内，由于乙方洗涤不当，所造成的破损，按甲方采购进价的20%赔偿给甲方；</w:t>
      </w:r>
    </w:p>
    <w:p w14:paraId="4F2980C2">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洗涤周期12个月外，由于乙方洗涤不当，所造成的破损，甲乙双方协商赔偿方案.(赔偿金额不能大于乙方当月洗涤总金额的1%)。</w:t>
      </w:r>
    </w:p>
    <w:p w14:paraId="6D155C5D">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3、为保证双方的交接方便，提高服务品质，对甲方医院下属的科室(含新增科室)的被服洗涤服务，全部由乙方承担，乙方必须以不影响甲方医院正常运转为原则，在甲方的协助下由乙方推动洗涤服务。</w:t>
      </w:r>
    </w:p>
    <w:p w14:paraId="530F0D0C">
      <w:pPr>
        <w:keepNext w:val="0"/>
        <w:keepLines w:val="0"/>
        <w:pageBreakBefore w:val="0"/>
        <w:widowControl/>
        <w:kinsoku/>
        <w:wordWrap/>
        <w:overflowPunct/>
        <w:topLinePunct w:val="0"/>
        <w:autoSpaceDE/>
        <w:autoSpaceDN/>
        <w:bidi w:val="0"/>
        <w:adjustRightInd/>
        <w:snapToGrid/>
        <w:spacing w:after="0" w:line="360" w:lineRule="auto"/>
        <w:ind w:firstLine="0"/>
        <w:textAlignment w:val="auto"/>
        <w:rPr>
          <w:rFonts w:hint="eastAsia" w:ascii="仿宋" w:hAnsi="仿宋" w:eastAsia="仿宋" w:cs="仿宋"/>
          <w:b/>
          <w:bCs/>
          <w:lang w:val="en-US" w:eastAsia="zh-CN"/>
        </w:rPr>
      </w:pPr>
      <w:r>
        <w:rPr>
          <w:rFonts w:hint="eastAsia" w:ascii="仿宋" w:hAnsi="仿宋" w:eastAsia="仿宋" w:cs="仿宋"/>
          <w:b/>
          <w:bCs/>
          <w:lang w:val="en-US" w:eastAsia="zh-CN"/>
        </w:rPr>
        <w:t>第六条  售后服务</w:t>
      </w:r>
    </w:p>
    <w:p w14:paraId="4C17A3E2">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乙方项目主管保持与甲方该项目主管联系，及时保障甲方的被服需要。乙方项目主管须加大力度检查被服洗涤质量、员工的服务态度，确保优质服务。主动配合甲方工作需求和管理，如有投诉应及时理，乙方项目主管投诉处理电话</w:t>
      </w:r>
      <w:r>
        <w:rPr>
          <w:rFonts w:hint="eastAsia" w:ascii="仿宋" w:hAnsi="仿宋" w:eastAsia="仿宋" w:cs="仿宋"/>
          <w:b w:val="0"/>
          <w:bCs w:val="0"/>
          <w:u w:val="single"/>
          <w:lang w:val="en-US" w:eastAsia="zh-CN"/>
        </w:rPr>
        <w:t xml:space="preserve">        </w:t>
      </w:r>
      <w:r>
        <w:rPr>
          <w:rFonts w:hint="eastAsia" w:ascii="仿宋" w:hAnsi="仿宋" w:eastAsia="仿宋" w:cs="仿宋"/>
          <w:b w:val="0"/>
          <w:bCs w:val="0"/>
          <w:lang w:val="en-US" w:eastAsia="zh-CN"/>
        </w:rPr>
        <w:t>，并达到甲方满意。爱护甲方财物，不断创新科学洗涤，争取被服的最大使用寿命。</w:t>
      </w:r>
    </w:p>
    <w:p w14:paraId="0D6DA2EC">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乙方负责对甲方参洗被服车接车送，乙方应对甲方参洗被服分类包装，做到统一、整齐、美观。</w:t>
      </w:r>
    </w:p>
    <w:p w14:paraId="3CB32745">
      <w:pPr>
        <w:keepNext w:val="0"/>
        <w:keepLines w:val="0"/>
        <w:pageBreakBefore w:val="0"/>
        <w:widowControl/>
        <w:kinsoku/>
        <w:wordWrap/>
        <w:overflowPunct/>
        <w:topLinePunct w:val="0"/>
        <w:autoSpaceDE/>
        <w:autoSpaceDN/>
        <w:bidi w:val="0"/>
        <w:adjustRightInd/>
        <w:snapToGrid/>
        <w:spacing w:after="0" w:line="360" w:lineRule="auto"/>
        <w:ind w:firstLine="0"/>
        <w:textAlignment w:val="auto"/>
        <w:rPr>
          <w:rFonts w:hint="default" w:ascii="仿宋" w:hAnsi="仿宋" w:eastAsia="仿宋" w:cs="仿宋"/>
          <w:b/>
          <w:bCs/>
          <w:lang w:val="en-US" w:eastAsia="zh-CN"/>
        </w:rPr>
      </w:pPr>
      <w:r>
        <w:rPr>
          <w:rFonts w:hint="eastAsia" w:ascii="仿宋" w:hAnsi="仿宋" w:eastAsia="仿宋" w:cs="仿宋"/>
          <w:b/>
          <w:bCs/>
          <w:lang w:val="en-US" w:eastAsia="zh-CN"/>
        </w:rPr>
        <w:t>第七条  验收标准</w:t>
      </w:r>
    </w:p>
    <w:p w14:paraId="6BA5E419">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 xml:space="preserve">1、乙方提供的洗涤服务应满足国家和行业现行标准和相应的技术规范以及甲方的要求。 </w:t>
      </w:r>
    </w:p>
    <w:p w14:paraId="19370D9F">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2、手术衣物及辅料的折叠应按甲方科室要求规范折叠，并保证洁净度。</w:t>
      </w:r>
    </w:p>
    <w:p w14:paraId="2BDB9B11">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3、乙方按合同要求及质量标准洗涤布类物品，不符合合同要求及质量标准的，乙方收回重新进行洗涤，直到符合合同要求及质量标准。若出现质量考核不满足甲方要求，愿意承担相应的处罚。</w:t>
      </w:r>
    </w:p>
    <w:p w14:paraId="17B84D41">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 xml:space="preserve">4、乙方应保证所提供的洗涤、熨烫、消毒等服务均应按国内通行的现行标准和相应的技术规范执行，这些标准和技术规范应为合同签订日为止最新公布发行的标准和技术规范。 </w:t>
      </w:r>
    </w:p>
    <w:p w14:paraId="4C40820D">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5、乙方应提供的服务需符合现行的国家、行业、地区、企业质量安全标准及要求，标准不一致的，以更为严格的为准，确保服务质量合格。并对提供的服务质量、安全、环保等负全权责任。</w:t>
      </w:r>
    </w:p>
    <w:p w14:paraId="54B56BB9">
      <w:pPr>
        <w:keepNext w:val="0"/>
        <w:keepLines w:val="0"/>
        <w:pageBreakBefore w:val="0"/>
        <w:widowControl/>
        <w:kinsoku/>
        <w:wordWrap/>
        <w:overflowPunct/>
        <w:topLinePunct w:val="0"/>
        <w:autoSpaceDE/>
        <w:autoSpaceDN/>
        <w:bidi w:val="0"/>
        <w:adjustRightInd/>
        <w:snapToGrid/>
        <w:spacing w:after="0" w:line="360" w:lineRule="auto"/>
        <w:textAlignment w:val="auto"/>
        <w:rPr>
          <w:rFonts w:hint="eastAsia" w:ascii="仿宋" w:hAnsi="仿宋" w:eastAsia="仿宋" w:cs="仿宋"/>
          <w:b/>
          <w:bCs/>
          <w:lang w:val="en-US" w:eastAsia="zh-CN"/>
        </w:rPr>
      </w:pPr>
      <w:r>
        <w:rPr>
          <w:rFonts w:hint="eastAsia" w:ascii="仿宋" w:hAnsi="仿宋" w:eastAsia="仿宋" w:cs="仿宋"/>
          <w:b/>
          <w:bCs/>
          <w:lang w:val="en-US" w:eastAsia="zh-CN"/>
        </w:rPr>
        <w:t xml:space="preserve">第八条 合同的补充 </w:t>
      </w:r>
    </w:p>
    <w:p w14:paraId="4911D79C">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本合同未尽事宜，可由甲方部门与乙方协商签订补充合同。</w:t>
      </w:r>
    </w:p>
    <w:p w14:paraId="0684D16F">
      <w:pPr>
        <w:keepNext w:val="0"/>
        <w:keepLines w:val="0"/>
        <w:pageBreakBefore w:val="0"/>
        <w:widowControl/>
        <w:kinsoku/>
        <w:wordWrap/>
        <w:overflowPunct/>
        <w:topLinePunct w:val="0"/>
        <w:autoSpaceDE/>
        <w:autoSpaceDN/>
        <w:bidi w:val="0"/>
        <w:adjustRightInd/>
        <w:snapToGrid/>
        <w:spacing w:after="0" w:line="360" w:lineRule="auto"/>
        <w:ind w:firstLine="0"/>
        <w:textAlignment w:val="auto"/>
        <w:rPr>
          <w:rFonts w:hint="eastAsia" w:ascii="仿宋" w:hAnsi="仿宋" w:eastAsia="仿宋" w:cs="仿宋"/>
          <w:b/>
          <w:bCs/>
          <w:lang w:val="en-US" w:eastAsia="zh-CN"/>
        </w:rPr>
      </w:pPr>
      <w:r>
        <w:rPr>
          <w:rFonts w:hint="eastAsia" w:ascii="仿宋" w:hAnsi="仿宋" w:eastAsia="仿宋" w:cs="仿宋"/>
          <w:b/>
          <w:bCs/>
          <w:lang w:val="en-US" w:eastAsia="zh-CN"/>
        </w:rPr>
        <w:t>第九条  违约责任及合同争议处理</w:t>
      </w:r>
    </w:p>
    <w:p w14:paraId="2344FB42">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 xml:space="preserve">1、违约责任：按《民法典》中的相关条款执行。 </w:t>
      </w:r>
    </w:p>
    <w:p w14:paraId="0187090D">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2、争议的解决：双方应首先通过友好协商解决，如果协商不成，任何一方可向甲方所在地有管辖权的人民法院提起诉讼。</w:t>
      </w:r>
    </w:p>
    <w:p w14:paraId="61862095">
      <w:pPr>
        <w:keepNext w:val="0"/>
        <w:keepLines w:val="0"/>
        <w:pageBreakBefore w:val="0"/>
        <w:widowControl/>
        <w:kinsoku/>
        <w:wordWrap/>
        <w:overflowPunct/>
        <w:topLinePunct w:val="0"/>
        <w:autoSpaceDE/>
        <w:autoSpaceDN/>
        <w:bidi w:val="0"/>
        <w:adjustRightInd/>
        <w:snapToGrid/>
        <w:spacing w:after="0" w:line="360" w:lineRule="auto"/>
        <w:ind w:firstLine="0"/>
        <w:textAlignment w:val="auto"/>
        <w:rPr>
          <w:rFonts w:hint="default" w:ascii="仿宋" w:hAnsi="仿宋" w:eastAsia="仿宋" w:cs="仿宋"/>
          <w:b/>
          <w:bCs/>
          <w:lang w:val="en-US" w:eastAsia="zh-CN"/>
        </w:rPr>
      </w:pPr>
      <w:r>
        <w:rPr>
          <w:rFonts w:hint="eastAsia" w:ascii="仿宋" w:hAnsi="仿宋" w:eastAsia="仿宋" w:cs="仿宋"/>
          <w:b/>
          <w:bCs/>
          <w:lang w:val="en-US" w:eastAsia="zh-CN"/>
        </w:rPr>
        <w:t>第十条 其他</w:t>
      </w:r>
    </w:p>
    <w:p w14:paraId="5E19A58C">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eastAsia="zh-CN"/>
        </w:rPr>
        <w:t>本合同一式</w:t>
      </w:r>
      <w:r>
        <w:rPr>
          <w:rFonts w:hint="eastAsia" w:ascii="仿宋" w:hAnsi="仿宋" w:eastAsia="仿宋" w:cs="仿宋"/>
          <w:b w:val="0"/>
          <w:bCs w:val="0"/>
          <w:u w:val="single"/>
          <w:lang w:val="en-US" w:eastAsia="zh-CN"/>
        </w:rPr>
        <w:t xml:space="preserve">   </w:t>
      </w:r>
      <w:r>
        <w:rPr>
          <w:rFonts w:hint="eastAsia" w:ascii="仿宋" w:hAnsi="仿宋" w:eastAsia="仿宋" w:cs="仿宋"/>
          <w:b w:val="0"/>
          <w:bCs w:val="0"/>
          <w:lang w:val="en-US" w:eastAsia="zh-CN"/>
        </w:rPr>
        <w:t>份，甲方执</w:t>
      </w:r>
      <w:r>
        <w:rPr>
          <w:rFonts w:hint="eastAsia" w:ascii="仿宋" w:hAnsi="仿宋" w:eastAsia="仿宋" w:cs="仿宋"/>
          <w:b w:val="0"/>
          <w:bCs w:val="0"/>
          <w:u w:val="single"/>
          <w:lang w:val="en-US" w:eastAsia="zh-CN"/>
        </w:rPr>
        <w:t xml:space="preserve">   </w:t>
      </w:r>
      <w:r>
        <w:rPr>
          <w:rFonts w:hint="eastAsia" w:ascii="仿宋" w:hAnsi="仿宋" w:eastAsia="仿宋" w:cs="仿宋"/>
          <w:b w:val="0"/>
          <w:bCs w:val="0"/>
          <w:lang w:val="en-US" w:eastAsia="zh-CN"/>
        </w:rPr>
        <w:t>份，乙方执</w:t>
      </w:r>
      <w:r>
        <w:rPr>
          <w:rFonts w:hint="eastAsia" w:ascii="仿宋" w:hAnsi="仿宋" w:eastAsia="仿宋" w:cs="仿宋"/>
          <w:b w:val="0"/>
          <w:bCs w:val="0"/>
          <w:u w:val="single"/>
          <w:lang w:val="en-US" w:eastAsia="zh-CN"/>
        </w:rPr>
        <w:t xml:space="preserve">   </w:t>
      </w:r>
      <w:r>
        <w:rPr>
          <w:rFonts w:hint="eastAsia" w:ascii="仿宋" w:hAnsi="仿宋" w:eastAsia="仿宋" w:cs="仿宋"/>
          <w:b w:val="0"/>
          <w:bCs w:val="0"/>
          <w:lang w:val="en-US" w:eastAsia="zh-CN"/>
        </w:rPr>
        <w:t>份，双方代表盖章签字后即为生效。</w:t>
      </w:r>
    </w:p>
    <w:p w14:paraId="15DD5211">
      <w:pPr>
        <w:keepNext w:val="0"/>
        <w:keepLines w:val="0"/>
        <w:pageBreakBefore w:val="0"/>
        <w:widowControl/>
        <w:kinsoku/>
        <w:wordWrap/>
        <w:overflowPunct/>
        <w:topLinePunct w:val="0"/>
        <w:autoSpaceDE/>
        <w:autoSpaceDN/>
        <w:bidi w:val="0"/>
        <w:adjustRightInd/>
        <w:snapToGrid/>
        <w:spacing w:after="0" w:line="360" w:lineRule="auto"/>
        <w:ind w:firstLine="0"/>
        <w:textAlignment w:val="auto"/>
        <w:rPr>
          <w:rFonts w:hint="eastAsia" w:ascii="仿宋" w:hAnsi="仿宋" w:eastAsia="仿宋" w:cs="仿宋"/>
          <w:b w:val="0"/>
          <w:bCs w:val="0"/>
          <w:lang w:val="en-US" w:eastAsia="zh-CN"/>
        </w:rPr>
      </w:pPr>
    </w:p>
    <w:p w14:paraId="6A53B666">
      <w:pPr>
        <w:keepNext w:val="0"/>
        <w:keepLines w:val="0"/>
        <w:pageBreakBefore w:val="0"/>
        <w:widowControl/>
        <w:kinsoku/>
        <w:wordWrap/>
        <w:overflowPunct/>
        <w:topLinePunct w:val="0"/>
        <w:autoSpaceDE/>
        <w:autoSpaceDN/>
        <w:bidi w:val="0"/>
        <w:adjustRightInd/>
        <w:snapToGrid/>
        <w:spacing w:after="0" w:line="360" w:lineRule="auto"/>
        <w:ind w:firstLine="0"/>
        <w:textAlignment w:val="auto"/>
        <w:rPr>
          <w:rFonts w:hint="eastAsia" w:ascii="仿宋" w:hAnsi="仿宋" w:eastAsia="仿宋" w:cs="仿宋"/>
          <w:b w:val="0"/>
          <w:bCs w:val="0"/>
          <w:lang w:val="en-US" w:eastAsia="zh-CN"/>
        </w:rPr>
      </w:pPr>
    </w:p>
    <w:p w14:paraId="14464272">
      <w:pPr>
        <w:keepNext w:val="0"/>
        <w:keepLines w:val="0"/>
        <w:pageBreakBefore w:val="0"/>
        <w:widowControl/>
        <w:kinsoku/>
        <w:wordWrap/>
        <w:overflowPunct/>
        <w:topLinePunct w:val="0"/>
        <w:autoSpaceDE/>
        <w:autoSpaceDN/>
        <w:bidi w:val="0"/>
        <w:adjustRightInd/>
        <w:snapToGrid/>
        <w:spacing w:after="0" w:line="360" w:lineRule="auto"/>
        <w:ind w:firstLine="0"/>
        <w:textAlignment w:val="auto"/>
        <w:rPr>
          <w:rFonts w:hint="eastAsia" w:ascii="仿宋" w:hAnsi="仿宋" w:eastAsia="仿宋" w:cs="仿宋"/>
          <w:b w:val="0"/>
          <w:bCs w:val="0"/>
          <w:lang w:val="en-US" w:eastAsia="zh-CN"/>
        </w:rPr>
      </w:pPr>
    </w:p>
    <w:p w14:paraId="0CC00AB9">
      <w:pPr>
        <w:keepNext w:val="0"/>
        <w:keepLines w:val="0"/>
        <w:pageBreakBefore w:val="0"/>
        <w:widowControl/>
        <w:kinsoku/>
        <w:wordWrap/>
        <w:overflowPunct/>
        <w:topLinePunct w:val="0"/>
        <w:autoSpaceDE/>
        <w:autoSpaceDN/>
        <w:bidi w:val="0"/>
        <w:adjustRightInd/>
        <w:snapToGrid/>
        <w:spacing w:after="0" w:line="360" w:lineRule="auto"/>
        <w:ind w:firstLine="0"/>
        <w:textAlignment w:val="auto"/>
        <w:rPr>
          <w:rFonts w:hint="eastAsia" w:ascii="仿宋" w:hAnsi="仿宋" w:eastAsia="仿宋" w:cs="仿宋"/>
          <w:b w:val="0"/>
          <w:bCs w:val="0"/>
          <w:lang w:val="en-US"/>
        </w:rPr>
      </w:pPr>
      <w:r>
        <w:rPr>
          <w:rFonts w:hint="eastAsia" w:ascii="仿宋" w:hAnsi="仿宋" w:eastAsia="仿宋" w:cs="仿宋"/>
          <w:b w:val="0"/>
          <w:bCs w:val="0"/>
          <w:lang w:val="en-US"/>
        </w:rPr>
        <w:t>甲方：西安市</w:t>
      </w:r>
      <w:r>
        <w:rPr>
          <w:rFonts w:hint="eastAsia" w:ascii="仿宋" w:hAnsi="仿宋" w:eastAsia="仿宋" w:cs="仿宋"/>
          <w:b w:val="0"/>
          <w:bCs w:val="0"/>
          <w:lang w:val="en-US" w:eastAsia="zh-CN"/>
        </w:rPr>
        <w:t>鄠</w:t>
      </w:r>
      <w:r>
        <w:rPr>
          <w:rFonts w:hint="eastAsia" w:ascii="仿宋" w:hAnsi="仿宋" w:eastAsia="仿宋" w:cs="仿宋"/>
          <w:b w:val="0"/>
          <w:bCs w:val="0"/>
          <w:lang w:val="en-US"/>
        </w:rPr>
        <w:t>邑区中医医院</w:t>
      </w:r>
      <w:r>
        <w:rPr>
          <w:rFonts w:hint="eastAsia" w:ascii="仿宋" w:hAnsi="仿宋" w:eastAsia="仿宋" w:cs="仿宋"/>
          <w:b w:val="0"/>
          <w:bCs w:val="0"/>
          <w:lang w:val="en-US" w:eastAsia="zh-CN"/>
        </w:rPr>
        <w:t xml:space="preserve">（盖章）   </w:t>
      </w:r>
      <w:r>
        <w:rPr>
          <w:rFonts w:hint="eastAsia" w:ascii="仿宋" w:hAnsi="仿宋" w:eastAsia="仿宋" w:cs="仿宋"/>
          <w:b w:val="0"/>
          <w:bCs w:val="0"/>
          <w:lang w:val="en-US"/>
        </w:rPr>
        <w:t>乙方：</w:t>
      </w:r>
      <w:r>
        <w:rPr>
          <w:rFonts w:hint="eastAsia" w:ascii="仿宋" w:hAnsi="仿宋" w:eastAsia="仿宋" w:cs="仿宋"/>
          <w:b w:val="0"/>
          <w:bCs w:val="0"/>
          <w:lang w:val="en-US" w:eastAsia="zh-CN"/>
        </w:rPr>
        <w:t>（盖章）</w:t>
      </w:r>
    </w:p>
    <w:p w14:paraId="75F5F11B">
      <w:pPr>
        <w:keepNext w:val="0"/>
        <w:keepLines w:val="0"/>
        <w:pageBreakBefore w:val="0"/>
        <w:widowControl/>
        <w:kinsoku/>
        <w:wordWrap/>
        <w:overflowPunct/>
        <w:topLinePunct w:val="0"/>
        <w:autoSpaceDE/>
        <w:autoSpaceDN/>
        <w:bidi w:val="0"/>
        <w:adjustRightInd/>
        <w:snapToGrid/>
        <w:spacing w:after="0" w:line="360" w:lineRule="auto"/>
        <w:ind w:firstLine="0"/>
        <w:textAlignment w:val="auto"/>
        <w:rPr>
          <w:rFonts w:hint="eastAsia" w:ascii="仿宋" w:hAnsi="仿宋" w:eastAsia="仿宋" w:cs="仿宋"/>
          <w:b w:val="0"/>
          <w:bCs w:val="0"/>
          <w:lang w:val="en-US"/>
        </w:rPr>
      </w:pPr>
      <w:r>
        <w:rPr>
          <w:rFonts w:hint="eastAsia" w:ascii="仿宋" w:hAnsi="仿宋" w:eastAsia="仿宋" w:cs="仿宋"/>
          <w:b w:val="0"/>
          <w:bCs w:val="0"/>
          <w:lang w:val="en-US"/>
        </w:rPr>
        <w:t>地址：</w:t>
      </w:r>
      <w:r>
        <w:rPr>
          <w:rFonts w:hint="eastAsia" w:ascii="仿宋" w:hAnsi="仿宋" w:eastAsia="仿宋" w:cs="仿宋"/>
          <w:b w:val="0"/>
          <w:bCs w:val="0"/>
          <w:lang w:val="en-US" w:eastAsia="zh-CN"/>
        </w:rPr>
        <w:t xml:space="preserve">西安市鄠邑区吕公东路5189号    </w:t>
      </w:r>
      <w:r>
        <w:rPr>
          <w:rFonts w:hint="eastAsia" w:ascii="仿宋" w:hAnsi="仿宋" w:eastAsia="仿宋" w:cs="仿宋"/>
          <w:b w:val="0"/>
          <w:bCs w:val="0"/>
          <w:lang w:val="en-US"/>
        </w:rPr>
        <w:t>地址：</w:t>
      </w:r>
    </w:p>
    <w:p w14:paraId="7E990076">
      <w:pPr>
        <w:keepNext w:val="0"/>
        <w:keepLines w:val="0"/>
        <w:pageBreakBefore w:val="0"/>
        <w:widowControl/>
        <w:kinsoku/>
        <w:wordWrap/>
        <w:overflowPunct/>
        <w:topLinePunct w:val="0"/>
        <w:autoSpaceDE/>
        <w:autoSpaceDN/>
        <w:bidi w:val="0"/>
        <w:adjustRightInd/>
        <w:snapToGrid/>
        <w:spacing w:after="0" w:line="360" w:lineRule="auto"/>
        <w:ind w:firstLine="0"/>
        <w:textAlignment w:val="auto"/>
        <w:rPr>
          <w:rFonts w:hint="eastAsia" w:ascii="仿宋" w:hAnsi="仿宋" w:eastAsia="仿宋" w:cs="仿宋"/>
          <w:b w:val="0"/>
          <w:bCs w:val="0"/>
          <w:lang w:val="en-US"/>
        </w:rPr>
      </w:pPr>
      <w:r>
        <w:rPr>
          <w:rFonts w:hint="eastAsia" w:ascii="仿宋" w:hAnsi="仿宋" w:eastAsia="仿宋" w:cs="仿宋"/>
          <w:b w:val="0"/>
          <w:bCs w:val="0"/>
          <w:lang w:val="en-US"/>
        </w:rPr>
        <w:t>电话：</w:t>
      </w:r>
      <w:r>
        <w:rPr>
          <w:rFonts w:hint="eastAsia" w:ascii="仿宋" w:hAnsi="仿宋" w:eastAsia="仿宋" w:cs="仿宋"/>
          <w:b w:val="0"/>
          <w:bCs w:val="0"/>
          <w:lang w:val="en-US" w:eastAsia="zh-CN"/>
        </w:rPr>
        <w:t xml:space="preserve">                               </w:t>
      </w:r>
      <w:r>
        <w:rPr>
          <w:rFonts w:hint="eastAsia" w:ascii="仿宋" w:hAnsi="仿宋" w:eastAsia="仿宋" w:cs="仿宋"/>
          <w:b w:val="0"/>
          <w:bCs w:val="0"/>
          <w:lang w:val="en-US"/>
        </w:rPr>
        <w:t>电话：</w:t>
      </w:r>
    </w:p>
    <w:p w14:paraId="56A04345">
      <w:pPr>
        <w:keepNext w:val="0"/>
        <w:keepLines w:val="0"/>
        <w:pageBreakBefore w:val="0"/>
        <w:widowControl/>
        <w:kinsoku/>
        <w:wordWrap/>
        <w:overflowPunct/>
        <w:topLinePunct w:val="0"/>
        <w:autoSpaceDE/>
        <w:autoSpaceDN/>
        <w:bidi w:val="0"/>
        <w:adjustRightInd/>
        <w:snapToGrid/>
        <w:spacing w:after="0" w:line="360" w:lineRule="auto"/>
        <w:ind w:firstLine="0"/>
        <w:textAlignment w:val="auto"/>
        <w:rPr>
          <w:rFonts w:hint="eastAsia" w:ascii="仿宋" w:hAnsi="仿宋" w:eastAsia="仿宋" w:cs="仿宋"/>
          <w:b w:val="0"/>
          <w:bCs w:val="0"/>
          <w:lang w:val="en-US" w:eastAsia="zh-CN"/>
        </w:rPr>
      </w:pPr>
      <w:r>
        <w:rPr>
          <w:rFonts w:hint="eastAsia" w:ascii="仿宋" w:hAnsi="仿宋" w:eastAsia="仿宋" w:cs="仿宋"/>
          <w:b w:val="0"/>
          <w:bCs w:val="0"/>
          <w:lang w:val="en-US"/>
        </w:rPr>
        <w:t xml:space="preserve">代表人（签字）： </w:t>
      </w:r>
      <w:r>
        <w:rPr>
          <w:rFonts w:hint="eastAsia" w:ascii="仿宋" w:hAnsi="仿宋" w:eastAsia="仿宋" w:cs="仿宋"/>
          <w:b w:val="0"/>
          <w:bCs w:val="0"/>
          <w:lang w:val="en-US" w:eastAsia="zh-CN"/>
        </w:rPr>
        <w:t xml:space="preserve">                    </w:t>
      </w:r>
      <w:r>
        <w:rPr>
          <w:rFonts w:hint="eastAsia" w:ascii="仿宋" w:hAnsi="仿宋" w:eastAsia="仿宋" w:cs="仿宋"/>
          <w:b w:val="0"/>
          <w:bCs w:val="0"/>
          <w:lang w:val="en-US"/>
        </w:rPr>
        <w:t>代表人（签字）</w:t>
      </w:r>
      <w:r>
        <w:rPr>
          <w:rFonts w:hint="eastAsia" w:ascii="仿宋" w:hAnsi="仿宋" w:eastAsia="仿宋" w:cs="仿宋"/>
          <w:b w:val="0"/>
          <w:bCs w:val="0"/>
          <w:lang w:val="en-US" w:eastAsia="zh-CN"/>
        </w:rPr>
        <w:t>：</w:t>
      </w:r>
    </w:p>
    <w:p w14:paraId="20381DC7">
      <w:r>
        <w:rPr>
          <w:rFonts w:hint="eastAsia" w:ascii="仿宋" w:hAnsi="仿宋" w:eastAsia="仿宋" w:cs="仿宋"/>
          <w:b w:val="0"/>
          <w:bCs w:val="0"/>
          <w:lang w:val="en-US"/>
        </w:rPr>
        <w:t>日期：</w:t>
      </w:r>
      <w:r>
        <w:rPr>
          <w:rFonts w:hint="eastAsia" w:ascii="仿宋" w:hAnsi="仿宋" w:eastAsia="仿宋" w:cs="仿宋"/>
          <w:b w:val="0"/>
          <w:bCs w:val="0"/>
          <w:lang w:val="en-US" w:eastAsia="zh-CN"/>
        </w:rPr>
        <w:t xml:space="preserve">                               </w:t>
      </w:r>
      <w:r>
        <w:rPr>
          <w:rFonts w:hint="eastAsia" w:ascii="仿宋" w:hAnsi="仿宋" w:eastAsia="仿宋" w:cs="仿宋"/>
          <w:b w:val="0"/>
          <w:bCs w:val="0"/>
          <w:lang w:val="en-US"/>
        </w:rPr>
        <w:t>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DA4159"/>
    <w:rsid w:val="0246755A"/>
    <w:rsid w:val="081B105B"/>
    <w:rsid w:val="0B8C7F52"/>
    <w:rsid w:val="0FA1450C"/>
    <w:rsid w:val="13C9604B"/>
    <w:rsid w:val="14BA7E1E"/>
    <w:rsid w:val="14DE42F8"/>
    <w:rsid w:val="18B74E99"/>
    <w:rsid w:val="1DF878EE"/>
    <w:rsid w:val="20BA6C30"/>
    <w:rsid w:val="2B57439E"/>
    <w:rsid w:val="32DA4159"/>
    <w:rsid w:val="34B47F66"/>
    <w:rsid w:val="35CB1A33"/>
    <w:rsid w:val="39CD1440"/>
    <w:rsid w:val="3B4D6458"/>
    <w:rsid w:val="3E3B12E7"/>
    <w:rsid w:val="471C5CA5"/>
    <w:rsid w:val="485568CA"/>
    <w:rsid w:val="48AD0A60"/>
    <w:rsid w:val="51B53A19"/>
    <w:rsid w:val="5888456F"/>
    <w:rsid w:val="58B77D99"/>
    <w:rsid w:val="5FC34C80"/>
    <w:rsid w:val="669435F8"/>
    <w:rsid w:val="76874D1D"/>
    <w:rsid w:val="7891739A"/>
    <w:rsid w:val="79CE3466"/>
    <w:rsid w:val="7B8C46C1"/>
    <w:rsid w:val="7C5C7201"/>
    <w:rsid w:val="7E6573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afterAutospacing="0"/>
    </w:pPr>
  </w:style>
  <w:style w:type="paragraph" w:styleId="4">
    <w:name w:val="Plain Text"/>
    <w:basedOn w:val="1"/>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Body Text First Indent"/>
    <w:basedOn w:val="3"/>
    <w:qFormat/>
    <w:uiPriority w:val="0"/>
    <w:pPr>
      <w:ind w:firstLine="420" w:firstLineChars="100"/>
    </w:pPr>
  </w:style>
  <w:style w:type="table" w:styleId="9">
    <w:name w:val="Table Grid"/>
    <w:basedOn w:val="8"/>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Table Text"/>
    <w:basedOn w:val="1"/>
    <w:semiHidden/>
    <w:qFormat/>
    <w:uiPriority w:val="0"/>
    <w:rPr>
      <w:rFonts w:ascii="宋体" w:hAnsi="宋体" w:eastAsia="宋体" w:cs="宋体"/>
      <w:sz w:val="19"/>
      <w:szCs w:val="19"/>
      <w:lang w:val="en-US" w:eastAsia="en-US" w:bidi="ar-SA"/>
    </w:r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3662</Words>
  <Characters>3723</Characters>
  <Lines>0</Lines>
  <Paragraphs>0</Paragraphs>
  <TotalTime>2</TotalTime>
  <ScaleCrop>false</ScaleCrop>
  <LinksUpToDate>false</LinksUpToDate>
  <CharactersWithSpaces>3895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2025-06-09T09:26:00Z</dcterms:created>
  <dc:creator>1</dc:creator>
  <cp:lastModifiedBy>Jorva</cp:lastModifiedBy>
  <dcterms:modified xsi:type="dcterms:W3CDTF">2026-06-25T02:37:42Z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D22FDB40D1E14126B2DB99841F7A9D17_13</vt:lpwstr>
  </property>
  <property fmtid="{D5CDD505-2E9C-101B-9397-08002B2CF9AE}" pid="4" name="KSOTemplateDocerSaveRecord">
    <vt:lpwstr>eyJoZGlkIjoiYzc3ODQ1MzE1OGZjNzcwNzc3YmIwNjMxNjMwODEyNjciLCJ1c2VySWQiOiI2NDA5NzM0MDYifQ==</vt:lpwstr>
  </property>
</Properties>
</file>