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178FDA">
      <w:pPr>
        <w:pStyle w:val="4"/>
      </w:pPr>
      <w:r>
        <w:rPr>
          <w:rFonts w:ascii="仿宋_GB2312" w:hAnsi="仿宋_GB2312" w:eastAsia="仿宋_GB2312" w:cs="仿宋_GB2312"/>
        </w:rPr>
        <w:t>标的名称：统计实验室项目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871"/>
        <w:gridCol w:w="8242"/>
      </w:tblGrid>
      <w:tr w14:paraId="14D2ED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3EB4853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871" w:type="dxa"/>
          </w:tcPr>
          <w:p w14:paraId="7F9426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8242" w:type="dxa"/>
          </w:tcPr>
          <w:p w14:paraId="5DF456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D76E8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67F76D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71" w:type="dxa"/>
          </w:tcPr>
          <w:p w14:paraId="0D272A2E"/>
        </w:tc>
        <w:tc>
          <w:tcPr>
            <w:tcW w:w="8242" w:type="dxa"/>
          </w:tcPr>
          <w:p w14:paraId="5EF10C6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一、教育教学管理系统（1套）（核心产品）</w:t>
            </w:r>
          </w:p>
          <w:p w14:paraId="7D1F5FC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1、支持监控视图，监控视图页面提供客户端画面监控缩略图，能够显示整个班级学生，并支持缩略图多级放大缩小。</w:t>
            </w:r>
          </w:p>
          <w:p w14:paraId="4F23B9F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2、管理51个终端，提供授权。</w:t>
            </w:r>
          </w:p>
          <w:p w14:paraId="311B719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3、全面支持主流兼容虚拟机。</w:t>
            </w:r>
          </w:p>
          <w:p w14:paraId="0B5E7D9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4、屏幕广播：将教师机屏幕和教师讲话实时广播给单一、部分或全体学生，可选择全屏或窗口方式。支持教师选定本机的全屏画面或者屏幕的任意区域画面广播给单一、部分或全体学生，支持窗口接收。</w:t>
            </w:r>
          </w:p>
          <w:p w14:paraId="5B9B2F9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5、学生演示：教师选定一台学生机作为示范，由此学生代替教师进行示范教学。</w:t>
            </w:r>
          </w:p>
          <w:p w14:paraId="676095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6、支持文件分发和文件收集功能；支持拖拽添加文件，可限制学生提交文件的数目和大小。</w:t>
            </w:r>
          </w:p>
          <w:p w14:paraId="773997D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7、屏幕监视：教师机可以监视单一、部分、全体学生机的屏幕，教师机每屏可监视多个学生屏幕。可以控制教师机监控的同屏幕各窗口间、屏幕与屏幕间的切换速度。可手动或自动循环监视。</w:t>
            </w:r>
          </w:p>
          <w:p w14:paraId="4995A67B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8、适配统计学实验教学，支持现有统计软件（SPSS、R、STAT、PYTHON）的运行、支持师生互动、实验任务布置与批改、实验数据同步，兼容智慧黑板及校园教学管理系统。</w:t>
            </w:r>
          </w:p>
        </w:tc>
      </w:tr>
      <w:tr w14:paraId="09341A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745787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871" w:type="dxa"/>
          </w:tcPr>
          <w:p w14:paraId="50FB4062"/>
        </w:tc>
        <w:tc>
          <w:tcPr>
            <w:tcW w:w="8242" w:type="dxa"/>
          </w:tcPr>
          <w:p w14:paraId="70994DB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▲二、教师终端1台，配置：CPU≥20核，主频数≥2.1GHZ；内存：≥32G DDR4；独立显卡：显存≥8GB；硬盘：≥1TB 固态硬盘，支持机械硬盘扩展；显示器：显示屏尺寸≥23英寸（1920*1080，VGA+HDMI接口≥1，USB接口≥4）</w:t>
            </w:r>
          </w:p>
        </w:tc>
      </w:tr>
      <w:tr w14:paraId="012DF1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42F90B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871" w:type="dxa"/>
          </w:tcPr>
          <w:p w14:paraId="23418AFA"/>
        </w:tc>
        <w:tc>
          <w:tcPr>
            <w:tcW w:w="8242" w:type="dxa"/>
          </w:tcPr>
          <w:p w14:paraId="0099629C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▲三、学生终端50台，配置：CPU≥20核，主频数≥2.1GHz；内存：≥32G DDR4；独立显卡：显存≥4GB；硬盘：≥512GB 固态硬盘，支持机械硬盘扩展；显示器：显示屏尺寸≥23英寸（1920*1080，VGA+HDMI接口≥1，USB接口≥4）；标配键鼠。</w:t>
            </w:r>
          </w:p>
        </w:tc>
      </w:tr>
      <w:tr w14:paraId="2D7B8E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244B82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871" w:type="dxa"/>
          </w:tcPr>
          <w:p w14:paraId="5E4B61E1"/>
        </w:tc>
        <w:tc>
          <w:tcPr>
            <w:tcW w:w="8242" w:type="dxa"/>
          </w:tcPr>
          <w:p w14:paraId="033B47C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▲四、输出终端1台，A4，彩色，激光，打印速度≥35ppm。打印分辨率1200×1200dpi</w:t>
            </w:r>
          </w:p>
        </w:tc>
      </w:tr>
      <w:tr w14:paraId="09F89B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35707B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871" w:type="dxa"/>
          </w:tcPr>
          <w:p w14:paraId="6FAB1B38"/>
        </w:tc>
        <w:tc>
          <w:tcPr>
            <w:tcW w:w="8242" w:type="dxa"/>
          </w:tcPr>
          <w:p w14:paraId="39DE6D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▲五、控温装置2台：</w:t>
            </w:r>
          </w:p>
          <w:p w14:paraId="60B7AD1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类型：立式；变频</w:t>
            </w:r>
          </w:p>
          <w:p w14:paraId="727FEE8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制冷量：≥7300W；</w:t>
            </w:r>
          </w:p>
          <w:p w14:paraId="6317827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制热量：≥10000W；</w:t>
            </w:r>
          </w:p>
          <w:p w14:paraId="385FAF93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能效等级：Ⅰ级；</w:t>
            </w:r>
          </w:p>
          <w:p w14:paraId="432422D8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含安装。</w:t>
            </w:r>
          </w:p>
        </w:tc>
      </w:tr>
      <w:tr w14:paraId="1C47C1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2BE3CD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871" w:type="dxa"/>
          </w:tcPr>
          <w:p w14:paraId="4AE002F8"/>
        </w:tc>
        <w:tc>
          <w:tcPr>
            <w:tcW w:w="8242" w:type="dxa"/>
          </w:tcPr>
          <w:p w14:paraId="09042CA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▲六、控温装置1台：</w:t>
            </w:r>
          </w:p>
          <w:p w14:paraId="761A1B8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类型：挂式；变频</w:t>
            </w:r>
          </w:p>
          <w:p w14:paraId="0C65782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制冷量：≥4600W；</w:t>
            </w:r>
          </w:p>
          <w:p w14:paraId="425386D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制热量：≥6300W；</w:t>
            </w:r>
          </w:p>
          <w:p w14:paraId="08B4FFCC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能效等级：Ⅰ级；</w:t>
            </w:r>
          </w:p>
          <w:p w14:paraId="349AD42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含安装。</w:t>
            </w:r>
          </w:p>
        </w:tc>
      </w:tr>
      <w:tr w14:paraId="37D420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2D07891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871" w:type="dxa"/>
          </w:tcPr>
          <w:p w14:paraId="45B482A9"/>
        </w:tc>
        <w:tc>
          <w:tcPr>
            <w:tcW w:w="8242" w:type="dxa"/>
          </w:tcPr>
          <w:p w14:paraId="7B9E285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七、教师桌椅（1套）</w:t>
            </w:r>
          </w:p>
          <w:p w14:paraId="66FE908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1、桌子，采用钢木结构。规格尺寸：W1400*D700*750mm，台面板材料厚度≥25mm，桌挡板、活动柜、主机托材料厚度≥16mm，材料采用E</w:t>
            </w:r>
            <w:r>
              <w:rPr>
                <w:rFonts w:ascii="仿宋_GB2312" w:hAnsi="仿宋_GB2312" w:eastAsia="仿宋_GB2312" w:cs="仿宋_GB2312"/>
                <w:sz w:val="24"/>
                <w:vertAlign w:val="subscript"/>
              </w:rPr>
              <w:t>0</w:t>
            </w:r>
            <w:r>
              <w:rPr>
                <w:rFonts w:ascii="仿宋_GB2312" w:hAnsi="仿宋_GB2312" w:eastAsia="仿宋_GB2312" w:cs="仿宋_GB2312"/>
                <w:sz w:val="24"/>
              </w:rPr>
              <w:t>级双饰面刨花板，封边采用厚度≥1.0mm，PVC封边条，激光或PUR封边工艺；桌架采用壁厚≥1.5mm钢制型材，钢网片厚度≥0.8mm，钢制工件表面除油、磷化处理后喷塑，四脚有耐磨防滑脚垫，厚度≥3mm。整体满足GB/T 3325-2024 金属家具通用技术条件标准要求，材料满足GB/T 15102-2017 浸渍胶膜纸饰面纤维板和刨花板，QB/T 4463-2025家具用封边条标准要求。</w:t>
            </w:r>
          </w:p>
          <w:p w14:paraId="1C94ADB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椅子，规格尺寸：规格尺寸W550*D560*H450/900mm，承重≥150kg；椅架采用钢制型材，断面尺寸≥50*25mm,壁厚≥1.5mm,横梁、连接杆采用40*20*1.2mm钢制型材，表面电镀工艺；椅背面料高弹透气网布，黑色条纹网格纹理；座面面料加厚网布或耐磨PU皮，厚度≥1.0mm,填充高弹海绵，海绵密度≥40kg/m³，厚度≥50mm,垫板采用厚度≥12mmE</w:t>
            </w:r>
            <w:r>
              <w:rPr>
                <w:rFonts w:ascii="仿宋_GB2312" w:hAnsi="仿宋_GB2312" w:eastAsia="仿宋_GB2312" w:cs="仿宋_GB2312"/>
                <w:sz w:val="24"/>
                <w:vertAlign w:val="subscript"/>
              </w:rPr>
              <w:t>0</w:t>
            </w:r>
            <w:r>
              <w:rPr>
                <w:rFonts w:ascii="仿宋_GB2312" w:hAnsi="仿宋_GB2312" w:eastAsia="仿宋_GB2312" w:cs="仿宋_GB2312"/>
                <w:sz w:val="24"/>
              </w:rPr>
              <w:t>级胶合板。有扶手，和椅架一体成型工艺，扶手表面有塑料盖板。整体满足GB/T 2280-2016 办公家具 办公椅标准要求。</w:t>
            </w:r>
          </w:p>
          <w:p w14:paraId="708155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3、五金：优质品牌五金件。桌面配35mm塑料穿线孔套，铝合金拉手，桌子配悬挂式ABS材质键盘架，家具锁，缓冲暗铰链和导轨，可制动主机托脚轮，脚轮直径≥48mm，满足QB/T 4765-2014 家具用脚轮，QB/T 1621-2015 家具锁，QB/T 2189-2013 家具五金 杯状暗铰链，QB/T 2454-2013 家具五金 抽屉导轨标准要求。</w:t>
            </w:r>
          </w:p>
          <w:p w14:paraId="7916525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示意图</w:t>
            </w:r>
          </w:p>
          <w:p w14:paraId="1DBDF0BC">
            <w:pPr>
              <w:pStyle w:val="4"/>
              <w:jc w:val="both"/>
            </w:pPr>
            <w:r>
              <w:drawing>
                <wp:inline distT="0" distB="0" distL="0" distR="0">
                  <wp:extent cx="1621155" cy="1621155"/>
                  <wp:effectExtent l="0" t="0" r="17145" b="17145"/>
                  <wp:docPr id="1" name="Drawing 1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162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F62DF0">
            <w:pPr>
              <w:pStyle w:val="4"/>
              <w:jc w:val="both"/>
            </w:pPr>
            <w:r>
              <w:drawing>
                <wp:inline distT="0" distB="0" distL="0" distR="0">
                  <wp:extent cx="1621155" cy="1196975"/>
                  <wp:effectExtent l="0" t="0" r="17145" b="3175"/>
                  <wp:docPr id="2" name="Drawing 2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rawing 2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119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3FF81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0F3D08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871" w:type="dxa"/>
          </w:tcPr>
          <w:p w14:paraId="338017AA"/>
        </w:tc>
        <w:tc>
          <w:tcPr>
            <w:tcW w:w="8242" w:type="dxa"/>
          </w:tcPr>
          <w:p w14:paraId="1D6E951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八、学生桌凳（25套）</w:t>
            </w:r>
          </w:p>
          <w:p w14:paraId="175CFA1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1、桌子，钢木结构，规格尺寸W1200*D600*H750mm，台面板材料厚度≥25mm，桌挡板、主机柜材料厚度≥16mm，材料采用E</w:t>
            </w:r>
            <w:r>
              <w:rPr>
                <w:rFonts w:ascii="仿宋_GB2312" w:hAnsi="仿宋_GB2312" w:eastAsia="仿宋_GB2312" w:cs="仿宋_GB2312"/>
                <w:sz w:val="24"/>
                <w:vertAlign w:val="subscript"/>
              </w:rPr>
              <w:t>0</w:t>
            </w:r>
            <w:r>
              <w:rPr>
                <w:rFonts w:ascii="仿宋_GB2312" w:hAnsi="仿宋_GB2312" w:eastAsia="仿宋_GB2312" w:cs="仿宋_GB2312"/>
                <w:sz w:val="24"/>
              </w:rPr>
              <w:t>级双饰面刨花板，封边采用厚度≥1.0mm，PVC封边条，激光或PUR封边工艺；桌架采用壁厚≥1.5mm钢制型材，钢制工件表面除油、磷化处理后喷塑，四脚有耐磨防滑脚垫，厚度≥3mm。</w:t>
            </w:r>
          </w:p>
          <w:p w14:paraId="1BE8534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2、方凳，钢木结构，规格尺寸W350*D250*H450mm，凳面采用厚度≥25mmE</w:t>
            </w:r>
            <w:r>
              <w:rPr>
                <w:rFonts w:ascii="仿宋_GB2312" w:hAnsi="仿宋_GB2312" w:eastAsia="仿宋_GB2312" w:cs="仿宋_GB2312"/>
                <w:sz w:val="24"/>
                <w:vertAlign w:val="subscript"/>
              </w:rPr>
              <w:t>0</w:t>
            </w:r>
            <w:r>
              <w:rPr>
                <w:rFonts w:ascii="仿宋_GB2312" w:hAnsi="仿宋_GB2312" w:eastAsia="仿宋_GB2312" w:cs="仿宋_GB2312"/>
                <w:sz w:val="24"/>
              </w:rPr>
              <w:t>级双饰面刨花板，封边采用厚度≥1.0mm，PVC封边条，激光或PUR封边工艺；凳架采用壁厚≥1.5钢制型材焊接而成，钢制工件表面除油、磷化处理后喷塑，四脚有耐磨防滑脚垫，厚度≥3mm。</w:t>
            </w:r>
          </w:p>
          <w:p w14:paraId="25405D2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3、优质品牌防锈五金件，桌面配35mm塑料穿线孔套。</w:t>
            </w:r>
          </w:p>
          <w:p w14:paraId="589332B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示意图</w:t>
            </w:r>
          </w:p>
          <w:p w14:paraId="2B0E0765">
            <w:pPr>
              <w:pStyle w:val="4"/>
              <w:jc w:val="both"/>
            </w:pPr>
            <w:r>
              <w:drawing>
                <wp:inline distT="0" distB="0" distL="0" distR="0">
                  <wp:extent cx="1621155" cy="1329690"/>
                  <wp:effectExtent l="0" t="0" r="17145" b="3810"/>
                  <wp:docPr id="3" name="Drawing 3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rawing 3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1330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6EDCB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5531AE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871" w:type="dxa"/>
          </w:tcPr>
          <w:p w14:paraId="6F4BD1A5"/>
        </w:tc>
        <w:tc>
          <w:tcPr>
            <w:tcW w:w="8242" w:type="dxa"/>
          </w:tcPr>
          <w:p w14:paraId="6B7C731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九、智慧黑板（1套）</w:t>
            </w:r>
          </w:p>
          <w:p w14:paraId="4A5F115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1、整机采用全金属外壳，三拼接平面一体化设计；整体外观尺寸：宽≥4200mm，高≥1200mm。</w:t>
            </w:r>
          </w:p>
          <w:p w14:paraId="3E5CA5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2、整机两侧副屏可支持以下媒介（普通粉笔、液体粉笔）进行板书书写。副屏支持磁吸附功能。</w:t>
            </w:r>
          </w:p>
          <w:p w14:paraId="20B2EFB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、智能语音助手：整机内置语音助手，通过整机麦克风及智能笔以唤醒词调起语音助手，支持语音交互的方式调节整机音量、亮度，语音操控打开系统已安装应用如：教学白板、浏览器、计算器、画板，语音搜索指定网页内容，支持选择网页中的视频进行播放或暂停。</w:t>
            </w:r>
          </w:p>
          <w:p w14:paraId="4F3B75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4、设备内置双WiFi6无线网卡，支持有线及无线网络连接，在主流系统下，可实现Wi-Fi无线上网连接、AP无线热点发射，支持蓝牙Bluetooth 5.4或以上标准。</w:t>
            </w:r>
          </w:p>
          <w:p w14:paraId="448AD36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5、支持智能手机与整机无需在同一局域网内，可实现配对，一键投屏。</w:t>
            </w:r>
          </w:p>
          <w:p w14:paraId="2C8E3D3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▲6、整机采用≥12核国产化嵌入式芯片，整机嵌入式系统CPU≥8核，主频≥1.6GHz，内存≥2GB，DDR最大速率≥2666MT/S，存储空间≥32GB。</w:t>
            </w:r>
          </w:p>
          <w:p w14:paraId="6DF3156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▲7、主屏屏幕≥86英寸液晶显示器；显示分辨率≥3840x2160，可视角度≥178°。</w:t>
            </w:r>
          </w:p>
          <w:p w14:paraId="4608DED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▲8、设备书写触控延迟≤25ms，触摸响应≤4ms。</w:t>
            </w:r>
          </w:p>
          <w:p w14:paraId="67EE5F0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▲9、端口：电源开关≥1个；USB3.0接口≥3个；HDMI接口≥2个。</w:t>
            </w:r>
          </w:p>
        </w:tc>
      </w:tr>
      <w:tr w14:paraId="7116FD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2DBA9B8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871" w:type="dxa"/>
          </w:tcPr>
          <w:p w14:paraId="639B4761"/>
        </w:tc>
        <w:tc>
          <w:tcPr>
            <w:tcW w:w="8242" w:type="dxa"/>
          </w:tcPr>
          <w:p w14:paraId="2663B5D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十、交换机（3台）</w:t>
            </w:r>
          </w:p>
          <w:p w14:paraId="5DD20A5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▲1、性能：交换容量≥50Gbps；转发性能≥38Mpps；</w:t>
            </w:r>
          </w:p>
          <w:p w14:paraId="2798B10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▲2、千兆POE 电口≥24 个，千兆 SFP 光口 ≥2 个；</w:t>
            </w:r>
          </w:p>
          <w:p w14:paraId="46DA2507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3、适配校园网络，支持远程管理。</w:t>
            </w:r>
          </w:p>
        </w:tc>
      </w:tr>
      <w:tr w14:paraId="47091C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30A7147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871" w:type="dxa"/>
          </w:tcPr>
          <w:p w14:paraId="7E0C54DC"/>
        </w:tc>
        <w:tc>
          <w:tcPr>
            <w:tcW w:w="8242" w:type="dxa"/>
          </w:tcPr>
          <w:p w14:paraId="78C65E7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十一、机柜（1台）</w:t>
            </w:r>
          </w:p>
          <w:p w14:paraId="62E08A8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1、≥22U 专用服务器机柜；</w:t>
            </w:r>
          </w:p>
          <w:p w14:paraId="67315E9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2、采用优质冷扎钢板制作，整体框架结构设计；</w:t>
            </w:r>
          </w:p>
          <w:p w14:paraId="09EB379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3、机柜立柱厚度≥2.0mm，其余部分钢板厚度≥1.2mm；静载500KG以上。</w:t>
            </w:r>
          </w:p>
        </w:tc>
      </w:tr>
      <w:tr w14:paraId="5D6475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" w:type="dxa"/>
          </w:tcPr>
          <w:p w14:paraId="650789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</w:t>
            </w:r>
          </w:p>
        </w:tc>
        <w:tc>
          <w:tcPr>
            <w:tcW w:w="871" w:type="dxa"/>
          </w:tcPr>
          <w:p w14:paraId="732EE781"/>
        </w:tc>
        <w:tc>
          <w:tcPr>
            <w:tcW w:w="8242" w:type="dxa"/>
          </w:tcPr>
          <w:p w14:paraId="28FB2C1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十二、实验室环境改造（1项）</w:t>
            </w:r>
          </w:p>
          <w:p w14:paraId="05064C1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1、地面：全钢无边防静电活动地板≥100平方米；基材：优质合金冷轧钢板，经拉伸后点焊成形，内腔填充发泡水泥填料；贴面材料：采用高耐磨三聚氰胺HPL防火板或PVC贴面，厚度≥1.2mm；表面电阻：1×10⁶ Ω ～ 1×10⁹ Ω（静电耗散型）；系统电阻：2.5×10⁴ Ω ～ 1.0×10⁹ Ω（符合GB50174规范）；防火性能：燃烧性能达到B1级或以上；接地要求：地板铺设后必须进行防静电接地处理，铺设铜箔网格或铜排，连接至等电位接地母排，接地电阻＜4Ω。</w:t>
            </w:r>
          </w:p>
          <w:p w14:paraId="193ED85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2、顶面及墙面乳胶漆美化处理， ≥260平方米；执行标准：产品需符合GB/T 9756—2024《合成树脂乳液内墙涂料》和GB 18582—2020《建筑用墙面涂料中有害物质限量》；产品等级：不低于一等品（耐洗刷性≥1500次）；甲醛含量：≤ 50 mg/kg（或≤0.05 g/kg）；可溶性重金属含量（铅、镉、铬、汞）：符合国家标准。</w:t>
            </w:r>
          </w:p>
          <w:p w14:paraId="05C26A6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3、照明：≥10套LED灯，功率：≥ 48W/套；单套灯具光通量：≥ 4000 流明（lm）；机房地面0.8米高处照度：≥ 500 LUX（符合乙级标准）；灯珠类型：采用高光效SMD 2835或3030灯珠，光效≥100 lm/W。</w:t>
            </w:r>
          </w:p>
          <w:p w14:paraId="0EBA5A6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4、插座：墙面≥4个5孔普通插座（10A/220V）；台式电脑配置≥100个5孔普通插座（10A/220V）； 配置空调专用插座≥3个（25A/220V）；所有三孔插座均需布设接地线；</w:t>
            </w:r>
          </w:p>
          <w:p w14:paraId="11F5FC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5、窗帘：≥5套；尺寸：需根据实际窗户大小定制；材质：采用高密度涤纶遮光布（加厚型）或棉麻混纺遮光布；厚度：布料克重≥ 300g/㎡（加厚型），厚度≤0.8mm。</w:t>
            </w:r>
          </w:p>
          <w:p w14:paraId="5A7D944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6、强弱电改造：超六类非屏蔽网线，支持千兆传输，抗干扰，符合国家通信标准。（5箱）、BVR4/4平方（100 米 6 卷）、BVR1.5/1.5 平方（100 米 6 卷）六类水晶头（2 盒）等。</w:t>
            </w:r>
          </w:p>
          <w:p w14:paraId="2A7AFFC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7、电路改造，及原有设备桌椅拆除清运等。</w:t>
            </w:r>
          </w:p>
        </w:tc>
      </w:tr>
    </w:tbl>
    <w:p w14:paraId="0CF1FFE8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F2E6A05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8754</Words>
  <Characters>9290</Characters>
  <Lines>0</Lines>
  <Paragraphs>0</Paragraphs>
  <TotalTime>0</TotalTime>
  <ScaleCrop>false</ScaleCrop>
  <LinksUpToDate>false</LinksUpToDate>
  <CharactersWithSpaces>9378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2026-08-26T04:59:07Z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0D6CEFB4B117430B85B05454CC89F9DA_12</vt:lpwstr>
  </property>
</Properties>
</file>