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28243">
      <w:pPr>
        <w:jc w:val="cente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2026年周至县道路清扫保洁、垃圾清运、绿化养护、公厕管护市场化运作项目合同</w:t>
      </w:r>
    </w:p>
    <w:p w14:paraId="38EE274A">
      <w:pPr>
        <w:jc w:val="center"/>
        <w:rPr>
          <w:rFonts w:hint="eastAsia" w:asciiTheme="majorEastAsia" w:hAnsiTheme="majorEastAsia" w:eastAsiaTheme="majorEastAsia" w:cstheme="majorEastAsia"/>
          <w:sz w:val="32"/>
          <w:szCs w:val="32"/>
          <w:lang w:eastAsia="zh-CN"/>
        </w:rPr>
      </w:pPr>
      <w:r>
        <w:rPr>
          <w:rFonts w:hint="eastAsia" w:asciiTheme="majorEastAsia" w:hAnsiTheme="majorEastAsia" w:eastAsiaTheme="majorEastAsia" w:cstheme="majorEastAsia"/>
          <w:sz w:val="32"/>
          <w:szCs w:val="32"/>
          <w:lang w:eastAsia="zh-CN"/>
        </w:rPr>
        <w:t>（</w:t>
      </w:r>
      <w:r>
        <w:rPr>
          <w:rFonts w:hint="eastAsia" w:asciiTheme="majorEastAsia" w:hAnsiTheme="majorEastAsia" w:eastAsiaTheme="majorEastAsia" w:cstheme="majorEastAsia"/>
          <w:sz w:val="32"/>
          <w:szCs w:val="32"/>
          <w:lang w:val="en-US" w:eastAsia="zh-CN"/>
        </w:rPr>
        <w:t>合同模版，具体以甲方签订为准</w:t>
      </w:r>
      <w:r>
        <w:rPr>
          <w:rFonts w:hint="eastAsia" w:asciiTheme="majorEastAsia" w:hAnsiTheme="majorEastAsia" w:eastAsiaTheme="majorEastAsia" w:cstheme="majorEastAsia"/>
          <w:sz w:val="32"/>
          <w:szCs w:val="32"/>
          <w:lang w:eastAsia="zh-CN"/>
        </w:rPr>
        <w:t>）</w:t>
      </w:r>
    </w:p>
    <w:p w14:paraId="5C38F95A">
      <w:pPr>
        <w:jc w:val="cente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w:t>
      </w:r>
      <w:r>
        <w:rPr>
          <w:rFonts w:hint="eastAsia" w:asciiTheme="majorEastAsia" w:hAnsiTheme="majorEastAsia" w:eastAsiaTheme="majorEastAsia" w:cstheme="majorEastAsia"/>
          <w:sz w:val="32"/>
          <w:szCs w:val="32"/>
          <w:lang w:val="en-US" w:eastAsia="zh-CN"/>
        </w:rPr>
        <w:t>一至三包合同模版</w:t>
      </w:r>
      <w:r>
        <w:rPr>
          <w:rFonts w:hint="eastAsia" w:asciiTheme="majorEastAsia" w:hAnsiTheme="majorEastAsia" w:eastAsiaTheme="majorEastAsia" w:cstheme="majorEastAsia"/>
          <w:sz w:val="32"/>
          <w:szCs w:val="32"/>
        </w:rPr>
        <w:t>）</w:t>
      </w:r>
    </w:p>
    <w:p w14:paraId="6E1F6936">
      <w:pPr>
        <w:rPr>
          <w:rFonts w:hint="eastAsia" w:asciiTheme="majorEastAsia" w:hAnsiTheme="majorEastAsia" w:eastAsiaTheme="majorEastAsia" w:cstheme="majorEastAsia"/>
          <w:sz w:val="28"/>
          <w:szCs w:val="28"/>
        </w:rPr>
      </w:pPr>
    </w:p>
    <w:p w14:paraId="15F5F42D">
      <w:pPr>
        <w:spacing w:line="540" w:lineRule="exact"/>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 xml:space="preserve">甲方（招标人）：周至县城市管理和综合执法局 </w:t>
      </w:r>
    </w:p>
    <w:p w14:paraId="0301C272">
      <w:pPr>
        <w:spacing w:line="540" w:lineRule="exact"/>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乙方（中标人）：</w:t>
      </w:r>
    </w:p>
    <w:p w14:paraId="6B44CCB8">
      <w:pPr>
        <w:spacing w:line="540" w:lineRule="exact"/>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签定地点：周至县城市管理和综合执法局</w:t>
      </w:r>
    </w:p>
    <w:p w14:paraId="18AADA3C">
      <w:pPr>
        <w:spacing w:line="540" w:lineRule="exact"/>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 xml:space="preserve">签定日期：    年  月  日 </w:t>
      </w:r>
    </w:p>
    <w:p w14:paraId="742AA40E">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根据招标采购的招标结果，乙方为本项目中标人，现依据《民法典》及依照招标文件、投标文件，结合项目实际，经双方协商，达成如下协议：</w:t>
      </w:r>
    </w:p>
    <w:p w14:paraId="110D1BF0">
      <w:pPr>
        <w:spacing w:line="540" w:lineRule="exact"/>
        <w:ind w:firstLine="560" w:firstLineChars="200"/>
        <w:rPr>
          <w:rFonts w:hint="eastAsia" w:asciiTheme="majorEastAsia" w:hAnsiTheme="majorEastAsia" w:eastAsiaTheme="majorEastAsia" w:cstheme="majorEastAsia"/>
          <w:bCs/>
          <w:kern w:val="0"/>
          <w:sz w:val="28"/>
          <w:szCs w:val="28"/>
        </w:rPr>
      </w:pPr>
      <w:r>
        <w:rPr>
          <w:rFonts w:hint="eastAsia" w:asciiTheme="majorEastAsia" w:hAnsiTheme="majorEastAsia" w:eastAsiaTheme="majorEastAsia" w:cstheme="majorEastAsia"/>
          <w:bCs/>
          <w:kern w:val="0"/>
          <w:sz w:val="28"/>
          <w:szCs w:val="28"/>
        </w:rPr>
        <w:t>一、承包范围及内容</w:t>
      </w:r>
    </w:p>
    <w:p w14:paraId="6BAF6998">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共</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条道路，总面积</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平方米的道路清扫保洁（有建筑物的道路以两侧建筑物外立面之间为保洁范围，无建筑的道路，以两侧人行道各延伸10米作为保洁责任范围，背街小巷向内延伸10米为保洁范围，延伸部分不计入清扫面积）；</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u w:val="single"/>
          <w:lang w:val="en-US" w:eastAsia="zh-CN"/>
        </w:rPr>
        <w:t xml:space="preserve">    </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座公厕的管理；县城区及甲方指定范围内的垃圾清运（详见附件）。</w:t>
      </w:r>
    </w:p>
    <w:p w14:paraId="76BD4EAA">
      <w:pPr>
        <w:spacing w:line="540" w:lineRule="exact"/>
        <w:ind w:firstLine="560" w:firstLineChars="200"/>
        <w:rPr>
          <w:rFonts w:hint="eastAsia" w:asciiTheme="majorEastAsia" w:hAnsiTheme="majorEastAsia" w:eastAsiaTheme="majorEastAsia" w:cstheme="majorEastAsia"/>
          <w:sz w:val="28"/>
          <w:szCs w:val="28"/>
        </w:rPr>
      </w:pPr>
      <w:bookmarkStart w:id="0" w:name="_Toc289499920"/>
      <w:r>
        <w:rPr>
          <w:rFonts w:hint="eastAsia" w:asciiTheme="majorEastAsia" w:hAnsiTheme="majorEastAsia" w:eastAsiaTheme="majorEastAsia" w:cstheme="majorEastAsia"/>
          <w:sz w:val="28"/>
          <w:szCs w:val="28"/>
        </w:rPr>
        <w:t>二、</w:t>
      </w:r>
      <w:bookmarkEnd w:id="0"/>
      <w:r>
        <w:rPr>
          <w:rFonts w:hint="eastAsia" w:asciiTheme="majorEastAsia" w:hAnsiTheme="majorEastAsia" w:eastAsiaTheme="majorEastAsia" w:cstheme="majorEastAsia"/>
          <w:sz w:val="28"/>
          <w:szCs w:val="28"/>
        </w:rPr>
        <w:t>作业质量要求</w:t>
      </w:r>
    </w:p>
    <w:p w14:paraId="319407D4">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按照相关规范、标准及招标文件规定（详见附件）。</w:t>
      </w:r>
    </w:p>
    <w:p w14:paraId="452658F7">
      <w:pPr>
        <w:spacing w:line="540" w:lineRule="exact"/>
        <w:ind w:firstLine="560" w:firstLineChars="200"/>
        <w:rPr>
          <w:rFonts w:hint="eastAsia" w:asciiTheme="majorEastAsia" w:hAnsiTheme="majorEastAsia" w:eastAsiaTheme="majorEastAsia" w:cstheme="majorEastAsia"/>
          <w:sz w:val="28"/>
          <w:szCs w:val="28"/>
        </w:rPr>
      </w:pPr>
      <w:bookmarkStart w:id="1" w:name="_Toc289499921"/>
      <w:r>
        <w:rPr>
          <w:rFonts w:hint="eastAsia" w:asciiTheme="majorEastAsia" w:hAnsiTheme="majorEastAsia" w:eastAsiaTheme="majorEastAsia" w:cstheme="majorEastAsia"/>
          <w:sz w:val="28"/>
          <w:szCs w:val="28"/>
        </w:rPr>
        <w:t>三、管理要求</w:t>
      </w:r>
      <w:bookmarkEnd w:id="1"/>
    </w:p>
    <w:p w14:paraId="0B5E4425">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乙方按照国家有关劳动定额配备作业人员及行政管理、质量检查人员，进场人员必须服从甲方的日常检查、监督和指导。</w:t>
      </w:r>
    </w:p>
    <w:p w14:paraId="4E8A90AE">
      <w:pPr>
        <w:spacing w:line="540" w:lineRule="exact"/>
        <w:ind w:firstLine="560" w:firstLineChars="200"/>
        <w:rPr>
          <w:rFonts w:hint="eastAsia" w:asciiTheme="majorEastAsia" w:hAnsiTheme="majorEastAsia" w:eastAsiaTheme="majorEastAsia" w:cstheme="majorEastAsia"/>
          <w:sz w:val="28"/>
          <w:szCs w:val="28"/>
        </w:rPr>
      </w:pPr>
      <w:bookmarkStart w:id="2" w:name="_Toc289499922"/>
      <w:r>
        <w:rPr>
          <w:rFonts w:hint="eastAsia" w:asciiTheme="majorEastAsia" w:hAnsiTheme="majorEastAsia" w:eastAsiaTheme="majorEastAsia" w:cstheme="majorEastAsia"/>
          <w:sz w:val="28"/>
          <w:szCs w:val="28"/>
        </w:rPr>
        <w:t>四、承包期限</w:t>
      </w:r>
      <w:bookmarkEnd w:id="2"/>
    </w:p>
    <w:p w14:paraId="2B0E3B2C">
      <w:pPr>
        <w:spacing w:line="540" w:lineRule="exact"/>
        <w:ind w:left="319" w:leftChars="152" w:firstLine="280" w:firstLineChars="100"/>
        <w:rPr>
          <w:rFonts w:hint="eastAsia" w:asciiTheme="majorEastAsia" w:hAnsiTheme="majorEastAsia" w:eastAsiaTheme="majorEastAsia" w:cstheme="majorEastAsia"/>
          <w:sz w:val="28"/>
          <w:szCs w:val="28"/>
        </w:rPr>
      </w:pPr>
      <w:bookmarkStart w:id="3" w:name="_Toc289499923"/>
      <w:r>
        <w:rPr>
          <w:rFonts w:hint="eastAsia" w:asciiTheme="majorEastAsia" w:hAnsiTheme="majorEastAsia" w:eastAsiaTheme="majorEastAsia" w:cstheme="majorEastAsia"/>
          <w:sz w:val="28"/>
          <w:szCs w:val="28"/>
        </w:rPr>
        <w:t>服务期限为1年，即   年  月  日至   年  月  日。</w:t>
      </w:r>
      <w:bookmarkEnd w:id="3"/>
    </w:p>
    <w:p w14:paraId="0DC15C7C">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五、质量检查与奖惩</w:t>
      </w:r>
    </w:p>
    <w:p w14:paraId="21E30B64">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甲方或其委托的机构参照西安市精细化管理标准考核，每周组织一次以上检查并记录(或拍照)检查情况，作为每月考核参考依据;对乙方的作业质量进行考核并评分（满分为100分），评分结果进行如下处理:乙方在每月的质量检查考核中得分在90分(含90分)以上全额划拨经费，得分在90分以下，从90分起算，每扣1分即扣乙方当月清扫保洁承包经费的1%，以此类推。连续三个月达不到90分，除扣减经费外，甲方有权解除承包合同。</w:t>
      </w:r>
    </w:p>
    <w:p w14:paraId="3707A831">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乙方在中、省、市的重要检查或重大突击性任务中，发现属乙方责任问题，经查属实，甲方有权解除承包合同；因乙方履约不当或拒不配合甲方工作，致使承包区域受到上级通报批评或引发负面舆情的，甲方有权解除合同，并由乙方赔偿甲方相应损失。</w:t>
      </w:r>
    </w:p>
    <w:p w14:paraId="68D857EC">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3.乙方在公厕管理每月的质量检查考核中得分在90分(含90分)以上全额划拨经费，得分在90分以下，从90分起算，每扣1分即扣中标人当月承包公厕管护经费的1%，以此类推。</w:t>
      </w:r>
    </w:p>
    <w:p w14:paraId="3A7CAC26">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4.乙方在垃圾清运每月的质量检查考核中得分在90分(含90分)以上全额划拨经费，得分在90分以下，从90分起算，每扣1分即扣中标人当月承包经费的1%，以此类推。</w:t>
      </w:r>
    </w:p>
    <w:p w14:paraId="5EFDF95E">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5.对于乙方原因，造成保洁人员上访、在媒体投诉等对我局名誉造成损失的每次扣3000元。</w:t>
      </w:r>
    </w:p>
    <w:p w14:paraId="336C00C9">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6.乙方必须按要求保证道路清洁质量，每天自行组织巡查，发现卫生死角及时整改。如相同地点被甲方发现二次(含二次)以上未及时整改的，甲方有权每次扣减乙方承包经费500元。</w:t>
      </w:r>
    </w:p>
    <w:p w14:paraId="061CA845">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7.因乙方原因在全市检查中连续两月，导致环卫作业排名末位的，每次罚乙方1万元，累计3次甲方有权终止合同，因乙方工作表现突出等原因使周至县在全市排名进入前三位，每次奖励3万元。</w:t>
      </w:r>
    </w:p>
    <w:p w14:paraId="02052775">
      <w:pPr>
        <w:spacing w:line="540" w:lineRule="exact"/>
        <w:ind w:firstLine="560" w:firstLineChars="200"/>
        <w:rPr>
          <w:rFonts w:hint="eastAsia" w:asciiTheme="majorEastAsia" w:hAnsiTheme="majorEastAsia" w:eastAsiaTheme="majorEastAsia" w:cstheme="majorEastAsia"/>
          <w:sz w:val="28"/>
          <w:szCs w:val="28"/>
          <w:u w:val="single"/>
        </w:rPr>
      </w:pPr>
      <w:r>
        <w:rPr>
          <w:rFonts w:hint="eastAsia" w:asciiTheme="majorEastAsia" w:hAnsiTheme="majorEastAsia" w:eastAsiaTheme="majorEastAsia" w:cstheme="majorEastAsia"/>
          <w:sz w:val="28"/>
          <w:szCs w:val="28"/>
        </w:rPr>
        <w:t>8.乙方在机械化作业中不能按照市上的要求完成机械化作业的，每次扣除服务费3000元。</w:t>
      </w:r>
    </w:p>
    <w:p w14:paraId="08BB3C97">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9.乙方应在合同签订后必须为所有该项目从业人员进行垃圾分类的相关知识培训，并做好垃圾分类的各项工作，未开展培训或员工垃圾分类知识知晓率低的每次扣除公司300元。</w:t>
      </w:r>
    </w:p>
    <w:p w14:paraId="79A9178B">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10、乙方应按照项目的实际需要增配环卫车辆，确保完成省市县机械化作业要求。新增环卫车辆必须为新能源车辆。满足项目的垃圾收集清运、道路的机扫、洒水、冲洗、绿化管护的要求，达不到作业要求的按照考核标准进行扣分。</w:t>
      </w:r>
    </w:p>
    <w:p w14:paraId="6724E723">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11、乙方必须按照道路清扫保洁面积、绿化保洁标准配备相应的人员，人员配备不足的每差一人，扣除当月服务费3000元，依次类推。</w:t>
      </w:r>
    </w:p>
    <w:p w14:paraId="7090564B">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12、乙方在洒水、冲洗路面等涉水作业时应按照相关单位要求优先使用中水。不按规定使用的每次扣除服务费1000元。</w:t>
      </w:r>
    </w:p>
    <w:p w14:paraId="467D12C3">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13、除日常的考核检查外，业务科室或局领导以及市上相关部门临时性检查，每发现一次不按规定的时间、标准进行清扫保洁的每次扣除服务费1000元，不按时进行冲洗的每次扣除服务费500元，不按时出动作业车辆的每次扣除服务费500元。</w:t>
      </w:r>
    </w:p>
    <w:p w14:paraId="6B39A994">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14、乙方在生活垃圾清运过程中必须按照《西安市生活垃圾分类管理办法》中明确的分类进行清运，车辆必须符合市上的相关规定，不按规定清运的，每发现一次扣除500元。在生活垃圾清运过程中必须按照规定对生活垃圾“日产日清”，对于因垃圾清运不及时，导致垃圾落地的每次扣除服务费用500元，因群众投诉到甲方的第一次警告处理，第二次扣除服务费用500元。车容车貌不整洁的每次扣除500元。</w:t>
      </w:r>
    </w:p>
    <w:p w14:paraId="738EEE6D">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15、乙方必须按甲方的规定，完成走航等系统报警的处理，不按时处理的每次罚款500元。</w:t>
      </w:r>
    </w:p>
    <w:p w14:paraId="641D513A">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16、乙方必须按照甲方扫雪除冰工作的相关规定，准备相应的应急人员、设备、物资，在降雪时严格按照甲方扫雪除冰的相关要求，开展扫雪除冰工作，不按规定落实的每次罚款2000元。</w:t>
      </w:r>
    </w:p>
    <w:p w14:paraId="5020B659">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17、凡被省、市、县媒体或相关单位检查发现通报问题每次扣除乙方3000、2000、1000元。乙方不及时进行整改或整改后，经市、县环境卫生监督管理部门检查仍不符合质量标准要求的每发生一次，甲方有权扣减乙方当月承包经费的1% ,承包期内累计三次者，甲方有权解除承包合同。</w:t>
      </w:r>
    </w:p>
    <w:p w14:paraId="47781BCB">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18、乙方应建立健全质量检查档案，所有工作必须留档，以备查验。</w:t>
      </w:r>
    </w:p>
    <w:p w14:paraId="3C45D824">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19、乙方应按照西安市城市管理和综合执法局、西安市公安局交通管理局《关于切实加强道路清扫保洁作业安全管理消除交通安全隐患的通知》市城管发[2020]242号文件要求，完善相应的安全防护设施，对安全防护设施设置、管护不到位的责令整改并进行处罚。</w:t>
      </w:r>
    </w:p>
    <w:p w14:paraId="5044DD55">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六、履约保证金</w:t>
      </w:r>
    </w:p>
    <w:p w14:paraId="69C7AEF0">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1.乙方在签订本合同后，应及时向甲方提供中标价5%的保证金或履约保函。</w:t>
      </w:r>
    </w:p>
    <w:p w14:paraId="3A2CBEA3">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2.履约保证金用于补偿甲方因乙方不能完成其协议义务而蒙受的损失。凡因乙方责任，使甲方解除本协议的，履约担保单位必须无条件的向甲方拨付违约费用。</w:t>
      </w:r>
    </w:p>
    <w:p w14:paraId="3198974A">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七、承包经费、付款方式</w:t>
      </w:r>
    </w:p>
    <w:p w14:paraId="289221D2">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1.中标服务承包费为：年承包费用总金额为    元，每月费用为     元。</w:t>
      </w:r>
    </w:p>
    <w:p w14:paraId="455A668A">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费用按照道路清扫保洁一类道路</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元/平方米，二类道路</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元/平方米，三类道路</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元/平方米，公厕管护</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元/每座/年，垃圾清运</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元/年。</w:t>
      </w:r>
    </w:p>
    <w:p w14:paraId="27006ECB">
      <w:pPr>
        <w:spacing w:line="540" w:lineRule="exact"/>
        <w:ind w:firstLine="562" w:firstLineChars="200"/>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注：合同总金额包括人员工资、福利、社保（养老、医疗、工伤等保险）、劳保用品、融雪剂、工具、机械及其维修、工具房租用、迎检加班和突发处置费用、应急物资等作业成本以及适当的管理费用、利润、税金、风险金（保险、处理一切意外伤亡事故等费用）办公用房的租赁等其他一切与乙方完成合同约定工作内容有关的费用。</w:t>
      </w:r>
    </w:p>
    <w:p w14:paraId="44F86BEA">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2.承包经费的支付方法及金额：乙方在支付雇佣人员工资后，由甲方依照检查考核情况按月支付上月的服务费,乙方在收款前应提供正式发票。</w:t>
      </w:r>
    </w:p>
    <w:p w14:paraId="21756D39">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本合同的承包经费由财政专项拨款，如遇特殊原因，财政专项资金未按时拨付到甲方，导致合同价款支付不及时的，不视为甲方违约，乙方不得以甲方未按时拨付服务费用为由，而不履行合同规定的服务义务或对甲方提出诉讼，向甲方主张违约责任。</w:t>
      </w:r>
    </w:p>
    <w:p w14:paraId="05ED3B8E">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4.乙方必须有垫付保洁员工资三个月以上的资金能力。乙方必须按照省市县相关文件规定，建立保障环卫工人工资支付制度。</w:t>
      </w:r>
    </w:p>
    <w:p w14:paraId="3854B7CD">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协议有效期满后甲方将重新招标确定本服务项目中标人，乙方应积极配合甲方完成相关手续的交接。乙方必须完成相关工作交接后，甲方再结清乙方的承包费用。如乙方不能按要求完成相关交接手续，每逾期一天乙方须向甲方支付每天5000元的违约金，该费用在甲方应付的承包经费中扣除。</w:t>
      </w:r>
    </w:p>
    <w:p w14:paraId="6A2CA759">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八、承包责任</w:t>
      </w:r>
    </w:p>
    <w:p w14:paraId="77F3FDF3">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发包方(甲方)责任</w:t>
      </w:r>
    </w:p>
    <w:p w14:paraId="6C3D7721">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1.乙方按照本协议的内容完成工作的，甲方有向乙方按时支付承包费的义务。</w:t>
      </w:r>
    </w:p>
    <w:p w14:paraId="51548F8C">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2.在履行本协议期间，甲方可向乙方提供业务指导，协助乙方克服在服务中遇到的困难。</w:t>
      </w:r>
    </w:p>
    <w:p w14:paraId="11E5BE1C">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3.甲方每月不定期组织对乙方的作业质量情况进行检查考核。</w:t>
      </w:r>
    </w:p>
    <w:p w14:paraId="40A0FB73">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4.甲方对乙方在日常作业工作中负有监督管理的责任。</w:t>
      </w:r>
    </w:p>
    <w:p w14:paraId="74120449">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5.甲方有权对乙方环卫工人的工资、福利、保险、工具、着装的发放和配备进行监督和检查。</w:t>
      </w:r>
    </w:p>
    <w:p w14:paraId="3BA1F6C3">
      <w:pPr>
        <w:spacing w:line="540" w:lineRule="exac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承包方〔乙方)责任：</w:t>
      </w:r>
    </w:p>
    <w:p w14:paraId="3B7C5BE7">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合同履行期间乙方应当依法与环卫工人建立相应的劳动或者劳务等法律关系，乙方需提供缴纳社保（养老、医疗、失业等）被有权单位盖章认可的凭证，便于相关单位查询。合同履行期间，如乙方没有按法律、法规足额支付劳务费、工资、缴纳用工人员社保等，经甲方调查属实（以生效的仲裁、判决等法律文书为准）的，甲方有权督促乙方及时纠正;如乙方不及时纠正，甲方可以从乙方应收合同价款中直接扣除等额价款用以支付上述费用。</w:t>
      </w:r>
    </w:p>
    <w:p w14:paraId="31FC6C5F">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2.乙方负责承包范围内的安全作业管理，按有关部门和规范要求、制定相关规章制度并严格执行。因管护不到位，导致导厕牌、果皮箱等环卫设施造成的安全事故，所产生的一切损失和连带责任由乙方承担。</w:t>
      </w:r>
    </w:p>
    <w:p w14:paraId="78061044">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3.乙方负责本单位人员的思想教育、安全教育、专业技能培训工作，确保员工做到遵规守纪、规范作业。</w:t>
      </w:r>
    </w:p>
    <w:p w14:paraId="4C85AB75">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4.乙方须按市、县相关文件要求的作业时间和作业质量配足作业机械和环卫作业人员，按时完成作业任务。</w:t>
      </w:r>
    </w:p>
    <w:p w14:paraId="0105F622">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5.乙方在承包期内未能及时清理路面保洁范围内的杂物、油污等以及清理不到位而引发的交通安全责任事故造成人员伤亡和财产损失的，乙方应承担相应的法律责任和赔偿等一切责任。</w:t>
      </w:r>
    </w:p>
    <w:p w14:paraId="194AC4C3">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6.乙方应按照甲方及相关行政管理部门的安全生产管理要求，建立健全安全生产管理制度、档案。</w:t>
      </w:r>
    </w:p>
    <w:p w14:paraId="49EA6D9C">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7.乙方在承包期内由于所雇佣人员发生各种事故:包括安全生产、治安、交通、防火、工伤、劳资纠纷等事件，所造成一切后果及损失，由乙方承担责任和负责赔偿。</w:t>
      </w:r>
    </w:p>
    <w:p w14:paraId="078D5ABE">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8.乙方按国家财务政策规定依法设立财务账本，劳动工资统计台账，依法纳税，保证为工人购买社保等，每月报送财务报表，并接受财务检查、审计。按有关部门的要求完成有关数据报送工作。</w:t>
      </w:r>
    </w:p>
    <w:p w14:paraId="0D59EAB3">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9.对于与乙方建立劳动关系的环卫工人，乙方应遵守《中华人民共和国劳动法》等有关法律、法规，按国家、省、市有关规定与雇佣人员签订用工合同，支付工人工资、缴纳社保等有关保险及发放劳保用品。同时，应完善人事管理制度，建立人事档案和员工名册，按月向员工发放工资时须向员工提供工资单。</w:t>
      </w:r>
    </w:p>
    <w:p w14:paraId="4F7775A3">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10.乙方要建立环卫应急预案制度。准备一支不少于10人的应急队伍和机械设备及所需的应急物资，由甲方调配，用于处置突发性事件、各项检查、突击整治及重大活动中的环境卫生保障工作，一旦发生上述情况，乙方必须确保人员机械设备及时到位。应急人员、机械设备所发生的费用包含在总承包费用中，不另行追加。</w:t>
      </w:r>
    </w:p>
    <w:p w14:paraId="4EAE57AC">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11.乙方应加强对环卫工人维稳管理，及时化解矛盾，严禁出现环卫工人集体上访、投诉现象，如因乙方原因导致环卫工人出现集体上访、投诉等现象每次扣除乙方服务费3000元。</w:t>
      </w:r>
    </w:p>
    <w:p w14:paraId="37A4BF6A">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12.乙方应对承包范围内的人员配备情况,有义务向甲方提供人员花名册，人员有重大变化时应向甲方备案。</w:t>
      </w:r>
    </w:p>
    <w:p w14:paraId="286149EE">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13.乙方需对保洁员行为及服装进行规范，上班期间必须按照西安市统一标准着装，并保持干净整洁，夏季不得敞胸露背、赤脚或穿拖鞋。</w:t>
      </w:r>
    </w:p>
    <w:p w14:paraId="5E6CA928">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14、乙方在合同签订后必须配备足够的洒水车、机扫车、冲洗车等作业车辆和设备，确保按照甲方的作业质量标准，做好机械化清扫保洁工作。</w:t>
      </w:r>
    </w:p>
    <w:p w14:paraId="0600C954">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九、违约责任</w:t>
      </w:r>
    </w:p>
    <w:p w14:paraId="147B69AD">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1.未经甲方书面同意，乙方不得将承包项目进行转包或部分分包，否则将视为乙方违约，甲方有权解除协议，由此造成的损失由乙方承担。</w:t>
      </w:r>
    </w:p>
    <w:p w14:paraId="68AFE48F">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2.如因乙方引起的劳资纠纷问题，影响正常工作的，甲方有权另行聘请人员确保正常工作，所产生的费用在乙方承包经费中相应扣减。</w:t>
      </w:r>
    </w:p>
    <w:p w14:paraId="014B3238">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3.在履行协议期间，若乙方违约导致本协议终止，乙方需按本协议规定年承包总额的30%向甲方支付违约金，违约金不足弥补给甲方造成损失的，甲方有权向乙方提出赔偿要求。</w:t>
      </w:r>
    </w:p>
    <w:p w14:paraId="6B222293">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4.承包期间。双方必须严格履行协议，在执行过程中，如遇未尽事宜(含政府有关部门的政策、作业标准、作业时间调整等)，双方协商解决，单方面无权变更。</w:t>
      </w:r>
    </w:p>
    <w:p w14:paraId="5257B0D4">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5.承包期内，如因乙方违反法律、法规及国家有关政策造成严重后果的，甲方可以解除协议。</w:t>
      </w:r>
    </w:p>
    <w:p w14:paraId="037325E2">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6.发生单方违约，且经协调无果，另一方可在服务所在地人民法院进行法律诉讼，追究违约方相应的法律责任和经济责任。</w:t>
      </w:r>
    </w:p>
    <w:p w14:paraId="3678AB3E">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十、其它</w:t>
      </w:r>
    </w:p>
    <w:p w14:paraId="1462BD99">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1.本合同所有附件和中标通知书均为合同的有效组成部分，与本合同具有同等法律效力。</w:t>
      </w:r>
    </w:p>
    <w:p w14:paraId="0F397472">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2.本协议未尽事宜，由甲乙双方协商解决，可另行签订补充协议；补充协议与本协议具有同等法律效力。</w:t>
      </w:r>
    </w:p>
    <w:p w14:paraId="40B5A6AD">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3.除甲方事先书面同意外，乙方不得部分或全部转让其应履行的合同项下的义务。</w:t>
      </w:r>
    </w:p>
    <w:p w14:paraId="41B63436">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4.本合同一式肆份，甲乙双方各执两份。</w:t>
      </w:r>
    </w:p>
    <w:p w14:paraId="4C4B37B0">
      <w:pPr>
        <w:spacing w:line="540" w:lineRule="exact"/>
        <w:rPr>
          <w:rFonts w:hint="eastAsia" w:asciiTheme="majorEastAsia" w:hAnsiTheme="majorEastAsia" w:eastAsiaTheme="majorEastAsia" w:cstheme="majorEastAsia"/>
          <w:sz w:val="28"/>
          <w:szCs w:val="28"/>
        </w:rPr>
      </w:pPr>
    </w:p>
    <w:p w14:paraId="7F218AA4">
      <w:pPr>
        <w:spacing w:line="540" w:lineRule="exac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附件：1.承包范围清单</w:t>
      </w:r>
    </w:p>
    <w:p w14:paraId="54D81931">
      <w:pPr>
        <w:spacing w:line="540" w:lineRule="exac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2.周至县城市道路清扫保洁检查考核办法</w:t>
      </w:r>
    </w:p>
    <w:p w14:paraId="071CB782">
      <w:pPr>
        <w:spacing w:line="540" w:lineRule="exac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3.西安市城市道路清扫保洁技术规范</w:t>
      </w:r>
    </w:p>
    <w:p w14:paraId="6C1517FD">
      <w:pPr>
        <w:spacing w:line="540" w:lineRule="exact"/>
        <w:ind w:firstLine="840" w:firstLineChars="3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4.周至县生活垃圾清运管理考核办法</w:t>
      </w:r>
    </w:p>
    <w:p w14:paraId="222F2CC2">
      <w:pPr>
        <w:spacing w:line="540" w:lineRule="exact"/>
        <w:ind w:firstLine="840" w:firstLineChars="3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5.周至县公共厕所管理标准</w:t>
      </w:r>
    </w:p>
    <w:p w14:paraId="7AC4B941">
      <w:pPr>
        <w:spacing w:line="540" w:lineRule="exact"/>
        <w:ind w:firstLine="840" w:firstLineChars="3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6.周至县公共厕所管理考核评分标准</w:t>
      </w:r>
    </w:p>
    <w:p w14:paraId="65BE573A">
      <w:pPr>
        <w:spacing w:line="540" w:lineRule="exact"/>
        <w:rPr>
          <w:rFonts w:hint="eastAsia" w:asciiTheme="majorEastAsia" w:hAnsiTheme="majorEastAsia" w:eastAsiaTheme="majorEastAsia" w:cstheme="majorEastAsia"/>
          <w:sz w:val="28"/>
          <w:szCs w:val="28"/>
        </w:rPr>
      </w:pPr>
    </w:p>
    <w:p w14:paraId="38BFBEAD">
      <w:pPr>
        <w:pStyle w:val="2"/>
        <w:spacing w:line="540" w:lineRule="exact"/>
        <w:ind w:firstLine="640"/>
        <w:rPr>
          <w:rFonts w:hint="eastAsia" w:asciiTheme="majorEastAsia" w:hAnsiTheme="majorEastAsia" w:eastAsiaTheme="majorEastAsia" w:cstheme="majorEastAsia"/>
          <w:sz w:val="28"/>
          <w:szCs w:val="28"/>
        </w:rPr>
      </w:pPr>
    </w:p>
    <w:p w14:paraId="199076B4">
      <w:pPr>
        <w:pStyle w:val="2"/>
        <w:spacing w:line="540" w:lineRule="exact"/>
        <w:ind w:firstLine="640"/>
        <w:rPr>
          <w:rFonts w:hint="eastAsia" w:asciiTheme="majorEastAsia" w:hAnsiTheme="majorEastAsia" w:eastAsiaTheme="majorEastAsia" w:cstheme="majorEastAsia"/>
          <w:sz w:val="28"/>
          <w:szCs w:val="28"/>
        </w:rPr>
      </w:pPr>
    </w:p>
    <w:p w14:paraId="0FA9B679">
      <w:pPr>
        <w:spacing w:line="540" w:lineRule="exac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甲方（盖章）：                 乙方（盖章）：</w:t>
      </w:r>
    </w:p>
    <w:p w14:paraId="0990EB08">
      <w:pPr>
        <w:spacing w:line="540" w:lineRule="exac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法定代表人：                   法人代表：</w:t>
      </w:r>
    </w:p>
    <w:p w14:paraId="513F6816">
      <w:pPr>
        <w:spacing w:line="540" w:lineRule="exac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委托代理人:                    委托代理人:</w:t>
      </w:r>
    </w:p>
    <w:p w14:paraId="0D413DBA">
      <w:pPr>
        <w:spacing w:line="540" w:lineRule="exac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单位地址：                     单位地址：</w:t>
      </w:r>
    </w:p>
    <w:p w14:paraId="3AED5F80">
      <w:pPr>
        <w:spacing w:line="540" w:lineRule="exac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邮政编码：                     邮政编码：</w:t>
      </w:r>
    </w:p>
    <w:p w14:paraId="5484E08D">
      <w:pPr>
        <w:spacing w:line="540" w:lineRule="exac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联系电话：                     联系电话：</w:t>
      </w:r>
    </w:p>
    <w:p w14:paraId="7B9D8A26">
      <w:pPr>
        <w:spacing w:line="540" w:lineRule="exact"/>
        <w:rPr>
          <w:rFonts w:hint="eastAsia" w:asciiTheme="majorEastAsia" w:hAnsiTheme="majorEastAsia" w:eastAsiaTheme="majorEastAsia" w:cstheme="majorEastAsia"/>
          <w:sz w:val="28"/>
          <w:szCs w:val="28"/>
        </w:rPr>
      </w:pPr>
    </w:p>
    <w:p w14:paraId="2C392773">
      <w:pPr>
        <w:spacing w:line="540" w:lineRule="exact"/>
        <w:rPr>
          <w:rFonts w:hint="eastAsia" w:asciiTheme="majorEastAsia" w:hAnsiTheme="majorEastAsia" w:eastAsiaTheme="majorEastAsia" w:cstheme="majorEastAsia"/>
          <w:sz w:val="28"/>
          <w:szCs w:val="28"/>
        </w:rPr>
        <w:sectPr>
          <w:footerReference r:id="rId5" w:type="default"/>
          <w:pgSz w:w="11906" w:h="16838"/>
          <w:pgMar w:top="1440" w:right="1474" w:bottom="1440" w:left="1474" w:header="851" w:footer="992" w:gutter="0"/>
          <w:pgNumType w:start="1"/>
          <w:cols w:space="720" w:num="1"/>
          <w:docGrid w:type="lines" w:linePitch="312" w:charSpace="0"/>
        </w:sectPr>
      </w:pPr>
    </w:p>
    <w:p w14:paraId="5BB86DF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附件1</w:t>
      </w:r>
    </w:p>
    <w:tbl>
      <w:tblPr>
        <w:tblStyle w:val="10"/>
        <w:tblW w:w="45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5"/>
        <w:gridCol w:w="1838"/>
        <w:gridCol w:w="2170"/>
        <w:gridCol w:w="1487"/>
        <w:gridCol w:w="2634"/>
        <w:gridCol w:w="1620"/>
        <w:gridCol w:w="1518"/>
      </w:tblGrid>
      <w:tr w14:paraId="6701A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7" w:type="pct"/>
          </w:tcPr>
          <w:p w14:paraId="15C9472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道路名称</w:t>
            </w:r>
          </w:p>
        </w:tc>
        <w:tc>
          <w:tcPr>
            <w:tcW w:w="705" w:type="pct"/>
          </w:tcPr>
          <w:p w14:paraId="392865D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起     止</w:t>
            </w:r>
          </w:p>
        </w:tc>
        <w:tc>
          <w:tcPr>
            <w:tcW w:w="832" w:type="pct"/>
          </w:tcPr>
          <w:p w14:paraId="6C0CDC1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面积（平方米）</w:t>
            </w:r>
          </w:p>
        </w:tc>
        <w:tc>
          <w:tcPr>
            <w:tcW w:w="570" w:type="pct"/>
          </w:tcPr>
          <w:p w14:paraId="20C4EE5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道路类别</w:t>
            </w:r>
          </w:p>
        </w:tc>
        <w:tc>
          <w:tcPr>
            <w:tcW w:w="1010" w:type="pct"/>
          </w:tcPr>
          <w:p w14:paraId="47B01AB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合计</w:t>
            </w:r>
          </w:p>
        </w:tc>
        <w:tc>
          <w:tcPr>
            <w:tcW w:w="621" w:type="pct"/>
          </w:tcPr>
          <w:p w14:paraId="7D62B5E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垃圾收集点</w:t>
            </w:r>
          </w:p>
        </w:tc>
        <w:tc>
          <w:tcPr>
            <w:tcW w:w="582" w:type="pct"/>
          </w:tcPr>
          <w:p w14:paraId="47EA102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公厕</w:t>
            </w:r>
          </w:p>
        </w:tc>
      </w:tr>
      <w:tr w14:paraId="63075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677" w:type="pct"/>
            <w:vAlign w:val="center"/>
          </w:tcPr>
          <w:p w14:paraId="6FA632BE">
            <w:pPr>
              <w:rPr>
                <w:rFonts w:hint="eastAsia" w:asciiTheme="majorEastAsia" w:hAnsiTheme="majorEastAsia" w:eastAsiaTheme="majorEastAsia" w:cstheme="majorEastAsia"/>
                <w:sz w:val="28"/>
                <w:szCs w:val="28"/>
              </w:rPr>
            </w:pPr>
          </w:p>
        </w:tc>
        <w:tc>
          <w:tcPr>
            <w:tcW w:w="705" w:type="pct"/>
            <w:vAlign w:val="center"/>
          </w:tcPr>
          <w:p w14:paraId="3BB60D94">
            <w:pPr>
              <w:rPr>
                <w:rFonts w:hint="eastAsia" w:asciiTheme="majorEastAsia" w:hAnsiTheme="majorEastAsia" w:eastAsiaTheme="majorEastAsia" w:cstheme="majorEastAsia"/>
                <w:sz w:val="28"/>
                <w:szCs w:val="28"/>
              </w:rPr>
            </w:pPr>
          </w:p>
        </w:tc>
        <w:tc>
          <w:tcPr>
            <w:tcW w:w="832" w:type="pct"/>
            <w:vAlign w:val="center"/>
          </w:tcPr>
          <w:p w14:paraId="413849BA">
            <w:pPr>
              <w:rPr>
                <w:rFonts w:hint="eastAsia" w:asciiTheme="majorEastAsia" w:hAnsiTheme="majorEastAsia" w:eastAsiaTheme="majorEastAsia" w:cstheme="majorEastAsia"/>
                <w:sz w:val="28"/>
                <w:szCs w:val="28"/>
              </w:rPr>
            </w:pPr>
          </w:p>
        </w:tc>
        <w:tc>
          <w:tcPr>
            <w:tcW w:w="570" w:type="pct"/>
            <w:vAlign w:val="center"/>
          </w:tcPr>
          <w:p w14:paraId="0413E715">
            <w:pPr>
              <w:rPr>
                <w:rFonts w:hint="eastAsia" w:asciiTheme="majorEastAsia" w:hAnsiTheme="majorEastAsia" w:eastAsiaTheme="majorEastAsia" w:cstheme="majorEastAsia"/>
                <w:sz w:val="28"/>
                <w:szCs w:val="28"/>
              </w:rPr>
            </w:pPr>
          </w:p>
        </w:tc>
        <w:tc>
          <w:tcPr>
            <w:tcW w:w="1010" w:type="pct"/>
            <w:vMerge w:val="restart"/>
            <w:vAlign w:val="center"/>
          </w:tcPr>
          <w:p w14:paraId="4740B04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一类道路：平方米</w:t>
            </w:r>
          </w:p>
          <w:p w14:paraId="02F2128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二类道路：平方米</w:t>
            </w:r>
          </w:p>
          <w:p w14:paraId="6E9C418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三类道路：平方米</w:t>
            </w:r>
          </w:p>
        </w:tc>
        <w:tc>
          <w:tcPr>
            <w:tcW w:w="621" w:type="pct"/>
            <w:vMerge w:val="restart"/>
            <w:vAlign w:val="center"/>
          </w:tcPr>
          <w:p w14:paraId="3E088C4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甲方指定的垃圾收集点</w:t>
            </w:r>
          </w:p>
        </w:tc>
        <w:tc>
          <w:tcPr>
            <w:tcW w:w="582" w:type="pct"/>
            <w:vMerge w:val="restart"/>
          </w:tcPr>
          <w:p w14:paraId="674310CE">
            <w:pPr>
              <w:rPr>
                <w:rFonts w:hint="eastAsia" w:asciiTheme="majorEastAsia" w:hAnsiTheme="majorEastAsia" w:eastAsiaTheme="majorEastAsia" w:cstheme="majorEastAsia"/>
                <w:sz w:val="28"/>
                <w:szCs w:val="28"/>
              </w:rPr>
            </w:pPr>
          </w:p>
        </w:tc>
      </w:tr>
      <w:tr w14:paraId="1FF0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7" w:type="pct"/>
            <w:vAlign w:val="center"/>
          </w:tcPr>
          <w:p w14:paraId="7DA84DAF">
            <w:pPr>
              <w:rPr>
                <w:rFonts w:hint="eastAsia" w:asciiTheme="majorEastAsia" w:hAnsiTheme="majorEastAsia" w:eastAsiaTheme="majorEastAsia" w:cstheme="majorEastAsia"/>
                <w:sz w:val="28"/>
                <w:szCs w:val="28"/>
              </w:rPr>
            </w:pPr>
          </w:p>
        </w:tc>
        <w:tc>
          <w:tcPr>
            <w:tcW w:w="705" w:type="pct"/>
            <w:vAlign w:val="center"/>
          </w:tcPr>
          <w:p w14:paraId="3786EBBF">
            <w:pPr>
              <w:rPr>
                <w:rFonts w:hint="eastAsia" w:asciiTheme="majorEastAsia" w:hAnsiTheme="majorEastAsia" w:eastAsiaTheme="majorEastAsia" w:cstheme="majorEastAsia"/>
                <w:sz w:val="28"/>
                <w:szCs w:val="28"/>
              </w:rPr>
            </w:pPr>
          </w:p>
        </w:tc>
        <w:tc>
          <w:tcPr>
            <w:tcW w:w="832" w:type="pct"/>
            <w:vAlign w:val="center"/>
          </w:tcPr>
          <w:p w14:paraId="2DBE97BF">
            <w:pPr>
              <w:rPr>
                <w:rFonts w:hint="eastAsia" w:asciiTheme="majorEastAsia" w:hAnsiTheme="majorEastAsia" w:eastAsiaTheme="majorEastAsia" w:cstheme="majorEastAsia"/>
                <w:sz w:val="28"/>
                <w:szCs w:val="28"/>
              </w:rPr>
            </w:pPr>
          </w:p>
        </w:tc>
        <w:tc>
          <w:tcPr>
            <w:tcW w:w="570" w:type="pct"/>
            <w:vAlign w:val="center"/>
          </w:tcPr>
          <w:p w14:paraId="229377F8">
            <w:pPr>
              <w:rPr>
                <w:rFonts w:hint="eastAsia" w:asciiTheme="majorEastAsia" w:hAnsiTheme="majorEastAsia" w:eastAsiaTheme="majorEastAsia" w:cstheme="majorEastAsia"/>
                <w:sz w:val="28"/>
                <w:szCs w:val="28"/>
              </w:rPr>
            </w:pPr>
          </w:p>
        </w:tc>
        <w:tc>
          <w:tcPr>
            <w:tcW w:w="1010" w:type="pct"/>
            <w:vMerge w:val="continue"/>
            <w:vAlign w:val="center"/>
          </w:tcPr>
          <w:p w14:paraId="18CB1DD2">
            <w:pPr>
              <w:rPr>
                <w:rFonts w:hint="eastAsia" w:asciiTheme="majorEastAsia" w:hAnsiTheme="majorEastAsia" w:eastAsiaTheme="majorEastAsia" w:cstheme="majorEastAsia"/>
                <w:sz w:val="28"/>
                <w:szCs w:val="28"/>
              </w:rPr>
            </w:pPr>
          </w:p>
        </w:tc>
        <w:tc>
          <w:tcPr>
            <w:tcW w:w="621" w:type="pct"/>
            <w:vMerge w:val="continue"/>
          </w:tcPr>
          <w:p w14:paraId="6B2272A5">
            <w:pPr>
              <w:rPr>
                <w:rFonts w:hint="eastAsia" w:asciiTheme="majorEastAsia" w:hAnsiTheme="majorEastAsia" w:eastAsiaTheme="majorEastAsia" w:cstheme="majorEastAsia"/>
                <w:sz w:val="28"/>
                <w:szCs w:val="28"/>
              </w:rPr>
            </w:pPr>
          </w:p>
        </w:tc>
        <w:tc>
          <w:tcPr>
            <w:tcW w:w="582" w:type="pct"/>
            <w:vMerge w:val="continue"/>
          </w:tcPr>
          <w:p w14:paraId="29A5D407">
            <w:pPr>
              <w:rPr>
                <w:rFonts w:hint="eastAsia" w:asciiTheme="majorEastAsia" w:hAnsiTheme="majorEastAsia" w:eastAsiaTheme="majorEastAsia" w:cstheme="majorEastAsia"/>
                <w:sz w:val="28"/>
                <w:szCs w:val="28"/>
              </w:rPr>
            </w:pPr>
          </w:p>
        </w:tc>
      </w:tr>
      <w:tr w14:paraId="1807B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7" w:type="pct"/>
            <w:vAlign w:val="center"/>
          </w:tcPr>
          <w:p w14:paraId="52F08904">
            <w:pPr>
              <w:rPr>
                <w:rFonts w:hint="eastAsia" w:asciiTheme="majorEastAsia" w:hAnsiTheme="majorEastAsia" w:eastAsiaTheme="majorEastAsia" w:cstheme="majorEastAsia"/>
                <w:sz w:val="28"/>
                <w:szCs w:val="28"/>
              </w:rPr>
            </w:pPr>
          </w:p>
        </w:tc>
        <w:tc>
          <w:tcPr>
            <w:tcW w:w="705" w:type="pct"/>
            <w:vAlign w:val="center"/>
          </w:tcPr>
          <w:p w14:paraId="399AB61A">
            <w:pPr>
              <w:rPr>
                <w:rFonts w:hint="eastAsia" w:asciiTheme="majorEastAsia" w:hAnsiTheme="majorEastAsia" w:eastAsiaTheme="majorEastAsia" w:cstheme="majorEastAsia"/>
                <w:sz w:val="28"/>
                <w:szCs w:val="28"/>
              </w:rPr>
            </w:pPr>
          </w:p>
        </w:tc>
        <w:tc>
          <w:tcPr>
            <w:tcW w:w="832" w:type="pct"/>
            <w:vAlign w:val="center"/>
          </w:tcPr>
          <w:p w14:paraId="3A2CCF57">
            <w:pPr>
              <w:rPr>
                <w:rFonts w:hint="eastAsia" w:asciiTheme="majorEastAsia" w:hAnsiTheme="majorEastAsia" w:eastAsiaTheme="majorEastAsia" w:cstheme="majorEastAsia"/>
                <w:sz w:val="28"/>
                <w:szCs w:val="28"/>
              </w:rPr>
            </w:pPr>
          </w:p>
        </w:tc>
        <w:tc>
          <w:tcPr>
            <w:tcW w:w="570" w:type="pct"/>
            <w:vAlign w:val="center"/>
          </w:tcPr>
          <w:p w14:paraId="42041BD8">
            <w:pPr>
              <w:rPr>
                <w:rFonts w:hint="eastAsia" w:asciiTheme="majorEastAsia" w:hAnsiTheme="majorEastAsia" w:eastAsiaTheme="majorEastAsia" w:cstheme="majorEastAsia"/>
                <w:sz w:val="28"/>
                <w:szCs w:val="28"/>
              </w:rPr>
            </w:pPr>
          </w:p>
        </w:tc>
        <w:tc>
          <w:tcPr>
            <w:tcW w:w="1010" w:type="pct"/>
            <w:vMerge w:val="continue"/>
            <w:vAlign w:val="center"/>
          </w:tcPr>
          <w:p w14:paraId="28F4A5B5">
            <w:pPr>
              <w:rPr>
                <w:rFonts w:hint="eastAsia" w:asciiTheme="majorEastAsia" w:hAnsiTheme="majorEastAsia" w:eastAsiaTheme="majorEastAsia" w:cstheme="majorEastAsia"/>
                <w:sz w:val="28"/>
                <w:szCs w:val="28"/>
              </w:rPr>
            </w:pPr>
          </w:p>
        </w:tc>
        <w:tc>
          <w:tcPr>
            <w:tcW w:w="621" w:type="pct"/>
            <w:vMerge w:val="continue"/>
          </w:tcPr>
          <w:p w14:paraId="1A01D296">
            <w:pPr>
              <w:rPr>
                <w:rFonts w:hint="eastAsia" w:asciiTheme="majorEastAsia" w:hAnsiTheme="majorEastAsia" w:eastAsiaTheme="majorEastAsia" w:cstheme="majorEastAsia"/>
                <w:sz w:val="28"/>
                <w:szCs w:val="28"/>
              </w:rPr>
            </w:pPr>
          </w:p>
        </w:tc>
        <w:tc>
          <w:tcPr>
            <w:tcW w:w="582" w:type="pct"/>
            <w:vMerge w:val="continue"/>
          </w:tcPr>
          <w:p w14:paraId="1498CCD2">
            <w:pPr>
              <w:rPr>
                <w:rFonts w:hint="eastAsia" w:asciiTheme="majorEastAsia" w:hAnsiTheme="majorEastAsia" w:eastAsiaTheme="majorEastAsia" w:cstheme="majorEastAsia"/>
                <w:sz w:val="28"/>
                <w:szCs w:val="28"/>
              </w:rPr>
            </w:pPr>
          </w:p>
        </w:tc>
      </w:tr>
      <w:tr w14:paraId="61492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7" w:type="pct"/>
            <w:vAlign w:val="center"/>
          </w:tcPr>
          <w:p w14:paraId="51989462">
            <w:pPr>
              <w:rPr>
                <w:rFonts w:hint="eastAsia" w:asciiTheme="majorEastAsia" w:hAnsiTheme="majorEastAsia" w:eastAsiaTheme="majorEastAsia" w:cstheme="majorEastAsia"/>
                <w:sz w:val="28"/>
                <w:szCs w:val="28"/>
              </w:rPr>
            </w:pPr>
          </w:p>
        </w:tc>
        <w:tc>
          <w:tcPr>
            <w:tcW w:w="705" w:type="pct"/>
            <w:vAlign w:val="center"/>
          </w:tcPr>
          <w:p w14:paraId="446A525A">
            <w:pPr>
              <w:rPr>
                <w:rFonts w:hint="eastAsia" w:asciiTheme="majorEastAsia" w:hAnsiTheme="majorEastAsia" w:eastAsiaTheme="majorEastAsia" w:cstheme="majorEastAsia"/>
                <w:sz w:val="28"/>
                <w:szCs w:val="28"/>
              </w:rPr>
            </w:pPr>
          </w:p>
        </w:tc>
        <w:tc>
          <w:tcPr>
            <w:tcW w:w="832" w:type="pct"/>
            <w:vAlign w:val="center"/>
          </w:tcPr>
          <w:p w14:paraId="54A6D0AA">
            <w:pPr>
              <w:rPr>
                <w:rFonts w:hint="eastAsia" w:asciiTheme="majorEastAsia" w:hAnsiTheme="majorEastAsia" w:eastAsiaTheme="majorEastAsia" w:cstheme="majorEastAsia"/>
                <w:sz w:val="28"/>
                <w:szCs w:val="28"/>
              </w:rPr>
            </w:pPr>
          </w:p>
        </w:tc>
        <w:tc>
          <w:tcPr>
            <w:tcW w:w="570" w:type="pct"/>
            <w:vAlign w:val="center"/>
          </w:tcPr>
          <w:p w14:paraId="3DE01D78">
            <w:pPr>
              <w:rPr>
                <w:rFonts w:hint="eastAsia" w:asciiTheme="majorEastAsia" w:hAnsiTheme="majorEastAsia" w:eastAsiaTheme="majorEastAsia" w:cstheme="majorEastAsia"/>
                <w:sz w:val="28"/>
                <w:szCs w:val="28"/>
              </w:rPr>
            </w:pPr>
          </w:p>
        </w:tc>
        <w:tc>
          <w:tcPr>
            <w:tcW w:w="1010" w:type="pct"/>
            <w:vMerge w:val="continue"/>
            <w:vAlign w:val="center"/>
          </w:tcPr>
          <w:p w14:paraId="278BA12C">
            <w:pPr>
              <w:rPr>
                <w:rFonts w:hint="eastAsia" w:asciiTheme="majorEastAsia" w:hAnsiTheme="majorEastAsia" w:eastAsiaTheme="majorEastAsia" w:cstheme="majorEastAsia"/>
                <w:sz w:val="28"/>
                <w:szCs w:val="28"/>
              </w:rPr>
            </w:pPr>
          </w:p>
        </w:tc>
        <w:tc>
          <w:tcPr>
            <w:tcW w:w="621" w:type="pct"/>
            <w:vMerge w:val="continue"/>
          </w:tcPr>
          <w:p w14:paraId="08DD6398">
            <w:pPr>
              <w:rPr>
                <w:rFonts w:hint="eastAsia" w:asciiTheme="majorEastAsia" w:hAnsiTheme="majorEastAsia" w:eastAsiaTheme="majorEastAsia" w:cstheme="majorEastAsia"/>
                <w:sz w:val="28"/>
                <w:szCs w:val="28"/>
              </w:rPr>
            </w:pPr>
          </w:p>
        </w:tc>
        <w:tc>
          <w:tcPr>
            <w:tcW w:w="582" w:type="pct"/>
            <w:vMerge w:val="continue"/>
          </w:tcPr>
          <w:p w14:paraId="329E40A4">
            <w:pPr>
              <w:rPr>
                <w:rFonts w:hint="eastAsia" w:asciiTheme="majorEastAsia" w:hAnsiTheme="majorEastAsia" w:eastAsiaTheme="majorEastAsia" w:cstheme="majorEastAsia"/>
                <w:sz w:val="28"/>
                <w:szCs w:val="28"/>
              </w:rPr>
            </w:pPr>
          </w:p>
        </w:tc>
      </w:tr>
      <w:tr w14:paraId="27F2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677" w:type="pct"/>
            <w:vAlign w:val="center"/>
          </w:tcPr>
          <w:p w14:paraId="09B9A147">
            <w:pPr>
              <w:rPr>
                <w:rFonts w:hint="eastAsia" w:asciiTheme="majorEastAsia" w:hAnsiTheme="majorEastAsia" w:eastAsiaTheme="majorEastAsia" w:cstheme="majorEastAsia"/>
                <w:sz w:val="28"/>
                <w:szCs w:val="28"/>
              </w:rPr>
            </w:pPr>
          </w:p>
        </w:tc>
        <w:tc>
          <w:tcPr>
            <w:tcW w:w="705" w:type="pct"/>
            <w:vAlign w:val="center"/>
          </w:tcPr>
          <w:p w14:paraId="43060B6B">
            <w:pPr>
              <w:rPr>
                <w:rFonts w:hint="eastAsia" w:asciiTheme="majorEastAsia" w:hAnsiTheme="majorEastAsia" w:eastAsiaTheme="majorEastAsia" w:cstheme="majorEastAsia"/>
                <w:sz w:val="28"/>
                <w:szCs w:val="28"/>
              </w:rPr>
            </w:pPr>
          </w:p>
        </w:tc>
        <w:tc>
          <w:tcPr>
            <w:tcW w:w="832" w:type="pct"/>
            <w:vAlign w:val="center"/>
          </w:tcPr>
          <w:p w14:paraId="57DA0F01">
            <w:pPr>
              <w:rPr>
                <w:rFonts w:hint="eastAsia" w:asciiTheme="majorEastAsia" w:hAnsiTheme="majorEastAsia" w:eastAsiaTheme="majorEastAsia" w:cstheme="majorEastAsia"/>
                <w:sz w:val="28"/>
                <w:szCs w:val="28"/>
              </w:rPr>
            </w:pPr>
          </w:p>
        </w:tc>
        <w:tc>
          <w:tcPr>
            <w:tcW w:w="570" w:type="pct"/>
            <w:vAlign w:val="center"/>
          </w:tcPr>
          <w:p w14:paraId="2A9DA7CD">
            <w:pPr>
              <w:rPr>
                <w:rFonts w:hint="eastAsia" w:asciiTheme="majorEastAsia" w:hAnsiTheme="majorEastAsia" w:eastAsiaTheme="majorEastAsia" w:cstheme="majorEastAsia"/>
                <w:sz w:val="28"/>
                <w:szCs w:val="28"/>
              </w:rPr>
            </w:pPr>
          </w:p>
        </w:tc>
        <w:tc>
          <w:tcPr>
            <w:tcW w:w="1010" w:type="pct"/>
            <w:vMerge w:val="continue"/>
            <w:vAlign w:val="center"/>
          </w:tcPr>
          <w:p w14:paraId="1FB4A73A">
            <w:pPr>
              <w:rPr>
                <w:rFonts w:hint="eastAsia" w:asciiTheme="majorEastAsia" w:hAnsiTheme="majorEastAsia" w:eastAsiaTheme="majorEastAsia" w:cstheme="majorEastAsia"/>
                <w:sz w:val="28"/>
                <w:szCs w:val="28"/>
              </w:rPr>
            </w:pPr>
          </w:p>
        </w:tc>
        <w:tc>
          <w:tcPr>
            <w:tcW w:w="621" w:type="pct"/>
            <w:vMerge w:val="continue"/>
          </w:tcPr>
          <w:p w14:paraId="1E205791">
            <w:pPr>
              <w:rPr>
                <w:rFonts w:hint="eastAsia" w:asciiTheme="majorEastAsia" w:hAnsiTheme="majorEastAsia" w:eastAsiaTheme="majorEastAsia" w:cstheme="majorEastAsia"/>
                <w:sz w:val="28"/>
                <w:szCs w:val="28"/>
              </w:rPr>
            </w:pPr>
          </w:p>
        </w:tc>
        <w:tc>
          <w:tcPr>
            <w:tcW w:w="582" w:type="pct"/>
            <w:vMerge w:val="continue"/>
          </w:tcPr>
          <w:p w14:paraId="58D4F514">
            <w:pPr>
              <w:rPr>
                <w:rFonts w:hint="eastAsia" w:asciiTheme="majorEastAsia" w:hAnsiTheme="majorEastAsia" w:eastAsiaTheme="majorEastAsia" w:cstheme="majorEastAsia"/>
                <w:sz w:val="28"/>
                <w:szCs w:val="28"/>
              </w:rPr>
            </w:pPr>
          </w:p>
        </w:tc>
      </w:tr>
      <w:tr w14:paraId="50780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7" w:type="pct"/>
            <w:vAlign w:val="center"/>
          </w:tcPr>
          <w:p w14:paraId="078C7969">
            <w:pPr>
              <w:rPr>
                <w:rFonts w:hint="eastAsia" w:asciiTheme="majorEastAsia" w:hAnsiTheme="majorEastAsia" w:eastAsiaTheme="majorEastAsia" w:cstheme="majorEastAsia"/>
                <w:sz w:val="28"/>
                <w:szCs w:val="28"/>
              </w:rPr>
            </w:pPr>
          </w:p>
        </w:tc>
        <w:tc>
          <w:tcPr>
            <w:tcW w:w="705" w:type="pct"/>
            <w:vAlign w:val="center"/>
          </w:tcPr>
          <w:p w14:paraId="3172C96C">
            <w:pPr>
              <w:rPr>
                <w:rFonts w:hint="eastAsia" w:asciiTheme="majorEastAsia" w:hAnsiTheme="majorEastAsia" w:eastAsiaTheme="majorEastAsia" w:cstheme="majorEastAsia"/>
                <w:sz w:val="28"/>
                <w:szCs w:val="28"/>
              </w:rPr>
            </w:pPr>
          </w:p>
        </w:tc>
        <w:tc>
          <w:tcPr>
            <w:tcW w:w="832" w:type="pct"/>
            <w:vAlign w:val="center"/>
          </w:tcPr>
          <w:p w14:paraId="6DD92B47">
            <w:pPr>
              <w:rPr>
                <w:rFonts w:hint="eastAsia" w:asciiTheme="majorEastAsia" w:hAnsiTheme="majorEastAsia" w:eastAsiaTheme="majorEastAsia" w:cstheme="majorEastAsia"/>
                <w:sz w:val="28"/>
                <w:szCs w:val="28"/>
              </w:rPr>
            </w:pPr>
          </w:p>
        </w:tc>
        <w:tc>
          <w:tcPr>
            <w:tcW w:w="570" w:type="pct"/>
            <w:vAlign w:val="center"/>
          </w:tcPr>
          <w:p w14:paraId="6FB4DD77">
            <w:pPr>
              <w:rPr>
                <w:rFonts w:hint="eastAsia" w:asciiTheme="majorEastAsia" w:hAnsiTheme="majorEastAsia" w:eastAsiaTheme="majorEastAsia" w:cstheme="majorEastAsia"/>
                <w:sz w:val="28"/>
                <w:szCs w:val="28"/>
              </w:rPr>
            </w:pPr>
          </w:p>
        </w:tc>
        <w:tc>
          <w:tcPr>
            <w:tcW w:w="1010" w:type="pct"/>
            <w:vMerge w:val="continue"/>
            <w:vAlign w:val="center"/>
          </w:tcPr>
          <w:p w14:paraId="6EB7245B">
            <w:pPr>
              <w:rPr>
                <w:rFonts w:hint="eastAsia" w:asciiTheme="majorEastAsia" w:hAnsiTheme="majorEastAsia" w:eastAsiaTheme="majorEastAsia" w:cstheme="majorEastAsia"/>
                <w:sz w:val="28"/>
                <w:szCs w:val="28"/>
              </w:rPr>
            </w:pPr>
          </w:p>
        </w:tc>
        <w:tc>
          <w:tcPr>
            <w:tcW w:w="621" w:type="pct"/>
            <w:vMerge w:val="continue"/>
          </w:tcPr>
          <w:p w14:paraId="0203CA61">
            <w:pPr>
              <w:rPr>
                <w:rFonts w:hint="eastAsia" w:asciiTheme="majorEastAsia" w:hAnsiTheme="majorEastAsia" w:eastAsiaTheme="majorEastAsia" w:cstheme="majorEastAsia"/>
                <w:sz w:val="28"/>
                <w:szCs w:val="28"/>
              </w:rPr>
            </w:pPr>
          </w:p>
        </w:tc>
        <w:tc>
          <w:tcPr>
            <w:tcW w:w="582" w:type="pct"/>
            <w:vMerge w:val="continue"/>
          </w:tcPr>
          <w:p w14:paraId="7757C07D">
            <w:pPr>
              <w:rPr>
                <w:rFonts w:hint="eastAsia" w:asciiTheme="majorEastAsia" w:hAnsiTheme="majorEastAsia" w:eastAsiaTheme="majorEastAsia" w:cstheme="majorEastAsia"/>
                <w:sz w:val="28"/>
                <w:szCs w:val="28"/>
              </w:rPr>
            </w:pPr>
          </w:p>
        </w:tc>
      </w:tr>
      <w:tr w14:paraId="77E2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7" w:type="pct"/>
            <w:vAlign w:val="center"/>
          </w:tcPr>
          <w:p w14:paraId="6B612667">
            <w:pPr>
              <w:rPr>
                <w:rFonts w:hint="eastAsia" w:asciiTheme="majorEastAsia" w:hAnsiTheme="majorEastAsia" w:eastAsiaTheme="majorEastAsia" w:cstheme="majorEastAsia"/>
                <w:sz w:val="28"/>
                <w:szCs w:val="28"/>
              </w:rPr>
            </w:pPr>
          </w:p>
        </w:tc>
        <w:tc>
          <w:tcPr>
            <w:tcW w:w="705" w:type="pct"/>
            <w:vAlign w:val="center"/>
          </w:tcPr>
          <w:p w14:paraId="6C7B19D5">
            <w:pPr>
              <w:rPr>
                <w:rFonts w:hint="eastAsia" w:asciiTheme="majorEastAsia" w:hAnsiTheme="majorEastAsia" w:eastAsiaTheme="majorEastAsia" w:cstheme="majorEastAsia"/>
                <w:sz w:val="28"/>
                <w:szCs w:val="28"/>
              </w:rPr>
            </w:pPr>
          </w:p>
        </w:tc>
        <w:tc>
          <w:tcPr>
            <w:tcW w:w="832" w:type="pct"/>
            <w:vAlign w:val="center"/>
          </w:tcPr>
          <w:p w14:paraId="4A6748FD">
            <w:pPr>
              <w:rPr>
                <w:rFonts w:hint="eastAsia" w:asciiTheme="majorEastAsia" w:hAnsiTheme="majorEastAsia" w:eastAsiaTheme="majorEastAsia" w:cstheme="majorEastAsia"/>
                <w:sz w:val="28"/>
                <w:szCs w:val="28"/>
              </w:rPr>
            </w:pPr>
          </w:p>
        </w:tc>
        <w:tc>
          <w:tcPr>
            <w:tcW w:w="570" w:type="pct"/>
            <w:vAlign w:val="center"/>
          </w:tcPr>
          <w:p w14:paraId="634CFC7F">
            <w:pPr>
              <w:rPr>
                <w:rFonts w:hint="eastAsia" w:asciiTheme="majorEastAsia" w:hAnsiTheme="majorEastAsia" w:eastAsiaTheme="majorEastAsia" w:cstheme="majorEastAsia"/>
                <w:sz w:val="28"/>
                <w:szCs w:val="28"/>
              </w:rPr>
            </w:pPr>
          </w:p>
        </w:tc>
        <w:tc>
          <w:tcPr>
            <w:tcW w:w="1010" w:type="pct"/>
            <w:vMerge w:val="continue"/>
            <w:vAlign w:val="center"/>
          </w:tcPr>
          <w:p w14:paraId="2972651B">
            <w:pPr>
              <w:rPr>
                <w:rFonts w:hint="eastAsia" w:asciiTheme="majorEastAsia" w:hAnsiTheme="majorEastAsia" w:eastAsiaTheme="majorEastAsia" w:cstheme="majorEastAsia"/>
                <w:sz w:val="28"/>
                <w:szCs w:val="28"/>
              </w:rPr>
            </w:pPr>
          </w:p>
        </w:tc>
        <w:tc>
          <w:tcPr>
            <w:tcW w:w="621" w:type="pct"/>
            <w:vMerge w:val="continue"/>
          </w:tcPr>
          <w:p w14:paraId="0336DCA5">
            <w:pPr>
              <w:rPr>
                <w:rFonts w:hint="eastAsia" w:asciiTheme="majorEastAsia" w:hAnsiTheme="majorEastAsia" w:eastAsiaTheme="majorEastAsia" w:cstheme="majorEastAsia"/>
                <w:sz w:val="28"/>
                <w:szCs w:val="28"/>
              </w:rPr>
            </w:pPr>
          </w:p>
        </w:tc>
        <w:tc>
          <w:tcPr>
            <w:tcW w:w="582" w:type="pct"/>
            <w:vMerge w:val="continue"/>
          </w:tcPr>
          <w:p w14:paraId="343AB8E8">
            <w:pPr>
              <w:rPr>
                <w:rFonts w:hint="eastAsia" w:asciiTheme="majorEastAsia" w:hAnsiTheme="majorEastAsia" w:eastAsiaTheme="majorEastAsia" w:cstheme="majorEastAsia"/>
                <w:sz w:val="28"/>
                <w:szCs w:val="28"/>
              </w:rPr>
            </w:pPr>
          </w:p>
        </w:tc>
      </w:tr>
      <w:tr w14:paraId="471F4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7" w:type="pct"/>
            <w:vAlign w:val="center"/>
          </w:tcPr>
          <w:p w14:paraId="6F797608">
            <w:pPr>
              <w:rPr>
                <w:rFonts w:hint="eastAsia" w:asciiTheme="majorEastAsia" w:hAnsiTheme="majorEastAsia" w:eastAsiaTheme="majorEastAsia" w:cstheme="majorEastAsia"/>
                <w:sz w:val="28"/>
                <w:szCs w:val="28"/>
              </w:rPr>
            </w:pPr>
          </w:p>
        </w:tc>
        <w:tc>
          <w:tcPr>
            <w:tcW w:w="705" w:type="pct"/>
            <w:vAlign w:val="center"/>
          </w:tcPr>
          <w:p w14:paraId="25DB0221">
            <w:pPr>
              <w:rPr>
                <w:rFonts w:hint="eastAsia" w:asciiTheme="majorEastAsia" w:hAnsiTheme="majorEastAsia" w:eastAsiaTheme="majorEastAsia" w:cstheme="majorEastAsia"/>
                <w:sz w:val="28"/>
                <w:szCs w:val="28"/>
              </w:rPr>
            </w:pPr>
          </w:p>
        </w:tc>
        <w:tc>
          <w:tcPr>
            <w:tcW w:w="832" w:type="pct"/>
            <w:vAlign w:val="center"/>
          </w:tcPr>
          <w:p w14:paraId="7D24CFEE">
            <w:pPr>
              <w:rPr>
                <w:rFonts w:hint="eastAsia" w:asciiTheme="majorEastAsia" w:hAnsiTheme="majorEastAsia" w:eastAsiaTheme="majorEastAsia" w:cstheme="majorEastAsia"/>
                <w:sz w:val="28"/>
                <w:szCs w:val="28"/>
              </w:rPr>
            </w:pPr>
          </w:p>
        </w:tc>
        <w:tc>
          <w:tcPr>
            <w:tcW w:w="570" w:type="pct"/>
            <w:vAlign w:val="center"/>
          </w:tcPr>
          <w:p w14:paraId="23660935">
            <w:pPr>
              <w:rPr>
                <w:rFonts w:hint="eastAsia" w:asciiTheme="majorEastAsia" w:hAnsiTheme="majorEastAsia" w:eastAsiaTheme="majorEastAsia" w:cstheme="majorEastAsia"/>
                <w:sz w:val="28"/>
                <w:szCs w:val="28"/>
              </w:rPr>
            </w:pPr>
          </w:p>
        </w:tc>
        <w:tc>
          <w:tcPr>
            <w:tcW w:w="1010" w:type="pct"/>
            <w:vMerge w:val="continue"/>
            <w:vAlign w:val="center"/>
          </w:tcPr>
          <w:p w14:paraId="05C0B032">
            <w:pPr>
              <w:rPr>
                <w:rFonts w:hint="eastAsia" w:asciiTheme="majorEastAsia" w:hAnsiTheme="majorEastAsia" w:eastAsiaTheme="majorEastAsia" w:cstheme="majorEastAsia"/>
                <w:sz w:val="28"/>
                <w:szCs w:val="28"/>
              </w:rPr>
            </w:pPr>
          </w:p>
        </w:tc>
        <w:tc>
          <w:tcPr>
            <w:tcW w:w="621" w:type="pct"/>
            <w:vMerge w:val="continue"/>
          </w:tcPr>
          <w:p w14:paraId="44DB624C">
            <w:pPr>
              <w:rPr>
                <w:rFonts w:hint="eastAsia" w:asciiTheme="majorEastAsia" w:hAnsiTheme="majorEastAsia" w:eastAsiaTheme="majorEastAsia" w:cstheme="majorEastAsia"/>
                <w:sz w:val="28"/>
                <w:szCs w:val="28"/>
              </w:rPr>
            </w:pPr>
          </w:p>
        </w:tc>
        <w:tc>
          <w:tcPr>
            <w:tcW w:w="582" w:type="pct"/>
            <w:vMerge w:val="continue"/>
          </w:tcPr>
          <w:p w14:paraId="16CDA218">
            <w:pPr>
              <w:rPr>
                <w:rFonts w:hint="eastAsia" w:asciiTheme="majorEastAsia" w:hAnsiTheme="majorEastAsia" w:eastAsiaTheme="majorEastAsia" w:cstheme="majorEastAsia"/>
                <w:sz w:val="28"/>
                <w:szCs w:val="28"/>
              </w:rPr>
            </w:pPr>
          </w:p>
        </w:tc>
      </w:tr>
      <w:tr w14:paraId="39984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7" w:type="pct"/>
            <w:vAlign w:val="center"/>
          </w:tcPr>
          <w:p w14:paraId="386C888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合计</w:t>
            </w:r>
          </w:p>
        </w:tc>
        <w:tc>
          <w:tcPr>
            <w:tcW w:w="705" w:type="pct"/>
            <w:vAlign w:val="center"/>
          </w:tcPr>
          <w:p w14:paraId="3DE3A501">
            <w:pPr>
              <w:rPr>
                <w:rFonts w:hint="eastAsia" w:asciiTheme="majorEastAsia" w:hAnsiTheme="majorEastAsia" w:eastAsiaTheme="majorEastAsia" w:cstheme="majorEastAsia"/>
                <w:sz w:val="28"/>
                <w:szCs w:val="28"/>
              </w:rPr>
            </w:pPr>
          </w:p>
        </w:tc>
        <w:tc>
          <w:tcPr>
            <w:tcW w:w="832" w:type="pct"/>
            <w:vAlign w:val="center"/>
          </w:tcPr>
          <w:p w14:paraId="5BF44023">
            <w:pPr>
              <w:rPr>
                <w:rFonts w:hint="eastAsia" w:asciiTheme="majorEastAsia" w:hAnsiTheme="majorEastAsia" w:eastAsiaTheme="majorEastAsia" w:cstheme="majorEastAsia"/>
                <w:sz w:val="28"/>
                <w:szCs w:val="28"/>
              </w:rPr>
            </w:pPr>
          </w:p>
        </w:tc>
        <w:tc>
          <w:tcPr>
            <w:tcW w:w="570" w:type="pct"/>
            <w:vAlign w:val="center"/>
          </w:tcPr>
          <w:p w14:paraId="7A7037ED">
            <w:pPr>
              <w:rPr>
                <w:rFonts w:hint="eastAsia" w:asciiTheme="majorEastAsia" w:hAnsiTheme="majorEastAsia" w:eastAsiaTheme="majorEastAsia" w:cstheme="majorEastAsia"/>
                <w:sz w:val="28"/>
                <w:szCs w:val="28"/>
              </w:rPr>
            </w:pPr>
          </w:p>
        </w:tc>
        <w:tc>
          <w:tcPr>
            <w:tcW w:w="1010" w:type="pct"/>
            <w:vMerge w:val="continue"/>
            <w:vAlign w:val="center"/>
          </w:tcPr>
          <w:p w14:paraId="39A395E1">
            <w:pPr>
              <w:rPr>
                <w:rFonts w:hint="eastAsia" w:asciiTheme="majorEastAsia" w:hAnsiTheme="majorEastAsia" w:eastAsiaTheme="majorEastAsia" w:cstheme="majorEastAsia"/>
                <w:sz w:val="28"/>
                <w:szCs w:val="28"/>
              </w:rPr>
            </w:pPr>
          </w:p>
        </w:tc>
        <w:tc>
          <w:tcPr>
            <w:tcW w:w="621" w:type="pct"/>
            <w:vMerge w:val="continue"/>
          </w:tcPr>
          <w:p w14:paraId="1415F0F0">
            <w:pPr>
              <w:rPr>
                <w:rFonts w:hint="eastAsia" w:asciiTheme="majorEastAsia" w:hAnsiTheme="majorEastAsia" w:eastAsiaTheme="majorEastAsia" w:cstheme="majorEastAsia"/>
                <w:sz w:val="28"/>
                <w:szCs w:val="28"/>
              </w:rPr>
            </w:pPr>
          </w:p>
        </w:tc>
        <w:tc>
          <w:tcPr>
            <w:tcW w:w="582" w:type="pct"/>
            <w:vMerge w:val="continue"/>
          </w:tcPr>
          <w:p w14:paraId="23E4FFF8">
            <w:pPr>
              <w:rPr>
                <w:rFonts w:hint="eastAsia" w:asciiTheme="majorEastAsia" w:hAnsiTheme="majorEastAsia" w:eastAsiaTheme="majorEastAsia" w:cstheme="majorEastAsia"/>
                <w:sz w:val="28"/>
                <w:szCs w:val="28"/>
              </w:rPr>
            </w:pPr>
          </w:p>
        </w:tc>
      </w:tr>
    </w:tbl>
    <w:p w14:paraId="6C8EF44D">
      <w:pPr>
        <w:rPr>
          <w:rFonts w:hint="eastAsia" w:asciiTheme="majorEastAsia" w:hAnsiTheme="majorEastAsia" w:eastAsiaTheme="majorEastAsia" w:cstheme="majorEastAsia"/>
          <w:sz w:val="28"/>
          <w:szCs w:val="28"/>
        </w:rPr>
      </w:pPr>
    </w:p>
    <w:p w14:paraId="2724D24E">
      <w:pPr>
        <w:rPr>
          <w:rFonts w:hint="eastAsia" w:asciiTheme="majorEastAsia" w:hAnsiTheme="majorEastAsia" w:eastAsiaTheme="majorEastAsia" w:cstheme="majorEastAsia"/>
          <w:sz w:val="28"/>
          <w:szCs w:val="28"/>
        </w:rPr>
        <w:sectPr>
          <w:pgSz w:w="16838" w:h="11906" w:orient="landscape"/>
          <w:pgMar w:top="1800" w:right="1440" w:bottom="1800" w:left="1440" w:header="851" w:footer="992" w:gutter="0"/>
          <w:cols w:space="720" w:num="1"/>
          <w:docGrid w:type="lines" w:linePitch="312" w:charSpace="0"/>
        </w:sectPr>
      </w:pPr>
    </w:p>
    <w:p w14:paraId="7506ABB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附件2</w:t>
      </w:r>
    </w:p>
    <w:p w14:paraId="75C09FA6">
      <w:pPr>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周至县城市道路清扫保洁、公厕管护、</w:t>
      </w:r>
    </w:p>
    <w:p w14:paraId="46AEFD62">
      <w:pPr>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垃圾清运市场化检查考核办法</w:t>
      </w:r>
    </w:p>
    <w:p w14:paraId="104CF413">
      <w:pPr>
        <w:rPr>
          <w:rFonts w:hint="eastAsia" w:asciiTheme="majorEastAsia" w:hAnsiTheme="majorEastAsia" w:eastAsiaTheme="majorEastAsia" w:cstheme="majorEastAsia"/>
          <w:sz w:val="28"/>
          <w:szCs w:val="28"/>
        </w:rPr>
      </w:pPr>
    </w:p>
    <w:p w14:paraId="229C8181">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为了切实加强清扫保洁、公厕管护、垃圾清运市场化服务运作的管理，完善考核监管机制，推动工作落实，切实提升市场化作业服务质量，根据《周至县城市道路清扫保洁作业标准及检查考核办法》等标准及规章制度，结合市场化合同的约定及历年工作中的经验，特制定本检查考核办法。</w:t>
      </w:r>
    </w:p>
    <w:p w14:paraId="32AA8E7D">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一、指导思想</w:t>
      </w:r>
    </w:p>
    <w:p w14:paraId="70BD58BA">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为了提高清扫保洁、公厕管护、垃圾清运市场化运营的监督、管理水平。促进我县清扫保洁、公厕管护、垃圾清运质量的稳定和提高，营造良好的城市生活环境，更好的服务群众。</w:t>
      </w:r>
    </w:p>
    <w:p w14:paraId="30905F00">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二、组织机构及职责</w:t>
      </w:r>
    </w:p>
    <w:p w14:paraId="6BAF7335">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成立市场化运作质量考核领导小组，由局长任组长、分管副局长任副组长、成员由局相关科室、单位临时召集工作人员组成。办公室设在环卫所。环卫所负责清扫保洁公司的日常检查及管理工作。</w:t>
      </w:r>
    </w:p>
    <w:p w14:paraId="26292A9B">
      <w:pPr>
        <w:spacing w:line="540" w:lineRule="exact"/>
        <w:ind w:firstLine="420" w:firstLineChars="15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领导小组办公室负责组织每月不定期的集中考核，人员由环卫所临时抽调人员组成。</w:t>
      </w:r>
    </w:p>
    <w:p w14:paraId="60F9CA98">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三、考核标准及评分标准</w:t>
      </w:r>
    </w:p>
    <w:p w14:paraId="0D4BB914">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（一）《西安市城市道路清扫保洁技术规范》</w:t>
      </w:r>
    </w:p>
    <w:p w14:paraId="1B714A10">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（二）《周至县道路清扫保洁、垃圾清运、公厕管护市场化运作服务合同》</w:t>
      </w:r>
    </w:p>
    <w:p w14:paraId="79380D92">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四、检查考核方式及结果运用</w:t>
      </w:r>
    </w:p>
    <w:p w14:paraId="3000E81C">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（一）检查考核方式。考核通过日常考核与月度考核相结合的方式进行，全面了解掌握作业服务单位执行合同的服务项目与作业质量。</w:t>
      </w:r>
    </w:p>
    <w:p w14:paraId="34EF999B">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1、日常检查：由环卫所安排人员负责对清扫保洁、垃圾清运、公厕管护日常作业的检查，并对存在的问题进行跟踪督促，直至存在问题在规定时间内整改结束。</w:t>
      </w:r>
    </w:p>
    <w:p w14:paraId="06421C24">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2、集中检查：由环卫所组织抽调人员，按照精细化考核的要求，每月两次随机检查各保洁公司三条道路进行考核。</w:t>
      </w:r>
    </w:p>
    <w:p w14:paraId="21936154">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3、月考核：按照西安市城市管理和综合执法局考核结果，对各公司进行赋分。</w:t>
      </w:r>
    </w:p>
    <w:p w14:paraId="106B3D4E">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4、每年开展一次群众满意度调查。</w:t>
      </w:r>
    </w:p>
    <w:p w14:paraId="44237127">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（二）结果运用。按照合同约定，环卫所日常监督检查、集中检查、市上集中检查，作为每月拨付公司费用的依据。</w:t>
      </w:r>
    </w:p>
    <w:p w14:paraId="2CEB115F">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五、相关要求</w:t>
      </w:r>
    </w:p>
    <w:p w14:paraId="05D27F46">
      <w:pPr>
        <w:spacing w:line="540" w:lineRule="exact"/>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考核遵循公开、公正、公平原则，参与人员必须严格遵守廉洁自律的相关要求，客观自主的按照相关标准进行打分。</w:t>
      </w:r>
    </w:p>
    <w:p w14:paraId="6A01BA0C">
      <w:pPr>
        <w:spacing w:line="540" w:lineRule="exact"/>
        <w:rPr>
          <w:rFonts w:hint="eastAsia" w:asciiTheme="majorEastAsia" w:hAnsiTheme="majorEastAsia" w:eastAsiaTheme="majorEastAsia" w:cstheme="majorEastAsia"/>
          <w:spacing w:val="-11"/>
          <w:kern w:val="0"/>
          <w:sz w:val="28"/>
          <w:szCs w:val="28"/>
        </w:rPr>
      </w:pPr>
    </w:p>
    <w:p w14:paraId="0C7D048A">
      <w:pPr>
        <w:spacing w:line="540" w:lineRule="exact"/>
        <w:rPr>
          <w:rFonts w:hint="eastAsia" w:asciiTheme="majorEastAsia" w:hAnsiTheme="majorEastAsia" w:eastAsiaTheme="majorEastAsia" w:cstheme="majorEastAsia"/>
          <w:spacing w:val="-11"/>
          <w:kern w:val="0"/>
          <w:sz w:val="28"/>
          <w:szCs w:val="28"/>
        </w:rPr>
      </w:pPr>
    </w:p>
    <w:p w14:paraId="57A8743D">
      <w:pPr>
        <w:spacing w:line="540" w:lineRule="exact"/>
        <w:rPr>
          <w:rFonts w:hint="eastAsia" w:asciiTheme="majorEastAsia" w:hAnsiTheme="majorEastAsia" w:eastAsiaTheme="majorEastAsia" w:cstheme="majorEastAsia"/>
          <w:spacing w:val="-11"/>
          <w:kern w:val="0"/>
          <w:sz w:val="28"/>
          <w:szCs w:val="28"/>
        </w:rPr>
      </w:pPr>
    </w:p>
    <w:p w14:paraId="50C447BE">
      <w:pPr>
        <w:rPr>
          <w:rFonts w:hint="eastAsia" w:asciiTheme="majorEastAsia" w:hAnsiTheme="majorEastAsia" w:eastAsiaTheme="majorEastAsia" w:cstheme="majorEastAsia"/>
          <w:sz w:val="28"/>
          <w:szCs w:val="28"/>
        </w:rPr>
      </w:pPr>
      <w:bookmarkStart w:id="4" w:name="_Toc520211006"/>
      <w:bookmarkStart w:id="5" w:name="_Toc532548589"/>
      <w:bookmarkStart w:id="6" w:name="_Toc532548711"/>
      <w:bookmarkStart w:id="7" w:name="_Toc532549556"/>
      <w:bookmarkStart w:id="8" w:name="_Toc519759194"/>
      <w:bookmarkStart w:id="9" w:name="_Toc532547894"/>
      <w:bookmarkStart w:id="10" w:name="_Toc25246652"/>
      <w:bookmarkStart w:id="11" w:name="_Toc5030014"/>
    </w:p>
    <w:p w14:paraId="2E234D44">
      <w:pPr>
        <w:rPr>
          <w:rFonts w:hint="eastAsia" w:asciiTheme="majorEastAsia" w:hAnsiTheme="majorEastAsia" w:eastAsiaTheme="majorEastAsia" w:cstheme="majorEastAsia"/>
          <w:sz w:val="28"/>
          <w:szCs w:val="28"/>
        </w:rPr>
      </w:pPr>
    </w:p>
    <w:p w14:paraId="5CAC7536">
      <w:pPr>
        <w:rPr>
          <w:rFonts w:hint="eastAsia" w:asciiTheme="majorEastAsia" w:hAnsiTheme="majorEastAsia" w:eastAsiaTheme="majorEastAsia" w:cstheme="majorEastAsia"/>
          <w:sz w:val="28"/>
          <w:szCs w:val="28"/>
        </w:rPr>
      </w:pPr>
    </w:p>
    <w:p w14:paraId="124ED013">
      <w:pPr>
        <w:rPr>
          <w:rFonts w:hint="eastAsia" w:asciiTheme="majorEastAsia" w:hAnsiTheme="majorEastAsia" w:eastAsiaTheme="majorEastAsia" w:cstheme="majorEastAsia"/>
          <w:sz w:val="28"/>
          <w:szCs w:val="28"/>
        </w:rPr>
      </w:pPr>
    </w:p>
    <w:p w14:paraId="1C516237">
      <w:pPr>
        <w:pStyle w:val="2"/>
        <w:rPr>
          <w:rFonts w:hint="eastAsia" w:asciiTheme="majorEastAsia" w:hAnsiTheme="majorEastAsia" w:eastAsiaTheme="majorEastAsia" w:cstheme="majorEastAsia"/>
          <w:sz w:val="28"/>
          <w:szCs w:val="28"/>
        </w:rPr>
      </w:pPr>
    </w:p>
    <w:p w14:paraId="452FD45E">
      <w:pPr>
        <w:pStyle w:val="2"/>
        <w:rPr>
          <w:rFonts w:hint="eastAsia" w:asciiTheme="majorEastAsia" w:hAnsiTheme="majorEastAsia" w:eastAsiaTheme="majorEastAsia" w:cstheme="majorEastAsia"/>
          <w:sz w:val="28"/>
          <w:szCs w:val="28"/>
        </w:rPr>
      </w:pPr>
    </w:p>
    <w:p w14:paraId="24CC06CF">
      <w:pPr>
        <w:pStyle w:val="2"/>
        <w:rPr>
          <w:rFonts w:hint="eastAsia" w:asciiTheme="majorEastAsia" w:hAnsiTheme="majorEastAsia" w:eastAsiaTheme="majorEastAsia" w:cstheme="majorEastAsia"/>
          <w:sz w:val="28"/>
          <w:szCs w:val="28"/>
        </w:rPr>
      </w:pPr>
    </w:p>
    <w:p w14:paraId="154949E6">
      <w:pPr>
        <w:rPr>
          <w:rFonts w:hint="eastAsia" w:asciiTheme="majorEastAsia" w:hAnsiTheme="majorEastAsia" w:eastAsiaTheme="majorEastAsia" w:cstheme="majorEastAsia"/>
          <w:sz w:val="28"/>
          <w:szCs w:val="28"/>
        </w:rPr>
      </w:pPr>
    </w:p>
    <w:p w14:paraId="24476BF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附件3      </w:t>
      </w:r>
    </w:p>
    <w:p w14:paraId="31BB8779">
      <w:pPr>
        <w:jc w:val="center"/>
        <w:rPr>
          <w:rFonts w:hint="eastAsia" w:asciiTheme="majorEastAsia" w:hAnsiTheme="majorEastAsia" w:eastAsiaTheme="majorEastAsia" w:cstheme="majorEastAsia"/>
          <w:sz w:val="28"/>
          <w:szCs w:val="28"/>
        </w:rPr>
      </w:pPr>
      <w:bookmarkStart w:id="12" w:name="OLE_LINK4"/>
      <w:bookmarkStart w:id="13" w:name="OLE_LINK3"/>
      <w:r>
        <w:rPr>
          <w:rFonts w:hint="eastAsia" w:asciiTheme="majorEastAsia" w:hAnsiTheme="majorEastAsia" w:eastAsiaTheme="majorEastAsia" w:cstheme="majorEastAsia"/>
          <w:sz w:val="28"/>
          <w:szCs w:val="28"/>
        </w:rPr>
        <w:t>西安市城市道路清扫保洁</w:t>
      </w:r>
      <w:bookmarkEnd w:id="4"/>
      <w:bookmarkEnd w:id="5"/>
      <w:bookmarkEnd w:id="6"/>
      <w:bookmarkEnd w:id="7"/>
      <w:bookmarkEnd w:id="8"/>
      <w:bookmarkEnd w:id="9"/>
      <w:r>
        <w:rPr>
          <w:rFonts w:hint="eastAsia" w:asciiTheme="majorEastAsia" w:hAnsiTheme="majorEastAsia" w:eastAsiaTheme="majorEastAsia" w:cstheme="majorEastAsia"/>
          <w:sz w:val="28"/>
          <w:szCs w:val="28"/>
        </w:rPr>
        <w:t>技术规范</w:t>
      </w:r>
      <w:bookmarkEnd w:id="10"/>
      <w:bookmarkEnd w:id="11"/>
      <w:bookmarkEnd w:id="12"/>
      <w:bookmarkEnd w:id="13"/>
    </w:p>
    <w:p w14:paraId="23FA354C">
      <w:pPr>
        <w:rPr>
          <w:rFonts w:hint="eastAsia" w:asciiTheme="majorEastAsia" w:hAnsiTheme="majorEastAsia" w:eastAsiaTheme="majorEastAsia" w:cstheme="majorEastAsia"/>
          <w:sz w:val="28"/>
          <w:szCs w:val="28"/>
        </w:rPr>
      </w:pPr>
      <w:bookmarkStart w:id="14" w:name="_Toc25246653"/>
      <w:r>
        <w:rPr>
          <w:rFonts w:hint="eastAsia" w:asciiTheme="majorEastAsia" w:hAnsiTheme="majorEastAsia" w:eastAsiaTheme="majorEastAsia" w:cstheme="majorEastAsia"/>
          <w:sz w:val="28"/>
          <w:szCs w:val="28"/>
        </w:rPr>
        <w:t>1  范围</w:t>
      </w:r>
      <w:bookmarkEnd w:id="14"/>
    </w:p>
    <w:p w14:paraId="4CA0E48C">
      <w:pPr>
        <w:rPr>
          <w:rFonts w:hint="eastAsia" w:asciiTheme="majorEastAsia" w:hAnsiTheme="majorEastAsia" w:eastAsiaTheme="majorEastAsia" w:cstheme="majorEastAsia"/>
          <w:sz w:val="28"/>
          <w:szCs w:val="28"/>
        </w:rPr>
      </w:pPr>
      <w:bookmarkStart w:id="15" w:name="_Toc526081772"/>
      <w:bookmarkStart w:id="16" w:name="_Toc532549559"/>
      <w:bookmarkStart w:id="17" w:name="_Toc532547897"/>
      <w:bookmarkStart w:id="18" w:name="_Toc532548592"/>
      <w:bookmarkStart w:id="19" w:name="_Toc526096959"/>
      <w:bookmarkStart w:id="20" w:name="_Toc25246654"/>
      <w:bookmarkStart w:id="21" w:name="_Toc16841470"/>
      <w:bookmarkStart w:id="22" w:name="_Toc525655115"/>
      <w:bookmarkStart w:id="23" w:name="_Toc17296001"/>
      <w:bookmarkStart w:id="24" w:name="_Toc532548714"/>
      <w:bookmarkStart w:id="25" w:name="_Toc17271772"/>
      <w:bookmarkStart w:id="26" w:name="_Toc5030017"/>
      <w:r>
        <w:rPr>
          <w:rFonts w:hint="eastAsia" w:asciiTheme="majorEastAsia" w:hAnsiTheme="majorEastAsia" w:eastAsiaTheme="majorEastAsia" w:cstheme="majorEastAsia"/>
          <w:sz w:val="28"/>
          <w:szCs w:val="28"/>
        </w:rPr>
        <w:t>本文件规定了城市道路清扫保洁的等级划分、作业条件、作业要求、特殊状况下的作业要求、作业评价的要求。</w:t>
      </w:r>
    </w:p>
    <w:p w14:paraId="15820EA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本文件适用于城市道路清扫保洁。</w:t>
      </w:r>
    </w:p>
    <w:bookmarkEnd w:id="15"/>
    <w:bookmarkEnd w:id="16"/>
    <w:bookmarkEnd w:id="17"/>
    <w:bookmarkEnd w:id="18"/>
    <w:bookmarkEnd w:id="19"/>
    <w:bookmarkEnd w:id="20"/>
    <w:bookmarkEnd w:id="21"/>
    <w:bookmarkEnd w:id="22"/>
    <w:bookmarkEnd w:id="23"/>
    <w:bookmarkEnd w:id="24"/>
    <w:bookmarkEnd w:id="25"/>
    <w:bookmarkEnd w:id="26"/>
    <w:p w14:paraId="4E20006C">
      <w:pPr>
        <w:rPr>
          <w:rFonts w:hint="eastAsia" w:asciiTheme="majorEastAsia" w:hAnsiTheme="majorEastAsia" w:eastAsiaTheme="majorEastAsia" w:cstheme="majorEastAsia"/>
          <w:sz w:val="28"/>
          <w:szCs w:val="28"/>
        </w:rPr>
      </w:pPr>
      <w:bookmarkStart w:id="27" w:name="_Toc25246657"/>
      <w:r>
        <w:rPr>
          <w:rFonts w:hint="eastAsia" w:asciiTheme="majorEastAsia" w:hAnsiTheme="majorEastAsia" w:eastAsiaTheme="majorEastAsia" w:cstheme="majorEastAsia"/>
          <w:sz w:val="28"/>
          <w:szCs w:val="28"/>
        </w:rPr>
        <w:t>2  规范性引用文件</w:t>
      </w:r>
      <w:bookmarkEnd w:id="27"/>
      <w:r>
        <w:rPr>
          <w:rFonts w:hint="eastAsia" w:asciiTheme="majorEastAsia" w:hAnsiTheme="majorEastAsia" w:eastAsiaTheme="majorEastAsia" w:cstheme="majorEastAsia"/>
          <w:sz w:val="28"/>
          <w:szCs w:val="28"/>
        </w:rPr>
        <w:tab/>
      </w:r>
    </w:p>
    <w:p w14:paraId="0E6CC17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1DE9EA6">
      <w:pPr>
        <w:rPr>
          <w:rFonts w:hint="eastAsia" w:asciiTheme="majorEastAsia" w:hAnsiTheme="majorEastAsia" w:eastAsiaTheme="majorEastAsia" w:cstheme="majorEastAsia"/>
          <w:sz w:val="28"/>
          <w:szCs w:val="28"/>
        </w:rPr>
      </w:pPr>
      <w:bookmarkStart w:id="28" w:name="_Hlk17129745"/>
      <w:r>
        <w:rPr>
          <w:rFonts w:hint="eastAsia" w:asciiTheme="majorEastAsia" w:hAnsiTheme="majorEastAsia" w:eastAsiaTheme="majorEastAsia" w:cstheme="majorEastAsia"/>
          <w:sz w:val="28"/>
          <w:szCs w:val="28"/>
        </w:rPr>
        <w:t>GB 7258  机动车运行安全技术条件</w:t>
      </w:r>
    </w:p>
    <w:bookmarkEnd w:id="28"/>
    <w:p w14:paraId="5A9172A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GB 20653  防护服装  职业用高可视性警示服</w:t>
      </w:r>
    </w:p>
    <w:p w14:paraId="50E702A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GB/T 23851  融雪剂</w:t>
      </w:r>
    </w:p>
    <w:p w14:paraId="18DFD90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GB/T 28592  降水量等级</w:t>
      </w:r>
    </w:p>
    <w:p w14:paraId="1250138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HYPERLINK "https://www.baidu.com/link?url=bi4LmWmobM1CLx3xCCf9Rz-TvujdM1A8wk13njNta94cgj2mj0xrGk6vRUmJUKTn&amp;wd=&amp;eqid=a29c3613000291ea0000000666176ef2" \t "https://www.baidu.com/_blank"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GB/T 42873  城市公共设施 城市家具 术语</w:t>
      </w:r>
      <w:r>
        <w:rPr>
          <w:rFonts w:hint="eastAsia" w:asciiTheme="majorEastAsia" w:hAnsiTheme="majorEastAsia" w:eastAsiaTheme="majorEastAsia" w:cstheme="majorEastAsia"/>
          <w:sz w:val="28"/>
          <w:szCs w:val="28"/>
        </w:rPr>
        <w:fldChar w:fldCharType="end"/>
      </w:r>
    </w:p>
    <w:p w14:paraId="0DDD7B4E">
      <w:pPr>
        <w:rPr>
          <w:rFonts w:hint="eastAsia" w:asciiTheme="majorEastAsia" w:hAnsiTheme="majorEastAsia" w:eastAsiaTheme="majorEastAsia" w:cstheme="majorEastAsia"/>
          <w:sz w:val="28"/>
          <w:szCs w:val="28"/>
        </w:rPr>
      </w:pPr>
      <w:bookmarkStart w:id="29" w:name="_Hlk17211534"/>
      <w:r>
        <w:rPr>
          <w:rFonts w:hint="eastAsia" w:asciiTheme="majorEastAsia" w:hAnsiTheme="majorEastAsia" w:eastAsiaTheme="majorEastAsia" w:cstheme="majorEastAsia"/>
          <w:sz w:val="28"/>
          <w:szCs w:val="28"/>
        </w:rPr>
        <w:t>CJJ/T 126  城市道路清扫保洁质量与评价标准</w:t>
      </w:r>
    </w:p>
    <w:bookmarkEnd w:id="29"/>
    <w:p w14:paraId="3BF548D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HJ/T 393  防治城市扬尘污染技术规范</w:t>
      </w:r>
    </w:p>
    <w:p w14:paraId="2454A207">
      <w:pPr>
        <w:rPr>
          <w:rFonts w:hint="eastAsia" w:asciiTheme="majorEastAsia" w:hAnsiTheme="majorEastAsia" w:eastAsiaTheme="majorEastAsia" w:cstheme="majorEastAsia"/>
          <w:sz w:val="28"/>
          <w:szCs w:val="28"/>
        </w:rPr>
      </w:pPr>
      <w:bookmarkStart w:id="30" w:name="_Toc25246658"/>
      <w:r>
        <w:rPr>
          <w:rFonts w:hint="eastAsia" w:asciiTheme="majorEastAsia" w:hAnsiTheme="majorEastAsia" w:eastAsiaTheme="majorEastAsia" w:cstheme="majorEastAsia"/>
          <w:sz w:val="28"/>
          <w:szCs w:val="28"/>
        </w:rPr>
        <w:t>3  术语和定义</w:t>
      </w:r>
      <w:bookmarkEnd w:id="30"/>
    </w:p>
    <w:p w14:paraId="405CD579">
      <w:pP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sz w:val="28"/>
          <w:szCs w:val="28"/>
        </w:rPr>
        <w:t>CJJ/T 126和GB/T 42873界定的以及</w:t>
      </w:r>
      <w:r>
        <w:rPr>
          <w:rFonts w:hint="eastAsia" w:asciiTheme="majorEastAsia" w:hAnsiTheme="majorEastAsia" w:eastAsiaTheme="majorEastAsia" w:cstheme="majorEastAsia"/>
          <w:kern w:val="0"/>
          <w:sz w:val="28"/>
          <w:szCs w:val="28"/>
        </w:rPr>
        <w:t>下列术语和定义适用于本文件。</w:t>
      </w:r>
    </w:p>
    <w:p w14:paraId="2858899D">
      <w:pPr>
        <w:rPr>
          <w:rFonts w:hint="eastAsia" w:asciiTheme="majorEastAsia" w:hAnsiTheme="majorEastAsia" w:eastAsiaTheme="majorEastAsia" w:cstheme="majorEastAsia"/>
          <w:sz w:val="28"/>
          <w:szCs w:val="28"/>
        </w:rPr>
      </w:pPr>
      <w:bookmarkStart w:id="31" w:name="_Toc17296006"/>
      <w:bookmarkStart w:id="32" w:name="_Toc16841475"/>
      <w:bookmarkStart w:id="33" w:name="_Toc5030022"/>
      <w:bookmarkStart w:id="34" w:name="_Toc17271777"/>
      <w:bookmarkStart w:id="35" w:name="_Toc25246659"/>
      <w:r>
        <w:rPr>
          <w:rFonts w:hint="eastAsia" w:asciiTheme="majorEastAsia" w:hAnsiTheme="majorEastAsia" w:eastAsiaTheme="majorEastAsia" w:cstheme="majorEastAsia"/>
          <w:sz w:val="28"/>
          <w:szCs w:val="28"/>
        </w:rPr>
        <w:t>3.1</w:t>
      </w:r>
      <w:bookmarkEnd w:id="31"/>
      <w:bookmarkEnd w:id="32"/>
      <w:bookmarkEnd w:id="33"/>
      <w:bookmarkEnd w:id="34"/>
      <w:bookmarkEnd w:id="35"/>
    </w:p>
    <w:p w14:paraId="15C4A41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城市道路</w:t>
      </w:r>
      <w:r>
        <w:rPr>
          <w:rFonts w:hint="eastAsia" w:asciiTheme="majorEastAsia" w:hAnsiTheme="majorEastAsia" w:eastAsiaTheme="majorEastAsia" w:cstheme="majorEastAsia"/>
          <w:sz w:val="28"/>
          <w:szCs w:val="28"/>
        </w:rPr>
        <w:t xml:space="preserve"> </w:t>
      </w:r>
    </w:p>
    <w:p w14:paraId="18B147C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城市供车辆和行人通行的，具有一定技术条件的公共道路及其附属设施，公共道路包括车行道、人行道、街巷、桥梁、隧道、广场等，附属设施包括人行过街天桥、人行地下通道等。</w:t>
      </w:r>
    </w:p>
    <w:p w14:paraId="03F1B59A">
      <w:pPr>
        <w:rPr>
          <w:rFonts w:hint="eastAsia" w:asciiTheme="majorEastAsia" w:hAnsiTheme="majorEastAsia" w:eastAsiaTheme="majorEastAsia" w:cstheme="majorEastAsia"/>
          <w:sz w:val="28"/>
          <w:szCs w:val="28"/>
        </w:rPr>
      </w:pPr>
      <w:bookmarkStart w:id="36" w:name="_Toc5030023"/>
      <w:bookmarkStart w:id="37" w:name="_Toc17271778"/>
      <w:bookmarkStart w:id="38" w:name="_Toc25246660"/>
      <w:bookmarkStart w:id="39" w:name="_Toc17296007"/>
      <w:bookmarkStart w:id="40" w:name="_Toc16841476"/>
      <w:r>
        <w:rPr>
          <w:rFonts w:hint="eastAsia" w:asciiTheme="majorEastAsia" w:hAnsiTheme="majorEastAsia" w:eastAsiaTheme="majorEastAsia" w:cstheme="majorEastAsia"/>
          <w:sz w:val="28"/>
          <w:szCs w:val="28"/>
        </w:rPr>
        <w:t>3.2</w:t>
      </w:r>
      <w:bookmarkEnd w:id="36"/>
      <w:bookmarkEnd w:id="37"/>
      <w:bookmarkEnd w:id="38"/>
      <w:bookmarkEnd w:id="39"/>
      <w:bookmarkEnd w:id="40"/>
    </w:p>
    <w:p w14:paraId="458B43B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道路清扫</w:t>
      </w:r>
      <w:r>
        <w:rPr>
          <w:rFonts w:hint="eastAsia" w:asciiTheme="majorEastAsia" w:hAnsiTheme="majorEastAsia" w:eastAsiaTheme="majorEastAsia" w:cstheme="majorEastAsia"/>
          <w:sz w:val="28"/>
          <w:szCs w:val="28"/>
        </w:rPr>
        <w:t xml:space="preserve"> </w:t>
      </w:r>
    </w:p>
    <w:p w14:paraId="5537CCB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对道路全面的清洁作业，包括人工清扫和机械清扫。</w:t>
      </w:r>
      <w:bookmarkStart w:id="41" w:name="_Hlk521059317"/>
    </w:p>
    <w:bookmarkEnd w:id="41"/>
    <w:p w14:paraId="278D61F9">
      <w:pPr>
        <w:rPr>
          <w:rFonts w:hint="eastAsia" w:asciiTheme="majorEastAsia" w:hAnsiTheme="majorEastAsia" w:eastAsiaTheme="majorEastAsia" w:cstheme="majorEastAsia"/>
          <w:sz w:val="28"/>
          <w:szCs w:val="28"/>
        </w:rPr>
      </w:pPr>
      <w:bookmarkStart w:id="42" w:name="_Toc16841477"/>
      <w:bookmarkStart w:id="43" w:name="_Toc5030024"/>
      <w:bookmarkStart w:id="44" w:name="_Toc17296008"/>
      <w:bookmarkStart w:id="45" w:name="_Toc17271779"/>
      <w:bookmarkStart w:id="46" w:name="_Toc25246661"/>
      <w:r>
        <w:rPr>
          <w:rFonts w:hint="eastAsia" w:asciiTheme="majorEastAsia" w:hAnsiTheme="majorEastAsia" w:eastAsiaTheme="majorEastAsia" w:cstheme="majorEastAsia"/>
          <w:sz w:val="28"/>
          <w:szCs w:val="28"/>
        </w:rPr>
        <w:t>3.3</w:t>
      </w:r>
      <w:bookmarkEnd w:id="42"/>
      <w:bookmarkEnd w:id="43"/>
      <w:bookmarkEnd w:id="44"/>
      <w:bookmarkEnd w:id="45"/>
      <w:bookmarkEnd w:id="46"/>
    </w:p>
    <w:p w14:paraId="4AC0CC8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道路保洁</w:t>
      </w:r>
      <w:r>
        <w:rPr>
          <w:rFonts w:hint="eastAsia" w:asciiTheme="majorEastAsia" w:hAnsiTheme="majorEastAsia" w:eastAsiaTheme="majorEastAsia" w:cstheme="majorEastAsia"/>
          <w:sz w:val="28"/>
          <w:szCs w:val="28"/>
        </w:rPr>
        <w:t xml:space="preserve"> </w:t>
      </w:r>
    </w:p>
    <w:p w14:paraId="0E9F22D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道路清扫之后对道路清洁的保持性作业，包括人工保洁和机械化保洁。</w:t>
      </w:r>
    </w:p>
    <w:p w14:paraId="14DA1393">
      <w:pPr>
        <w:rPr>
          <w:rFonts w:hint="eastAsia" w:asciiTheme="majorEastAsia" w:hAnsiTheme="majorEastAsia" w:eastAsiaTheme="majorEastAsia" w:cstheme="majorEastAsia"/>
          <w:sz w:val="28"/>
          <w:szCs w:val="28"/>
        </w:rPr>
      </w:pPr>
      <w:bookmarkStart w:id="47" w:name="_Toc25246664"/>
      <w:bookmarkStart w:id="48" w:name="_Toc17271782"/>
      <w:bookmarkStart w:id="49" w:name="_Toc17296011"/>
      <w:bookmarkStart w:id="50" w:name="_Toc16841480"/>
      <w:bookmarkStart w:id="51" w:name="_Toc5030027"/>
      <w:r>
        <w:rPr>
          <w:rFonts w:hint="eastAsia" w:asciiTheme="majorEastAsia" w:hAnsiTheme="majorEastAsia" w:eastAsiaTheme="majorEastAsia" w:cstheme="majorEastAsia"/>
          <w:sz w:val="28"/>
          <w:szCs w:val="28"/>
        </w:rPr>
        <w:t>3.</w:t>
      </w:r>
      <w:bookmarkEnd w:id="47"/>
      <w:bookmarkEnd w:id="48"/>
      <w:bookmarkEnd w:id="49"/>
      <w:bookmarkEnd w:id="50"/>
      <w:bookmarkEnd w:id="51"/>
      <w:r>
        <w:rPr>
          <w:rFonts w:hint="eastAsia" w:asciiTheme="majorEastAsia" w:hAnsiTheme="majorEastAsia" w:eastAsiaTheme="majorEastAsia" w:cstheme="majorEastAsia"/>
          <w:sz w:val="28"/>
          <w:szCs w:val="28"/>
        </w:rPr>
        <w:t xml:space="preserve">4 </w:t>
      </w:r>
    </w:p>
    <w:p w14:paraId="2DA78AC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城市家具</w:t>
      </w:r>
      <w:r>
        <w:rPr>
          <w:rFonts w:hint="eastAsia" w:asciiTheme="majorEastAsia" w:hAnsiTheme="majorEastAsia" w:eastAsiaTheme="majorEastAsia" w:cstheme="majorEastAsia"/>
          <w:sz w:val="28"/>
          <w:szCs w:val="28"/>
        </w:rPr>
        <w:t xml:space="preserve"> </w:t>
      </w:r>
    </w:p>
    <w:p w14:paraId="19BFEE4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在城市道路中，为公众户外活动和城市管理服务的各类公共设施的总称。</w:t>
      </w:r>
    </w:p>
    <w:p w14:paraId="764F2AC9">
      <w:pPr>
        <w:rPr>
          <w:rFonts w:hint="eastAsia" w:asciiTheme="majorEastAsia" w:hAnsiTheme="majorEastAsia" w:eastAsiaTheme="majorEastAsia" w:cstheme="majorEastAsia"/>
          <w:sz w:val="28"/>
          <w:szCs w:val="28"/>
        </w:rPr>
      </w:pPr>
      <w:bookmarkStart w:id="52" w:name="_Toc25246665"/>
      <w:r>
        <w:rPr>
          <w:rFonts w:hint="eastAsia" w:asciiTheme="majorEastAsia" w:hAnsiTheme="majorEastAsia" w:eastAsiaTheme="majorEastAsia" w:cstheme="majorEastAsia"/>
          <w:sz w:val="28"/>
          <w:szCs w:val="28"/>
        </w:rPr>
        <w:t>4  道路清扫保洁等级划分</w:t>
      </w:r>
      <w:bookmarkEnd w:id="52"/>
    </w:p>
    <w:p w14:paraId="0586F34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城市道路清扫保洁区域按照道路、商业网点和人流量、车流量等因素划分为三个等级，详见表1。</w:t>
      </w:r>
    </w:p>
    <w:p w14:paraId="6099308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表1  城市道路清扫保洁等级划分</w:t>
      </w:r>
    </w:p>
    <w:p w14:paraId="2AD19501">
      <w:pPr>
        <w:rPr>
          <w:rFonts w:hint="eastAsia" w:asciiTheme="majorEastAsia" w:hAnsiTheme="majorEastAsia" w:eastAsiaTheme="majorEastAsia" w:cstheme="majorEastAsia"/>
          <w:sz w:val="28"/>
          <w:szCs w:val="28"/>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996"/>
      </w:tblGrid>
      <w:tr w14:paraId="6A3FA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6" w:type="dxa"/>
            <w:vAlign w:val="center"/>
          </w:tcPr>
          <w:p w14:paraId="5A9F182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清扫保洁等级</w:t>
            </w:r>
          </w:p>
        </w:tc>
        <w:tc>
          <w:tcPr>
            <w:tcW w:w="6996" w:type="dxa"/>
            <w:vAlign w:val="center"/>
          </w:tcPr>
          <w:p w14:paraId="564DF4D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划 分 条 件</w:t>
            </w:r>
          </w:p>
        </w:tc>
      </w:tr>
      <w:tr w14:paraId="1350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14:paraId="08C2A07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一级</w:t>
            </w:r>
          </w:p>
        </w:tc>
        <w:tc>
          <w:tcPr>
            <w:tcW w:w="6996" w:type="dxa"/>
            <w:vAlign w:val="center"/>
          </w:tcPr>
          <w:p w14:paraId="1B0237A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（1）有关部门确定的重点区域的道路。</w:t>
            </w:r>
          </w:p>
          <w:p w14:paraId="15D1A2C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（2）重要商业、文化等公共场所周边的道路及广场；</w:t>
            </w:r>
          </w:p>
          <w:p w14:paraId="271FDAE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（3）商业网点集中，道路旁商业店铺占道路长度80%以上的繁华闹市路段；</w:t>
            </w:r>
          </w:p>
          <w:p w14:paraId="575419C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（4）高峰期平均人流量为100人次/min以上和公共交通线路较多的路段；</w:t>
            </w:r>
          </w:p>
          <w:p w14:paraId="38DD497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（5）主要旅游点和进出机场、车站、港口的主干路及其所在地路段；</w:t>
            </w:r>
          </w:p>
          <w:p w14:paraId="03C9943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（6）历史文化街区、大型文化娱乐、步行街等主要公共场所所在路段。</w:t>
            </w:r>
          </w:p>
        </w:tc>
      </w:tr>
      <w:tr w14:paraId="4E48A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14:paraId="464453C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二级</w:t>
            </w:r>
          </w:p>
        </w:tc>
        <w:tc>
          <w:tcPr>
            <w:tcW w:w="6996" w:type="dxa"/>
            <w:vAlign w:val="center"/>
          </w:tcPr>
          <w:p w14:paraId="67758A3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（1）商业网点较集中、占道路长度60～80%的路段；</w:t>
            </w:r>
          </w:p>
          <w:p w14:paraId="1F4A464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（2）高峰期平均人流量为80～100人次//min的路段；</w:t>
            </w:r>
          </w:p>
          <w:p w14:paraId="2D8FA98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（3）城市主、次干路及其附近路段；</w:t>
            </w:r>
          </w:p>
          <w:p w14:paraId="1F7D3AC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（4）道路宽度大于40 m的城市干道。</w:t>
            </w:r>
          </w:p>
        </w:tc>
      </w:tr>
      <w:tr w14:paraId="7AD0D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14:paraId="3A1AC08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三级</w:t>
            </w:r>
          </w:p>
        </w:tc>
        <w:tc>
          <w:tcPr>
            <w:tcW w:w="6996" w:type="dxa"/>
            <w:vAlign w:val="center"/>
          </w:tcPr>
          <w:p w14:paraId="6D04C00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（1）商业网点较少的路段；</w:t>
            </w:r>
          </w:p>
          <w:p w14:paraId="25F0A27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（2）高峰期平均人流量小于80人次//min的路段；</w:t>
            </w:r>
          </w:p>
          <w:p w14:paraId="3FDCD50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（3）城郊结合部的主要交通路段；</w:t>
            </w:r>
          </w:p>
          <w:p w14:paraId="72BD79E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（4）居民区和单位相间的路段。</w:t>
            </w:r>
          </w:p>
        </w:tc>
      </w:tr>
    </w:tbl>
    <w:p w14:paraId="64066288">
      <w:pPr>
        <w:rPr>
          <w:rFonts w:hint="eastAsia" w:asciiTheme="majorEastAsia" w:hAnsiTheme="majorEastAsia" w:eastAsiaTheme="majorEastAsia" w:cstheme="majorEastAsia"/>
          <w:sz w:val="28"/>
          <w:szCs w:val="28"/>
        </w:rPr>
      </w:pPr>
      <w:bookmarkStart w:id="53" w:name="_Toc25246668"/>
      <w:r>
        <w:rPr>
          <w:rFonts w:hint="eastAsia" w:asciiTheme="majorEastAsia" w:hAnsiTheme="majorEastAsia" w:eastAsiaTheme="majorEastAsia" w:cstheme="majorEastAsia"/>
          <w:sz w:val="28"/>
          <w:szCs w:val="28"/>
        </w:rPr>
        <w:t xml:space="preserve">5  </w:t>
      </w:r>
      <w:bookmarkEnd w:id="53"/>
      <w:r>
        <w:rPr>
          <w:rFonts w:hint="eastAsia" w:asciiTheme="majorEastAsia" w:hAnsiTheme="majorEastAsia" w:eastAsiaTheme="majorEastAsia" w:cstheme="majorEastAsia"/>
          <w:sz w:val="28"/>
          <w:szCs w:val="28"/>
        </w:rPr>
        <w:t>作业条件</w:t>
      </w:r>
    </w:p>
    <w:p w14:paraId="3C176542">
      <w:pPr>
        <w:rPr>
          <w:rFonts w:hint="eastAsia" w:asciiTheme="majorEastAsia" w:hAnsiTheme="majorEastAsia" w:eastAsiaTheme="majorEastAsia" w:cstheme="majorEastAsia"/>
          <w:sz w:val="28"/>
          <w:szCs w:val="28"/>
        </w:rPr>
      </w:pPr>
      <w:bookmarkStart w:id="54" w:name="_Toc5030032"/>
      <w:bookmarkStart w:id="55" w:name="_Toc25246669"/>
      <w:r>
        <w:rPr>
          <w:rFonts w:hint="eastAsia" w:asciiTheme="majorEastAsia" w:hAnsiTheme="majorEastAsia" w:eastAsiaTheme="majorEastAsia" w:cstheme="majorEastAsia"/>
          <w:sz w:val="28"/>
          <w:szCs w:val="28"/>
        </w:rPr>
        <w:t xml:space="preserve">5.1  </w:t>
      </w:r>
      <w:bookmarkEnd w:id="54"/>
      <w:bookmarkEnd w:id="55"/>
      <w:r>
        <w:rPr>
          <w:rFonts w:hint="eastAsia" w:asciiTheme="majorEastAsia" w:hAnsiTheme="majorEastAsia" w:eastAsiaTheme="majorEastAsia" w:cstheme="majorEastAsia"/>
          <w:sz w:val="28"/>
          <w:szCs w:val="28"/>
        </w:rPr>
        <w:t>人员</w:t>
      </w:r>
    </w:p>
    <w:p w14:paraId="52F5EB85">
      <w:pPr>
        <w:rPr>
          <w:rFonts w:hint="eastAsia" w:asciiTheme="majorEastAsia" w:hAnsiTheme="majorEastAsia" w:eastAsiaTheme="majorEastAsia" w:cstheme="majorEastAsia"/>
          <w:b/>
          <w:bCs/>
          <w:sz w:val="28"/>
          <w:szCs w:val="28"/>
        </w:rPr>
      </w:pPr>
      <w:bookmarkStart w:id="56" w:name="_Toc5030033"/>
      <w:bookmarkStart w:id="57" w:name="_Toc25246670"/>
      <w:r>
        <w:rPr>
          <w:rFonts w:hint="eastAsia" w:asciiTheme="majorEastAsia" w:hAnsiTheme="majorEastAsia" w:eastAsiaTheme="majorEastAsia" w:cstheme="majorEastAsia"/>
          <w:b/>
          <w:bCs/>
          <w:sz w:val="28"/>
          <w:szCs w:val="28"/>
        </w:rPr>
        <w:t>5.1.1  人工清扫保洁人员</w:t>
      </w:r>
    </w:p>
    <w:p w14:paraId="70FD0E6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5.1.1.1  道路保洁作业实行2班制作业，一级道路每班次3000㎡应配备1名保洁员，二级道路每班次3125㎡应配备1名保洁员，三级道路每班次3800㎡应配备1名保洁员。</w:t>
      </w:r>
    </w:p>
    <w:p w14:paraId="5D8086A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5.1.1.2  清扫保洁人员应进行培训，考核合格后上岗。</w:t>
      </w:r>
    </w:p>
    <w:p w14:paraId="2B9A09C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5.1.1.3  </w:t>
      </w:r>
      <w:r>
        <w:rPr>
          <w:rFonts w:hint="eastAsia" w:asciiTheme="majorEastAsia" w:hAnsiTheme="majorEastAsia" w:eastAsiaTheme="majorEastAsia" w:cstheme="majorEastAsia"/>
          <w:kern w:val="0"/>
          <w:sz w:val="28"/>
          <w:szCs w:val="28"/>
        </w:rPr>
        <w:t>工作时间内</w:t>
      </w:r>
      <w:r>
        <w:rPr>
          <w:rFonts w:hint="eastAsia" w:asciiTheme="majorEastAsia" w:hAnsiTheme="majorEastAsia" w:eastAsiaTheme="majorEastAsia" w:cstheme="majorEastAsia"/>
          <w:sz w:val="28"/>
          <w:szCs w:val="28"/>
        </w:rPr>
        <w:t>着保洁工装工帽，着装有反光安全标志的服装，并保证保洁工装规范、整洁，警示反光条完好无破损。</w:t>
      </w:r>
    </w:p>
    <w:p w14:paraId="7DA71673">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5.1.2  机械化清扫保洁驾驶人员</w:t>
      </w:r>
    </w:p>
    <w:p w14:paraId="32BEE16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5.1.2.1  应持和所操作的车辆相符的驾照。</w:t>
      </w:r>
    </w:p>
    <w:p w14:paraId="1EE73B9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5.1.2.2  应经过用人单位相关培训，考核合格后方能上岗。</w:t>
      </w:r>
    </w:p>
    <w:p w14:paraId="4E52969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5.1.2.3  应熟悉工作职责与工作质量要求，熟悉车辆的技术性能、专用装置的构造、日常运行维护、排除简单故障的方法及安全操作规程等。</w:t>
      </w:r>
    </w:p>
    <w:p w14:paraId="7919782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5.1.2.4  车辆出现异常情况时立即停止作业并及时上报。</w:t>
      </w:r>
    </w:p>
    <w:p w14:paraId="2752A33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5.1.2.5  夜间作业时应着夜光标志服或反光背心。</w:t>
      </w:r>
    </w:p>
    <w:p w14:paraId="6211F6E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5.1.2.6  车辆和驾驶员配备比例宜不低于1:1.2。</w:t>
      </w:r>
    </w:p>
    <w:p w14:paraId="2920E901">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5.2  机械化清扫保洁车辆</w:t>
      </w:r>
    </w:p>
    <w:p w14:paraId="2A68D6B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5.2.1  应符合GB 7258的要求。</w:t>
      </w:r>
    </w:p>
    <w:p w14:paraId="655F2E0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5.2.2  应统一标识、标号，按规定加装定位设备。</w:t>
      </w:r>
    </w:p>
    <w:p w14:paraId="6522DB0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5.2.3  应加装有效的警示装置及具有反光功能的警示标识。</w:t>
      </w:r>
    </w:p>
    <w:p w14:paraId="710602C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5.2.4  应配备灭火器、反光三角板等安全装置。</w:t>
      </w:r>
    </w:p>
    <w:p w14:paraId="181EE9D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5.2.5  应定期进行检修保养，及时更换扫刷等，保持车辆工况良好。</w:t>
      </w:r>
    </w:p>
    <w:p w14:paraId="1B20267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5.2.6  应建立车辆维修保养档案，按国家政策和审验标准进行年审。</w:t>
      </w:r>
    </w:p>
    <w:p w14:paraId="4E3CC49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5.2.7  应到指定地点加水，优先采用中水等再生水资源。</w:t>
      </w:r>
    </w:p>
    <w:p w14:paraId="3B82537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5.2.8  作业中应开启警示灯、应急灯，播放提示音，提醒行人和车辆及时避让，每日22:00至次日早7:00作业时应只开启警示灯、应急灯，暂停提示音，避免扰民。</w:t>
      </w:r>
    </w:p>
    <w:p w14:paraId="759E01C7">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 xml:space="preserve">5.3  </w:t>
      </w:r>
      <w:bookmarkEnd w:id="56"/>
      <w:bookmarkEnd w:id="57"/>
      <w:r>
        <w:rPr>
          <w:rFonts w:hint="eastAsia" w:asciiTheme="majorEastAsia" w:hAnsiTheme="majorEastAsia" w:eastAsiaTheme="majorEastAsia" w:cstheme="majorEastAsia"/>
          <w:b/>
          <w:bCs/>
          <w:sz w:val="28"/>
          <w:szCs w:val="28"/>
        </w:rPr>
        <w:t>信息</w:t>
      </w:r>
    </w:p>
    <w:p w14:paraId="7CEF115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5.3.1  应制定相应的岗位职责、规章制度、操作规程、运行记录及评价记录等。</w:t>
      </w:r>
    </w:p>
    <w:p w14:paraId="044DE7F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5.3.2  应建立作业运行手册，记录作业人员、作业时间、作业车辆、作业路段、作业里程、行驶里程，以及作业用油用水等物料消耗情况、道路环境突发事件与处理措施等信息。</w:t>
      </w:r>
    </w:p>
    <w:p w14:paraId="0802AF9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5.3.3  暴雨、暴雪、灾害性降雪天气、低温雨雪冰冻天气、重污染天气、突发状况等应启动应急处置预案。</w:t>
      </w:r>
    </w:p>
    <w:p w14:paraId="04544965">
      <w:pPr>
        <w:rPr>
          <w:rFonts w:hint="eastAsia" w:asciiTheme="majorEastAsia" w:hAnsiTheme="majorEastAsia" w:eastAsiaTheme="majorEastAsia" w:cstheme="majorEastAsia"/>
          <w:b/>
          <w:bCs/>
          <w:sz w:val="28"/>
          <w:szCs w:val="28"/>
        </w:rPr>
      </w:pPr>
      <w:bookmarkStart w:id="58" w:name="_Toc25246671"/>
      <w:r>
        <w:rPr>
          <w:rFonts w:hint="eastAsia" w:asciiTheme="majorEastAsia" w:hAnsiTheme="majorEastAsia" w:eastAsiaTheme="majorEastAsia" w:cstheme="majorEastAsia"/>
          <w:b/>
          <w:bCs/>
          <w:sz w:val="28"/>
          <w:szCs w:val="28"/>
        </w:rPr>
        <w:t xml:space="preserve">6  </w:t>
      </w:r>
      <w:bookmarkEnd w:id="58"/>
      <w:r>
        <w:rPr>
          <w:rFonts w:hint="eastAsia" w:asciiTheme="majorEastAsia" w:hAnsiTheme="majorEastAsia" w:eastAsiaTheme="majorEastAsia" w:cstheme="majorEastAsia"/>
          <w:b/>
          <w:bCs/>
          <w:sz w:val="28"/>
          <w:szCs w:val="28"/>
        </w:rPr>
        <w:t>作业要求</w:t>
      </w:r>
    </w:p>
    <w:p w14:paraId="66F85F43">
      <w:pPr>
        <w:rPr>
          <w:rFonts w:hint="eastAsia" w:asciiTheme="majorEastAsia" w:hAnsiTheme="majorEastAsia" w:eastAsiaTheme="majorEastAsia" w:cstheme="majorEastAsia"/>
          <w:b/>
          <w:bCs/>
          <w:sz w:val="28"/>
          <w:szCs w:val="28"/>
        </w:rPr>
      </w:pPr>
      <w:bookmarkStart w:id="59" w:name="_Toc5030035"/>
      <w:bookmarkStart w:id="60" w:name="_Toc25246672"/>
      <w:r>
        <w:rPr>
          <w:rFonts w:hint="eastAsia" w:asciiTheme="majorEastAsia" w:hAnsiTheme="majorEastAsia" w:eastAsiaTheme="majorEastAsia" w:cstheme="majorEastAsia"/>
          <w:b/>
          <w:bCs/>
          <w:sz w:val="28"/>
          <w:szCs w:val="28"/>
        </w:rPr>
        <w:t>6.1</w:t>
      </w:r>
      <w:bookmarkEnd w:id="59"/>
      <w:r>
        <w:rPr>
          <w:rFonts w:hint="eastAsia" w:asciiTheme="majorEastAsia" w:hAnsiTheme="majorEastAsia" w:eastAsiaTheme="majorEastAsia" w:cstheme="majorEastAsia"/>
          <w:b/>
          <w:bCs/>
          <w:sz w:val="28"/>
          <w:szCs w:val="28"/>
        </w:rPr>
        <w:t xml:space="preserve">  </w:t>
      </w:r>
      <w:bookmarkEnd w:id="60"/>
      <w:r>
        <w:rPr>
          <w:rFonts w:hint="eastAsia" w:asciiTheme="majorEastAsia" w:hAnsiTheme="majorEastAsia" w:eastAsiaTheme="majorEastAsia" w:cstheme="majorEastAsia"/>
          <w:b/>
          <w:bCs/>
          <w:sz w:val="28"/>
          <w:szCs w:val="28"/>
        </w:rPr>
        <w:t>一般要求</w:t>
      </w:r>
    </w:p>
    <w:p w14:paraId="7678327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6.1.1  </w:t>
      </w:r>
      <w:r>
        <w:rPr>
          <w:rFonts w:hint="eastAsia" w:asciiTheme="majorEastAsia" w:hAnsiTheme="majorEastAsia" w:eastAsiaTheme="majorEastAsia" w:cstheme="majorEastAsia"/>
          <w:kern w:val="0"/>
          <w:sz w:val="28"/>
          <w:szCs w:val="28"/>
        </w:rPr>
        <w:t>城市道路的路面、路面边角、路面排水篦应洁净见本色，无积尘、污水、污渍、废弃物等。</w:t>
      </w:r>
    </w:p>
    <w:p w14:paraId="7EC52B5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6.1.2  </w:t>
      </w:r>
      <w:r>
        <w:rPr>
          <w:rFonts w:hint="eastAsia" w:asciiTheme="majorEastAsia" w:hAnsiTheme="majorEastAsia" w:eastAsiaTheme="majorEastAsia" w:cstheme="majorEastAsia"/>
          <w:kern w:val="0"/>
          <w:sz w:val="28"/>
          <w:szCs w:val="28"/>
        </w:rPr>
        <w:t>城市</w:t>
      </w:r>
      <w:r>
        <w:rPr>
          <w:rFonts w:hint="eastAsia" w:asciiTheme="majorEastAsia" w:hAnsiTheme="majorEastAsia" w:eastAsiaTheme="majorEastAsia" w:cstheme="majorEastAsia"/>
          <w:sz w:val="28"/>
          <w:szCs w:val="28"/>
        </w:rPr>
        <w:t>道路附属设施应表面清洁，无积尘，无乱贴、乱画等。</w:t>
      </w:r>
    </w:p>
    <w:p w14:paraId="4308730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6.1.3  城市家具应整洁见本色，无乱贴、乱画等；垃圾桶（果皮箱）、灭烟柱周边1m范围应整洁，无散落垃圾和污水。</w:t>
      </w:r>
    </w:p>
    <w:p w14:paraId="4730286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6.1.4  绿地绿化带各部位应整洁，无垃圾和枯枝等。</w:t>
      </w:r>
    </w:p>
    <w:p w14:paraId="4743ECC3">
      <w:pPr>
        <w:rPr>
          <w:rFonts w:hint="eastAsia" w:asciiTheme="majorEastAsia" w:hAnsiTheme="majorEastAsia" w:eastAsiaTheme="majorEastAsia" w:cstheme="majorEastAsia"/>
          <w:b/>
          <w:bCs/>
          <w:sz w:val="28"/>
          <w:szCs w:val="28"/>
        </w:rPr>
      </w:pPr>
      <w:bookmarkStart w:id="61" w:name="_Toc25246673"/>
      <w:bookmarkStart w:id="62" w:name="_Toc5030036"/>
      <w:r>
        <w:rPr>
          <w:rFonts w:hint="eastAsia" w:asciiTheme="majorEastAsia" w:hAnsiTheme="majorEastAsia" w:eastAsiaTheme="majorEastAsia" w:cstheme="majorEastAsia"/>
          <w:b/>
          <w:bCs/>
          <w:sz w:val="28"/>
          <w:szCs w:val="28"/>
        </w:rPr>
        <w:t xml:space="preserve">6.2  </w:t>
      </w:r>
      <w:bookmarkEnd w:id="61"/>
      <w:bookmarkEnd w:id="62"/>
      <w:r>
        <w:rPr>
          <w:rFonts w:hint="eastAsia" w:asciiTheme="majorEastAsia" w:hAnsiTheme="majorEastAsia" w:eastAsiaTheme="majorEastAsia" w:cstheme="majorEastAsia"/>
          <w:b/>
          <w:bCs/>
          <w:sz w:val="28"/>
          <w:szCs w:val="28"/>
        </w:rPr>
        <w:t>清扫保洁质量</w:t>
      </w:r>
    </w:p>
    <w:p w14:paraId="177F68A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城市道路及附属绿地绿化带的清扫保洁质量主要指标应符合表2的要求。</w:t>
      </w:r>
    </w:p>
    <w:p w14:paraId="71EBE97E">
      <w:pPr>
        <w:rPr>
          <w:rFonts w:hint="eastAsia" w:asciiTheme="majorEastAsia" w:hAnsiTheme="majorEastAsia" w:eastAsiaTheme="majorEastAsia" w:cstheme="majorEastAsia"/>
          <w:sz w:val="28"/>
          <w:szCs w:val="28"/>
        </w:rPr>
      </w:pPr>
      <w:bookmarkStart w:id="63" w:name="_Hlk17213021"/>
    </w:p>
    <w:p w14:paraId="256B4A3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表2 城市道路清扫保洁质量</w:t>
      </w:r>
    </w:p>
    <w:p w14:paraId="7F61FCAC">
      <w:pPr>
        <w:rPr>
          <w:rFonts w:hint="eastAsia" w:asciiTheme="majorEastAsia" w:hAnsiTheme="majorEastAsia" w:eastAsiaTheme="majorEastAsia" w:cstheme="majorEastAsia"/>
          <w:sz w:val="28"/>
          <w:szCs w:val="28"/>
        </w:rPr>
      </w:pPr>
    </w:p>
    <w:tbl>
      <w:tblPr>
        <w:tblStyle w:val="10"/>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713"/>
        <w:gridCol w:w="1376"/>
        <w:gridCol w:w="1031"/>
        <w:gridCol w:w="1095"/>
        <w:gridCol w:w="908"/>
        <w:gridCol w:w="986"/>
        <w:gridCol w:w="1025"/>
        <w:gridCol w:w="1037"/>
        <w:gridCol w:w="914"/>
      </w:tblGrid>
      <w:tr w14:paraId="0C41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jc w:val="center"/>
        </w:trPr>
        <w:tc>
          <w:tcPr>
            <w:tcW w:w="495" w:type="dxa"/>
            <w:vAlign w:val="center"/>
          </w:tcPr>
          <w:p w14:paraId="7F872DC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类别</w:t>
            </w:r>
          </w:p>
        </w:tc>
        <w:tc>
          <w:tcPr>
            <w:tcW w:w="713" w:type="dxa"/>
            <w:vAlign w:val="center"/>
          </w:tcPr>
          <w:p w14:paraId="1E104F0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道路等级</w:t>
            </w:r>
          </w:p>
        </w:tc>
        <w:tc>
          <w:tcPr>
            <w:tcW w:w="1376" w:type="dxa"/>
            <w:vAlign w:val="center"/>
          </w:tcPr>
          <w:p w14:paraId="1EC9C40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果皮纸屑塑料袋等垃圾（路面污染物）（处/1000 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1031" w:type="dxa"/>
            <w:vAlign w:val="center"/>
          </w:tcPr>
          <w:p w14:paraId="2958D55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积泥</w:t>
            </w:r>
          </w:p>
          <w:p w14:paraId="53ADD46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（处/1000 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1095" w:type="dxa"/>
            <w:vAlign w:val="center"/>
          </w:tcPr>
          <w:p w14:paraId="0CDC9C7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污水</w:t>
            </w:r>
          </w:p>
          <w:p w14:paraId="1FDEDF7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（处/1000 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908" w:type="dxa"/>
            <w:vAlign w:val="center"/>
          </w:tcPr>
          <w:p w14:paraId="4E10C9F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路面积尘负荷（g/m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986" w:type="dxa"/>
            <w:vAlign w:val="center"/>
          </w:tcPr>
          <w:p w14:paraId="6A731B0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烟头</w:t>
            </w:r>
          </w:p>
          <w:p w14:paraId="63B10BF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(个/2000 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1025" w:type="dxa"/>
            <w:vAlign w:val="center"/>
          </w:tcPr>
          <w:p w14:paraId="0ECB389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痰迹</w:t>
            </w:r>
          </w:p>
          <w:p w14:paraId="3069BA7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(个/2000 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1037" w:type="dxa"/>
            <w:vAlign w:val="center"/>
          </w:tcPr>
          <w:p w14:paraId="1241E3F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小广告</w:t>
            </w:r>
          </w:p>
          <w:p w14:paraId="50D6F89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(个/2000 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914" w:type="dxa"/>
            <w:vAlign w:val="center"/>
          </w:tcPr>
          <w:p w14:paraId="7BAFE7A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停留时间（min）</w:t>
            </w:r>
          </w:p>
        </w:tc>
      </w:tr>
      <w:tr w14:paraId="7AA2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95" w:type="dxa"/>
            <w:vMerge w:val="restart"/>
            <w:vAlign w:val="center"/>
          </w:tcPr>
          <w:p w14:paraId="4F8CEA3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车行道</w:t>
            </w:r>
          </w:p>
        </w:tc>
        <w:tc>
          <w:tcPr>
            <w:tcW w:w="713" w:type="dxa"/>
            <w:vAlign w:val="center"/>
          </w:tcPr>
          <w:p w14:paraId="4917EDC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一级</w:t>
            </w:r>
          </w:p>
        </w:tc>
        <w:tc>
          <w:tcPr>
            <w:tcW w:w="1376" w:type="dxa"/>
            <w:vAlign w:val="center"/>
          </w:tcPr>
          <w:p w14:paraId="66B127E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w:t>
            </w:r>
          </w:p>
        </w:tc>
        <w:tc>
          <w:tcPr>
            <w:tcW w:w="1031" w:type="dxa"/>
            <w:vAlign w:val="center"/>
          </w:tcPr>
          <w:p w14:paraId="204EBE0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p>
        </w:tc>
        <w:tc>
          <w:tcPr>
            <w:tcW w:w="1095" w:type="dxa"/>
            <w:vAlign w:val="center"/>
          </w:tcPr>
          <w:p w14:paraId="11D160E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p>
        </w:tc>
        <w:tc>
          <w:tcPr>
            <w:tcW w:w="908" w:type="dxa"/>
            <w:vAlign w:val="center"/>
          </w:tcPr>
          <w:p w14:paraId="798F66C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&lt;1</w:t>
            </w:r>
          </w:p>
        </w:tc>
        <w:tc>
          <w:tcPr>
            <w:tcW w:w="986" w:type="dxa"/>
            <w:vAlign w:val="center"/>
          </w:tcPr>
          <w:p w14:paraId="7BABC0C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p>
        </w:tc>
        <w:tc>
          <w:tcPr>
            <w:tcW w:w="1025" w:type="dxa"/>
            <w:vAlign w:val="center"/>
          </w:tcPr>
          <w:p w14:paraId="1ED1BF2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p>
        </w:tc>
        <w:tc>
          <w:tcPr>
            <w:tcW w:w="1037" w:type="dxa"/>
            <w:vAlign w:val="center"/>
          </w:tcPr>
          <w:p w14:paraId="1237535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p>
        </w:tc>
        <w:tc>
          <w:tcPr>
            <w:tcW w:w="914" w:type="dxa"/>
            <w:vAlign w:val="center"/>
          </w:tcPr>
          <w:p w14:paraId="2DECB24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≤10</w:t>
            </w:r>
          </w:p>
        </w:tc>
      </w:tr>
      <w:tr w14:paraId="5ADB4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495" w:type="dxa"/>
            <w:vMerge w:val="continue"/>
            <w:vAlign w:val="center"/>
          </w:tcPr>
          <w:p w14:paraId="6F582AA5">
            <w:pPr>
              <w:rPr>
                <w:rFonts w:hint="eastAsia" w:asciiTheme="majorEastAsia" w:hAnsiTheme="majorEastAsia" w:eastAsiaTheme="majorEastAsia" w:cstheme="majorEastAsia"/>
                <w:sz w:val="28"/>
                <w:szCs w:val="28"/>
              </w:rPr>
            </w:pPr>
          </w:p>
        </w:tc>
        <w:tc>
          <w:tcPr>
            <w:tcW w:w="713" w:type="dxa"/>
            <w:vAlign w:val="center"/>
          </w:tcPr>
          <w:p w14:paraId="6DAA8AC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二级</w:t>
            </w:r>
          </w:p>
        </w:tc>
        <w:tc>
          <w:tcPr>
            <w:tcW w:w="1376" w:type="dxa"/>
            <w:vAlign w:val="center"/>
          </w:tcPr>
          <w:p w14:paraId="0A9F341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1031" w:type="dxa"/>
            <w:vAlign w:val="center"/>
          </w:tcPr>
          <w:p w14:paraId="5F2E6AB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1095" w:type="dxa"/>
            <w:vAlign w:val="center"/>
          </w:tcPr>
          <w:p w14:paraId="7138639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908" w:type="dxa"/>
            <w:vAlign w:val="center"/>
          </w:tcPr>
          <w:p w14:paraId="4768648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&lt;1</w:t>
            </w:r>
          </w:p>
        </w:tc>
        <w:tc>
          <w:tcPr>
            <w:tcW w:w="986" w:type="dxa"/>
            <w:vAlign w:val="center"/>
          </w:tcPr>
          <w:p w14:paraId="629D41C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1025" w:type="dxa"/>
            <w:vAlign w:val="center"/>
          </w:tcPr>
          <w:p w14:paraId="1C73BEB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1037" w:type="dxa"/>
            <w:vAlign w:val="center"/>
          </w:tcPr>
          <w:p w14:paraId="7CAC074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w:t>
            </w:r>
          </w:p>
        </w:tc>
        <w:tc>
          <w:tcPr>
            <w:tcW w:w="914" w:type="dxa"/>
            <w:vAlign w:val="center"/>
          </w:tcPr>
          <w:p w14:paraId="02C446D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≤30</w:t>
            </w:r>
          </w:p>
        </w:tc>
      </w:tr>
      <w:tr w14:paraId="117F2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495" w:type="dxa"/>
            <w:vMerge w:val="continue"/>
            <w:vAlign w:val="center"/>
          </w:tcPr>
          <w:p w14:paraId="64D4CF91">
            <w:pPr>
              <w:rPr>
                <w:rFonts w:hint="eastAsia" w:asciiTheme="majorEastAsia" w:hAnsiTheme="majorEastAsia" w:eastAsiaTheme="majorEastAsia" w:cstheme="majorEastAsia"/>
                <w:sz w:val="28"/>
                <w:szCs w:val="28"/>
              </w:rPr>
            </w:pPr>
          </w:p>
        </w:tc>
        <w:tc>
          <w:tcPr>
            <w:tcW w:w="713" w:type="dxa"/>
            <w:vAlign w:val="center"/>
          </w:tcPr>
          <w:p w14:paraId="11807D3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三级</w:t>
            </w:r>
          </w:p>
        </w:tc>
        <w:tc>
          <w:tcPr>
            <w:tcW w:w="1376" w:type="dxa"/>
            <w:vAlign w:val="center"/>
          </w:tcPr>
          <w:p w14:paraId="5F2E05F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w:t>
            </w:r>
          </w:p>
        </w:tc>
        <w:tc>
          <w:tcPr>
            <w:tcW w:w="1031" w:type="dxa"/>
            <w:vAlign w:val="center"/>
          </w:tcPr>
          <w:p w14:paraId="32DBEA4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1095" w:type="dxa"/>
            <w:vAlign w:val="center"/>
          </w:tcPr>
          <w:p w14:paraId="2F03D6F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908" w:type="dxa"/>
            <w:vAlign w:val="center"/>
          </w:tcPr>
          <w:p w14:paraId="7D0800C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&lt;4</w:t>
            </w:r>
          </w:p>
        </w:tc>
        <w:tc>
          <w:tcPr>
            <w:tcW w:w="986" w:type="dxa"/>
            <w:vAlign w:val="center"/>
          </w:tcPr>
          <w:p w14:paraId="372BCCF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1025" w:type="dxa"/>
            <w:vAlign w:val="center"/>
          </w:tcPr>
          <w:p w14:paraId="59D4397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1037" w:type="dxa"/>
            <w:vAlign w:val="center"/>
          </w:tcPr>
          <w:p w14:paraId="347A255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w:t>
            </w:r>
          </w:p>
        </w:tc>
        <w:tc>
          <w:tcPr>
            <w:tcW w:w="914" w:type="dxa"/>
            <w:vAlign w:val="center"/>
          </w:tcPr>
          <w:p w14:paraId="25F8BBD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≤30</w:t>
            </w:r>
          </w:p>
        </w:tc>
      </w:tr>
      <w:bookmarkEnd w:id="63"/>
    </w:tbl>
    <w:p w14:paraId="60CDBC6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表2 城市道路清扫保洁质量（续）</w:t>
      </w:r>
    </w:p>
    <w:tbl>
      <w:tblPr>
        <w:tblStyle w:val="10"/>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713"/>
        <w:gridCol w:w="1376"/>
        <w:gridCol w:w="1031"/>
        <w:gridCol w:w="1095"/>
        <w:gridCol w:w="908"/>
        <w:gridCol w:w="986"/>
        <w:gridCol w:w="1025"/>
        <w:gridCol w:w="1037"/>
        <w:gridCol w:w="914"/>
      </w:tblGrid>
      <w:tr w14:paraId="6737C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jc w:val="center"/>
        </w:trPr>
        <w:tc>
          <w:tcPr>
            <w:tcW w:w="495" w:type="dxa"/>
            <w:vAlign w:val="center"/>
          </w:tcPr>
          <w:p w14:paraId="5F760F3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类别</w:t>
            </w:r>
          </w:p>
        </w:tc>
        <w:tc>
          <w:tcPr>
            <w:tcW w:w="713" w:type="dxa"/>
            <w:vAlign w:val="center"/>
          </w:tcPr>
          <w:p w14:paraId="183A7EA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道路等级</w:t>
            </w:r>
          </w:p>
        </w:tc>
        <w:tc>
          <w:tcPr>
            <w:tcW w:w="1376" w:type="dxa"/>
            <w:vAlign w:val="center"/>
          </w:tcPr>
          <w:p w14:paraId="02BFAF3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果皮纸屑塑料袋等垃圾（路面污染物）（处/1000 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1031" w:type="dxa"/>
            <w:vAlign w:val="center"/>
          </w:tcPr>
          <w:p w14:paraId="35C26DA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积泥</w:t>
            </w:r>
          </w:p>
          <w:p w14:paraId="758EBF4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（处/1000 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1095" w:type="dxa"/>
            <w:vAlign w:val="center"/>
          </w:tcPr>
          <w:p w14:paraId="283D4D4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污水</w:t>
            </w:r>
          </w:p>
          <w:p w14:paraId="106C91B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（处/1000 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908" w:type="dxa"/>
            <w:vAlign w:val="center"/>
          </w:tcPr>
          <w:p w14:paraId="172759A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路面积尘负荷（g/m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986" w:type="dxa"/>
            <w:vAlign w:val="center"/>
          </w:tcPr>
          <w:p w14:paraId="72611C4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烟头</w:t>
            </w:r>
          </w:p>
          <w:p w14:paraId="46468D7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(个/2000 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1025" w:type="dxa"/>
            <w:vAlign w:val="center"/>
          </w:tcPr>
          <w:p w14:paraId="288BC05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痰迹</w:t>
            </w:r>
          </w:p>
          <w:p w14:paraId="1744E37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(个/2000 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1037" w:type="dxa"/>
            <w:vAlign w:val="center"/>
          </w:tcPr>
          <w:p w14:paraId="635273E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小广告</w:t>
            </w:r>
          </w:p>
          <w:p w14:paraId="3FBCBB8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(个/2000 m</w:t>
            </w:r>
            <w:r>
              <w:rPr>
                <w:rFonts w:hint="eastAsia" w:asciiTheme="majorEastAsia" w:hAnsiTheme="majorEastAsia" w:eastAsiaTheme="majorEastAsia" w:cstheme="majorEastAsia"/>
                <w:sz w:val="28"/>
                <w:szCs w:val="28"/>
                <w:vertAlign w:val="superscript"/>
              </w:rPr>
              <w:t>2</w:t>
            </w:r>
            <w:r>
              <w:rPr>
                <w:rFonts w:hint="eastAsia" w:asciiTheme="majorEastAsia" w:hAnsiTheme="majorEastAsia" w:eastAsiaTheme="majorEastAsia" w:cstheme="majorEastAsia"/>
                <w:sz w:val="28"/>
                <w:szCs w:val="28"/>
              </w:rPr>
              <w:t>)</w:t>
            </w:r>
          </w:p>
        </w:tc>
        <w:tc>
          <w:tcPr>
            <w:tcW w:w="914" w:type="dxa"/>
            <w:vAlign w:val="center"/>
          </w:tcPr>
          <w:p w14:paraId="7900400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停留时间（min）</w:t>
            </w:r>
          </w:p>
        </w:tc>
      </w:tr>
      <w:tr w14:paraId="2106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95" w:type="dxa"/>
            <w:vMerge w:val="restart"/>
            <w:vAlign w:val="center"/>
          </w:tcPr>
          <w:p w14:paraId="2CB8875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人行道</w:t>
            </w:r>
          </w:p>
        </w:tc>
        <w:tc>
          <w:tcPr>
            <w:tcW w:w="713" w:type="dxa"/>
            <w:vAlign w:val="center"/>
          </w:tcPr>
          <w:p w14:paraId="1331A80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一级</w:t>
            </w:r>
          </w:p>
        </w:tc>
        <w:tc>
          <w:tcPr>
            <w:tcW w:w="1376" w:type="dxa"/>
            <w:vAlign w:val="center"/>
          </w:tcPr>
          <w:p w14:paraId="1BC7492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w:t>
            </w:r>
          </w:p>
        </w:tc>
        <w:tc>
          <w:tcPr>
            <w:tcW w:w="1031" w:type="dxa"/>
            <w:vAlign w:val="center"/>
          </w:tcPr>
          <w:p w14:paraId="0A991F1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p>
        </w:tc>
        <w:tc>
          <w:tcPr>
            <w:tcW w:w="1095" w:type="dxa"/>
            <w:vAlign w:val="center"/>
          </w:tcPr>
          <w:p w14:paraId="0DE2427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p>
        </w:tc>
        <w:tc>
          <w:tcPr>
            <w:tcW w:w="908" w:type="dxa"/>
            <w:vAlign w:val="center"/>
          </w:tcPr>
          <w:p w14:paraId="4CC9456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&lt;6</w:t>
            </w:r>
          </w:p>
        </w:tc>
        <w:tc>
          <w:tcPr>
            <w:tcW w:w="986" w:type="dxa"/>
            <w:vAlign w:val="center"/>
          </w:tcPr>
          <w:p w14:paraId="5102AE6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p>
        </w:tc>
        <w:tc>
          <w:tcPr>
            <w:tcW w:w="1025" w:type="dxa"/>
            <w:vAlign w:val="center"/>
          </w:tcPr>
          <w:p w14:paraId="0185846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p>
        </w:tc>
        <w:tc>
          <w:tcPr>
            <w:tcW w:w="1037" w:type="dxa"/>
            <w:vAlign w:val="center"/>
          </w:tcPr>
          <w:p w14:paraId="6B55DE6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p>
        </w:tc>
        <w:tc>
          <w:tcPr>
            <w:tcW w:w="914" w:type="dxa"/>
            <w:vAlign w:val="center"/>
          </w:tcPr>
          <w:p w14:paraId="7115B7F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≤10</w:t>
            </w:r>
          </w:p>
        </w:tc>
      </w:tr>
      <w:tr w14:paraId="627C6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495" w:type="dxa"/>
            <w:vMerge w:val="continue"/>
            <w:vAlign w:val="center"/>
          </w:tcPr>
          <w:p w14:paraId="7700D11C">
            <w:pPr>
              <w:rPr>
                <w:rFonts w:hint="eastAsia" w:asciiTheme="majorEastAsia" w:hAnsiTheme="majorEastAsia" w:eastAsiaTheme="majorEastAsia" w:cstheme="majorEastAsia"/>
                <w:sz w:val="28"/>
                <w:szCs w:val="28"/>
              </w:rPr>
            </w:pPr>
          </w:p>
        </w:tc>
        <w:tc>
          <w:tcPr>
            <w:tcW w:w="713" w:type="dxa"/>
            <w:vAlign w:val="center"/>
          </w:tcPr>
          <w:p w14:paraId="2975922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二级</w:t>
            </w:r>
          </w:p>
        </w:tc>
        <w:tc>
          <w:tcPr>
            <w:tcW w:w="1376" w:type="dxa"/>
            <w:vAlign w:val="center"/>
          </w:tcPr>
          <w:p w14:paraId="260E391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1031" w:type="dxa"/>
            <w:vAlign w:val="center"/>
          </w:tcPr>
          <w:p w14:paraId="0DEF87A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p>
        </w:tc>
        <w:tc>
          <w:tcPr>
            <w:tcW w:w="1095" w:type="dxa"/>
            <w:vAlign w:val="center"/>
          </w:tcPr>
          <w:p w14:paraId="354BA55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p>
        </w:tc>
        <w:tc>
          <w:tcPr>
            <w:tcW w:w="908" w:type="dxa"/>
            <w:vAlign w:val="center"/>
          </w:tcPr>
          <w:p w14:paraId="233337B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&lt;6</w:t>
            </w:r>
          </w:p>
        </w:tc>
        <w:tc>
          <w:tcPr>
            <w:tcW w:w="986" w:type="dxa"/>
            <w:vAlign w:val="center"/>
          </w:tcPr>
          <w:p w14:paraId="5200E06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w:t>
            </w:r>
          </w:p>
        </w:tc>
        <w:tc>
          <w:tcPr>
            <w:tcW w:w="1025" w:type="dxa"/>
            <w:vAlign w:val="center"/>
          </w:tcPr>
          <w:p w14:paraId="0DE0D11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w:t>
            </w:r>
          </w:p>
        </w:tc>
        <w:tc>
          <w:tcPr>
            <w:tcW w:w="1037" w:type="dxa"/>
            <w:vAlign w:val="center"/>
          </w:tcPr>
          <w:p w14:paraId="7F2B0FD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p>
        </w:tc>
        <w:tc>
          <w:tcPr>
            <w:tcW w:w="914" w:type="dxa"/>
            <w:vAlign w:val="center"/>
          </w:tcPr>
          <w:p w14:paraId="4995883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≤30</w:t>
            </w:r>
          </w:p>
        </w:tc>
      </w:tr>
      <w:tr w14:paraId="1B92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95" w:type="dxa"/>
            <w:vMerge w:val="continue"/>
            <w:vAlign w:val="center"/>
          </w:tcPr>
          <w:p w14:paraId="58FC517F">
            <w:pPr>
              <w:rPr>
                <w:rFonts w:hint="eastAsia" w:asciiTheme="majorEastAsia" w:hAnsiTheme="majorEastAsia" w:eastAsiaTheme="majorEastAsia" w:cstheme="majorEastAsia"/>
                <w:sz w:val="28"/>
                <w:szCs w:val="28"/>
              </w:rPr>
            </w:pPr>
          </w:p>
        </w:tc>
        <w:tc>
          <w:tcPr>
            <w:tcW w:w="713" w:type="dxa"/>
            <w:vAlign w:val="center"/>
          </w:tcPr>
          <w:p w14:paraId="2C6569C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三级</w:t>
            </w:r>
          </w:p>
        </w:tc>
        <w:tc>
          <w:tcPr>
            <w:tcW w:w="1376" w:type="dxa"/>
            <w:vAlign w:val="center"/>
          </w:tcPr>
          <w:p w14:paraId="0989BE1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w:t>
            </w:r>
          </w:p>
        </w:tc>
        <w:tc>
          <w:tcPr>
            <w:tcW w:w="1031" w:type="dxa"/>
            <w:vAlign w:val="center"/>
          </w:tcPr>
          <w:p w14:paraId="5B7D6BD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w:t>
            </w:r>
          </w:p>
        </w:tc>
        <w:tc>
          <w:tcPr>
            <w:tcW w:w="1095" w:type="dxa"/>
            <w:vAlign w:val="center"/>
          </w:tcPr>
          <w:p w14:paraId="2ADCE58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w:t>
            </w:r>
          </w:p>
        </w:tc>
        <w:tc>
          <w:tcPr>
            <w:tcW w:w="908" w:type="dxa"/>
            <w:vAlign w:val="center"/>
          </w:tcPr>
          <w:p w14:paraId="5AD16FE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&lt;8</w:t>
            </w:r>
          </w:p>
        </w:tc>
        <w:tc>
          <w:tcPr>
            <w:tcW w:w="986" w:type="dxa"/>
            <w:vAlign w:val="center"/>
          </w:tcPr>
          <w:p w14:paraId="6CDBF7B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1025" w:type="dxa"/>
            <w:vAlign w:val="center"/>
          </w:tcPr>
          <w:p w14:paraId="3967748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1037" w:type="dxa"/>
            <w:vAlign w:val="center"/>
          </w:tcPr>
          <w:p w14:paraId="7D724DD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w:t>
            </w:r>
          </w:p>
        </w:tc>
        <w:tc>
          <w:tcPr>
            <w:tcW w:w="914" w:type="dxa"/>
            <w:vAlign w:val="center"/>
          </w:tcPr>
          <w:p w14:paraId="7EB7A0A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≤30</w:t>
            </w:r>
          </w:p>
        </w:tc>
      </w:tr>
      <w:tr w14:paraId="5776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8" w:type="dxa"/>
            <w:gridSpan w:val="2"/>
            <w:vAlign w:val="center"/>
          </w:tcPr>
          <w:p w14:paraId="7D43CA4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绿地绿化带</w:t>
            </w:r>
          </w:p>
        </w:tc>
        <w:tc>
          <w:tcPr>
            <w:tcW w:w="1376" w:type="dxa"/>
            <w:vAlign w:val="center"/>
          </w:tcPr>
          <w:p w14:paraId="4B5245C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w:t>
            </w:r>
          </w:p>
        </w:tc>
        <w:tc>
          <w:tcPr>
            <w:tcW w:w="1031" w:type="dxa"/>
            <w:vAlign w:val="center"/>
          </w:tcPr>
          <w:p w14:paraId="7075344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w:t>
            </w:r>
          </w:p>
        </w:tc>
        <w:tc>
          <w:tcPr>
            <w:tcW w:w="1095" w:type="dxa"/>
            <w:vAlign w:val="center"/>
          </w:tcPr>
          <w:p w14:paraId="344BA7F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w:t>
            </w:r>
          </w:p>
        </w:tc>
        <w:tc>
          <w:tcPr>
            <w:tcW w:w="908" w:type="dxa"/>
            <w:vAlign w:val="center"/>
          </w:tcPr>
          <w:p w14:paraId="5646A99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w:t>
            </w:r>
          </w:p>
        </w:tc>
        <w:tc>
          <w:tcPr>
            <w:tcW w:w="986" w:type="dxa"/>
            <w:vAlign w:val="center"/>
          </w:tcPr>
          <w:p w14:paraId="0E80879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1025" w:type="dxa"/>
            <w:vAlign w:val="center"/>
          </w:tcPr>
          <w:p w14:paraId="410DAF9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w:t>
            </w:r>
          </w:p>
        </w:tc>
        <w:tc>
          <w:tcPr>
            <w:tcW w:w="1037" w:type="dxa"/>
            <w:vAlign w:val="center"/>
          </w:tcPr>
          <w:p w14:paraId="696567B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w:t>
            </w:r>
          </w:p>
        </w:tc>
        <w:tc>
          <w:tcPr>
            <w:tcW w:w="914" w:type="dxa"/>
            <w:vAlign w:val="center"/>
          </w:tcPr>
          <w:p w14:paraId="0FA95D2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60</w:t>
            </w:r>
          </w:p>
        </w:tc>
      </w:tr>
      <w:tr w14:paraId="23F7A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80" w:type="dxa"/>
            <w:gridSpan w:val="10"/>
            <w:vAlign w:val="center"/>
          </w:tcPr>
          <w:p w14:paraId="2623259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注1：停留时间为零星垃圾的停留时间。</w:t>
            </w:r>
          </w:p>
          <w:p w14:paraId="4E3AEF2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注2：绿地绿化带的清扫保洁质量指标为参照指标。</w:t>
            </w:r>
          </w:p>
        </w:tc>
      </w:tr>
    </w:tbl>
    <w:p w14:paraId="23C215CE">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sz w:val="28"/>
          <w:szCs w:val="28"/>
        </w:rPr>
        <w:t>6.3  人工清扫保洁</w:t>
      </w:r>
    </w:p>
    <w:p w14:paraId="41222B5B">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6.3.1  时间及频次</w:t>
      </w:r>
    </w:p>
    <w:p w14:paraId="44A4E00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6.3.1.1</w:t>
      </w:r>
      <w:r>
        <w:rPr>
          <w:rFonts w:hint="eastAsia" w:asciiTheme="majorEastAsia" w:hAnsiTheme="majorEastAsia" w:eastAsiaTheme="majorEastAsia" w:cstheme="majorEastAsia"/>
          <w:sz w:val="28"/>
          <w:szCs w:val="28"/>
        </w:rPr>
        <w:t xml:space="preserve">  春夏季普扫应在6:30前完成，秋冬季普扫应在7:00前完成，一、二、三级道路每日应进行一次普扫。</w:t>
      </w:r>
    </w:p>
    <w:p w14:paraId="063BC1B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6.3.1.2</w:t>
      </w:r>
      <w:r>
        <w:rPr>
          <w:rFonts w:hint="eastAsia" w:asciiTheme="majorEastAsia" w:hAnsiTheme="majorEastAsia" w:eastAsiaTheme="majorEastAsia" w:cstheme="majorEastAsia"/>
          <w:sz w:val="28"/>
          <w:szCs w:val="28"/>
        </w:rPr>
        <w:t xml:space="preserve">  所有道路应实行全日制分班保洁作业，一级道路巡回保洁时间应小于15 min，二级道路巡回保洁时间应小于20 min，三级道路巡回保洁时间应小于40 min。</w:t>
      </w:r>
    </w:p>
    <w:p w14:paraId="2D384D45">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6.3.2  城市道路作业</w:t>
      </w:r>
    </w:p>
    <w:p w14:paraId="438ADEBA">
      <w:pP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6.3.2.1</w:t>
      </w:r>
      <w:r>
        <w:rPr>
          <w:rFonts w:hint="eastAsia" w:asciiTheme="majorEastAsia" w:hAnsiTheme="majorEastAsia" w:eastAsiaTheme="majorEastAsia" w:cstheme="majorEastAsia"/>
          <w:sz w:val="28"/>
          <w:szCs w:val="28"/>
        </w:rPr>
        <w:t xml:space="preserve">  作业人员应对道路执行“一普扫+全保”作业模式，</w:t>
      </w:r>
      <w:r>
        <w:rPr>
          <w:rFonts w:hint="eastAsia" w:asciiTheme="majorEastAsia" w:hAnsiTheme="majorEastAsia" w:eastAsiaTheme="majorEastAsia" w:cstheme="majorEastAsia"/>
          <w:kern w:val="0"/>
          <w:sz w:val="28"/>
          <w:szCs w:val="28"/>
        </w:rPr>
        <w:t>普扫时，应按“七扫”的基本要求进行，即：头遍先普扫，面向车辆扫，有风顺风扫，商店门口轻轻扫，公交车站重点扫，沟底灰沙用力扫，窨井墙角不漏扫。</w:t>
      </w:r>
    </w:p>
    <w:p w14:paraId="288BC7F2">
      <w:pP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b/>
          <w:bCs/>
          <w:kern w:val="0"/>
          <w:sz w:val="28"/>
          <w:szCs w:val="28"/>
        </w:rPr>
        <w:t>注：</w:t>
      </w:r>
      <w:r>
        <w:rPr>
          <w:rFonts w:hint="eastAsia" w:asciiTheme="majorEastAsia" w:hAnsiTheme="majorEastAsia" w:eastAsiaTheme="majorEastAsia" w:cstheme="majorEastAsia"/>
          <w:kern w:val="0"/>
          <w:sz w:val="28"/>
          <w:szCs w:val="28"/>
        </w:rPr>
        <w:t>“一普扫+全保”指每日清扫一次，全天进行巡回保洁。</w:t>
      </w:r>
    </w:p>
    <w:p w14:paraId="296D9C9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6.3.2.2</w:t>
      </w:r>
      <w:r>
        <w:rPr>
          <w:rFonts w:hint="eastAsia" w:asciiTheme="majorEastAsia" w:hAnsiTheme="majorEastAsia" w:eastAsiaTheme="majorEastAsia" w:cstheme="majorEastAsia"/>
          <w:sz w:val="28"/>
          <w:szCs w:val="28"/>
        </w:rPr>
        <w:t xml:space="preserve">  作业过程中不应将垃圾扫入下水井、绿化隔离带，作业时需控制扬尘，清扫积水时不应使污水飞溅，巡回保洁时，应规避行人并及时清除路面垃圾。</w:t>
      </w:r>
    </w:p>
    <w:p w14:paraId="3FFF178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6.3.2.3</w:t>
      </w:r>
      <w:r>
        <w:rPr>
          <w:rFonts w:hint="eastAsia" w:asciiTheme="majorEastAsia" w:hAnsiTheme="majorEastAsia" w:eastAsiaTheme="majorEastAsia" w:cstheme="majorEastAsia"/>
          <w:sz w:val="28"/>
          <w:szCs w:val="28"/>
        </w:rPr>
        <w:t xml:space="preserve">  雨后或冲洗道路作业时，应先推水，后清扫，路面积尘及其他废弃物应及时清扫干净。</w:t>
      </w:r>
    </w:p>
    <w:p w14:paraId="04A5098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6.3.2.4</w:t>
      </w:r>
      <w:r>
        <w:rPr>
          <w:rFonts w:hint="eastAsia" w:asciiTheme="majorEastAsia" w:hAnsiTheme="majorEastAsia" w:eastAsiaTheme="majorEastAsia" w:cstheme="majorEastAsia"/>
          <w:sz w:val="28"/>
          <w:szCs w:val="28"/>
        </w:rPr>
        <w:t xml:space="preserve">  除下雨、秋冬落叶天气和普扫作业时间段外，其余时间段保洁应采用小扫帚和拣拾的方式。</w:t>
      </w:r>
    </w:p>
    <w:p w14:paraId="5B8C9A6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6.3.2.5</w:t>
      </w:r>
      <w:r>
        <w:rPr>
          <w:rFonts w:hint="eastAsia" w:asciiTheme="majorEastAsia" w:hAnsiTheme="majorEastAsia" w:eastAsiaTheme="majorEastAsia" w:cstheme="majorEastAsia"/>
          <w:sz w:val="28"/>
          <w:szCs w:val="28"/>
        </w:rPr>
        <w:t xml:space="preserve">  清理油渍污染的地面，应先用清洗剂刷洗后再用加压水清洗地面，清洗剂应符合国家和行业有关标准和环保要求。</w:t>
      </w:r>
    </w:p>
    <w:p w14:paraId="5A7549A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6.3.2.6</w:t>
      </w:r>
      <w:r>
        <w:rPr>
          <w:rFonts w:hint="eastAsia" w:asciiTheme="majorEastAsia" w:hAnsiTheme="majorEastAsia" w:eastAsiaTheme="majorEastAsia" w:cstheme="majorEastAsia"/>
          <w:sz w:val="28"/>
          <w:szCs w:val="28"/>
        </w:rPr>
        <w:t xml:space="preserve">  道路大面积污染需要集中清理时，应及时向交警、行业主管部门反映，按规定设置安全警示标志。</w:t>
      </w:r>
    </w:p>
    <w:p w14:paraId="43A55672">
      <w:pPr>
        <w:rPr>
          <w:rFonts w:hint="eastAsia" w:asciiTheme="majorEastAsia" w:hAnsiTheme="majorEastAsia" w:eastAsiaTheme="majorEastAsia" w:cstheme="majorEastAsia"/>
          <w:sz w:val="28"/>
          <w:szCs w:val="28"/>
        </w:rPr>
      </w:pPr>
      <w:bookmarkStart w:id="64" w:name="_Hlk17187049"/>
      <w:r>
        <w:rPr>
          <w:rFonts w:hint="eastAsia" w:asciiTheme="majorEastAsia" w:hAnsiTheme="majorEastAsia" w:eastAsiaTheme="majorEastAsia" w:cstheme="majorEastAsia"/>
          <w:kern w:val="0"/>
          <w:sz w:val="28"/>
          <w:szCs w:val="28"/>
        </w:rPr>
        <w:t>6.3.2.7</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shd w:val="clear" w:color="auto" w:fill="FFFFFF"/>
        </w:rPr>
        <w:t>对于</w:t>
      </w:r>
      <w:r>
        <w:rPr>
          <w:rStyle w:val="12"/>
          <w:rFonts w:hint="eastAsia" w:asciiTheme="majorEastAsia" w:hAnsiTheme="majorEastAsia" w:eastAsiaTheme="majorEastAsia" w:cstheme="majorEastAsia"/>
          <w:color w:val="000000"/>
          <w:sz w:val="28"/>
          <w:szCs w:val="28"/>
          <w:shd w:val="clear" w:color="auto" w:fill="FFFFFF"/>
        </w:rPr>
        <w:t>停车</w:t>
      </w:r>
      <w:r>
        <w:rPr>
          <w:rFonts w:hint="eastAsia" w:asciiTheme="majorEastAsia" w:hAnsiTheme="majorEastAsia" w:eastAsiaTheme="majorEastAsia" w:cstheme="majorEastAsia"/>
          <w:sz w:val="28"/>
          <w:szCs w:val="28"/>
          <w:shd w:val="clear" w:color="auto" w:fill="FFFFFF"/>
        </w:rPr>
        <w:t>泊位区域,在车位空闲时及时清扫,</w:t>
      </w:r>
      <w:r>
        <w:rPr>
          <w:rStyle w:val="12"/>
          <w:rFonts w:hint="eastAsia" w:asciiTheme="majorEastAsia" w:hAnsiTheme="majorEastAsia" w:eastAsiaTheme="majorEastAsia" w:cstheme="majorEastAsia"/>
          <w:color w:val="000000"/>
          <w:sz w:val="28"/>
          <w:szCs w:val="28"/>
          <w:shd w:val="clear" w:color="auto" w:fill="FFFFFF"/>
        </w:rPr>
        <w:t>对于长时间停放车辆区域宜</w:t>
      </w:r>
      <w:r>
        <w:rPr>
          <w:rFonts w:hint="eastAsia" w:asciiTheme="majorEastAsia" w:hAnsiTheme="majorEastAsia" w:eastAsiaTheme="majorEastAsia" w:cstheme="majorEastAsia"/>
          <w:sz w:val="28"/>
          <w:szCs w:val="28"/>
        </w:rPr>
        <w:t>采用小型设备进行清扫，清扫时应避免扬尘和刮擦车辆</w:t>
      </w:r>
      <w:bookmarkEnd w:id="64"/>
      <w:r>
        <w:rPr>
          <w:rFonts w:hint="eastAsia" w:asciiTheme="majorEastAsia" w:hAnsiTheme="majorEastAsia" w:eastAsiaTheme="majorEastAsia" w:cstheme="majorEastAsia"/>
          <w:sz w:val="28"/>
          <w:szCs w:val="28"/>
        </w:rPr>
        <w:t>；餐饮饭店、集贸市场、建筑工地及人流量较大区域周边道路宜适当增加清扫保洁作业频次</w:t>
      </w:r>
      <w:bookmarkStart w:id="65" w:name="_Hlk17213402"/>
      <w:r>
        <w:rPr>
          <w:rFonts w:hint="eastAsia" w:asciiTheme="majorEastAsia" w:hAnsiTheme="majorEastAsia" w:eastAsiaTheme="majorEastAsia" w:cstheme="majorEastAsia"/>
          <w:sz w:val="28"/>
          <w:szCs w:val="28"/>
        </w:rPr>
        <w:t>。</w:t>
      </w:r>
    </w:p>
    <w:p w14:paraId="3C00465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6.3.2.8</w:t>
      </w:r>
      <w:r>
        <w:rPr>
          <w:rFonts w:hint="eastAsia" w:asciiTheme="majorEastAsia" w:hAnsiTheme="majorEastAsia" w:eastAsiaTheme="majorEastAsia" w:cstheme="majorEastAsia"/>
          <w:sz w:val="28"/>
          <w:szCs w:val="28"/>
        </w:rPr>
        <w:t xml:space="preserve">  清扫后的垃圾应靠边堆放并及时清运，垃圾应按可回收物和其他垃圾倒入相应的收集容器，不应乱倒及焚烧垃圾</w:t>
      </w:r>
      <w:bookmarkEnd w:id="65"/>
      <w:r>
        <w:rPr>
          <w:rFonts w:hint="eastAsia" w:asciiTheme="majorEastAsia" w:hAnsiTheme="majorEastAsia" w:eastAsiaTheme="majorEastAsia" w:cstheme="majorEastAsia"/>
          <w:sz w:val="28"/>
          <w:szCs w:val="28"/>
        </w:rPr>
        <w:t>，垃圾收运结束后垃圾桶应复位并盖好桶盖，不应将作业工具堆在绿化带或摆放在通行路口、道路中央、车辆转弯处及道路狭窄处等场所。</w:t>
      </w:r>
    </w:p>
    <w:p w14:paraId="3B819EC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6.3.2.9</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kern w:val="0"/>
          <w:sz w:val="28"/>
          <w:szCs w:val="28"/>
        </w:rPr>
        <w:t>清扫保洁作业工具及车辆</w:t>
      </w:r>
      <w:r>
        <w:rPr>
          <w:rFonts w:hint="eastAsia" w:asciiTheme="majorEastAsia" w:hAnsiTheme="majorEastAsia" w:eastAsiaTheme="majorEastAsia" w:cstheme="majorEastAsia"/>
          <w:sz w:val="28"/>
          <w:szCs w:val="28"/>
        </w:rPr>
        <w:t>应外观干净整洁，停放时应遵循交通规定。</w:t>
      </w:r>
    </w:p>
    <w:p w14:paraId="4EAAF42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6.3.2.10</w:t>
      </w:r>
      <w:r>
        <w:rPr>
          <w:rFonts w:hint="eastAsia" w:asciiTheme="majorEastAsia" w:hAnsiTheme="majorEastAsia" w:eastAsiaTheme="majorEastAsia" w:cstheme="majorEastAsia"/>
          <w:sz w:val="28"/>
          <w:szCs w:val="28"/>
        </w:rPr>
        <w:t xml:space="preserve">  人行天桥、人行地下通道阶梯、路面应进行全面清扫保洁，地下通道两侧墙面、扶手、栏杆、灯饰等应及时擦拭，保持干净整洁。桥体、通道顶面、内外立面用专用设备清洗，每月不少于1次，通道口、内外立面及护栏擦拭（洗），每日不少于1次。</w:t>
      </w:r>
    </w:p>
    <w:p w14:paraId="735B883F">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6.3.3  城市家具作业</w:t>
      </w:r>
    </w:p>
    <w:p w14:paraId="2211D0E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6.3.3.1</w:t>
      </w:r>
      <w:r>
        <w:rPr>
          <w:rFonts w:hint="eastAsia" w:asciiTheme="majorEastAsia" w:hAnsiTheme="majorEastAsia" w:eastAsiaTheme="majorEastAsia" w:cstheme="majorEastAsia"/>
          <w:sz w:val="28"/>
          <w:szCs w:val="28"/>
        </w:rPr>
        <w:t xml:space="preserve">  果皮箱（垃圾桶）、灭烟柱内垃圾达到2/3容量时应及时清掏，不应满溢。清掏时应避免箱（桶）内废弃物落地，清掏后周边地面应清理干净。果皮箱、灭烟柱移位或损坏，保洁员应及时上报。</w:t>
      </w:r>
    </w:p>
    <w:p w14:paraId="12F5D07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6.3.3.2</w:t>
      </w:r>
      <w:r>
        <w:rPr>
          <w:rFonts w:hint="eastAsia" w:asciiTheme="majorEastAsia" w:hAnsiTheme="majorEastAsia" w:eastAsiaTheme="majorEastAsia" w:cstheme="majorEastAsia"/>
          <w:sz w:val="28"/>
          <w:szCs w:val="28"/>
        </w:rPr>
        <w:t xml:space="preserve">  城市家具表面的小广告应及时清理，繁华商业街区、交通枢纽、旅游景区等地区2 h巡回清除1次。清除的小广告纸屑应清理至收集车（桶）内，并将周边地面清理干净。</w:t>
      </w:r>
    </w:p>
    <w:p w14:paraId="6F3632B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6.3.3.3</w:t>
      </w:r>
      <w:r>
        <w:rPr>
          <w:rFonts w:hint="eastAsia" w:asciiTheme="majorEastAsia" w:hAnsiTheme="majorEastAsia" w:eastAsiaTheme="majorEastAsia" w:cstheme="majorEastAsia"/>
          <w:sz w:val="28"/>
          <w:szCs w:val="28"/>
        </w:rPr>
        <w:t xml:space="preserve">  道路两侧保洁工具箱、休闲椅应每日擦拭应不少于1次，保洁员休息室/驿站外立面应定期清洁。</w:t>
      </w:r>
    </w:p>
    <w:p w14:paraId="48DBCF9B">
      <w:p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6.3.4  绿地（绿化带）作业</w:t>
      </w:r>
    </w:p>
    <w:p w14:paraId="4F69D3C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应及时清理绿地（绿化带）内垃圾和枯枝，清理出的垃圾污物应及时清运。清扫作业时应控制扬尘，避免尘土、树叶二次污染路面，如有洒漏应及时清扫。</w:t>
      </w:r>
    </w:p>
    <w:p w14:paraId="02673376">
      <w:pPr>
        <w:rPr>
          <w:rFonts w:hint="eastAsia" w:asciiTheme="majorEastAsia" w:hAnsiTheme="majorEastAsia" w:eastAsiaTheme="majorEastAsia" w:cstheme="majorEastAsia"/>
          <w:sz w:val="28"/>
          <w:szCs w:val="28"/>
        </w:rPr>
      </w:pPr>
      <w:bookmarkStart w:id="66" w:name="_Toc5030039"/>
      <w:bookmarkStart w:id="67" w:name="_Toc25246676"/>
      <w:r>
        <w:rPr>
          <w:rFonts w:hint="eastAsia" w:asciiTheme="majorEastAsia" w:hAnsiTheme="majorEastAsia" w:eastAsiaTheme="majorEastAsia" w:cstheme="majorEastAsia"/>
          <w:sz w:val="28"/>
          <w:szCs w:val="28"/>
        </w:rPr>
        <w:t>6.4  道路机械作业</w:t>
      </w:r>
      <w:bookmarkEnd w:id="66"/>
      <w:bookmarkEnd w:id="67"/>
    </w:p>
    <w:p w14:paraId="7F23D4A1">
      <w:pPr>
        <w:rPr>
          <w:rFonts w:hint="eastAsia" w:asciiTheme="majorEastAsia" w:hAnsiTheme="majorEastAsia" w:eastAsiaTheme="majorEastAsia" w:cstheme="majorEastAsia"/>
          <w:b/>
          <w:bCs/>
          <w:kern w:val="0"/>
          <w:sz w:val="28"/>
          <w:szCs w:val="28"/>
        </w:rPr>
      </w:pPr>
      <w:r>
        <w:rPr>
          <w:rFonts w:hint="eastAsia" w:asciiTheme="majorEastAsia" w:hAnsiTheme="majorEastAsia" w:eastAsiaTheme="majorEastAsia" w:cstheme="majorEastAsia"/>
          <w:b/>
          <w:bCs/>
          <w:kern w:val="0"/>
          <w:sz w:val="28"/>
          <w:szCs w:val="28"/>
        </w:rPr>
        <w:t>6.4.1  时间及频次</w:t>
      </w:r>
    </w:p>
    <w:p w14:paraId="05C5282D">
      <w:pPr>
        <w:rPr>
          <w:rFonts w:hint="eastAsia" w:asciiTheme="majorEastAsia" w:hAnsiTheme="majorEastAsia" w:eastAsiaTheme="majorEastAsia" w:cstheme="majorEastAsia"/>
          <w:b/>
          <w:bCs/>
          <w:kern w:val="0"/>
          <w:sz w:val="28"/>
          <w:szCs w:val="28"/>
        </w:rPr>
      </w:pPr>
      <w:r>
        <w:rPr>
          <w:rFonts w:hint="eastAsia" w:asciiTheme="majorEastAsia" w:hAnsiTheme="majorEastAsia" w:eastAsiaTheme="majorEastAsia" w:cstheme="majorEastAsia"/>
          <w:b/>
          <w:bCs/>
          <w:kern w:val="0"/>
          <w:sz w:val="28"/>
          <w:szCs w:val="28"/>
        </w:rPr>
        <w:t>6.4.1.1  机械化清扫保洁作业</w:t>
      </w:r>
    </w:p>
    <w:p w14:paraId="3289DD9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6.4.1.1.1  一级道路每日应不少于4次，应在每日5:00至7:00、20:00至22:00对每条车道进行全覆盖作业，在9:30至11:30、12:30至16:30对双向左右两侧车行道、单向车行道两侧道路各增加一次作业。</w:t>
      </w:r>
    </w:p>
    <w:p w14:paraId="709B9CA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6.4.1.1.2  二级道路每日应不少于3次，应在每日5:00至7:00、10:00至17:00、20:00至22:00对每条车道进行全覆盖作业，在12:30至16:30对双向左右两侧车行道、单向车行道两侧道路各增加一次作业。</w:t>
      </w:r>
    </w:p>
    <w:p w14:paraId="2759E5B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6.4.1.1.3  三级道路每日应不少于2次，应在每日5:00至7:00、20:00至22:00对每条车道进行全覆盖作业。</w:t>
      </w:r>
    </w:p>
    <w:p w14:paraId="1FB14E3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6.4.1.1.4  每年1月至3月、10月至12月各级道路应适时增加作业次数。</w:t>
      </w:r>
    </w:p>
    <w:p w14:paraId="1108ADA1">
      <w:pPr>
        <w:rPr>
          <w:rFonts w:hint="eastAsia" w:asciiTheme="majorEastAsia" w:hAnsiTheme="majorEastAsia" w:eastAsiaTheme="majorEastAsia" w:cstheme="majorEastAsia"/>
          <w:b/>
          <w:bCs/>
          <w:kern w:val="0"/>
          <w:sz w:val="28"/>
          <w:szCs w:val="28"/>
        </w:rPr>
      </w:pPr>
      <w:r>
        <w:rPr>
          <w:rFonts w:hint="eastAsia" w:asciiTheme="majorEastAsia" w:hAnsiTheme="majorEastAsia" w:eastAsiaTheme="majorEastAsia" w:cstheme="majorEastAsia"/>
          <w:b/>
          <w:bCs/>
          <w:kern w:val="0"/>
          <w:sz w:val="28"/>
          <w:szCs w:val="28"/>
        </w:rPr>
        <w:t>6.4.1.2  机械化冲洗除尘作业</w:t>
      </w:r>
    </w:p>
    <w:p w14:paraId="21F84B1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6.4.1.2.1  每年3月1日至11月1日应在每日22:00至次日6:30进行道路冲洗作业，特殊情况需白天作业时，应错开交通高峰段（7:00至9:00、17:00至20:00）进行冲洗作业。</w:t>
      </w:r>
    </w:p>
    <w:p w14:paraId="6DCD652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6.4.1.2.2  春夏季一级道路应每周晚间冲洗不少于5次，二级和三级道路应每周晚间冲洗不少于3次，建筑垃圾清运通道应每晚冲洗道路不少于2次，人行道应每周白天冲洗不少于2次，集贸市场、早（夜）市及人流量较大区域的周边道路及人行道宜适当增加作业频次。</w:t>
      </w:r>
    </w:p>
    <w:p w14:paraId="7382E6B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6.4.1.2.3  夏季高温季节气温35 ℃以上，在10:00至16:00可适当增加喷雾洒水作业频次。</w:t>
      </w:r>
    </w:p>
    <w:p w14:paraId="5664DD4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6.4.1.2.4  秋冬季气温4 ℃及以下，应对有大型货运车辆经过的道路每日白天最多宜冲洗2次，其他路段应每两日冲洗1次，应停止冲洒水作业，4 ℃以上，应在每日10:00至16:00对道路进行冲洒水作业。</w:t>
      </w:r>
    </w:p>
    <w:p w14:paraId="2C26793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6.4.1.2.5  喷雾洒水压尘作业应根据大气污染和臭氧防治应急响应机制要求，针对不同预警等级，分别按不同程度提高各时段洒水压尘频次。</w:t>
      </w:r>
    </w:p>
    <w:p w14:paraId="5B84094F">
      <w:pPr>
        <w:rPr>
          <w:rFonts w:hint="eastAsia" w:asciiTheme="majorEastAsia" w:hAnsiTheme="majorEastAsia" w:eastAsiaTheme="majorEastAsia" w:cstheme="majorEastAsia"/>
          <w:b/>
          <w:bCs/>
          <w:kern w:val="0"/>
          <w:sz w:val="28"/>
          <w:szCs w:val="28"/>
        </w:rPr>
      </w:pPr>
      <w:r>
        <w:rPr>
          <w:rFonts w:hint="eastAsia" w:asciiTheme="majorEastAsia" w:hAnsiTheme="majorEastAsia" w:eastAsiaTheme="majorEastAsia" w:cstheme="majorEastAsia"/>
          <w:sz w:val="28"/>
          <w:szCs w:val="28"/>
        </w:rPr>
        <w:t>注：冲洗除尘是指对道路采用一定水压的水流进行冲洗，以及采用洒水或喷雾方式防止扬尘的清洁作业。</w:t>
      </w:r>
    </w:p>
    <w:p w14:paraId="41011FD6">
      <w:pPr>
        <w:rPr>
          <w:rFonts w:hint="eastAsia" w:asciiTheme="majorEastAsia" w:hAnsiTheme="majorEastAsia" w:eastAsiaTheme="majorEastAsia" w:cstheme="majorEastAsia"/>
          <w:b/>
          <w:bCs/>
          <w:kern w:val="0"/>
          <w:sz w:val="28"/>
          <w:szCs w:val="28"/>
        </w:rPr>
      </w:pPr>
      <w:r>
        <w:rPr>
          <w:rFonts w:hint="eastAsia" w:asciiTheme="majorEastAsia" w:hAnsiTheme="majorEastAsia" w:eastAsiaTheme="majorEastAsia" w:cstheme="majorEastAsia"/>
          <w:b/>
          <w:bCs/>
          <w:kern w:val="0"/>
          <w:sz w:val="28"/>
          <w:szCs w:val="28"/>
        </w:rPr>
        <w:t>6.4.2  机械化清扫保洁作业</w:t>
      </w:r>
    </w:p>
    <w:p w14:paraId="2C1907D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6.4.2.1  作业前应全面检查车况及车容车貌，发现问题及时排除，消除安全隐患。</w:t>
      </w:r>
    </w:p>
    <w:p w14:paraId="79EE8AA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6.4.2.2  作业时应严格按照放刷、喷水、调整箱体压力和刷盘转速、清扫的顺序进行操作。</w:t>
      </w:r>
    </w:p>
    <w:p w14:paraId="08540B0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6.4.2.3  非特殊气候情况下，应避免“干扫”。</w:t>
      </w:r>
    </w:p>
    <w:p w14:paraId="0BC77D5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6.4.2.4  作业中扫刷应与地面呈接触状态，启动喷雾抑尘装置，吸风口调整至紧贴地面或扫进土不遗漏为宜，刷盘倾斜角度、副发动机转速和除尘系统应符合车辆正常清扫作业时的性能要求。</w:t>
      </w:r>
    </w:p>
    <w:p w14:paraId="4E02B74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6.4.2.5  应沿着道沿进行全路段清扫，做到不漏扫，及时观察路面清扫质量和障碍情况，对机械化不能清扫的大件垃圾或硬物，在确保安全的前提下及时下车清除。</w:t>
      </w:r>
    </w:p>
    <w:p w14:paraId="033C029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6.4.2.6  坑洼路面、车辆作业转弯处等机械清扫不到的地方，需人工配合清扫保洁。</w:t>
      </w:r>
    </w:p>
    <w:p w14:paraId="163F7C9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6.4.2.7  因道路施工造成车道变窄等情况时，应根据实际情况调整清扫保洁作业时间。</w:t>
      </w:r>
    </w:p>
    <w:p w14:paraId="78ACCF1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6.4.2.8  机械洗扫作业时车辆行驶速度应小于8 km/h，机械保洁作业时车辆行驶速度应小于15 km/h。</w:t>
      </w:r>
    </w:p>
    <w:p w14:paraId="19AADC22">
      <w:pPr>
        <w:rPr>
          <w:rFonts w:hint="eastAsia" w:asciiTheme="majorEastAsia" w:hAnsiTheme="majorEastAsia" w:eastAsiaTheme="majorEastAsia" w:cstheme="majorEastAsia"/>
          <w:b/>
          <w:bCs/>
          <w:kern w:val="0"/>
          <w:sz w:val="28"/>
          <w:szCs w:val="28"/>
        </w:rPr>
      </w:pPr>
      <w:r>
        <w:rPr>
          <w:rFonts w:hint="eastAsia" w:asciiTheme="majorEastAsia" w:hAnsiTheme="majorEastAsia" w:eastAsiaTheme="majorEastAsia" w:cstheme="majorEastAsia"/>
          <w:b/>
          <w:bCs/>
          <w:kern w:val="0"/>
          <w:sz w:val="28"/>
          <w:szCs w:val="28"/>
        </w:rPr>
        <w:t>6.4.3  机械化冲洗除尘作业</w:t>
      </w:r>
    </w:p>
    <w:p w14:paraId="28AE3C1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6.4.3.1  道路冲洗除尘应实行定人、定车、定时、定标、定责“五定”制度，每年3月1日至11月1日应执行“白天湿扫，夜间冲洗”道路降尘作业模式。</w:t>
      </w:r>
    </w:p>
    <w:p w14:paraId="11AD87D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6.4.3.2  道路冲洗除尘作业应当实行机械冲洗与机械化洗扫和人工辅助清扫相结合的方式，确保冲洗效果。</w:t>
      </w:r>
    </w:p>
    <w:p w14:paraId="04EE087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6.4.3.3  道路冲洗除尘时应使用车辆前鸭嘴或高压冲洗架，不应采取对冲（地炮）式作业方式。</w:t>
      </w:r>
    </w:p>
    <w:p w14:paraId="43FC48E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6.4.3.4  高压清洗后，视路面清洗情况，宜再用清洗车对路面进行一次洗扫作业，将污水、污渣清洗干净；清洗车紧邻道牙石作业时，应严格控制水压、水量，确保住水流在道牙石边缘前30 cm左右自然停下，避免污水、污物喷溅人行道或绿篱形成新污染。</w:t>
      </w:r>
    </w:p>
    <w:p w14:paraId="307B010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6.4.3.5  建筑垃圾清运通道冲洗作业时，应先铲除路面泥饼，再冲洗、推水；建筑工地周边道路宜适当增加冲洗作业频次。</w:t>
      </w:r>
    </w:p>
    <w:p w14:paraId="389CAEF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6.4.3.6  冲洗后应及时采取有关措施进行推水作业，作业面应无泥沙、积水等。</w:t>
      </w:r>
    </w:p>
    <w:p w14:paraId="545B6F6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6.4.3.7  喷雾洒水压尘作业应根据作业路面宽度、车辆作业宽度、道路交通条件，采取沿道路两侧、中央隔离带或中央黄线两侧适当位置与行车线相同方向进行喷雾洒水压尘作业；作业时，水应喷射成雾状，喷洒均匀，达到路面见潮不见水流的效果，作业覆盖宽度应与道路宽度适宜，做到应洒尽洒。</w:t>
      </w:r>
    </w:p>
    <w:p w14:paraId="453D6D0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6.4.3.8  雨后宜开展机械高压冲洗除尘，同时进行路面积水清除作业。</w:t>
      </w:r>
    </w:p>
    <w:p w14:paraId="167DEB5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6.4.3.9  道路冲洗喷水设备的水压应大于300 kPa，洒水设备水压不应大于300 kPa，喷雾设备水压不应大于15 MPa。</w:t>
      </w:r>
    </w:p>
    <w:p w14:paraId="101F3E1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6.4.3.10  冲洗除尘作业时车辆行驶速度应小于8km/h，喷雾洒水作业时车辆行驶速度应小于20 km/h。</w:t>
      </w:r>
    </w:p>
    <w:p w14:paraId="23BD25CC">
      <w:pPr>
        <w:rPr>
          <w:rFonts w:hint="eastAsia" w:asciiTheme="majorEastAsia" w:hAnsiTheme="majorEastAsia" w:eastAsiaTheme="majorEastAsia" w:cstheme="majorEastAsia"/>
          <w:sz w:val="28"/>
          <w:szCs w:val="28"/>
        </w:rPr>
      </w:pPr>
      <w:bookmarkStart w:id="68" w:name="_Toc25246677"/>
      <w:r>
        <w:rPr>
          <w:rFonts w:hint="eastAsia" w:asciiTheme="majorEastAsia" w:hAnsiTheme="majorEastAsia" w:eastAsiaTheme="majorEastAsia" w:cstheme="majorEastAsia"/>
          <w:sz w:val="28"/>
          <w:szCs w:val="28"/>
        </w:rPr>
        <w:t>7  特殊状况下的</w:t>
      </w:r>
      <w:bookmarkEnd w:id="68"/>
      <w:r>
        <w:rPr>
          <w:rFonts w:hint="eastAsia" w:asciiTheme="majorEastAsia" w:hAnsiTheme="majorEastAsia" w:eastAsiaTheme="majorEastAsia" w:cstheme="majorEastAsia"/>
          <w:sz w:val="28"/>
          <w:szCs w:val="28"/>
        </w:rPr>
        <w:t>作业要求</w:t>
      </w:r>
    </w:p>
    <w:p w14:paraId="672EC48C">
      <w:pPr>
        <w:rPr>
          <w:rFonts w:hint="eastAsia" w:asciiTheme="majorEastAsia" w:hAnsiTheme="majorEastAsia" w:eastAsiaTheme="majorEastAsia" w:cstheme="majorEastAsia"/>
          <w:sz w:val="28"/>
          <w:szCs w:val="28"/>
        </w:rPr>
      </w:pPr>
      <w:bookmarkStart w:id="69" w:name="_Toc5030042"/>
      <w:bookmarkStart w:id="70" w:name="_Toc25246678"/>
      <w:bookmarkStart w:id="71" w:name="_Hlk17214322"/>
      <w:r>
        <w:rPr>
          <w:rFonts w:hint="eastAsia" w:asciiTheme="majorEastAsia" w:hAnsiTheme="majorEastAsia" w:eastAsiaTheme="majorEastAsia" w:cstheme="majorEastAsia"/>
          <w:sz w:val="28"/>
          <w:szCs w:val="28"/>
        </w:rPr>
        <w:t>7.1  降雪天气</w:t>
      </w:r>
      <w:bookmarkEnd w:id="69"/>
      <w:bookmarkEnd w:id="70"/>
    </w:p>
    <w:bookmarkEnd w:id="71"/>
    <w:p w14:paraId="0C8D36C3">
      <w:pPr>
        <w:rPr>
          <w:rFonts w:hint="eastAsia" w:asciiTheme="majorEastAsia" w:hAnsiTheme="majorEastAsia" w:eastAsiaTheme="majorEastAsia" w:cstheme="majorEastAsia"/>
          <w:b/>
          <w:bCs/>
          <w:kern w:val="0"/>
          <w:sz w:val="28"/>
          <w:szCs w:val="28"/>
        </w:rPr>
      </w:pPr>
      <w:r>
        <w:rPr>
          <w:rFonts w:hint="eastAsia" w:asciiTheme="majorEastAsia" w:hAnsiTheme="majorEastAsia" w:eastAsiaTheme="majorEastAsia" w:cstheme="majorEastAsia"/>
          <w:b/>
          <w:bCs/>
          <w:kern w:val="0"/>
          <w:sz w:val="28"/>
          <w:szCs w:val="28"/>
        </w:rPr>
        <w:t>7.1.1  一般规定</w:t>
      </w:r>
    </w:p>
    <w:p w14:paraId="360ECC4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7.1.1.1  清雪车辆应对路面进行反复清扫，一级道路每40 min完成一次作业循环，二、三级道路每60 min完成一次作业循环。</w:t>
      </w:r>
    </w:p>
    <w:p w14:paraId="5D7ED19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7.1.1.2  人行道采取人工清扫方式，宜配合机械清扫作业。停车泊位和人行天桥应以人工清扫为主，机械吹雪为辅，交通护栏区域使用吹雪机吹散。</w:t>
      </w:r>
    </w:p>
    <w:p w14:paraId="5CC916C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7.1.1.3  一级道路车行道应快速转运积雪，一级道路的人行道与二、三级道路同时运雪。</w:t>
      </w:r>
    </w:p>
    <w:p w14:paraId="1265542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7.1.1.4  二、三级道路：小雪时应在24 h内清运完毕；中雪时应在48 h内清运完毕，大雪及以上级别降雪时应在72 h内清运完毕。</w:t>
      </w:r>
    </w:p>
    <w:p w14:paraId="210388D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7.1.1.5  融雪剂的使用应符合GB/T 23851的规定。</w:t>
      </w:r>
    </w:p>
    <w:p w14:paraId="10EBCF6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7.1.1.6  添加融雪剂的积雪不宜在树坑和绿化带堆放，不应将人行道的积雪推下道牙。</w:t>
      </w:r>
    </w:p>
    <w:p w14:paraId="143E407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7.1.1.7  不应将堆积的积雪倒入下水井（盖）及设备井（盖）。</w:t>
      </w:r>
    </w:p>
    <w:p w14:paraId="23CCC65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7.1.1.8  一级道路慎用铲车作业，快车道不应人工作业。</w:t>
      </w:r>
    </w:p>
    <w:p w14:paraId="7C29092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7.1.1.9  降雪等级划分应执行GB/T 28592的规定。</w:t>
      </w:r>
    </w:p>
    <w:p w14:paraId="6B6E235E">
      <w:pPr>
        <w:rPr>
          <w:rFonts w:hint="eastAsia" w:asciiTheme="majorEastAsia" w:hAnsiTheme="majorEastAsia" w:eastAsiaTheme="majorEastAsia" w:cstheme="majorEastAsia"/>
          <w:b/>
          <w:bCs/>
          <w:kern w:val="0"/>
          <w:sz w:val="28"/>
          <w:szCs w:val="28"/>
        </w:rPr>
      </w:pPr>
      <w:r>
        <w:rPr>
          <w:rFonts w:hint="eastAsia" w:asciiTheme="majorEastAsia" w:hAnsiTheme="majorEastAsia" w:eastAsiaTheme="majorEastAsia" w:cstheme="majorEastAsia"/>
          <w:b/>
          <w:bCs/>
          <w:kern w:val="0"/>
          <w:sz w:val="28"/>
          <w:szCs w:val="28"/>
        </w:rPr>
        <w:t>7.1.2  一般降雪</w:t>
      </w:r>
    </w:p>
    <w:p w14:paraId="0C1238F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7.1.2.1  小雪天气应全覆盖清雪，对道路、绿地小广场、公厕周边同步实施扫雪作业，不应使用融雪剂。</w:t>
      </w:r>
    </w:p>
    <w:p w14:paraId="595CF10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7.1.2.2  中雪天气降雪初期，应对道路、绿地小广场、公厕周边同步实施扫雪作业，持续降雪30 min后，抛撒环保型融雪剂；降雪主峰过后，应进行全覆盖清雪。</w:t>
      </w:r>
    </w:p>
    <w:p w14:paraId="7250953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7.1.2.3  大雪天气降雪初期，应对城区主要道路、二环路、环城路和三环道路集中扫雪，持续降雪30 min后，抛撒环保型融雪剂。</w:t>
      </w:r>
    </w:p>
    <w:p w14:paraId="70BF80F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7.1.2.4  大雪天气时，降雪主峰过后，应对所有道路进行集中清雪，所有道路基本见本色后进行全覆盖清雪。</w:t>
      </w:r>
    </w:p>
    <w:p w14:paraId="667452E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7.1.2.5  大雪天气时，一级道路积雪宜“边清边运”，运雪车辆配合抛雪机进行运雪作业</w:t>
      </w:r>
      <w:bookmarkStart w:id="72" w:name="_Hlk529728815"/>
      <w:r>
        <w:rPr>
          <w:rFonts w:hint="eastAsia" w:asciiTheme="majorEastAsia" w:hAnsiTheme="majorEastAsia" w:eastAsiaTheme="majorEastAsia" w:cstheme="majorEastAsia"/>
          <w:sz w:val="28"/>
          <w:szCs w:val="28"/>
        </w:rPr>
        <w:t>，二、三级道路清雪机械宜与人工配合进行路面清雪作业。</w:t>
      </w:r>
    </w:p>
    <w:p w14:paraId="51F780A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注：</w:t>
      </w:r>
      <w:r>
        <w:rPr>
          <w:rFonts w:hint="eastAsia" w:asciiTheme="majorEastAsia" w:hAnsiTheme="majorEastAsia" w:eastAsiaTheme="majorEastAsia" w:cstheme="majorEastAsia"/>
          <w:sz w:val="28"/>
          <w:szCs w:val="28"/>
        </w:rPr>
        <w:t>一般降雪包括小雪、中雪和大雪。</w:t>
      </w:r>
    </w:p>
    <w:bookmarkEnd w:id="72"/>
    <w:p w14:paraId="35FE7613">
      <w:pPr>
        <w:rPr>
          <w:rFonts w:hint="eastAsia" w:asciiTheme="majorEastAsia" w:hAnsiTheme="majorEastAsia" w:eastAsiaTheme="majorEastAsia" w:cstheme="majorEastAsia"/>
          <w:b/>
          <w:bCs/>
          <w:kern w:val="0"/>
          <w:sz w:val="28"/>
          <w:szCs w:val="28"/>
        </w:rPr>
      </w:pPr>
      <w:r>
        <w:rPr>
          <w:rFonts w:hint="eastAsia" w:asciiTheme="majorEastAsia" w:hAnsiTheme="majorEastAsia" w:eastAsiaTheme="majorEastAsia" w:cstheme="majorEastAsia"/>
          <w:b/>
          <w:bCs/>
          <w:kern w:val="0"/>
          <w:sz w:val="28"/>
          <w:szCs w:val="28"/>
        </w:rPr>
        <w:t>7.1.3  暴雪及以上天气</w:t>
      </w:r>
    </w:p>
    <w:p w14:paraId="70769D7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7.1.3.1  暴雪清雪作业应采取三段式作业模式。</w:t>
      </w:r>
    </w:p>
    <w:p w14:paraId="3F9192C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7.1.3.2  一阶段，城区主要道路的公交车道、快车道的公交车道等交通节点应使用清雪车辆集中循环清扫，保持道路畅通；其他道路应在2 h内完成。</w:t>
      </w:r>
    </w:p>
    <w:p w14:paraId="1C782E6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7.1.3.3  降雪主峰过后，对城区主要道路进行全面清扫作业，宜进行边清边运。</w:t>
      </w:r>
    </w:p>
    <w:p w14:paraId="48006D4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7.1.3.4  二阶段作业时，对所有道路进行集中清雪，保持道路畅通，其他道路适时适量布撒</w:t>
      </w:r>
      <w:bookmarkStart w:id="73" w:name="_Hlk17190470"/>
      <w:r>
        <w:rPr>
          <w:rFonts w:hint="eastAsia" w:asciiTheme="majorEastAsia" w:hAnsiTheme="majorEastAsia" w:eastAsiaTheme="majorEastAsia" w:cstheme="majorEastAsia"/>
          <w:sz w:val="28"/>
          <w:szCs w:val="28"/>
        </w:rPr>
        <w:t>环保型融雪剂</w:t>
      </w:r>
      <w:bookmarkEnd w:id="73"/>
      <w:r>
        <w:rPr>
          <w:rFonts w:hint="eastAsia" w:asciiTheme="majorEastAsia" w:hAnsiTheme="majorEastAsia" w:eastAsiaTheme="majorEastAsia" w:cstheme="majorEastAsia"/>
          <w:sz w:val="28"/>
          <w:szCs w:val="28"/>
        </w:rPr>
        <w:t>。</w:t>
      </w:r>
    </w:p>
    <w:p w14:paraId="5B8B6613">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7.1.3.5  三阶段作业时进行全覆盖清雪作业模式。</w:t>
      </w:r>
    </w:p>
    <w:p w14:paraId="4685CE5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7.2  大雨及暴雨</w:t>
      </w:r>
    </w:p>
    <w:p w14:paraId="28388BA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7.2.1  大雨及暴雨等恶劣天气时应暂停全部作业。</w:t>
      </w:r>
    </w:p>
    <w:p w14:paraId="6B7E34F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7.2.2  应及时清扫路面及雨水井口的垃圾、淤泥、杂物等。</w:t>
      </w:r>
    </w:p>
    <w:p w14:paraId="28C09C7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7.2.3  针对积水路段，应用大扫帚、推水板等进行集中推水作业，泥浆不得飞溅过往行人。</w:t>
      </w:r>
    </w:p>
    <w:p w14:paraId="257A5E4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7.2.4  落叶、纸屑等杂物与道路黏在一起难以清理时，增加保洁人员作业频次、杂物循环收集次数。</w:t>
      </w:r>
    </w:p>
    <w:p w14:paraId="27B89CF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7.2.5  应及时将果皮箱、灭烟柱等环卫设施擦拭干净。</w:t>
      </w:r>
    </w:p>
    <w:p w14:paraId="3E6FE62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7.2.6  应使用高压冲洗车对道路及两侧进行全面冲洗。</w:t>
      </w:r>
    </w:p>
    <w:p w14:paraId="613C51D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7.2.7  降雨等级划分应执行GB/T 28592的规定。</w:t>
      </w:r>
    </w:p>
    <w:p w14:paraId="520427CA">
      <w:pPr>
        <w:rPr>
          <w:rFonts w:hint="eastAsia" w:asciiTheme="majorEastAsia" w:hAnsiTheme="majorEastAsia" w:eastAsiaTheme="majorEastAsia" w:cstheme="majorEastAsia"/>
          <w:sz w:val="28"/>
          <w:szCs w:val="28"/>
        </w:rPr>
      </w:pPr>
      <w:bookmarkStart w:id="74" w:name="_Toc5030043"/>
      <w:bookmarkStart w:id="75" w:name="_Toc25246679"/>
      <w:r>
        <w:rPr>
          <w:rFonts w:hint="eastAsia" w:asciiTheme="majorEastAsia" w:hAnsiTheme="majorEastAsia" w:eastAsiaTheme="majorEastAsia" w:cstheme="majorEastAsia"/>
          <w:sz w:val="28"/>
          <w:szCs w:val="28"/>
        </w:rPr>
        <w:t>7.3  大风天气</w:t>
      </w:r>
      <w:bookmarkEnd w:id="74"/>
      <w:bookmarkEnd w:id="75"/>
    </w:p>
    <w:p w14:paraId="739781E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7.3.1  5级及以上大风天气应暂停全部作业。</w:t>
      </w:r>
    </w:p>
    <w:p w14:paraId="1D445AA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7.3.2</w:t>
      </w:r>
      <w:r>
        <w:rPr>
          <w:rFonts w:hint="eastAsia" w:asciiTheme="majorEastAsia" w:hAnsiTheme="majorEastAsia" w:eastAsiaTheme="majorEastAsia" w:cstheme="majorEastAsia"/>
          <w:b/>
          <w:bCs/>
          <w:sz w:val="28"/>
          <w:szCs w:val="28"/>
        </w:rPr>
        <w:t xml:space="preserve">  </w:t>
      </w:r>
      <w:r>
        <w:rPr>
          <w:rFonts w:hint="eastAsia" w:asciiTheme="majorEastAsia" w:hAnsiTheme="majorEastAsia" w:eastAsiaTheme="majorEastAsia" w:cstheme="majorEastAsia"/>
          <w:sz w:val="28"/>
          <w:szCs w:val="28"/>
        </w:rPr>
        <w:t>大风过后，应及时清理树枝、落叶和垃圾等。</w:t>
      </w:r>
    </w:p>
    <w:p w14:paraId="0FAB28C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7.3.3  遇有大风并伴有扬沙天气时，应增加冲洗、喷雾降尘作业频次。</w:t>
      </w:r>
    </w:p>
    <w:p w14:paraId="5006B94D">
      <w:pPr>
        <w:rPr>
          <w:rFonts w:hint="eastAsia" w:asciiTheme="majorEastAsia" w:hAnsiTheme="majorEastAsia" w:eastAsiaTheme="majorEastAsia" w:cstheme="majorEastAsia"/>
          <w:sz w:val="28"/>
          <w:szCs w:val="28"/>
        </w:rPr>
      </w:pPr>
      <w:bookmarkStart w:id="76" w:name="_Toc25246680"/>
      <w:bookmarkStart w:id="77" w:name="_Toc5030044"/>
      <w:r>
        <w:rPr>
          <w:rFonts w:hint="eastAsia" w:asciiTheme="majorEastAsia" w:hAnsiTheme="majorEastAsia" w:eastAsiaTheme="majorEastAsia" w:cstheme="majorEastAsia"/>
          <w:sz w:val="28"/>
          <w:szCs w:val="28"/>
        </w:rPr>
        <w:t>7.4 高温天气</w:t>
      </w:r>
      <w:bookmarkEnd w:id="76"/>
      <w:bookmarkEnd w:id="77"/>
    </w:p>
    <w:p w14:paraId="2EFA968F">
      <w:pP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sz w:val="28"/>
          <w:szCs w:val="28"/>
        </w:rPr>
        <w:t xml:space="preserve">7.4.1 </w:t>
      </w:r>
      <w:r>
        <w:rPr>
          <w:rFonts w:hint="eastAsia" w:asciiTheme="majorEastAsia" w:hAnsiTheme="majorEastAsia" w:eastAsiaTheme="majorEastAsia" w:cstheme="majorEastAsia"/>
          <w:kern w:val="0"/>
          <w:sz w:val="28"/>
          <w:szCs w:val="28"/>
        </w:rPr>
        <w:t xml:space="preserve"> 气温超过35 ℃，应采取换班轮休等方式缩短清扫保洁人员作业时间。</w:t>
      </w:r>
    </w:p>
    <w:p w14:paraId="2F6F6775">
      <w:pPr>
        <w:rPr>
          <w:rFonts w:hint="eastAsia" w:asciiTheme="majorEastAsia" w:hAnsiTheme="majorEastAsia" w:eastAsiaTheme="majorEastAsia" w:cstheme="majorEastAsia"/>
          <w:sz w:val="28"/>
          <w:szCs w:val="28"/>
          <w:vertAlign w:val="subscript"/>
        </w:rPr>
      </w:pPr>
      <w:r>
        <w:rPr>
          <w:rFonts w:hint="eastAsia" w:asciiTheme="majorEastAsia" w:hAnsiTheme="majorEastAsia" w:eastAsiaTheme="majorEastAsia" w:cstheme="majorEastAsia"/>
          <w:sz w:val="28"/>
          <w:szCs w:val="28"/>
        </w:rPr>
        <w:t>7.4.2</w:t>
      </w:r>
      <w:r>
        <w:rPr>
          <w:rFonts w:hint="eastAsia" w:asciiTheme="majorEastAsia" w:hAnsiTheme="majorEastAsia" w:eastAsiaTheme="majorEastAsia" w:cstheme="majorEastAsia"/>
          <w:kern w:val="0"/>
          <w:sz w:val="28"/>
          <w:szCs w:val="28"/>
        </w:rPr>
        <w:t xml:space="preserve">  当气温超过40 ℃，应停止人工作业，加强机械化作业。</w:t>
      </w:r>
    </w:p>
    <w:p w14:paraId="48C70B2F">
      <w:pPr>
        <w:rPr>
          <w:rFonts w:hint="eastAsia" w:asciiTheme="majorEastAsia" w:hAnsiTheme="majorEastAsia" w:eastAsiaTheme="majorEastAsia" w:cstheme="majorEastAsia"/>
          <w:sz w:val="28"/>
          <w:szCs w:val="28"/>
        </w:rPr>
      </w:pPr>
      <w:bookmarkStart w:id="78" w:name="_Hlk522113032"/>
      <w:r>
        <w:rPr>
          <w:rFonts w:hint="eastAsia" w:asciiTheme="majorEastAsia" w:hAnsiTheme="majorEastAsia" w:eastAsiaTheme="majorEastAsia" w:cstheme="majorEastAsia"/>
          <w:sz w:val="28"/>
          <w:szCs w:val="28"/>
        </w:rPr>
        <w:t>7.4.3  保洁人员在高温天气作业时应随身携带降温饮品和防暑药品等应急物品。</w:t>
      </w:r>
    </w:p>
    <w:bookmarkEnd w:id="78"/>
    <w:p w14:paraId="6D4D80C5">
      <w:pPr>
        <w:rPr>
          <w:rFonts w:hint="eastAsia" w:asciiTheme="majorEastAsia" w:hAnsiTheme="majorEastAsia" w:eastAsiaTheme="majorEastAsia" w:cstheme="majorEastAsia"/>
          <w:sz w:val="28"/>
          <w:szCs w:val="28"/>
        </w:rPr>
      </w:pPr>
      <w:bookmarkStart w:id="79" w:name="_Toc25246681"/>
      <w:bookmarkStart w:id="80" w:name="_Toc5030045"/>
      <w:r>
        <w:rPr>
          <w:rFonts w:hint="eastAsia" w:asciiTheme="majorEastAsia" w:hAnsiTheme="majorEastAsia" w:eastAsiaTheme="majorEastAsia" w:cstheme="majorEastAsia"/>
          <w:sz w:val="28"/>
          <w:szCs w:val="28"/>
        </w:rPr>
        <w:t>7.5 落叶季节</w:t>
      </w:r>
      <w:bookmarkEnd w:id="79"/>
      <w:bookmarkEnd w:id="80"/>
    </w:p>
    <w:p w14:paraId="7EA04C49">
      <w:pPr>
        <w:rPr>
          <w:rFonts w:hint="eastAsia" w:asciiTheme="majorEastAsia" w:hAnsiTheme="majorEastAsia" w:eastAsiaTheme="majorEastAsia" w:cstheme="majorEastAsia"/>
          <w:sz w:val="28"/>
          <w:szCs w:val="28"/>
          <w:highlight w:val="red"/>
        </w:rPr>
      </w:pPr>
      <w:r>
        <w:rPr>
          <w:rFonts w:hint="eastAsia" w:asciiTheme="majorEastAsia" w:hAnsiTheme="majorEastAsia" w:eastAsiaTheme="majorEastAsia" w:cstheme="majorEastAsia"/>
          <w:sz w:val="28"/>
          <w:szCs w:val="28"/>
        </w:rPr>
        <w:t>7.5.1  应加大保洁频次。</w:t>
      </w:r>
    </w:p>
    <w:p w14:paraId="6C1F6C0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7.5.2  保洁人员应对绿化带和绿地等落叶难以清扫的区域及时进行全面清掏。</w:t>
      </w:r>
    </w:p>
    <w:p w14:paraId="17E5DD43">
      <w:pPr>
        <w:rPr>
          <w:rFonts w:hint="eastAsia" w:asciiTheme="majorEastAsia" w:hAnsiTheme="majorEastAsia" w:eastAsiaTheme="majorEastAsia" w:cstheme="majorEastAsia"/>
          <w:sz w:val="28"/>
          <w:szCs w:val="28"/>
          <w:vertAlign w:val="subscript"/>
        </w:rPr>
      </w:pPr>
      <w:r>
        <w:rPr>
          <w:rFonts w:hint="eastAsia" w:asciiTheme="majorEastAsia" w:hAnsiTheme="majorEastAsia" w:eastAsiaTheme="majorEastAsia" w:cstheme="majorEastAsia"/>
          <w:sz w:val="28"/>
          <w:szCs w:val="28"/>
        </w:rPr>
        <w:t>7.5.3  落叶量大、车流量大的一级道路应增加落叶清理频次。</w:t>
      </w:r>
    </w:p>
    <w:p w14:paraId="3A5A423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7.5.4  清扫落叶应随扫随装运，不应积存或焚烧落叶。</w:t>
      </w:r>
    </w:p>
    <w:p w14:paraId="22284C56">
      <w:pPr>
        <w:rPr>
          <w:rFonts w:hint="eastAsia" w:asciiTheme="majorEastAsia" w:hAnsiTheme="majorEastAsia" w:eastAsiaTheme="majorEastAsia" w:cstheme="majorEastAsia"/>
          <w:sz w:val="28"/>
          <w:szCs w:val="28"/>
          <w:vertAlign w:val="subscript"/>
        </w:rPr>
      </w:pPr>
      <w:r>
        <w:rPr>
          <w:rFonts w:hint="eastAsia" w:asciiTheme="majorEastAsia" w:hAnsiTheme="majorEastAsia" w:eastAsiaTheme="majorEastAsia" w:cstheme="majorEastAsia"/>
          <w:sz w:val="28"/>
          <w:szCs w:val="28"/>
        </w:rPr>
        <w:t>7.5.5  落叶收集转运过程中不应遗撒。</w:t>
      </w:r>
    </w:p>
    <w:p w14:paraId="027F030D">
      <w:pPr>
        <w:rPr>
          <w:rFonts w:hint="eastAsia" w:asciiTheme="majorEastAsia" w:hAnsiTheme="majorEastAsia" w:eastAsiaTheme="majorEastAsia" w:cstheme="majorEastAsia"/>
          <w:sz w:val="28"/>
          <w:szCs w:val="28"/>
        </w:rPr>
      </w:pPr>
      <w:bookmarkStart w:id="81" w:name="_Toc5030046"/>
      <w:bookmarkStart w:id="82" w:name="_Toc25246682"/>
      <w:bookmarkStart w:id="83" w:name="_Hlk522717090"/>
      <w:r>
        <w:rPr>
          <w:rFonts w:hint="eastAsia" w:asciiTheme="majorEastAsia" w:hAnsiTheme="majorEastAsia" w:eastAsiaTheme="majorEastAsia" w:cstheme="majorEastAsia"/>
          <w:sz w:val="28"/>
          <w:szCs w:val="28"/>
        </w:rPr>
        <w:t>7.6 重大节假日、大型活动等特殊时段</w:t>
      </w:r>
      <w:bookmarkEnd w:id="81"/>
      <w:bookmarkEnd w:id="82"/>
    </w:p>
    <w:p w14:paraId="23B508EB">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7.6.1  重大节假日期间应增配保洁人员，适时延长作业时间。</w:t>
      </w:r>
    </w:p>
    <w:p w14:paraId="3E19164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7.6.2  大型活动期间实行不断岗、无缝隙巡回保洁作业。</w:t>
      </w:r>
    </w:p>
    <w:p w14:paraId="1EBBCE89">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7.6.3  一级道路、重点时段宜强化机械清扫、保洁作业。</w:t>
      </w:r>
    </w:p>
    <w:p w14:paraId="7A24F90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7.6.4  垃圾应及时清运，不应堆存。</w:t>
      </w:r>
    </w:p>
    <w:p w14:paraId="287360B8">
      <w:pPr>
        <w:rPr>
          <w:rFonts w:hint="eastAsia" w:asciiTheme="majorEastAsia" w:hAnsiTheme="majorEastAsia" w:eastAsiaTheme="majorEastAsia" w:cstheme="majorEastAsia"/>
          <w:sz w:val="28"/>
          <w:szCs w:val="28"/>
        </w:rPr>
      </w:pPr>
      <w:bookmarkStart w:id="84" w:name="_Toc25246683"/>
      <w:bookmarkStart w:id="85" w:name="_Toc5030047"/>
      <w:r>
        <w:rPr>
          <w:rFonts w:hint="eastAsia" w:asciiTheme="majorEastAsia" w:hAnsiTheme="majorEastAsia" w:eastAsiaTheme="majorEastAsia" w:cstheme="majorEastAsia"/>
          <w:sz w:val="28"/>
          <w:szCs w:val="28"/>
        </w:rPr>
        <w:t>7.</w:t>
      </w:r>
      <w:bookmarkEnd w:id="83"/>
      <w:r>
        <w:rPr>
          <w:rFonts w:hint="eastAsia" w:asciiTheme="majorEastAsia" w:hAnsiTheme="majorEastAsia" w:eastAsiaTheme="majorEastAsia" w:cstheme="majorEastAsia"/>
          <w:sz w:val="28"/>
          <w:szCs w:val="28"/>
        </w:rPr>
        <w:t>7 突发状况</w:t>
      </w:r>
      <w:bookmarkEnd w:id="84"/>
      <w:bookmarkEnd w:id="85"/>
    </w:p>
    <w:p w14:paraId="5528B697">
      <w:pPr>
        <w:rPr>
          <w:rFonts w:hint="eastAsia" w:asciiTheme="majorEastAsia" w:hAnsiTheme="majorEastAsia" w:eastAsiaTheme="majorEastAsia" w:cstheme="majorEastAsia"/>
          <w:sz w:val="28"/>
          <w:szCs w:val="28"/>
          <w:vertAlign w:val="subscript"/>
        </w:rPr>
      </w:pPr>
      <w:r>
        <w:rPr>
          <w:rFonts w:hint="eastAsia" w:asciiTheme="majorEastAsia" w:hAnsiTheme="majorEastAsia" w:eastAsiaTheme="majorEastAsia" w:cstheme="majorEastAsia"/>
          <w:sz w:val="28"/>
          <w:szCs w:val="28"/>
        </w:rPr>
        <w:t>7.7.1  突发状况为突然发生造成道路严重污染和通行障碍的事件，包括渣土抛洒、漏油、垃圾撒落等。</w:t>
      </w:r>
    </w:p>
    <w:p w14:paraId="4E76F5BA">
      <w:pPr>
        <w:rPr>
          <w:rFonts w:hint="eastAsia" w:asciiTheme="majorEastAsia" w:hAnsiTheme="majorEastAsia" w:eastAsiaTheme="majorEastAsia" w:cstheme="majorEastAsia"/>
          <w:sz w:val="28"/>
          <w:szCs w:val="28"/>
        </w:rPr>
      </w:pPr>
      <w:bookmarkStart w:id="86" w:name="_Hlk17214444"/>
      <w:r>
        <w:rPr>
          <w:rFonts w:hint="eastAsia" w:asciiTheme="majorEastAsia" w:hAnsiTheme="majorEastAsia" w:eastAsiaTheme="majorEastAsia" w:cstheme="majorEastAsia"/>
          <w:sz w:val="28"/>
          <w:szCs w:val="28"/>
        </w:rPr>
        <w:t>7.7.2  保洁人员发现突发状况应立即向上级主管部门</w:t>
      </w:r>
      <w:bookmarkEnd w:id="86"/>
      <w:r>
        <w:rPr>
          <w:rFonts w:hint="eastAsia" w:asciiTheme="majorEastAsia" w:hAnsiTheme="majorEastAsia" w:eastAsiaTheme="majorEastAsia" w:cstheme="majorEastAsia"/>
          <w:sz w:val="28"/>
          <w:szCs w:val="28"/>
        </w:rPr>
        <w:t>汇报，及时放置警示标志，摆放安全锥桶，并等待应急人员的到位。</w:t>
      </w:r>
    </w:p>
    <w:p w14:paraId="67B7449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7.7.3  应急人员到位后，按照应急预案对现场进行清理、清扫，恢复路面干净、整洁。  </w:t>
      </w:r>
    </w:p>
    <w:p w14:paraId="1FE1F30C">
      <w:pPr>
        <w:rPr>
          <w:rFonts w:hint="eastAsia" w:asciiTheme="majorEastAsia" w:hAnsiTheme="majorEastAsia" w:eastAsiaTheme="majorEastAsia" w:cstheme="majorEastAsia"/>
          <w:sz w:val="28"/>
          <w:szCs w:val="28"/>
        </w:rPr>
      </w:pPr>
      <w:bookmarkStart w:id="87" w:name="_Toc25246684"/>
      <w:r>
        <w:rPr>
          <w:rFonts w:hint="eastAsia" w:asciiTheme="majorEastAsia" w:hAnsiTheme="majorEastAsia" w:eastAsiaTheme="majorEastAsia" w:cstheme="majorEastAsia"/>
          <w:sz w:val="28"/>
          <w:szCs w:val="28"/>
        </w:rPr>
        <w:t>8  作业安全</w:t>
      </w:r>
      <w:bookmarkEnd w:id="87"/>
    </w:p>
    <w:p w14:paraId="4677D3B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8.1  应建立健全安全生产管理制度，落实安全生产责任人，完善三级安全教育，并有完整记录。</w:t>
      </w:r>
    </w:p>
    <w:p w14:paraId="1A79860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8.2  环卫作业单位应对在岗作业人员定期进行安全教育和技能等相关培训并考核。</w:t>
      </w:r>
    </w:p>
    <w:p w14:paraId="55A36F9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8.3  作业时，保洁工具不应在道路上随意摆放影响交通、市容。</w:t>
      </w:r>
    </w:p>
    <w:p w14:paraId="0936D5C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8.4  清扫保洁人员作业时，应集中注意力，按车行线反方向作业，主动避让人和过往车辆，应按GB 20653的规定着警示服并配备保证作业安全的工具。</w:t>
      </w:r>
    </w:p>
    <w:p w14:paraId="2FD3DBFA">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8.5  在行车道人工清扫保洁作业时，应根据实际情况在作业点30 m~50 m外放置警示桶，迎着车辆来驶方向操作，发现不安全迹象时应立即采取避让措施；遇道路抛撒、路面大面积污染等突发状况清扫时，距清扫点来车方向50 m~100 m处应设置警示牌。</w:t>
      </w:r>
    </w:p>
    <w:p w14:paraId="49531232">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8.6  不应在车体外悬挂物体，在保洁三轮车上挂放工具时，宽度不得超过车厢宽度，长度不得超出车厢总长度50 cm（大扫把除外）。</w:t>
      </w:r>
    </w:p>
    <w:p w14:paraId="41FCD6B4">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8.7  机械作业应避开早晚交通高峰时段，减少对道路交通的影响。</w:t>
      </w:r>
    </w:p>
    <w:p w14:paraId="054B0F5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8.8  机械清扫保洁车辆在倒车和急转弯时应收起吸盘（扫盘）。</w:t>
      </w:r>
    </w:p>
    <w:p w14:paraId="395E552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8.9  车辆驾驶员应密切关注路况，严格控制车速、行车间距，保证作业安全，防止发生意外。</w:t>
      </w:r>
    </w:p>
    <w:p w14:paraId="4BF4348E">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8.10  冬季作业时，根据道路状况车辆应加装防滑链并确保车况良好，清扫保洁人员作业时应注意防冻、防滑。</w:t>
      </w:r>
    </w:p>
    <w:p w14:paraId="4B60F9A0">
      <w:pPr>
        <w:rPr>
          <w:rFonts w:hint="eastAsia" w:asciiTheme="majorEastAsia" w:hAnsiTheme="majorEastAsia" w:eastAsiaTheme="majorEastAsia" w:cstheme="majorEastAsia"/>
          <w:sz w:val="28"/>
          <w:szCs w:val="28"/>
        </w:rPr>
      </w:pPr>
      <w:bookmarkStart w:id="88" w:name="_Hlk17214489"/>
      <w:r>
        <w:rPr>
          <w:rFonts w:hint="eastAsia" w:asciiTheme="majorEastAsia" w:hAnsiTheme="majorEastAsia" w:eastAsiaTheme="majorEastAsia" w:cstheme="majorEastAsia"/>
          <w:sz w:val="28"/>
          <w:szCs w:val="28"/>
        </w:rPr>
        <w:t>8.11  环境能见度</w:t>
      </w:r>
      <w:bookmarkEnd w:id="88"/>
      <w:r>
        <w:rPr>
          <w:rFonts w:hint="eastAsia" w:asciiTheme="majorEastAsia" w:hAnsiTheme="majorEastAsia" w:eastAsiaTheme="majorEastAsia" w:cstheme="majorEastAsia"/>
          <w:sz w:val="28"/>
          <w:szCs w:val="28"/>
        </w:rPr>
        <w:t>小于300 m时人员不应在机动车道作业；环境能见度小于100 m时暂停全部作业。如处理突发事件时应开启雾灯、放置警示牌等确保安全。</w:t>
      </w:r>
    </w:p>
    <w:p w14:paraId="7B7AC0F0">
      <w:pPr>
        <w:rPr>
          <w:rFonts w:hint="eastAsia" w:asciiTheme="majorEastAsia" w:hAnsiTheme="majorEastAsia" w:eastAsiaTheme="majorEastAsia" w:cstheme="majorEastAsia"/>
          <w:sz w:val="28"/>
          <w:szCs w:val="28"/>
        </w:rPr>
      </w:pPr>
      <w:bookmarkStart w:id="89" w:name="_Toc25246685"/>
      <w:r>
        <w:rPr>
          <w:rFonts w:hint="eastAsia" w:asciiTheme="majorEastAsia" w:hAnsiTheme="majorEastAsia" w:eastAsiaTheme="majorEastAsia" w:cstheme="majorEastAsia"/>
          <w:sz w:val="28"/>
          <w:szCs w:val="28"/>
        </w:rPr>
        <w:t xml:space="preserve">9  </w:t>
      </w:r>
      <w:bookmarkEnd w:id="89"/>
      <w:r>
        <w:rPr>
          <w:rFonts w:hint="eastAsia" w:asciiTheme="majorEastAsia" w:hAnsiTheme="majorEastAsia" w:eastAsiaTheme="majorEastAsia" w:cstheme="majorEastAsia"/>
          <w:sz w:val="28"/>
          <w:szCs w:val="28"/>
        </w:rPr>
        <w:t>作业评价</w:t>
      </w:r>
    </w:p>
    <w:p w14:paraId="6A1C1A96">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9.1  城市道路清扫保洁质量评价单位应建立完善的工作制度和评价机制，应自觉接受社会公众的监督，及时处理群众投诉等问题。</w:t>
      </w:r>
    </w:p>
    <w:p w14:paraId="6DB8802C">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9.2  城市道路清扫保洁质量评价应采取日常巡查、周评、月评等相结合的方式进行，评价结果应纳入日常评价并归档。</w:t>
      </w:r>
    </w:p>
    <w:p w14:paraId="7A97C837">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9.3  城市道路清扫保洁质量评价单位应选取1～2名评价员按照本文件附录A的各项质量要求对被评价路段的清扫保洁质量进行评价，在被评价的车行道/人行道上应选取300 m～500 m。城市道路清扫保洁工作应定期进行评价，评价指标要求应按本文件附录A的规定执行。</w:t>
      </w:r>
    </w:p>
    <w:p w14:paraId="67061B8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9.4  城市道路清扫保洁质量评价单位应定期对道路路面积尘负荷进行检测评价，检测方法参见HJ/T 393。</w:t>
      </w:r>
      <w:bookmarkStart w:id="90" w:name="_Hlk17214654"/>
    </w:p>
    <w:bookmarkEnd w:id="90"/>
    <w:p w14:paraId="43E1AC32">
      <w:pPr>
        <w:rPr>
          <w:rFonts w:hint="eastAsia" w:asciiTheme="majorEastAsia" w:hAnsiTheme="majorEastAsia" w:eastAsiaTheme="majorEastAsia" w:cstheme="majorEastAsia"/>
          <w:sz w:val="28"/>
          <w:szCs w:val="28"/>
        </w:rPr>
        <w:sectPr>
          <w:headerReference r:id="rId6" w:type="default"/>
          <w:footerReference r:id="rId8" w:type="default"/>
          <w:headerReference r:id="rId7" w:type="even"/>
          <w:footerReference r:id="rId9" w:type="even"/>
          <w:pgSz w:w="11906" w:h="16838"/>
          <w:pgMar w:top="1440" w:right="1134" w:bottom="1440" w:left="1417" w:header="1417" w:footer="992" w:gutter="0"/>
          <w:cols w:space="720" w:num="1"/>
          <w:docGrid w:type="lines" w:linePitch="312" w:charSpace="0"/>
        </w:sectPr>
      </w:pPr>
    </w:p>
    <w:p w14:paraId="094CCD27">
      <w:pPr>
        <w:spacing w:line="520" w:lineRule="exact"/>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城市道路清扫保洁质量评价表和道路清扫保洁工作评价表</w:t>
      </w:r>
    </w:p>
    <w:p w14:paraId="1D03F95E">
      <w:pPr>
        <w:spacing w:line="520" w:lineRule="exact"/>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A.1 城市道路清扫保洁质量评价参见表A.1。</w:t>
      </w:r>
    </w:p>
    <w:p w14:paraId="0C98FEC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表A.1 城市道路清扫保洁质量评价表</w:t>
      </w:r>
    </w:p>
    <w:tbl>
      <w:tblPr>
        <w:tblStyle w:val="10"/>
        <w:tblW w:w="14660" w:type="dxa"/>
        <w:jc w:val="center"/>
        <w:tblLayout w:type="fixed"/>
        <w:tblCellMar>
          <w:top w:w="0" w:type="dxa"/>
          <w:left w:w="0" w:type="dxa"/>
          <w:bottom w:w="0" w:type="dxa"/>
          <w:right w:w="0" w:type="dxa"/>
        </w:tblCellMar>
      </w:tblPr>
      <w:tblGrid>
        <w:gridCol w:w="489"/>
        <w:gridCol w:w="344"/>
        <w:gridCol w:w="1136"/>
        <w:gridCol w:w="687"/>
        <w:gridCol w:w="1132"/>
        <w:gridCol w:w="611"/>
        <w:gridCol w:w="1212"/>
        <w:gridCol w:w="549"/>
        <w:gridCol w:w="869"/>
        <w:gridCol w:w="665"/>
        <w:gridCol w:w="1112"/>
        <w:gridCol w:w="826"/>
        <w:gridCol w:w="1078"/>
        <w:gridCol w:w="627"/>
        <w:gridCol w:w="1167"/>
        <w:gridCol w:w="587"/>
        <w:gridCol w:w="1011"/>
        <w:gridCol w:w="558"/>
      </w:tblGrid>
      <w:tr w14:paraId="1B47BDF7">
        <w:tblPrEx>
          <w:tblCellMar>
            <w:top w:w="0" w:type="dxa"/>
            <w:left w:w="0" w:type="dxa"/>
            <w:bottom w:w="0" w:type="dxa"/>
            <w:right w:w="0" w:type="dxa"/>
          </w:tblCellMar>
        </w:tblPrEx>
        <w:trPr>
          <w:trHeight w:val="570" w:hRule="atLeast"/>
          <w:tblHeader/>
          <w:jc w:val="center"/>
        </w:trPr>
        <w:tc>
          <w:tcPr>
            <w:tcW w:w="48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D1A4F3">
            <w:pPr>
              <w:rPr>
                <w:rFonts w:hint="eastAsia" w:asciiTheme="majorEastAsia" w:hAnsiTheme="majorEastAsia" w:eastAsiaTheme="majorEastAsia" w:cstheme="majorEastAsia"/>
                <w:kern w:val="0"/>
                <w:sz w:val="24"/>
                <w:szCs w:val="24"/>
              </w:rPr>
            </w:pPr>
            <w:bookmarkStart w:id="91" w:name="_Hlk16777926"/>
            <w:r>
              <w:rPr>
                <w:rFonts w:hint="eastAsia" w:asciiTheme="majorEastAsia" w:hAnsiTheme="majorEastAsia" w:eastAsiaTheme="majorEastAsia" w:cstheme="majorEastAsia"/>
                <w:kern w:val="0"/>
                <w:sz w:val="24"/>
                <w:szCs w:val="24"/>
              </w:rPr>
              <w:t>道路等级</w:t>
            </w:r>
          </w:p>
        </w:tc>
        <w:tc>
          <w:tcPr>
            <w:tcW w:w="3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19E3D5">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类别</w:t>
            </w:r>
          </w:p>
        </w:tc>
        <w:tc>
          <w:tcPr>
            <w:tcW w:w="1822"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14:paraId="4F2245AF">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果皮纸屑塑料袋等垃圾（路面污染物（10分）</w:t>
            </w:r>
          </w:p>
        </w:tc>
        <w:tc>
          <w:tcPr>
            <w:tcW w:w="1743"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14:paraId="370F5579">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积泥（10分）</w:t>
            </w:r>
          </w:p>
        </w:tc>
        <w:tc>
          <w:tcPr>
            <w:tcW w:w="1761"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14:paraId="5541E504">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污水（10分）</w:t>
            </w:r>
          </w:p>
        </w:tc>
        <w:tc>
          <w:tcPr>
            <w:tcW w:w="1534"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14:paraId="13D649D5">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路面积尘负荷（25分）</w:t>
            </w:r>
          </w:p>
        </w:tc>
        <w:tc>
          <w:tcPr>
            <w:tcW w:w="1938"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14:paraId="545B5082">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烟头（15分）</w:t>
            </w:r>
          </w:p>
        </w:tc>
        <w:tc>
          <w:tcPr>
            <w:tcW w:w="1705"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14:paraId="68188C3D">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痰迹（10分）</w:t>
            </w:r>
          </w:p>
        </w:tc>
        <w:tc>
          <w:tcPr>
            <w:tcW w:w="1754" w:type="dxa"/>
            <w:gridSpan w:val="2"/>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0525F570">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小广告（10分）</w:t>
            </w:r>
          </w:p>
        </w:tc>
        <w:tc>
          <w:tcPr>
            <w:tcW w:w="1569" w:type="dxa"/>
            <w:gridSpan w:val="2"/>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3190DC2">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停留时间</w:t>
            </w:r>
          </w:p>
          <w:p w14:paraId="1E160CF8">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（10分）</w:t>
            </w:r>
          </w:p>
        </w:tc>
      </w:tr>
      <w:tr w14:paraId="07159ED4">
        <w:tblPrEx>
          <w:tblCellMar>
            <w:top w:w="0" w:type="dxa"/>
            <w:left w:w="0" w:type="dxa"/>
            <w:bottom w:w="0" w:type="dxa"/>
            <w:right w:w="0" w:type="dxa"/>
          </w:tblCellMar>
        </w:tblPrEx>
        <w:trPr>
          <w:trHeight w:val="680" w:hRule="atLeast"/>
          <w:tblHeader/>
          <w:jc w:val="center"/>
        </w:trPr>
        <w:tc>
          <w:tcPr>
            <w:tcW w:w="48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F1C1EE">
            <w:pPr>
              <w:rPr>
                <w:rFonts w:hint="eastAsia" w:asciiTheme="majorEastAsia" w:hAnsiTheme="majorEastAsia" w:eastAsiaTheme="majorEastAsia" w:cstheme="majorEastAsia"/>
                <w:kern w:val="0"/>
                <w:sz w:val="24"/>
                <w:szCs w:val="24"/>
              </w:rPr>
            </w:pPr>
          </w:p>
        </w:tc>
        <w:tc>
          <w:tcPr>
            <w:tcW w:w="3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AD1BB9">
            <w:pPr>
              <w:rPr>
                <w:rFonts w:hint="eastAsia" w:asciiTheme="majorEastAsia" w:hAnsiTheme="majorEastAsia" w:eastAsiaTheme="majorEastAsia" w:cstheme="majorEastAsia"/>
                <w:kern w:val="0"/>
                <w:sz w:val="24"/>
                <w:szCs w:val="24"/>
              </w:rPr>
            </w:pPr>
          </w:p>
        </w:tc>
        <w:tc>
          <w:tcPr>
            <w:tcW w:w="11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5AEB70">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w:t>
            </w:r>
            <w:r>
              <w:rPr>
                <w:rFonts w:hint="eastAsia" w:asciiTheme="majorEastAsia" w:hAnsiTheme="majorEastAsia" w:eastAsiaTheme="majorEastAsia" w:cstheme="majorEastAsia"/>
                <w:kern w:val="0"/>
                <w:sz w:val="24"/>
                <w:szCs w:val="24"/>
              </w:rPr>
              <w:br w:type="textWrapping"/>
            </w:r>
            <w:r>
              <w:rPr>
                <w:rFonts w:hint="eastAsia" w:asciiTheme="majorEastAsia" w:hAnsiTheme="majorEastAsia" w:eastAsiaTheme="majorEastAsia" w:cstheme="majorEastAsia"/>
                <w:kern w:val="0"/>
                <w:sz w:val="24"/>
                <w:szCs w:val="24"/>
              </w:rPr>
              <w:t>（处/1000 m</w:t>
            </w:r>
            <w:r>
              <w:rPr>
                <w:rFonts w:hint="eastAsia" w:asciiTheme="majorEastAsia" w:hAnsiTheme="majorEastAsia" w:eastAsiaTheme="majorEastAsia" w:cstheme="majorEastAsia"/>
                <w:kern w:val="0"/>
                <w:sz w:val="24"/>
                <w:szCs w:val="24"/>
                <w:vertAlign w:val="superscript"/>
              </w:rPr>
              <w:t>2</w:t>
            </w:r>
            <w:r>
              <w:rPr>
                <w:rFonts w:hint="eastAsia" w:asciiTheme="majorEastAsia" w:hAnsiTheme="majorEastAsia" w:eastAsiaTheme="majorEastAsia" w:cstheme="majorEastAsia"/>
                <w:kern w:val="0"/>
                <w:sz w:val="24"/>
                <w:szCs w:val="24"/>
              </w:rPr>
              <w:t>）</w:t>
            </w:r>
          </w:p>
        </w:tc>
        <w:tc>
          <w:tcPr>
            <w:tcW w:w="6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01ACF8">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113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31747E">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w:t>
            </w:r>
            <w:r>
              <w:rPr>
                <w:rFonts w:hint="eastAsia" w:asciiTheme="majorEastAsia" w:hAnsiTheme="majorEastAsia" w:eastAsiaTheme="majorEastAsia" w:cstheme="majorEastAsia"/>
                <w:kern w:val="0"/>
                <w:sz w:val="24"/>
                <w:szCs w:val="24"/>
              </w:rPr>
              <w:br w:type="textWrapping"/>
            </w:r>
            <w:r>
              <w:rPr>
                <w:rFonts w:hint="eastAsia" w:asciiTheme="majorEastAsia" w:hAnsiTheme="majorEastAsia" w:eastAsiaTheme="majorEastAsia" w:cstheme="majorEastAsia"/>
                <w:kern w:val="0"/>
                <w:sz w:val="24"/>
                <w:szCs w:val="24"/>
              </w:rPr>
              <w:t>（处/1000 m2）</w:t>
            </w:r>
          </w:p>
        </w:tc>
        <w:tc>
          <w:tcPr>
            <w:tcW w:w="6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00024D">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12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B48AE4">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w:t>
            </w:r>
            <w:r>
              <w:rPr>
                <w:rFonts w:hint="eastAsia" w:asciiTheme="majorEastAsia" w:hAnsiTheme="majorEastAsia" w:eastAsiaTheme="majorEastAsia" w:cstheme="majorEastAsia"/>
                <w:kern w:val="0"/>
                <w:sz w:val="24"/>
                <w:szCs w:val="24"/>
              </w:rPr>
              <w:br w:type="textWrapping"/>
            </w:r>
            <w:r>
              <w:rPr>
                <w:rFonts w:hint="eastAsia" w:asciiTheme="majorEastAsia" w:hAnsiTheme="majorEastAsia" w:eastAsiaTheme="majorEastAsia" w:cstheme="majorEastAsia"/>
                <w:kern w:val="0"/>
                <w:sz w:val="24"/>
                <w:szCs w:val="24"/>
              </w:rPr>
              <w:t>（处/1000 m2）</w:t>
            </w:r>
          </w:p>
        </w:tc>
        <w:tc>
          <w:tcPr>
            <w:tcW w:w="5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275FAB">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869" w:type="dxa"/>
            <w:tcBorders>
              <w:top w:val="single" w:color="000000" w:sz="4" w:space="0"/>
              <w:left w:val="single" w:color="000000" w:sz="4" w:space="0"/>
              <w:bottom w:val="single" w:color="000000" w:sz="4" w:space="0"/>
              <w:right w:val="single" w:color="auto" w:sz="2" w:space="0"/>
            </w:tcBorders>
            <w:tcMar>
              <w:top w:w="15" w:type="dxa"/>
              <w:left w:w="15" w:type="dxa"/>
              <w:right w:w="15" w:type="dxa"/>
            </w:tcMar>
            <w:vAlign w:val="center"/>
          </w:tcPr>
          <w:p w14:paraId="2E80DF27">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检测结果（g/m2）</w:t>
            </w:r>
          </w:p>
        </w:tc>
        <w:tc>
          <w:tcPr>
            <w:tcW w:w="665" w:type="dxa"/>
            <w:tcBorders>
              <w:top w:val="single" w:color="000000" w:sz="4" w:space="0"/>
              <w:left w:val="single" w:color="auto" w:sz="2" w:space="0"/>
              <w:bottom w:val="single" w:color="000000" w:sz="4" w:space="0"/>
              <w:right w:val="single" w:color="000000" w:sz="4" w:space="0"/>
            </w:tcBorders>
            <w:tcMar>
              <w:top w:w="15" w:type="dxa"/>
              <w:left w:w="15" w:type="dxa"/>
              <w:right w:w="15" w:type="dxa"/>
            </w:tcMar>
            <w:vAlign w:val="center"/>
          </w:tcPr>
          <w:p w14:paraId="4F96EFA1">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11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71A23F">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检测结果（个/2000 m2）</w:t>
            </w:r>
          </w:p>
        </w:tc>
        <w:tc>
          <w:tcPr>
            <w:tcW w:w="8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23379F">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10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83C1D6">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检测结果（个/2000 m2）</w:t>
            </w:r>
          </w:p>
        </w:tc>
        <w:tc>
          <w:tcPr>
            <w:tcW w:w="6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B4C95D">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11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502EDD">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w:t>
            </w:r>
            <w:r>
              <w:rPr>
                <w:rFonts w:hint="eastAsia" w:asciiTheme="majorEastAsia" w:hAnsiTheme="majorEastAsia" w:eastAsiaTheme="majorEastAsia" w:cstheme="majorEastAsia"/>
                <w:kern w:val="0"/>
                <w:sz w:val="24"/>
                <w:szCs w:val="24"/>
              </w:rPr>
              <w:br w:type="textWrapping"/>
            </w:r>
            <w:r>
              <w:rPr>
                <w:rFonts w:hint="eastAsia" w:asciiTheme="majorEastAsia" w:hAnsiTheme="majorEastAsia" w:eastAsiaTheme="majorEastAsia" w:cstheme="majorEastAsia"/>
                <w:kern w:val="0"/>
                <w:sz w:val="24"/>
                <w:szCs w:val="24"/>
              </w:rPr>
              <w:t>（个/2000 m2）</w:t>
            </w:r>
          </w:p>
        </w:tc>
        <w:tc>
          <w:tcPr>
            <w:tcW w:w="5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D38837">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1011"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65B707E8">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w:t>
            </w:r>
            <w:r>
              <w:rPr>
                <w:rFonts w:hint="eastAsia" w:asciiTheme="majorEastAsia" w:hAnsiTheme="majorEastAsia" w:eastAsiaTheme="majorEastAsia" w:cstheme="majorEastAsia"/>
                <w:kern w:val="0"/>
                <w:sz w:val="24"/>
                <w:szCs w:val="24"/>
              </w:rPr>
              <w:br w:type="textWrapping"/>
            </w:r>
            <w:r>
              <w:rPr>
                <w:rFonts w:hint="eastAsia" w:asciiTheme="majorEastAsia" w:hAnsiTheme="majorEastAsia" w:eastAsiaTheme="majorEastAsia" w:cstheme="majorEastAsia"/>
                <w:kern w:val="0"/>
                <w:sz w:val="24"/>
                <w:szCs w:val="24"/>
              </w:rPr>
              <w:t>（min）</w:t>
            </w:r>
          </w:p>
        </w:tc>
        <w:tc>
          <w:tcPr>
            <w:tcW w:w="558"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1D7B72A3">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r>
      <w:tr w14:paraId="7A1F6F9B">
        <w:tblPrEx>
          <w:tblCellMar>
            <w:top w:w="0" w:type="dxa"/>
            <w:left w:w="0" w:type="dxa"/>
            <w:bottom w:w="0" w:type="dxa"/>
            <w:right w:w="0" w:type="dxa"/>
          </w:tblCellMar>
        </w:tblPrEx>
        <w:trPr>
          <w:trHeight w:val="142" w:hRule="atLeast"/>
          <w:tblHeader/>
          <w:jc w:val="center"/>
        </w:trPr>
        <w:tc>
          <w:tcPr>
            <w:tcW w:w="48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D6917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一级</w:t>
            </w: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C6D20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车行道</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9D44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4E1F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1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75550C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w:t>
            </w:r>
          </w:p>
        </w:tc>
        <w:tc>
          <w:tcPr>
            <w:tcW w:w="6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C4A617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9292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8174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869" w:type="dxa"/>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1B1E648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&lt;1</w:t>
            </w:r>
          </w:p>
        </w:tc>
        <w:tc>
          <w:tcPr>
            <w:tcW w:w="665" w:type="dxa"/>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6471355D">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25</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2607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3A3F8">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15</w:t>
            </w:r>
          </w:p>
        </w:tc>
        <w:tc>
          <w:tcPr>
            <w:tcW w:w="10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B69805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62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007522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1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A2440C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5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A05982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0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06793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06313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r>
      <w:tr w14:paraId="1ADCA680">
        <w:tblPrEx>
          <w:tblCellMar>
            <w:top w:w="0" w:type="dxa"/>
            <w:left w:w="0" w:type="dxa"/>
            <w:bottom w:w="0" w:type="dxa"/>
            <w:right w:w="0" w:type="dxa"/>
          </w:tblCellMar>
        </w:tblPrEx>
        <w:trPr>
          <w:trHeight w:val="142" w:hRule="atLeast"/>
          <w:tblHeader/>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BBE474">
            <w:pPr>
              <w:rPr>
                <w:rFonts w:hint="eastAsia" w:asciiTheme="majorEastAsia" w:hAnsiTheme="majorEastAsia" w:eastAsiaTheme="majorEastAsia" w:cstheme="majorEastAsia"/>
                <w:sz w:val="24"/>
                <w:szCs w:val="24"/>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906B00">
            <w:pPr>
              <w:rPr>
                <w:rFonts w:hint="eastAsia" w:asciiTheme="majorEastAsia" w:hAnsiTheme="majorEastAsia" w:eastAsiaTheme="majorEastAsia" w:cstheme="majorEastAsia"/>
                <w:sz w:val="24"/>
                <w:szCs w:val="24"/>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98FF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1~3</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B25E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11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391294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069E08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67F3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&gt;1</w:t>
            </w:r>
          </w:p>
        </w:tc>
        <w:tc>
          <w:tcPr>
            <w:tcW w:w="5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5DED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869" w:type="dxa"/>
            <w:vMerge w:val="restart"/>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7B9A67C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p>
        </w:tc>
        <w:tc>
          <w:tcPr>
            <w:tcW w:w="665" w:type="dxa"/>
            <w:vMerge w:val="restart"/>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345E36C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0</w:t>
            </w:r>
          </w:p>
        </w:tc>
        <w:tc>
          <w:tcPr>
            <w:tcW w:w="11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9E71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&gt;2</w:t>
            </w:r>
          </w:p>
        </w:tc>
        <w:tc>
          <w:tcPr>
            <w:tcW w:w="82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B8DD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B44B93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&gt;2</w:t>
            </w: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2A3F18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16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00CE51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&gt;2</w:t>
            </w: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177299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0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16010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5~10</w:t>
            </w:r>
          </w:p>
        </w:tc>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4AD1A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r>
      <w:tr w14:paraId="33C31970">
        <w:tblPrEx>
          <w:tblCellMar>
            <w:top w:w="0" w:type="dxa"/>
            <w:left w:w="0" w:type="dxa"/>
            <w:bottom w:w="0" w:type="dxa"/>
            <w:right w:w="0" w:type="dxa"/>
          </w:tblCellMar>
        </w:tblPrEx>
        <w:trPr>
          <w:trHeight w:val="142" w:hRule="atLeast"/>
          <w:tblHeader/>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01F081">
            <w:pPr>
              <w:rPr>
                <w:rFonts w:hint="eastAsia" w:asciiTheme="majorEastAsia" w:hAnsiTheme="majorEastAsia" w:eastAsiaTheme="majorEastAsia" w:cstheme="majorEastAsia"/>
                <w:sz w:val="24"/>
                <w:szCs w:val="24"/>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0305C8">
            <w:pPr>
              <w:rPr>
                <w:rFonts w:hint="eastAsia" w:asciiTheme="majorEastAsia" w:hAnsiTheme="majorEastAsia" w:eastAsiaTheme="majorEastAsia" w:cstheme="majorEastAsia"/>
                <w:sz w:val="24"/>
                <w:szCs w:val="24"/>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CE8B8">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&gt;3</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13E3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1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A44B639">
            <w:pPr>
              <w:rPr>
                <w:rFonts w:hint="eastAsia" w:asciiTheme="majorEastAsia" w:hAnsiTheme="majorEastAsia" w:eastAsiaTheme="majorEastAsia" w:cstheme="majorEastAsia"/>
                <w:sz w:val="24"/>
                <w:szCs w:val="24"/>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95AADDC">
            <w:pPr>
              <w:rPr>
                <w:rFonts w:hint="eastAsia" w:asciiTheme="majorEastAsia" w:hAnsiTheme="majorEastAsia" w:eastAsiaTheme="majorEastAsia" w:cstheme="majorEastAsia"/>
                <w:sz w:val="24"/>
                <w:szCs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41718">
            <w:pPr>
              <w:rPr>
                <w:rFonts w:hint="eastAsia" w:asciiTheme="majorEastAsia" w:hAnsiTheme="majorEastAsia" w:eastAsiaTheme="majorEastAsia" w:cstheme="majorEastAsia"/>
                <w:sz w:val="24"/>
                <w:szCs w:val="24"/>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F93EA">
            <w:pPr>
              <w:rPr>
                <w:rFonts w:hint="eastAsia" w:asciiTheme="majorEastAsia" w:hAnsiTheme="majorEastAsia" w:eastAsiaTheme="majorEastAsia" w:cstheme="majorEastAsia"/>
                <w:sz w:val="24"/>
                <w:szCs w:val="24"/>
              </w:rPr>
            </w:pPr>
          </w:p>
        </w:tc>
        <w:tc>
          <w:tcPr>
            <w:tcW w:w="869" w:type="dxa"/>
            <w:vMerge w:val="continue"/>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7DF6B820">
            <w:pPr>
              <w:rPr>
                <w:rFonts w:hint="eastAsia" w:asciiTheme="majorEastAsia" w:hAnsiTheme="majorEastAsia" w:eastAsiaTheme="majorEastAsia" w:cstheme="majorEastAsia"/>
                <w:sz w:val="24"/>
                <w:szCs w:val="24"/>
              </w:rPr>
            </w:pPr>
          </w:p>
        </w:tc>
        <w:tc>
          <w:tcPr>
            <w:tcW w:w="665" w:type="dxa"/>
            <w:vMerge w:val="continue"/>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01E94E78">
            <w:pPr>
              <w:rPr>
                <w:rFonts w:hint="eastAsia" w:asciiTheme="majorEastAsia" w:hAnsiTheme="majorEastAsia" w:eastAsiaTheme="majorEastAsia" w:cstheme="majorEastAsia"/>
                <w:sz w:val="24"/>
                <w:szCs w:val="24"/>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3036A">
            <w:pPr>
              <w:rPr>
                <w:rFonts w:hint="eastAsia" w:asciiTheme="majorEastAsia" w:hAnsiTheme="majorEastAsia" w:eastAsiaTheme="majorEastAsia" w:cstheme="majorEastAsia"/>
                <w:sz w:val="24"/>
                <w:szCs w:val="24"/>
              </w:rPr>
            </w:pPr>
          </w:p>
        </w:tc>
        <w:tc>
          <w:tcPr>
            <w:tcW w:w="8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04DB0">
            <w:pPr>
              <w:rPr>
                <w:rFonts w:hint="eastAsia" w:asciiTheme="majorEastAsia" w:hAnsiTheme="majorEastAsia" w:eastAsiaTheme="majorEastAsia" w:cstheme="majorEastAsia"/>
                <w:sz w:val="24"/>
                <w:szCs w:val="24"/>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DA0A41C">
            <w:pPr>
              <w:rPr>
                <w:rFonts w:hint="eastAsia" w:asciiTheme="majorEastAsia" w:hAnsiTheme="majorEastAsia" w:eastAsiaTheme="majorEastAsia" w:cstheme="majorEastAsia"/>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6C18D21">
            <w:pPr>
              <w:rPr>
                <w:rFonts w:hint="eastAsia" w:asciiTheme="majorEastAsia" w:hAnsiTheme="majorEastAsia" w:eastAsiaTheme="majorEastAsia" w:cstheme="majorEastAsia"/>
                <w:sz w:val="24"/>
                <w:szCs w:val="24"/>
              </w:rPr>
            </w:pPr>
          </w:p>
        </w:tc>
        <w:tc>
          <w:tcPr>
            <w:tcW w:w="11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5A60B6">
            <w:pPr>
              <w:rPr>
                <w:rFonts w:hint="eastAsia" w:asciiTheme="majorEastAsia" w:hAnsiTheme="majorEastAsia" w:eastAsiaTheme="majorEastAsia" w:cstheme="majorEastAsia"/>
                <w:sz w:val="24"/>
                <w:szCs w:val="24"/>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938A3D0">
            <w:pPr>
              <w:rPr>
                <w:rFonts w:hint="eastAsia" w:asciiTheme="majorEastAsia" w:hAnsiTheme="majorEastAsia" w:eastAsiaTheme="majorEastAsia" w:cstheme="majorEastAsia"/>
                <w:sz w:val="24"/>
                <w:szCs w:val="24"/>
              </w:rPr>
            </w:pPr>
          </w:p>
        </w:tc>
        <w:tc>
          <w:tcPr>
            <w:tcW w:w="10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977BA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&gt;10</w:t>
            </w:r>
          </w:p>
        </w:tc>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75577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r>
      <w:tr w14:paraId="41EBC13C">
        <w:tblPrEx>
          <w:tblCellMar>
            <w:top w:w="0" w:type="dxa"/>
            <w:left w:w="0" w:type="dxa"/>
            <w:bottom w:w="0" w:type="dxa"/>
            <w:right w:w="0" w:type="dxa"/>
          </w:tblCellMar>
        </w:tblPrEx>
        <w:trPr>
          <w:trHeight w:val="142" w:hRule="atLeast"/>
          <w:tblHeader/>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BC9FEB">
            <w:pPr>
              <w:rPr>
                <w:rFonts w:hint="eastAsia" w:asciiTheme="majorEastAsia" w:hAnsiTheme="majorEastAsia" w:eastAsiaTheme="majorEastAsia" w:cstheme="majorEastAsia"/>
                <w:sz w:val="24"/>
                <w:szCs w:val="24"/>
              </w:rPr>
            </w:pP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630EB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人行道</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D640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D6078">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1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711D56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w:t>
            </w:r>
          </w:p>
        </w:tc>
        <w:tc>
          <w:tcPr>
            <w:tcW w:w="6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DC2B3E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B434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221C8">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869" w:type="dxa"/>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2F6A15CE">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sz w:val="24"/>
                <w:szCs w:val="24"/>
              </w:rPr>
              <w:t>&lt;6</w:t>
            </w:r>
          </w:p>
        </w:tc>
        <w:tc>
          <w:tcPr>
            <w:tcW w:w="665" w:type="dxa"/>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136733BF">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25</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9684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E9D6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15</w:t>
            </w:r>
          </w:p>
        </w:tc>
        <w:tc>
          <w:tcPr>
            <w:tcW w:w="10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E019B4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62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16025C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1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106298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5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C23189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0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FD80F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84E2C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r>
      <w:tr w14:paraId="33FC74A1">
        <w:tblPrEx>
          <w:tblCellMar>
            <w:top w:w="0" w:type="dxa"/>
            <w:left w:w="0" w:type="dxa"/>
            <w:bottom w:w="0" w:type="dxa"/>
            <w:right w:w="0" w:type="dxa"/>
          </w:tblCellMar>
        </w:tblPrEx>
        <w:trPr>
          <w:trHeight w:val="142" w:hRule="atLeast"/>
          <w:tblHeader/>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A32DF8">
            <w:pPr>
              <w:rPr>
                <w:rFonts w:hint="eastAsia" w:asciiTheme="majorEastAsia" w:hAnsiTheme="majorEastAsia" w:eastAsiaTheme="majorEastAsia" w:cstheme="majorEastAsia"/>
                <w:sz w:val="24"/>
                <w:szCs w:val="24"/>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F11579">
            <w:pPr>
              <w:rPr>
                <w:rFonts w:hint="eastAsia" w:asciiTheme="majorEastAsia" w:hAnsiTheme="majorEastAsia" w:eastAsiaTheme="majorEastAsia" w:cstheme="majorEastAsia"/>
                <w:sz w:val="24"/>
                <w:szCs w:val="24"/>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37888">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1~3</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F122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11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F9421B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F01E5A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62E8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&gt;1</w:t>
            </w:r>
          </w:p>
        </w:tc>
        <w:tc>
          <w:tcPr>
            <w:tcW w:w="5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181B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869" w:type="dxa"/>
            <w:vMerge w:val="restart"/>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50636A9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≥6</w:t>
            </w:r>
          </w:p>
        </w:tc>
        <w:tc>
          <w:tcPr>
            <w:tcW w:w="665" w:type="dxa"/>
            <w:vMerge w:val="restart"/>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7427AC4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0</w:t>
            </w:r>
          </w:p>
        </w:tc>
        <w:tc>
          <w:tcPr>
            <w:tcW w:w="11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878F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&gt;2</w:t>
            </w:r>
          </w:p>
        </w:tc>
        <w:tc>
          <w:tcPr>
            <w:tcW w:w="82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B2B6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384504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&gt;2</w:t>
            </w: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5A3999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16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830496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&gt;2</w:t>
            </w: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204D47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0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A98AA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5~10</w:t>
            </w:r>
          </w:p>
        </w:tc>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DDA8D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r>
      <w:tr w14:paraId="5CB86553">
        <w:tblPrEx>
          <w:tblCellMar>
            <w:top w:w="0" w:type="dxa"/>
            <w:left w:w="0" w:type="dxa"/>
            <w:bottom w:w="0" w:type="dxa"/>
            <w:right w:w="0" w:type="dxa"/>
          </w:tblCellMar>
        </w:tblPrEx>
        <w:trPr>
          <w:trHeight w:val="104" w:hRule="atLeast"/>
          <w:tblHeader/>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9D5E09">
            <w:pPr>
              <w:rPr>
                <w:rFonts w:hint="eastAsia" w:asciiTheme="majorEastAsia" w:hAnsiTheme="majorEastAsia" w:eastAsiaTheme="majorEastAsia" w:cstheme="majorEastAsia"/>
                <w:sz w:val="24"/>
                <w:szCs w:val="24"/>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114819">
            <w:pPr>
              <w:rPr>
                <w:rFonts w:hint="eastAsia" w:asciiTheme="majorEastAsia" w:hAnsiTheme="majorEastAsia" w:eastAsiaTheme="majorEastAsia" w:cstheme="majorEastAsia"/>
                <w:sz w:val="24"/>
                <w:szCs w:val="24"/>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FB50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&gt;3</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CF20C">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1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C98DCA6">
            <w:pPr>
              <w:rPr>
                <w:rFonts w:hint="eastAsia" w:asciiTheme="majorEastAsia" w:hAnsiTheme="majorEastAsia" w:eastAsiaTheme="majorEastAsia" w:cstheme="majorEastAsia"/>
                <w:sz w:val="24"/>
                <w:szCs w:val="24"/>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1BEFA26">
            <w:pPr>
              <w:rPr>
                <w:rFonts w:hint="eastAsia" w:asciiTheme="majorEastAsia" w:hAnsiTheme="majorEastAsia" w:eastAsiaTheme="majorEastAsia" w:cstheme="majorEastAsia"/>
                <w:sz w:val="24"/>
                <w:szCs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CC693">
            <w:pPr>
              <w:rPr>
                <w:rFonts w:hint="eastAsia" w:asciiTheme="majorEastAsia" w:hAnsiTheme="majorEastAsia" w:eastAsiaTheme="majorEastAsia" w:cstheme="majorEastAsia"/>
                <w:sz w:val="24"/>
                <w:szCs w:val="24"/>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33B16">
            <w:pPr>
              <w:rPr>
                <w:rFonts w:hint="eastAsia" w:asciiTheme="majorEastAsia" w:hAnsiTheme="majorEastAsia" w:eastAsiaTheme="majorEastAsia" w:cstheme="majorEastAsia"/>
                <w:sz w:val="24"/>
                <w:szCs w:val="24"/>
              </w:rPr>
            </w:pPr>
          </w:p>
        </w:tc>
        <w:tc>
          <w:tcPr>
            <w:tcW w:w="869" w:type="dxa"/>
            <w:vMerge w:val="continue"/>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260F0B1A">
            <w:pPr>
              <w:rPr>
                <w:rFonts w:hint="eastAsia" w:asciiTheme="majorEastAsia" w:hAnsiTheme="majorEastAsia" w:eastAsiaTheme="majorEastAsia" w:cstheme="majorEastAsia"/>
                <w:sz w:val="24"/>
                <w:szCs w:val="24"/>
              </w:rPr>
            </w:pPr>
          </w:p>
        </w:tc>
        <w:tc>
          <w:tcPr>
            <w:tcW w:w="665" w:type="dxa"/>
            <w:vMerge w:val="continue"/>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54BB9DA0">
            <w:pPr>
              <w:rPr>
                <w:rFonts w:hint="eastAsia" w:asciiTheme="majorEastAsia" w:hAnsiTheme="majorEastAsia" w:eastAsiaTheme="majorEastAsia" w:cstheme="majorEastAsia"/>
                <w:sz w:val="24"/>
                <w:szCs w:val="24"/>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E8FC4">
            <w:pPr>
              <w:rPr>
                <w:rFonts w:hint="eastAsia" w:asciiTheme="majorEastAsia" w:hAnsiTheme="majorEastAsia" w:eastAsiaTheme="majorEastAsia" w:cstheme="majorEastAsia"/>
                <w:sz w:val="24"/>
                <w:szCs w:val="24"/>
              </w:rPr>
            </w:pPr>
          </w:p>
        </w:tc>
        <w:tc>
          <w:tcPr>
            <w:tcW w:w="8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10635">
            <w:pPr>
              <w:rPr>
                <w:rFonts w:hint="eastAsia" w:asciiTheme="majorEastAsia" w:hAnsiTheme="majorEastAsia" w:eastAsiaTheme="majorEastAsia" w:cstheme="majorEastAsia"/>
                <w:sz w:val="24"/>
                <w:szCs w:val="24"/>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2DFD922">
            <w:pPr>
              <w:rPr>
                <w:rFonts w:hint="eastAsia" w:asciiTheme="majorEastAsia" w:hAnsiTheme="majorEastAsia" w:eastAsiaTheme="majorEastAsia" w:cstheme="majorEastAsia"/>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C3F148C">
            <w:pPr>
              <w:rPr>
                <w:rFonts w:hint="eastAsia" w:asciiTheme="majorEastAsia" w:hAnsiTheme="majorEastAsia" w:eastAsiaTheme="majorEastAsia" w:cstheme="majorEastAsia"/>
                <w:sz w:val="24"/>
                <w:szCs w:val="24"/>
              </w:rPr>
            </w:pPr>
          </w:p>
        </w:tc>
        <w:tc>
          <w:tcPr>
            <w:tcW w:w="11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4E09F1C">
            <w:pPr>
              <w:rPr>
                <w:rFonts w:hint="eastAsia" w:asciiTheme="majorEastAsia" w:hAnsiTheme="majorEastAsia" w:eastAsiaTheme="majorEastAsia" w:cstheme="majorEastAsia"/>
                <w:sz w:val="24"/>
                <w:szCs w:val="24"/>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DDA44B9">
            <w:pPr>
              <w:rPr>
                <w:rFonts w:hint="eastAsia" w:asciiTheme="majorEastAsia" w:hAnsiTheme="majorEastAsia" w:eastAsiaTheme="majorEastAsia" w:cstheme="majorEastAsia"/>
                <w:sz w:val="24"/>
                <w:szCs w:val="24"/>
              </w:rPr>
            </w:pPr>
          </w:p>
        </w:tc>
        <w:tc>
          <w:tcPr>
            <w:tcW w:w="10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6813D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&gt;10</w:t>
            </w:r>
          </w:p>
        </w:tc>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1987A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r>
      <w:tr w14:paraId="16C00F35">
        <w:tblPrEx>
          <w:tblCellMar>
            <w:top w:w="0" w:type="dxa"/>
            <w:left w:w="0" w:type="dxa"/>
            <w:bottom w:w="0" w:type="dxa"/>
            <w:right w:w="0" w:type="dxa"/>
          </w:tblCellMar>
        </w:tblPrEx>
        <w:trPr>
          <w:trHeight w:val="142" w:hRule="atLeast"/>
          <w:tblHeader/>
          <w:jc w:val="center"/>
        </w:trPr>
        <w:tc>
          <w:tcPr>
            <w:tcW w:w="48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84355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二级</w:t>
            </w: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DB07E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车行道</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E4DB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F5FA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1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82507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6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0A96EC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A152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5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867C1D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869" w:type="dxa"/>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301F9FC1">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sz w:val="24"/>
                <w:szCs w:val="24"/>
              </w:rPr>
              <w:t>&lt;1</w:t>
            </w:r>
          </w:p>
        </w:tc>
        <w:tc>
          <w:tcPr>
            <w:tcW w:w="665" w:type="dxa"/>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5008F5FB">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25</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125A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3F37C">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15</w:t>
            </w:r>
          </w:p>
        </w:tc>
        <w:tc>
          <w:tcPr>
            <w:tcW w:w="10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AD3AEF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62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C66164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1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FFF12E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w:t>
            </w:r>
          </w:p>
        </w:tc>
        <w:tc>
          <w:tcPr>
            <w:tcW w:w="5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C36EF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0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F0782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AAB4A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r>
      <w:tr w14:paraId="4B991451">
        <w:tblPrEx>
          <w:tblCellMar>
            <w:top w:w="0" w:type="dxa"/>
            <w:left w:w="0" w:type="dxa"/>
            <w:bottom w:w="0" w:type="dxa"/>
            <w:right w:w="0" w:type="dxa"/>
          </w:tblCellMar>
        </w:tblPrEx>
        <w:trPr>
          <w:trHeight w:val="142" w:hRule="atLeast"/>
          <w:tblHeader/>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395587">
            <w:pPr>
              <w:rPr>
                <w:rFonts w:hint="eastAsia" w:asciiTheme="majorEastAsia" w:hAnsiTheme="majorEastAsia" w:eastAsiaTheme="majorEastAsia" w:cstheme="majorEastAsia"/>
                <w:sz w:val="24"/>
                <w:szCs w:val="24"/>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CDDC26">
            <w:pPr>
              <w:rPr>
                <w:rFonts w:hint="eastAsia" w:asciiTheme="majorEastAsia" w:hAnsiTheme="majorEastAsia" w:eastAsiaTheme="majorEastAsia" w:cstheme="majorEastAsia"/>
                <w:sz w:val="24"/>
                <w:szCs w:val="24"/>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63D2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2~4</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43B1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11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C61AA8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2~4</w:t>
            </w:r>
          </w:p>
        </w:tc>
        <w:tc>
          <w:tcPr>
            <w:tcW w:w="6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3A7BC4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F371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2~4</w:t>
            </w:r>
          </w:p>
        </w:tc>
        <w:tc>
          <w:tcPr>
            <w:tcW w:w="5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3244D9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869" w:type="dxa"/>
            <w:vMerge w:val="restart"/>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14B03B13">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sz w:val="24"/>
                <w:szCs w:val="24"/>
              </w:rPr>
              <w:t>≥1</w:t>
            </w:r>
          </w:p>
        </w:tc>
        <w:tc>
          <w:tcPr>
            <w:tcW w:w="665" w:type="dxa"/>
            <w:vMerge w:val="restart"/>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037A1E9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0</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D6F5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2~4</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FE89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0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02A39AC">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2~4</w:t>
            </w:r>
          </w:p>
        </w:tc>
        <w:tc>
          <w:tcPr>
            <w:tcW w:w="62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5ABCEF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11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D5D8C7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1~3</w:t>
            </w:r>
          </w:p>
        </w:tc>
        <w:tc>
          <w:tcPr>
            <w:tcW w:w="5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690FDD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10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CB1A5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10~30</w:t>
            </w:r>
          </w:p>
        </w:tc>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9DD11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r>
      <w:tr w14:paraId="1F96A589">
        <w:tblPrEx>
          <w:tblCellMar>
            <w:top w:w="0" w:type="dxa"/>
            <w:left w:w="0" w:type="dxa"/>
            <w:bottom w:w="0" w:type="dxa"/>
            <w:right w:w="0" w:type="dxa"/>
          </w:tblCellMar>
        </w:tblPrEx>
        <w:trPr>
          <w:trHeight w:val="142" w:hRule="atLeast"/>
          <w:tblHeader/>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3548AE">
            <w:pPr>
              <w:rPr>
                <w:rFonts w:hint="eastAsia" w:asciiTheme="majorEastAsia" w:hAnsiTheme="majorEastAsia" w:eastAsiaTheme="majorEastAsia" w:cstheme="majorEastAsia"/>
                <w:sz w:val="24"/>
                <w:szCs w:val="24"/>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1AF1B7">
            <w:pPr>
              <w:rPr>
                <w:rFonts w:hint="eastAsia" w:asciiTheme="majorEastAsia" w:hAnsiTheme="majorEastAsia" w:eastAsiaTheme="majorEastAsia" w:cstheme="majorEastAsia"/>
                <w:sz w:val="24"/>
                <w:szCs w:val="24"/>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B48F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&gt;4</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3B19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1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A04A1E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&gt;4</w:t>
            </w:r>
          </w:p>
        </w:tc>
        <w:tc>
          <w:tcPr>
            <w:tcW w:w="6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7D0267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9DC2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&gt;4</w:t>
            </w:r>
          </w:p>
        </w:tc>
        <w:tc>
          <w:tcPr>
            <w:tcW w:w="5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14F597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869" w:type="dxa"/>
            <w:vMerge w:val="continue"/>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3872A062">
            <w:pPr>
              <w:rPr>
                <w:rFonts w:hint="eastAsia" w:asciiTheme="majorEastAsia" w:hAnsiTheme="majorEastAsia" w:eastAsiaTheme="majorEastAsia" w:cstheme="majorEastAsia"/>
                <w:kern w:val="0"/>
                <w:sz w:val="24"/>
                <w:szCs w:val="24"/>
              </w:rPr>
            </w:pPr>
          </w:p>
        </w:tc>
        <w:tc>
          <w:tcPr>
            <w:tcW w:w="665" w:type="dxa"/>
            <w:vMerge w:val="continue"/>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374BA949">
            <w:pPr>
              <w:rPr>
                <w:rFonts w:hint="eastAsia" w:asciiTheme="majorEastAsia" w:hAnsiTheme="majorEastAsia" w:eastAsiaTheme="majorEastAsia" w:cstheme="majorEastAsia"/>
                <w:sz w:val="24"/>
                <w:szCs w:val="24"/>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68A4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&gt;4</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D02A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0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6E194E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&gt;4</w:t>
            </w:r>
          </w:p>
        </w:tc>
        <w:tc>
          <w:tcPr>
            <w:tcW w:w="62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7E8D2D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1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854BB9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&gt;3</w:t>
            </w:r>
          </w:p>
        </w:tc>
        <w:tc>
          <w:tcPr>
            <w:tcW w:w="5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A29144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0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8FA45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&gt;30</w:t>
            </w:r>
          </w:p>
        </w:tc>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2E4AB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r>
      <w:tr w14:paraId="623FA6D4">
        <w:tblPrEx>
          <w:tblCellMar>
            <w:top w:w="0" w:type="dxa"/>
            <w:left w:w="0" w:type="dxa"/>
            <w:bottom w:w="0" w:type="dxa"/>
            <w:right w:w="0" w:type="dxa"/>
          </w:tblCellMar>
        </w:tblPrEx>
        <w:trPr>
          <w:trHeight w:val="142" w:hRule="atLeast"/>
          <w:tblHeader/>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2999E6">
            <w:pPr>
              <w:rPr>
                <w:rFonts w:hint="eastAsia" w:asciiTheme="majorEastAsia" w:hAnsiTheme="majorEastAsia" w:eastAsiaTheme="majorEastAsia" w:cstheme="majorEastAsia"/>
                <w:sz w:val="24"/>
                <w:szCs w:val="24"/>
              </w:rPr>
            </w:pP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34DA1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人行道</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D4AE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DACB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1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F16AD4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6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E4FB97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CB7D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DF15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869" w:type="dxa"/>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34B62B57">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sz w:val="24"/>
                <w:szCs w:val="24"/>
              </w:rPr>
              <w:t>&lt;6</w:t>
            </w:r>
          </w:p>
        </w:tc>
        <w:tc>
          <w:tcPr>
            <w:tcW w:w="665" w:type="dxa"/>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38893E2F">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25</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7EE1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302A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15</w:t>
            </w:r>
          </w:p>
        </w:tc>
        <w:tc>
          <w:tcPr>
            <w:tcW w:w="10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FE57FC">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w:t>
            </w:r>
          </w:p>
        </w:tc>
        <w:tc>
          <w:tcPr>
            <w:tcW w:w="62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05DC9B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1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D24ADA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5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9084DF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0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718F4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4B423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r>
      <w:tr w14:paraId="08F842CA">
        <w:tblPrEx>
          <w:tblCellMar>
            <w:top w:w="0" w:type="dxa"/>
            <w:left w:w="0" w:type="dxa"/>
            <w:bottom w:w="0" w:type="dxa"/>
            <w:right w:w="0" w:type="dxa"/>
          </w:tblCellMar>
        </w:tblPrEx>
        <w:trPr>
          <w:trHeight w:val="142" w:hRule="atLeast"/>
          <w:tblHeader/>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DA37B2">
            <w:pPr>
              <w:rPr>
                <w:rFonts w:hint="eastAsia" w:asciiTheme="majorEastAsia" w:hAnsiTheme="majorEastAsia" w:eastAsiaTheme="majorEastAsia" w:cstheme="majorEastAsia"/>
                <w:sz w:val="24"/>
                <w:szCs w:val="24"/>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893827">
            <w:pPr>
              <w:rPr>
                <w:rFonts w:hint="eastAsia" w:asciiTheme="majorEastAsia" w:hAnsiTheme="majorEastAsia" w:eastAsiaTheme="majorEastAsia" w:cstheme="majorEastAsia"/>
                <w:sz w:val="24"/>
                <w:szCs w:val="24"/>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B3C0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2~4</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0E11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11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C436D2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&gt;2</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694EA8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0118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&gt;2</w:t>
            </w:r>
          </w:p>
        </w:tc>
        <w:tc>
          <w:tcPr>
            <w:tcW w:w="5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8398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869" w:type="dxa"/>
            <w:vMerge w:val="restart"/>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7E97B912">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sz w:val="24"/>
                <w:szCs w:val="24"/>
              </w:rPr>
              <w:t>≥6</w:t>
            </w:r>
          </w:p>
        </w:tc>
        <w:tc>
          <w:tcPr>
            <w:tcW w:w="665" w:type="dxa"/>
            <w:vMerge w:val="restart"/>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7FD94DD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0</w:t>
            </w: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A8F1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2~3</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98E5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0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7514F58">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2~3</w:t>
            </w:r>
          </w:p>
        </w:tc>
        <w:tc>
          <w:tcPr>
            <w:tcW w:w="62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A68AD6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116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994A6A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R&gt;2</w:t>
            </w: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493C8F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0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ABD1E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10~30</w:t>
            </w:r>
          </w:p>
        </w:tc>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D9921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r>
      <w:tr w14:paraId="2F6BEB84">
        <w:tblPrEx>
          <w:tblCellMar>
            <w:top w:w="0" w:type="dxa"/>
            <w:left w:w="0" w:type="dxa"/>
            <w:bottom w:w="0" w:type="dxa"/>
            <w:right w:w="0" w:type="dxa"/>
          </w:tblCellMar>
        </w:tblPrEx>
        <w:trPr>
          <w:trHeight w:val="142" w:hRule="atLeast"/>
          <w:tblHeader/>
          <w:jc w:val="center"/>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F9A35C">
            <w:pPr>
              <w:rPr>
                <w:rFonts w:hint="eastAsia" w:asciiTheme="majorEastAsia" w:hAnsiTheme="majorEastAsia" w:eastAsiaTheme="majorEastAsia" w:cstheme="majorEastAsia"/>
                <w:sz w:val="24"/>
                <w:szCs w:val="24"/>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370D63">
            <w:pPr>
              <w:rPr>
                <w:rFonts w:hint="eastAsia" w:asciiTheme="majorEastAsia" w:hAnsiTheme="majorEastAsia" w:eastAsiaTheme="majorEastAsia" w:cstheme="majorEastAsia"/>
                <w:sz w:val="24"/>
                <w:szCs w:val="24"/>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034C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&gt;4</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E164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1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9FB8238">
            <w:pPr>
              <w:rPr>
                <w:rFonts w:hint="eastAsia" w:asciiTheme="majorEastAsia" w:hAnsiTheme="majorEastAsia" w:eastAsiaTheme="majorEastAsia" w:cstheme="majorEastAsia"/>
                <w:sz w:val="24"/>
                <w:szCs w:val="24"/>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CC0FA86">
            <w:pPr>
              <w:rPr>
                <w:rFonts w:hint="eastAsia" w:asciiTheme="majorEastAsia" w:hAnsiTheme="majorEastAsia" w:eastAsiaTheme="majorEastAsia" w:cstheme="majorEastAsia"/>
                <w:sz w:val="24"/>
                <w:szCs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AFD3A">
            <w:pPr>
              <w:rPr>
                <w:rFonts w:hint="eastAsia" w:asciiTheme="majorEastAsia" w:hAnsiTheme="majorEastAsia" w:eastAsiaTheme="majorEastAsia" w:cstheme="majorEastAsia"/>
                <w:sz w:val="24"/>
                <w:szCs w:val="24"/>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F15FE">
            <w:pPr>
              <w:rPr>
                <w:rFonts w:hint="eastAsia" w:asciiTheme="majorEastAsia" w:hAnsiTheme="majorEastAsia" w:eastAsiaTheme="majorEastAsia" w:cstheme="majorEastAsia"/>
                <w:sz w:val="24"/>
                <w:szCs w:val="24"/>
              </w:rPr>
            </w:pPr>
          </w:p>
        </w:tc>
        <w:tc>
          <w:tcPr>
            <w:tcW w:w="869" w:type="dxa"/>
            <w:vMerge w:val="continue"/>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69C87BD5">
            <w:pPr>
              <w:rPr>
                <w:rFonts w:hint="eastAsia" w:asciiTheme="majorEastAsia" w:hAnsiTheme="majorEastAsia" w:eastAsiaTheme="majorEastAsia" w:cstheme="majorEastAsia"/>
                <w:kern w:val="0"/>
                <w:sz w:val="24"/>
                <w:szCs w:val="24"/>
              </w:rPr>
            </w:pPr>
          </w:p>
        </w:tc>
        <w:tc>
          <w:tcPr>
            <w:tcW w:w="665" w:type="dxa"/>
            <w:vMerge w:val="continue"/>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5B7CC575">
            <w:pPr>
              <w:rPr>
                <w:rFonts w:hint="eastAsia" w:asciiTheme="majorEastAsia" w:hAnsiTheme="majorEastAsia" w:eastAsiaTheme="majorEastAsia" w:cstheme="majorEastAsia"/>
                <w:sz w:val="24"/>
                <w:szCs w:val="24"/>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216F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&gt;3</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B8E3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0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3E65AA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&gt;3</w:t>
            </w:r>
          </w:p>
        </w:tc>
        <w:tc>
          <w:tcPr>
            <w:tcW w:w="62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DAF09E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1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F07E65">
            <w:pPr>
              <w:rPr>
                <w:rFonts w:hint="eastAsia" w:asciiTheme="majorEastAsia" w:hAnsiTheme="majorEastAsia" w:eastAsiaTheme="majorEastAsia" w:cstheme="majorEastAsia"/>
                <w:sz w:val="24"/>
                <w:szCs w:val="24"/>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216A68E">
            <w:pPr>
              <w:rPr>
                <w:rFonts w:hint="eastAsia" w:asciiTheme="majorEastAsia" w:hAnsiTheme="majorEastAsia" w:eastAsiaTheme="majorEastAsia" w:cstheme="majorEastAsia"/>
                <w:sz w:val="24"/>
                <w:szCs w:val="24"/>
              </w:rPr>
            </w:pPr>
          </w:p>
        </w:tc>
        <w:tc>
          <w:tcPr>
            <w:tcW w:w="10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1FCED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&gt;30</w:t>
            </w:r>
          </w:p>
        </w:tc>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E13CA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r>
      <w:bookmarkEnd w:id="91"/>
    </w:tbl>
    <w:p w14:paraId="76C020FD">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表A.1 城市道路清扫保洁质量评价表（续）</w:t>
      </w:r>
    </w:p>
    <w:tbl>
      <w:tblPr>
        <w:tblStyle w:val="10"/>
        <w:tblW w:w="14645" w:type="dxa"/>
        <w:jc w:val="center"/>
        <w:tblLayout w:type="fixed"/>
        <w:tblCellMar>
          <w:top w:w="0" w:type="dxa"/>
          <w:left w:w="0" w:type="dxa"/>
          <w:bottom w:w="0" w:type="dxa"/>
          <w:right w:w="0" w:type="dxa"/>
        </w:tblCellMar>
      </w:tblPr>
      <w:tblGrid>
        <w:gridCol w:w="627"/>
        <w:gridCol w:w="300"/>
        <w:gridCol w:w="1310"/>
        <w:gridCol w:w="505"/>
        <w:gridCol w:w="1295"/>
        <w:gridCol w:w="512"/>
        <w:gridCol w:w="1219"/>
        <w:gridCol w:w="544"/>
        <w:gridCol w:w="862"/>
        <w:gridCol w:w="638"/>
        <w:gridCol w:w="1125"/>
        <w:gridCol w:w="629"/>
        <w:gridCol w:w="1208"/>
        <w:gridCol w:w="638"/>
        <w:gridCol w:w="1144"/>
        <w:gridCol w:w="431"/>
        <w:gridCol w:w="849"/>
        <w:gridCol w:w="809"/>
      </w:tblGrid>
      <w:tr w14:paraId="3AF0601F">
        <w:tblPrEx>
          <w:tblCellMar>
            <w:top w:w="0" w:type="dxa"/>
            <w:left w:w="0" w:type="dxa"/>
            <w:bottom w:w="0" w:type="dxa"/>
            <w:right w:w="0" w:type="dxa"/>
          </w:tblCellMar>
        </w:tblPrEx>
        <w:trPr>
          <w:trHeight w:val="780" w:hRule="atLeast"/>
          <w:tblHeader/>
          <w:jc w:val="center"/>
        </w:trPr>
        <w:tc>
          <w:tcPr>
            <w:tcW w:w="62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B035F9">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道路等级</w:t>
            </w:r>
          </w:p>
        </w:tc>
        <w:tc>
          <w:tcPr>
            <w:tcW w:w="30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FA9631">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类别</w:t>
            </w:r>
          </w:p>
        </w:tc>
        <w:tc>
          <w:tcPr>
            <w:tcW w:w="1815"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14:paraId="57F806E2">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果皮纸屑塑料袋等垃圾（路面污染物）（10分）</w:t>
            </w:r>
          </w:p>
        </w:tc>
        <w:tc>
          <w:tcPr>
            <w:tcW w:w="1807"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3FA7541">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积泥（10分）</w:t>
            </w:r>
          </w:p>
        </w:tc>
        <w:tc>
          <w:tcPr>
            <w:tcW w:w="1763"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14:paraId="41AD51B9">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污水（10分）</w:t>
            </w:r>
          </w:p>
        </w:tc>
        <w:tc>
          <w:tcPr>
            <w:tcW w:w="1500"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14:paraId="0ED4DE0D">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路面积尘负荷（25分）</w:t>
            </w:r>
          </w:p>
        </w:tc>
        <w:tc>
          <w:tcPr>
            <w:tcW w:w="1754"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14:paraId="3AA5A1BA">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烟头（15分）</w:t>
            </w:r>
          </w:p>
        </w:tc>
        <w:tc>
          <w:tcPr>
            <w:tcW w:w="1846" w:type="dxa"/>
            <w:gridSpan w:val="2"/>
            <w:tcBorders>
              <w:top w:val="single" w:color="000000" w:sz="4" w:space="0"/>
              <w:left w:val="single" w:color="000000" w:sz="4" w:space="0"/>
              <w:bottom w:val="single" w:color="000000" w:sz="4" w:space="0"/>
              <w:right w:val="nil"/>
            </w:tcBorders>
            <w:tcMar>
              <w:top w:w="15" w:type="dxa"/>
              <w:left w:w="15" w:type="dxa"/>
              <w:right w:w="15" w:type="dxa"/>
            </w:tcMar>
            <w:vAlign w:val="center"/>
          </w:tcPr>
          <w:p w14:paraId="6EC1EDD4">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痰迹（10分）</w:t>
            </w:r>
          </w:p>
        </w:tc>
        <w:tc>
          <w:tcPr>
            <w:tcW w:w="1575" w:type="dxa"/>
            <w:gridSpan w:val="2"/>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14:paraId="3CA0A030">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小广告（10分）</w:t>
            </w:r>
          </w:p>
        </w:tc>
        <w:tc>
          <w:tcPr>
            <w:tcW w:w="1658" w:type="dxa"/>
            <w:gridSpan w:val="2"/>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FBB49C">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停留时间</w:t>
            </w:r>
          </w:p>
          <w:p w14:paraId="3AF3E5A3">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（10分）</w:t>
            </w:r>
          </w:p>
        </w:tc>
      </w:tr>
      <w:tr w14:paraId="2B344F4A">
        <w:tblPrEx>
          <w:tblCellMar>
            <w:top w:w="0" w:type="dxa"/>
            <w:left w:w="0" w:type="dxa"/>
            <w:bottom w:w="0" w:type="dxa"/>
            <w:right w:w="0" w:type="dxa"/>
          </w:tblCellMar>
        </w:tblPrEx>
        <w:trPr>
          <w:trHeight w:val="819" w:hRule="atLeast"/>
          <w:tblHeader/>
          <w:jc w:val="center"/>
        </w:trPr>
        <w:tc>
          <w:tcPr>
            <w:tcW w:w="62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73F199">
            <w:pPr>
              <w:rPr>
                <w:rFonts w:hint="eastAsia" w:asciiTheme="majorEastAsia" w:hAnsiTheme="majorEastAsia" w:eastAsiaTheme="majorEastAsia" w:cstheme="majorEastAsia"/>
                <w:kern w:val="0"/>
                <w:sz w:val="24"/>
                <w:szCs w:val="24"/>
              </w:rPr>
            </w:pPr>
          </w:p>
        </w:tc>
        <w:tc>
          <w:tcPr>
            <w:tcW w:w="30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F12ED3">
            <w:pPr>
              <w:rPr>
                <w:rFonts w:hint="eastAsia" w:asciiTheme="majorEastAsia" w:hAnsiTheme="majorEastAsia" w:eastAsiaTheme="majorEastAsia" w:cstheme="majorEastAsia"/>
                <w:kern w:val="0"/>
                <w:sz w:val="24"/>
                <w:szCs w:val="24"/>
              </w:rPr>
            </w:pPr>
          </w:p>
        </w:tc>
        <w:tc>
          <w:tcPr>
            <w:tcW w:w="13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F18A93">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w:t>
            </w:r>
            <w:r>
              <w:rPr>
                <w:rFonts w:hint="eastAsia" w:asciiTheme="majorEastAsia" w:hAnsiTheme="majorEastAsia" w:eastAsiaTheme="majorEastAsia" w:cstheme="majorEastAsia"/>
                <w:kern w:val="0"/>
                <w:sz w:val="24"/>
                <w:szCs w:val="24"/>
              </w:rPr>
              <w:br w:type="textWrapping"/>
            </w:r>
            <w:r>
              <w:rPr>
                <w:rFonts w:hint="eastAsia" w:asciiTheme="majorEastAsia" w:hAnsiTheme="majorEastAsia" w:eastAsiaTheme="majorEastAsia" w:cstheme="majorEastAsia"/>
                <w:kern w:val="0"/>
                <w:sz w:val="24"/>
                <w:szCs w:val="24"/>
              </w:rPr>
              <w:t>（处/1000 m</w:t>
            </w:r>
            <w:r>
              <w:rPr>
                <w:rFonts w:hint="eastAsia" w:asciiTheme="majorEastAsia" w:hAnsiTheme="majorEastAsia" w:eastAsiaTheme="majorEastAsia" w:cstheme="majorEastAsia"/>
                <w:kern w:val="0"/>
                <w:sz w:val="24"/>
                <w:szCs w:val="24"/>
                <w:vertAlign w:val="superscript"/>
              </w:rPr>
              <w:t>2</w:t>
            </w:r>
            <w:r>
              <w:rPr>
                <w:rFonts w:hint="eastAsia" w:asciiTheme="majorEastAsia" w:hAnsiTheme="majorEastAsia" w:eastAsiaTheme="majorEastAsia" w:cstheme="majorEastAsia"/>
                <w:kern w:val="0"/>
                <w:sz w:val="24"/>
                <w:szCs w:val="24"/>
              </w:rPr>
              <w:t>）</w:t>
            </w:r>
          </w:p>
        </w:tc>
        <w:tc>
          <w:tcPr>
            <w:tcW w:w="5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DEBF65">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12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E3987F">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w:t>
            </w:r>
            <w:r>
              <w:rPr>
                <w:rFonts w:hint="eastAsia" w:asciiTheme="majorEastAsia" w:hAnsiTheme="majorEastAsia" w:eastAsiaTheme="majorEastAsia" w:cstheme="majorEastAsia"/>
                <w:kern w:val="0"/>
                <w:sz w:val="24"/>
                <w:szCs w:val="24"/>
              </w:rPr>
              <w:br w:type="textWrapping"/>
            </w:r>
            <w:r>
              <w:rPr>
                <w:rFonts w:hint="eastAsia" w:asciiTheme="majorEastAsia" w:hAnsiTheme="majorEastAsia" w:eastAsiaTheme="majorEastAsia" w:cstheme="majorEastAsia"/>
                <w:kern w:val="0"/>
                <w:sz w:val="24"/>
                <w:szCs w:val="24"/>
              </w:rPr>
              <w:t>（处/1000 m</w:t>
            </w:r>
            <w:r>
              <w:rPr>
                <w:rFonts w:hint="eastAsia" w:asciiTheme="majorEastAsia" w:hAnsiTheme="majorEastAsia" w:eastAsiaTheme="majorEastAsia" w:cstheme="majorEastAsia"/>
                <w:kern w:val="0"/>
                <w:sz w:val="24"/>
                <w:szCs w:val="24"/>
                <w:vertAlign w:val="superscript"/>
              </w:rPr>
              <w:t>2</w:t>
            </w:r>
            <w:r>
              <w:rPr>
                <w:rFonts w:hint="eastAsia" w:asciiTheme="majorEastAsia" w:hAnsiTheme="majorEastAsia" w:eastAsiaTheme="majorEastAsia" w:cstheme="majorEastAsia"/>
                <w:kern w:val="0"/>
                <w:sz w:val="24"/>
                <w:szCs w:val="24"/>
              </w:rPr>
              <w:t>）</w:t>
            </w:r>
          </w:p>
        </w:tc>
        <w:tc>
          <w:tcPr>
            <w:tcW w:w="51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ECD3D8">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12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0B665B">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w:t>
            </w:r>
            <w:r>
              <w:rPr>
                <w:rFonts w:hint="eastAsia" w:asciiTheme="majorEastAsia" w:hAnsiTheme="majorEastAsia" w:eastAsiaTheme="majorEastAsia" w:cstheme="majorEastAsia"/>
                <w:kern w:val="0"/>
                <w:sz w:val="24"/>
                <w:szCs w:val="24"/>
              </w:rPr>
              <w:br w:type="textWrapping"/>
            </w:r>
            <w:r>
              <w:rPr>
                <w:rFonts w:hint="eastAsia" w:asciiTheme="majorEastAsia" w:hAnsiTheme="majorEastAsia" w:eastAsiaTheme="majorEastAsia" w:cstheme="majorEastAsia"/>
                <w:kern w:val="0"/>
                <w:sz w:val="24"/>
                <w:szCs w:val="24"/>
              </w:rPr>
              <w:t>（处/1000 m</w:t>
            </w:r>
            <w:r>
              <w:rPr>
                <w:rFonts w:hint="eastAsia" w:asciiTheme="majorEastAsia" w:hAnsiTheme="majorEastAsia" w:eastAsiaTheme="majorEastAsia" w:cstheme="majorEastAsia"/>
                <w:kern w:val="0"/>
                <w:sz w:val="24"/>
                <w:szCs w:val="24"/>
                <w:vertAlign w:val="superscript"/>
              </w:rPr>
              <w:t>2</w:t>
            </w:r>
            <w:r>
              <w:rPr>
                <w:rFonts w:hint="eastAsia" w:asciiTheme="majorEastAsia" w:hAnsiTheme="majorEastAsia" w:eastAsiaTheme="majorEastAsia" w:cstheme="majorEastAsia"/>
                <w:kern w:val="0"/>
                <w:sz w:val="24"/>
                <w:szCs w:val="24"/>
              </w:rPr>
              <w:t>）</w:t>
            </w:r>
          </w:p>
        </w:tc>
        <w:tc>
          <w:tcPr>
            <w:tcW w:w="5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A944BA">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862" w:type="dxa"/>
            <w:tcBorders>
              <w:top w:val="single" w:color="000000" w:sz="4" w:space="0"/>
              <w:left w:val="single" w:color="000000" w:sz="4" w:space="0"/>
              <w:bottom w:val="single" w:color="000000" w:sz="4" w:space="0"/>
              <w:right w:val="single" w:color="auto" w:sz="2" w:space="0"/>
            </w:tcBorders>
            <w:tcMar>
              <w:top w:w="15" w:type="dxa"/>
              <w:left w:w="15" w:type="dxa"/>
              <w:right w:w="15" w:type="dxa"/>
            </w:tcMar>
            <w:vAlign w:val="center"/>
          </w:tcPr>
          <w:p w14:paraId="302AFCF7">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检测结果（g/m</w:t>
            </w:r>
            <w:r>
              <w:rPr>
                <w:rFonts w:hint="eastAsia" w:asciiTheme="majorEastAsia" w:hAnsiTheme="majorEastAsia" w:eastAsiaTheme="majorEastAsia" w:cstheme="majorEastAsia"/>
                <w:kern w:val="0"/>
                <w:sz w:val="24"/>
                <w:szCs w:val="24"/>
                <w:vertAlign w:val="superscript"/>
              </w:rPr>
              <w:t>2</w:t>
            </w:r>
            <w:r>
              <w:rPr>
                <w:rFonts w:hint="eastAsia" w:asciiTheme="majorEastAsia" w:hAnsiTheme="majorEastAsia" w:eastAsiaTheme="majorEastAsia" w:cstheme="majorEastAsia"/>
                <w:kern w:val="0"/>
                <w:sz w:val="24"/>
                <w:szCs w:val="24"/>
              </w:rPr>
              <w:t>）</w:t>
            </w:r>
          </w:p>
        </w:tc>
        <w:tc>
          <w:tcPr>
            <w:tcW w:w="638" w:type="dxa"/>
            <w:tcBorders>
              <w:top w:val="single" w:color="000000" w:sz="4" w:space="0"/>
              <w:left w:val="single" w:color="auto" w:sz="2" w:space="0"/>
              <w:bottom w:val="single" w:color="000000" w:sz="4" w:space="0"/>
              <w:right w:val="single" w:color="000000" w:sz="4" w:space="0"/>
            </w:tcBorders>
            <w:tcMar>
              <w:top w:w="15" w:type="dxa"/>
              <w:left w:w="15" w:type="dxa"/>
              <w:right w:w="15" w:type="dxa"/>
            </w:tcMar>
            <w:vAlign w:val="center"/>
          </w:tcPr>
          <w:p w14:paraId="3FF31B96">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66E289">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检测结果（个/2000 m</w:t>
            </w:r>
            <w:r>
              <w:rPr>
                <w:rFonts w:hint="eastAsia" w:asciiTheme="majorEastAsia" w:hAnsiTheme="majorEastAsia" w:eastAsiaTheme="majorEastAsia" w:cstheme="majorEastAsia"/>
                <w:kern w:val="0"/>
                <w:sz w:val="24"/>
                <w:szCs w:val="24"/>
                <w:vertAlign w:val="superscript"/>
              </w:rPr>
              <w:t>2</w:t>
            </w:r>
            <w:r>
              <w:rPr>
                <w:rFonts w:hint="eastAsia" w:asciiTheme="majorEastAsia" w:hAnsiTheme="majorEastAsia" w:eastAsiaTheme="majorEastAsia" w:cstheme="majorEastAsia"/>
                <w:kern w:val="0"/>
                <w:sz w:val="24"/>
                <w:szCs w:val="24"/>
              </w:rPr>
              <w:t>）</w:t>
            </w:r>
          </w:p>
        </w:tc>
        <w:tc>
          <w:tcPr>
            <w:tcW w:w="6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1BE2C6">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12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8DF2D4">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检测结果（个/2000 m</w:t>
            </w:r>
            <w:r>
              <w:rPr>
                <w:rFonts w:hint="eastAsia" w:asciiTheme="majorEastAsia" w:hAnsiTheme="majorEastAsia" w:eastAsiaTheme="majorEastAsia" w:cstheme="majorEastAsia"/>
                <w:kern w:val="0"/>
                <w:sz w:val="24"/>
                <w:szCs w:val="24"/>
                <w:vertAlign w:val="superscript"/>
              </w:rPr>
              <w:t>2</w:t>
            </w:r>
            <w:r>
              <w:rPr>
                <w:rFonts w:hint="eastAsia" w:asciiTheme="majorEastAsia" w:hAnsiTheme="majorEastAsia" w:eastAsiaTheme="majorEastAsia" w:cstheme="majorEastAsia"/>
                <w:kern w:val="0"/>
                <w:sz w:val="24"/>
                <w:szCs w:val="24"/>
              </w:rPr>
              <w:t>）</w:t>
            </w:r>
          </w:p>
        </w:tc>
        <w:tc>
          <w:tcPr>
            <w:tcW w:w="6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68E534">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11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4CC4A2">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w:t>
            </w:r>
            <w:r>
              <w:rPr>
                <w:rFonts w:hint="eastAsia" w:asciiTheme="majorEastAsia" w:hAnsiTheme="majorEastAsia" w:eastAsiaTheme="majorEastAsia" w:cstheme="majorEastAsia"/>
                <w:kern w:val="0"/>
                <w:sz w:val="24"/>
                <w:szCs w:val="24"/>
              </w:rPr>
              <w:br w:type="textWrapping"/>
            </w:r>
            <w:r>
              <w:rPr>
                <w:rFonts w:hint="eastAsia" w:asciiTheme="majorEastAsia" w:hAnsiTheme="majorEastAsia" w:eastAsiaTheme="majorEastAsia" w:cstheme="majorEastAsia"/>
                <w:kern w:val="0"/>
                <w:sz w:val="24"/>
                <w:szCs w:val="24"/>
              </w:rPr>
              <w:t>（个/2000 m</w:t>
            </w:r>
            <w:r>
              <w:rPr>
                <w:rFonts w:hint="eastAsia" w:asciiTheme="majorEastAsia" w:hAnsiTheme="majorEastAsia" w:eastAsiaTheme="majorEastAsia" w:cstheme="majorEastAsia"/>
                <w:kern w:val="0"/>
                <w:sz w:val="24"/>
                <w:szCs w:val="24"/>
                <w:vertAlign w:val="superscript"/>
              </w:rPr>
              <w:t>2</w:t>
            </w:r>
            <w:r>
              <w:rPr>
                <w:rFonts w:hint="eastAsia" w:asciiTheme="majorEastAsia" w:hAnsiTheme="majorEastAsia" w:eastAsiaTheme="majorEastAsia" w:cstheme="majorEastAsia"/>
                <w:kern w:val="0"/>
                <w:sz w:val="24"/>
                <w:szCs w:val="24"/>
              </w:rPr>
              <w:t>）</w:t>
            </w:r>
          </w:p>
        </w:tc>
        <w:tc>
          <w:tcPr>
            <w:tcW w:w="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CF0767">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c>
          <w:tcPr>
            <w:tcW w:w="849"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7F58BF28">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检测结果</w:t>
            </w:r>
            <w:r>
              <w:rPr>
                <w:rFonts w:hint="eastAsia" w:asciiTheme="majorEastAsia" w:hAnsiTheme="majorEastAsia" w:eastAsiaTheme="majorEastAsia" w:cstheme="majorEastAsia"/>
                <w:kern w:val="0"/>
                <w:sz w:val="24"/>
                <w:szCs w:val="24"/>
              </w:rPr>
              <w:br w:type="textWrapping"/>
            </w:r>
            <w:r>
              <w:rPr>
                <w:rFonts w:hint="eastAsia" w:asciiTheme="majorEastAsia" w:hAnsiTheme="majorEastAsia" w:eastAsiaTheme="majorEastAsia" w:cstheme="majorEastAsia"/>
                <w:kern w:val="0"/>
                <w:sz w:val="24"/>
                <w:szCs w:val="24"/>
              </w:rPr>
              <w:t>（min）</w:t>
            </w:r>
          </w:p>
        </w:tc>
        <w:tc>
          <w:tcPr>
            <w:tcW w:w="809"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78C66E47">
            <w:pPr>
              <w:spacing w:line="240" w:lineRule="exac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得分</w:t>
            </w:r>
          </w:p>
        </w:tc>
      </w:tr>
      <w:tr w14:paraId="4083251D">
        <w:tblPrEx>
          <w:tblCellMar>
            <w:top w:w="0" w:type="dxa"/>
            <w:left w:w="0" w:type="dxa"/>
            <w:bottom w:w="0" w:type="dxa"/>
            <w:right w:w="0" w:type="dxa"/>
          </w:tblCellMar>
        </w:tblPrEx>
        <w:trPr>
          <w:trHeight w:val="270" w:hRule="atLeast"/>
          <w:tblHeader/>
          <w:jc w:val="center"/>
        </w:trPr>
        <w:tc>
          <w:tcPr>
            <w:tcW w:w="627" w:type="dxa"/>
            <w:vMerge w:val="restart"/>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7961095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三级</w:t>
            </w:r>
          </w:p>
        </w:tc>
        <w:tc>
          <w:tcPr>
            <w:tcW w:w="30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2491F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车行道</w:t>
            </w:r>
          </w:p>
        </w:tc>
        <w:tc>
          <w:tcPr>
            <w:tcW w:w="13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B6C6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59E5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2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FE8958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5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F9E321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2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859C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5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FFDB99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862" w:type="dxa"/>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1B03C2F7">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sz w:val="24"/>
                <w:szCs w:val="24"/>
              </w:rPr>
              <w:t>&lt;4</w:t>
            </w:r>
          </w:p>
        </w:tc>
        <w:tc>
          <w:tcPr>
            <w:tcW w:w="638" w:type="dxa"/>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4B6BEF7D">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25</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49F1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BDF6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15</w:t>
            </w:r>
          </w:p>
        </w:tc>
        <w:tc>
          <w:tcPr>
            <w:tcW w:w="120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F6E7E1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≤4</w:t>
            </w:r>
          </w:p>
        </w:tc>
        <w:tc>
          <w:tcPr>
            <w:tcW w:w="63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996740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A22D32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4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C3C2D2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8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CA9F2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95DE22">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10</w:t>
            </w:r>
          </w:p>
        </w:tc>
      </w:tr>
      <w:tr w14:paraId="62318200">
        <w:tblPrEx>
          <w:tblCellMar>
            <w:top w:w="0" w:type="dxa"/>
            <w:left w:w="0" w:type="dxa"/>
            <w:bottom w:w="0" w:type="dxa"/>
            <w:right w:w="0" w:type="dxa"/>
          </w:tblCellMar>
        </w:tblPrEx>
        <w:trPr>
          <w:trHeight w:val="270" w:hRule="atLeast"/>
          <w:tblHeader/>
          <w:jc w:val="center"/>
        </w:trPr>
        <w:tc>
          <w:tcPr>
            <w:tcW w:w="627" w:type="dxa"/>
            <w:vMerge w:val="continue"/>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2E8282EA">
            <w:pPr>
              <w:rPr>
                <w:rFonts w:hint="eastAsia" w:asciiTheme="majorEastAsia" w:hAnsiTheme="majorEastAsia" w:eastAsiaTheme="majorEastAsia" w:cstheme="majorEastAsia"/>
                <w:sz w:val="24"/>
                <w:szCs w:val="24"/>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4100D0">
            <w:pPr>
              <w:rPr>
                <w:rFonts w:hint="eastAsia" w:asciiTheme="majorEastAsia" w:hAnsiTheme="majorEastAsia" w:eastAsiaTheme="majorEastAsia" w:cstheme="majorEastAsia"/>
                <w:sz w:val="24"/>
                <w:szCs w:val="24"/>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2C55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3~6</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1141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12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4085AD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2~4</w:t>
            </w:r>
          </w:p>
        </w:tc>
        <w:tc>
          <w:tcPr>
            <w:tcW w:w="5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D46550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12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1D7B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2~4</w:t>
            </w:r>
          </w:p>
        </w:tc>
        <w:tc>
          <w:tcPr>
            <w:tcW w:w="5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E911EF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862" w:type="dxa"/>
            <w:vMerge w:val="restart"/>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2C66BEC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w:t>
            </w:r>
          </w:p>
        </w:tc>
        <w:tc>
          <w:tcPr>
            <w:tcW w:w="638" w:type="dxa"/>
            <w:vMerge w:val="restart"/>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3179D33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0</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5FEC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&gt;4</w:t>
            </w:r>
          </w:p>
        </w:tc>
        <w:tc>
          <w:tcPr>
            <w:tcW w:w="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6619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20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24F81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&gt;4</w:t>
            </w:r>
          </w:p>
        </w:tc>
        <w:tc>
          <w:tcPr>
            <w:tcW w:w="63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427340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127293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2~5</w:t>
            </w:r>
          </w:p>
        </w:tc>
        <w:tc>
          <w:tcPr>
            <w:tcW w:w="4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8C6142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8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769C2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10~30</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4DFF9C">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r>
      <w:tr w14:paraId="0CCD93C0">
        <w:tblPrEx>
          <w:tblCellMar>
            <w:top w:w="0" w:type="dxa"/>
            <w:left w:w="0" w:type="dxa"/>
            <w:bottom w:w="0" w:type="dxa"/>
            <w:right w:w="0" w:type="dxa"/>
          </w:tblCellMar>
        </w:tblPrEx>
        <w:trPr>
          <w:trHeight w:val="270" w:hRule="atLeast"/>
          <w:tblHeader/>
          <w:jc w:val="center"/>
        </w:trPr>
        <w:tc>
          <w:tcPr>
            <w:tcW w:w="627" w:type="dxa"/>
            <w:vMerge w:val="continue"/>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6FB9FA4B">
            <w:pPr>
              <w:rPr>
                <w:rFonts w:hint="eastAsia" w:asciiTheme="majorEastAsia" w:hAnsiTheme="majorEastAsia" w:eastAsiaTheme="majorEastAsia" w:cstheme="majorEastAsia"/>
                <w:sz w:val="24"/>
                <w:szCs w:val="24"/>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FA635C">
            <w:pPr>
              <w:rPr>
                <w:rFonts w:hint="eastAsia" w:asciiTheme="majorEastAsia" w:hAnsiTheme="majorEastAsia" w:eastAsiaTheme="majorEastAsia" w:cstheme="majorEastAsia"/>
                <w:sz w:val="24"/>
                <w:szCs w:val="24"/>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E846C">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&gt;6</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3358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2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392789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&gt;4</w:t>
            </w:r>
          </w:p>
        </w:tc>
        <w:tc>
          <w:tcPr>
            <w:tcW w:w="5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CBBD5C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2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2905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&gt;4</w:t>
            </w:r>
          </w:p>
        </w:tc>
        <w:tc>
          <w:tcPr>
            <w:tcW w:w="5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D434E8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862" w:type="dxa"/>
            <w:vMerge w:val="continue"/>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40BA03FE">
            <w:pPr>
              <w:rPr>
                <w:rFonts w:hint="eastAsia" w:asciiTheme="majorEastAsia" w:hAnsiTheme="majorEastAsia" w:eastAsiaTheme="majorEastAsia" w:cstheme="majorEastAsia"/>
                <w:sz w:val="24"/>
                <w:szCs w:val="24"/>
              </w:rPr>
            </w:pPr>
          </w:p>
        </w:tc>
        <w:tc>
          <w:tcPr>
            <w:tcW w:w="638" w:type="dxa"/>
            <w:vMerge w:val="continue"/>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29BE919E">
            <w:pPr>
              <w:rPr>
                <w:rFonts w:hint="eastAsia" w:asciiTheme="majorEastAsia" w:hAnsiTheme="majorEastAsia" w:eastAsiaTheme="majorEastAsia" w:cstheme="majorEastAsia"/>
                <w:sz w:val="24"/>
                <w:szCs w:val="24"/>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91755">
            <w:pPr>
              <w:rPr>
                <w:rFonts w:hint="eastAsia" w:asciiTheme="majorEastAsia" w:hAnsiTheme="majorEastAsia" w:eastAsiaTheme="majorEastAsia" w:cstheme="majorEastAsia"/>
                <w:sz w:val="24"/>
                <w:szCs w:val="24"/>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19F36">
            <w:pPr>
              <w:rPr>
                <w:rFonts w:hint="eastAsia" w:asciiTheme="majorEastAsia" w:hAnsiTheme="majorEastAsia" w:eastAsiaTheme="majorEastAsia" w:cstheme="majorEastAsia"/>
                <w:sz w:val="24"/>
                <w:szCs w:val="24"/>
              </w:rPr>
            </w:pPr>
          </w:p>
        </w:tc>
        <w:tc>
          <w:tcPr>
            <w:tcW w:w="120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4D7B03D">
            <w:pPr>
              <w:rPr>
                <w:rFonts w:hint="eastAsia" w:asciiTheme="majorEastAsia" w:hAnsiTheme="majorEastAsia" w:eastAsiaTheme="majorEastAsia" w:cstheme="majorEastAsia"/>
                <w:sz w:val="24"/>
                <w:szCs w:val="24"/>
              </w:rPr>
            </w:pPr>
          </w:p>
        </w:tc>
        <w:tc>
          <w:tcPr>
            <w:tcW w:w="63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CFB6C7A">
            <w:pPr>
              <w:rPr>
                <w:rFonts w:hint="eastAsia" w:asciiTheme="majorEastAsia" w:hAnsiTheme="majorEastAsia" w:eastAsiaTheme="majorEastAsia" w:cstheme="majorEastAsia"/>
                <w:sz w:val="24"/>
                <w:szCs w:val="24"/>
              </w:rPr>
            </w:pPr>
          </w:p>
        </w:tc>
        <w:tc>
          <w:tcPr>
            <w:tcW w:w="11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C73BA6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&gt;5</w:t>
            </w:r>
          </w:p>
        </w:tc>
        <w:tc>
          <w:tcPr>
            <w:tcW w:w="4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843B4E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8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836DC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&gt;30</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6419C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r>
      <w:tr w14:paraId="184CA108">
        <w:tblPrEx>
          <w:tblCellMar>
            <w:top w:w="0" w:type="dxa"/>
            <w:left w:w="0" w:type="dxa"/>
            <w:bottom w:w="0" w:type="dxa"/>
            <w:right w:w="0" w:type="dxa"/>
          </w:tblCellMar>
        </w:tblPrEx>
        <w:trPr>
          <w:trHeight w:val="270" w:hRule="atLeast"/>
          <w:tblHeader/>
          <w:jc w:val="center"/>
        </w:trPr>
        <w:tc>
          <w:tcPr>
            <w:tcW w:w="627" w:type="dxa"/>
            <w:vMerge w:val="continue"/>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6BCEA46C">
            <w:pPr>
              <w:rPr>
                <w:rFonts w:hint="eastAsia" w:asciiTheme="majorEastAsia" w:hAnsiTheme="majorEastAsia" w:eastAsiaTheme="majorEastAsia" w:cstheme="majorEastAsia"/>
                <w:sz w:val="24"/>
                <w:szCs w:val="24"/>
              </w:rPr>
            </w:pPr>
          </w:p>
        </w:tc>
        <w:tc>
          <w:tcPr>
            <w:tcW w:w="30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EEB7A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人行道</w:t>
            </w:r>
          </w:p>
        </w:tc>
        <w:tc>
          <w:tcPr>
            <w:tcW w:w="13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318F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57F4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2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59B557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≤3</w:t>
            </w:r>
          </w:p>
        </w:tc>
        <w:tc>
          <w:tcPr>
            <w:tcW w:w="51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D001F3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2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8748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≤3</w:t>
            </w:r>
          </w:p>
        </w:tc>
        <w:tc>
          <w:tcPr>
            <w:tcW w:w="5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1674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862" w:type="dxa"/>
            <w:tcBorders>
              <w:top w:val="single" w:color="000000" w:sz="4" w:space="0"/>
              <w:left w:val="single" w:color="000000" w:sz="4" w:space="0"/>
              <w:bottom w:val="single" w:color="000000" w:sz="4" w:space="0"/>
              <w:right w:val="single" w:color="auto" w:sz="2" w:space="0"/>
            </w:tcBorders>
            <w:shd w:val="clear" w:color="auto" w:fill="auto"/>
            <w:tcMar>
              <w:top w:w="15" w:type="dxa"/>
              <w:left w:w="15" w:type="dxa"/>
              <w:right w:w="15" w:type="dxa"/>
            </w:tcMar>
            <w:vAlign w:val="center"/>
          </w:tcPr>
          <w:p w14:paraId="0152CFA1">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sz w:val="24"/>
                <w:szCs w:val="24"/>
              </w:rPr>
              <w:t>&lt;8</w:t>
            </w:r>
          </w:p>
        </w:tc>
        <w:tc>
          <w:tcPr>
            <w:tcW w:w="638" w:type="dxa"/>
            <w:tcBorders>
              <w:top w:val="single" w:color="000000" w:sz="4" w:space="0"/>
              <w:left w:val="single" w:color="auto" w:sz="2" w:space="0"/>
              <w:bottom w:val="single" w:color="000000" w:sz="4" w:space="0"/>
              <w:right w:val="single" w:color="000000" w:sz="4" w:space="0"/>
            </w:tcBorders>
            <w:shd w:val="clear" w:color="auto" w:fill="auto"/>
            <w:tcMar>
              <w:top w:w="15" w:type="dxa"/>
              <w:left w:w="15" w:type="dxa"/>
              <w:right w:w="15" w:type="dxa"/>
            </w:tcMar>
            <w:vAlign w:val="center"/>
          </w:tcPr>
          <w:p w14:paraId="727A47BC">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25</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5F3E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5420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15</w:t>
            </w:r>
          </w:p>
        </w:tc>
        <w:tc>
          <w:tcPr>
            <w:tcW w:w="120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7595B9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63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92CC6B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13708A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w:t>
            </w:r>
          </w:p>
        </w:tc>
        <w:tc>
          <w:tcPr>
            <w:tcW w:w="4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8160FF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84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91A7F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8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FC2E0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r>
      <w:tr w14:paraId="4C69F9D9">
        <w:tblPrEx>
          <w:tblCellMar>
            <w:top w:w="0" w:type="dxa"/>
            <w:left w:w="0" w:type="dxa"/>
            <w:bottom w:w="0" w:type="dxa"/>
            <w:right w:w="0" w:type="dxa"/>
          </w:tblCellMar>
        </w:tblPrEx>
        <w:trPr>
          <w:trHeight w:val="270" w:hRule="atLeast"/>
          <w:tblHeader/>
          <w:jc w:val="center"/>
        </w:trPr>
        <w:tc>
          <w:tcPr>
            <w:tcW w:w="627" w:type="dxa"/>
            <w:vMerge w:val="continue"/>
            <w:tcBorders>
              <w:top w:val="single" w:color="000000"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14:paraId="109899A4">
            <w:pPr>
              <w:rPr>
                <w:rFonts w:hint="eastAsia" w:asciiTheme="majorEastAsia" w:hAnsiTheme="majorEastAsia" w:eastAsiaTheme="majorEastAsia" w:cstheme="majorEastAsia"/>
                <w:sz w:val="24"/>
                <w:szCs w:val="24"/>
              </w:rPr>
            </w:pPr>
          </w:p>
        </w:tc>
        <w:tc>
          <w:tcPr>
            <w:tcW w:w="300" w:type="dxa"/>
            <w:vMerge w:val="continue"/>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14:paraId="3C5DB20A">
            <w:pPr>
              <w:rPr>
                <w:rFonts w:hint="eastAsia" w:asciiTheme="majorEastAsia" w:hAnsiTheme="majorEastAsia" w:eastAsiaTheme="majorEastAsia" w:cstheme="majorEastAsia"/>
                <w:sz w:val="24"/>
                <w:szCs w:val="24"/>
              </w:rPr>
            </w:pPr>
          </w:p>
        </w:tc>
        <w:tc>
          <w:tcPr>
            <w:tcW w:w="131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A27C94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3~6</w:t>
            </w:r>
          </w:p>
        </w:tc>
        <w:tc>
          <w:tcPr>
            <w:tcW w:w="50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706D8B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1295" w:type="dxa"/>
            <w:vMerge w:val="restart"/>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14:paraId="2661BF6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&gt;3</w:t>
            </w:r>
          </w:p>
        </w:tc>
        <w:tc>
          <w:tcPr>
            <w:tcW w:w="512" w:type="dxa"/>
            <w:vMerge w:val="restart"/>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14:paraId="0B1336F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219" w:type="dxa"/>
            <w:vMerge w:val="restar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1277D5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&gt;3</w:t>
            </w:r>
          </w:p>
        </w:tc>
        <w:tc>
          <w:tcPr>
            <w:tcW w:w="544" w:type="dxa"/>
            <w:vMerge w:val="restar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A131C1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862" w:type="dxa"/>
            <w:vMerge w:val="restart"/>
            <w:tcBorders>
              <w:top w:val="single" w:color="000000" w:sz="4" w:space="0"/>
              <w:left w:val="single" w:color="000000" w:sz="4" w:space="0"/>
              <w:bottom w:val="single" w:color="auto" w:sz="4" w:space="0"/>
              <w:right w:val="single" w:color="auto" w:sz="2" w:space="0"/>
            </w:tcBorders>
            <w:shd w:val="clear" w:color="auto" w:fill="auto"/>
            <w:tcMar>
              <w:top w:w="15" w:type="dxa"/>
              <w:left w:w="15" w:type="dxa"/>
              <w:right w:w="15" w:type="dxa"/>
            </w:tcMar>
            <w:vAlign w:val="center"/>
          </w:tcPr>
          <w:p w14:paraId="7A859F25">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sz w:val="24"/>
                <w:szCs w:val="24"/>
              </w:rPr>
              <w:t>≥8</w:t>
            </w:r>
          </w:p>
        </w:tc>
        <w:tc>
          <w:tcPr>
            <w:tcW w:w="638" w:type="dxa"/>
            <w:vMerge w:val="restart"/>
            <w:tcBorders>
              <w:top w:val="single" w:color="000000" w:sz="4" w:space="0"/>
              <w:left w:val="single" w:color="auto" w:sz="2" w:space="0"/>
              <w:bottom w:val="single" w:color="auto" w:sz="4" w:space="0"/>
              <w:right w:val="single" w:color="000000" w:sz="4" w:space="0"/>
            </w:tcBorders>
            <w:shd w:val="clear" w:color="auto" w:fill="auto"/>
            <w:tcMar>
              <w:top w:w="15" w:type="dxa"/>
              <w:left w:w="15" w:type="dxa"/>
              <w:right w:w="15" w:type="dxa"/>
            </w:tcMar>
            <w:vAlign w:val="center"/>
          </w:tcPr>
          <w:p w14:paraId="726283E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0</w:t>
            </w:r>
          </w:p>
        </w:tc>
        <w:tc>
          <w:tcPr>
            <w:tcW w:w="11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0AFA21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2~4</w:t>
            </w:r>
          </w:p>
        </w:tc>
        <w:tc>
          <w:tcPr>
            <w:tcW w:w="629"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9464A0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w:t>
            </w:r>
          </w:p>
        </w:tc>
        <w:tc>
          <w:tcPr>
            <w:tcW w:w="1208"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14:paraId="41EEC4B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2~4</w:t>
            </w:r>
          </w:p>
        </w:tc>
        <w:tc>
          <w:tcPr>
            <w:tcW w:w="638"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14:paraId="2C29175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1144"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14:paraId="75B3424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2~5</w:t>
            </w:r>
          </w:p>
        </w:tc>
        <w:tc>
          <w:tcPr>
            <w:tcW w:w="431"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14:paraId="6208D46C">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c>
          <w:tcPr>
            <w:tcW w:w="84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87CF0B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10~30</w:t>
            </w:r>
          </w:p>
        </w:tc>
        <w:tc>
          <w:tcPr>
            <w:tcW w:w="80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DE8A96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5</w:t>
            </w:r>
          </w:p>
        </w:tc>
      </w:tr>
      <w:tr w14:paraId="4A496800">
        <w:tblPrEx>
          <w:tblCellMar>
            <w:top w:w="0" w:type="dxa"/>
            <w:left w:w="0" w:type="dxa"/>
            <w:bottom w:w="0" w:type="dxa"/>
            <w:right w:w="0" w:type="dxa"/>
          </w:tblCellMar>
        </w:tblPrEx>
        <w:trPr>
          <w:trHeight w:val="270" w:hRule="atLeast"/>
          <w:tblHeader/>
          <w:jc w:val="center"/>
        </w:trPr>
        <w:tc>
          <w:tcPr>
            <w:tcW w:w="627" w:type="dxa"/>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D639607">
            <w:pPr>
              <w:rPr>
                <w:rFonts w:hint="eastAsia" w:asciiTheme="majorEastAsia" w:hAnsiTheme="majorEastAsia" w:eastAsiaTheme="majorEastAsia" w:cstheme="majorEastAsia"/>
                <w:sz w:val="24"/>
                <w:szCs w:val="24"/>
              </w:rPr>
            </w:pPr>
          </w:p>
        </w:tc>
        <w:tc>
          <w:tcPr>
            <w:tcW w:w="300" w:type="dxa"/>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EDC1797">
            <w:pPr>
              <w:rPr>
                <w:rFonts w:hint="eastAsia" w:asciiTheme="majorEastAsia" w:hAnsiTheme="majorEastAsia" w:eastAsiaTheme="majorEastAsia" w:cstheme="majorEastAsia"/>
                <w:sz w:val="24"/>
                <w:szCs w:val="24"/>
              </w:rPr>
            </w:pPr>
          </w:p>
        </w:tc>
        <w:tc>
          <w:tcPr>
            <w:tcW w:w="13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287858">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&gt;6</w:t>
            </w:r>
          </w:p>
        </w:tc>
        <w:tc>
          <w:tcPr>
            <w:tcW w:w="5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4427D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295"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32054E8C">
            <w:pPr>
              <w:rPr>
                <w:rFonts w:hint="eastAsia" w:asciiTheme="majorEastAsia" w:hAnsiTheme="majorEastAsia" w:eastAsiaTheme="majorEastAsia" w:cstheme="majorEastAsia"/>
                <w:sz w:val="24"/>
                <w:szCs w:val="24"/>
              </w:rPr>
            </w:pPr>
          </w:p>
        </w:tc>
        <w:tc>
          <w:tcPr>
            <w:tcW w:w="512"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483E3CEC">
            <w:pPr>
              <w:rPr>
                <w:rFonts w:hint="eastAsia" w:asciiTheme="majorEastAsia" w:hAnsiTheme="majorEastAsia" w:eastAsiaTheme="majorEastAsia" w:cstheme="majorEastAsia"/>
                <w:sz w:val="24"/>
                <w:szCs w:val="24"/>
              </w:rPr>
            </w:pPr>
          </w:p>
        </w:tc>
        <w:tc>
          <w:tcPr>
            <w:tcW w:w="121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D1132D">
            <w:pPr>
              <w:rPr>
                <w:rFonts w:hint="eastAsia" w:asciiTheme="majorEastAsia" w:hAnsiTheme="majorEastAsia" w:eastAsiaTheme="majorEastAsia" w:cstheme="majorEastAsia"/>
                <w:sz w:val="24"/>
                <w:szCs w:val="24"/>
              </w:rPr>
            </w:pPr>
          </w:p>
        </w:tc>
        <w:tc>
          <w:tcPr>
            <w:tcW w:w="54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C3AE82">
            <w:pPr>
              <w:rPr>
                <w:rFonts w:hint="eastAsia" w:asciiTheme="majorEastAsia" w:hAnsiTheme="majorEastAsia" w:eastAsiaTheme="majorEastAsia" w:cstheme="majorEastAsia"/>
                <w:sz w:val="24"/>
                <w:szCs w:val="24"/>
              </w:rPr>
            </w:pPr>
          </w:p>
        </w:tc>
        <w:tc>
          <w:tcPr>
            <w:tcW w:w="86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FE9DA7">
            <w:pPr>
              <w:rPr>
                <w:rFonts w:hint="eastAsia" w:asciiTheme="majorEastAsia" w:hAnsiTheme="majorEastAsia" w:eastAsiaTheme="majorEastAsia" w:cstheme="majorEastAsia"/>
                <w:kern w:val="0"/>
                <w:sz w:val="24"/>
                <w:szCs w:val="24"/>
              </w:rPr>
            </w:pPr>
          </w:p>
        </w:tc>
        <w:tc>
          <w:tcPr>
            <w:tcW w:w="63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08A542">
            <w:pPr>
              <w:rPr>
                <w:rFonts w:hint="eastAsia" w:asciiTheme="majorEastAsia" w:hAnsiTheme="majorEastAsia" w:eastAsiaTheme="majorEastAsia" w:cstheme="majorEastAsia"/>
                <w:sz w:val="24"/>
                <w:szCs w:val="24"/>
              </w:rPr>
            </w:pPr>
          </w:p>
        </w:tc>
        <w:tc>
          <w:tcPr>
            <w:tcW w:w="1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C68E7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&gt;4</w:t>
            </w:r>
          </w:p>
        </w:tc>
        <w:tc>
          <w:tcPr>
            <w:tcW w:w="62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61322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20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17D14A2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&gt;4</w:t>
            </w:r>
          </w:p>
        </w:tc>
        <w:tc>
          <w:tcPr>
            <w:tcW w:w="63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55ED7B98">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114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634EBE1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&gt;5</w:t>
            </w:r>
          </w:p>
        </w:tc>
        <w:tc>
          <w:tcPr>
            <w:tcW w:w="431"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14:paraId="7266441C">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c>
          <w:tcPr>
            <w:tcW w:w="8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86CCD3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&gt;30</w:t>
            </w:r>
          </w:p>
        </w:tc>
        <w:tc>
          <w:tcPr>
            <w:tcW w:w="8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53B4AA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0</w:t>
            </w:r>
          </w:p>
        </w:tc>
      </w:tr>
      <w:tr w14:paraId="1BE48A7E">
        <w:tblPrEx>
          <w:tblCellMar>
            <w:top w:w="0" w:type="dxa"/>
            <w:left w:w="0" w:type="dxa"/>
            <w:bottom w:w="0" w:type="dxa"/>
            <w:right w:w="0" w:type="dxa"/>
          </w:tblCellMar>
        </w:tblPrEx>
        <w:trPr>
          <w:trHeight w:val="270" w:hRule="atLeast"/>
          <w:tblHeader/>
          <w:jc w:val="center"/>
        </w:trPr>
        <w:tc>
          <w:tcPr>
            <w:tcW w:w="14645" w:type="dxa"/>
            <w:gridSpan w:val="18"/>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0905B751">
            <w:pPr>
              <w:rPr>
                <w:rFonts w:hint="eastAsia" w:asciiTheme="majorEastAsia" w:hAnsiTheme="majorEastAsia" w:eastAsiaTheme="majorEastAsia" w:cstheme="majorEastAsia"/>
                <w:bCs/>
                <w:kern w:val="0"/>
                <w:sz w:val="24"/>
                <w:szCs w:val="24"/>
              </w:rPr>
            </w:pPr>
            <w:r>
              <w:rPr>
                <w:rFonts w:hint="eastAsia" w:asciiTheme="majorEastAsia" w:hAnsiTheme="majorEastAsia" w:eastAsiaTheme="majorEastAsia" w:cstheme="majorEastAsia"/>
                <w:b/>
                <w:kern w:val="0"/>
                <w:sz w:val="24"/>
                <w:szCs w:val="24"/>
              </w:rPr>
              <w:t>注1</w:t>
            </w:r>
            <w:r>
              <w:rPr>
                <w:rFonts w:hint="eastAsia" w:asciiTheme="majorEastAsia" w:hAnsiTheme="majorEastAsia" w:eastAsiaTheme="majorEastAsia" w:cstheme="majorEastAsia"/>
                <w:bCs/>
                <w:kern w:val="0"/>
                <w:sz w:val="24"/>
                <w:szCs w:val="24"/>
              </w:rPr>
              <w:t>：成堆纸塑、果皮等垃圾应以小于等于0.25 m</w:t>
            </w:r>
            <w:r>
              <w:rPr>
                <w:rFonts w:hint="eastAsia" w:asciiTheme="majorEastAsia" w:hAnsiTheme="majorEastAsia" w:eastAsiaTheme="majorEastAsia" w:cstheme="majorEastAsia"/>
                <w:bCs/>
                <w:kern w:val="0"/>
                <w:sz w:val="24"/>
                <w:szCs w:val="24"/>
                <w:vertAlign w:val="superscript"/>
              </w:rPr>
              <w:t>2</w:t>
            </w:r>
            <w:r>
              <w:rPr>
                <w:rFonts w:hint="eastAsia" w:asciiTheme="majorEastAsia" w:hAnsiTheme="majorEastAsia" w:eastAsiaTheme="majorEastAsia" w:cstheme="majorEastAsia"/>
                <w:bCs/>
                <w:kern w:val="0"/>
                <w:sz w:val="24"/>
                <w:szCs w:val="24"/>
              </w:rPr>
              <w:t>为1“个”，大于0.25 m</w:t>
            </w:r>
            <w:r>
              <w:rPr>
                <w:rFonts w:hint="eastAsia" w:asciiTheme="majorEastAsia" w:hAnsiTheme="majorEastAsia" w:eastAsiaTheme="majorEastAsia" w:cstheme="majorEastAsia"/>
                <w:bCs/>
                <w:kern w:val="0"/>
                <w:sz w:val="24"/>
                <w:szCs w:val="24"/>
                <w:vertAlign w:val="superscript"/>
              </w:rPr>
              <w:t>2</w:t>
            </w:r>
            <w:r>
              <w:rPr>
                <w:rFonts w:hint="eastAsia" w:asciiTheme="majorEastAsia" w:hAnsiTheme="majorEastAsia" w:eastAsiaTheme="majorEastAsia" w:cstheme="majorEastAsia"/>
                <w:bCs/>
                <w:kern w:val="0"/>
                <w:sz w:val="24"/>
                <w:szCs w:val="24"/>
              </w:rPr>
              <w:t>的按照倍数累进计数；</w:t>
            </w:r>
            <w:r>
              <w:rPr>
                <w:rFonts w:hint="eastAsia" w:asciiTheme="majorEastAsia" w:hAnsiTheme="majorEastAsia" w:eastAsiaTheme="majorEastAsia" w:cstheme="majorEastAsia"/>
                <w:bCs/>
                <w:kern w:val="0"/>
                <w:sz w:val="24"/>
                <w:szCs w:val="24"/>
              </w:rPr>
              <w:br w:type="textWrapping"/>
            </w:r>
            <w:r>
              <w:rPr>
                <w:rFonts w:hint="eastAsia" w:asciiTheme="majorEastAsia" w:hAnsiTheme="majorEastAsia" w:eastAsiaTheme="majorEastAsia" w:cstheme="majorEastAsia"/>
                <w:b/>
                <w:kern w:val="0"/>
                <w:sz w:val="24"/>
                <w:szCs w:val="24"/>
              </w:rPr>
              <w:t>注2</w:t>
            </w:r>
            <w:r>
              <w:rPr>
                <w:rFonts w:hint="eastAsia" w:asciiTheme="majorEastAsia" w:hAnsiTheme="majorEastAsia" w:eastAsiaTheme="majorEastAsia" w:cstheme="majorEastAsia"/>
                <w:bCs/>
                <w:kern w:val="0"/>
                <w:sz w:val="24"/>
                <w:szCs w:val="24"/>
              </w:rPr>
              <w:t>：成片污渍应以小于等于1 m</w:t>
            </w:r>
            <w:r>
              <w:rPr>
                <w:rFonts w:hint="eastAsia" w:asciiTheme="majorEastAsia" w:hAnsiTheme="majorEastAsia" w:eastAsiaTheme="majorEastAsia" w:cstheme="majorEastAsia"/>
                <w:bCs/>
                <w:kern w:val="0"/>
                <w:sz w:val="24"/>
                <w:szCs w:val="24"/>
                <w:vertAlign w:val="superscript"/>
              </w:rPr>
              <w:t>2</w:t>
            </w:r>
            <w:r>
              <w:rPr>
                <w:rFonts w:hint="eastAsia" w:asciiTheme="majorEastAsia" w:hAnsiTheme="majorEastAsia" w:eastAsiaTheme="majorEastAsia" w:cstheme="majorEastAsia"/>
                <w:bCs/>
                <w:kern w:val="0"/>
                <w:sz w:val="24"/>
                <w:szCs w:val="24"/>
              </w:rPr>
              <w:t>为1“处”，大于1 m</w:t>
            </w:r>
            <w:r>
              <w:rPr>
                <w:rFonts w:hint="eastAsia" w:asciiTheme="majorEastAsia" w:hAnsiTheme="majorEastAsia" w:eastAsiaTheme="majorEastAsia" w:cstheme="majorEastAsia"/>
                <w:bCs/>
                <w:kern w:val="0"/>
                <w:sz w:val="24"/>
                <w:szCs w:val="24"/>
                <w:vertAlign w:val="superscript"/>
              </w:rPr>
              <w:t>2</w:t>
            </w:r>
            <w:r>
              <w:rPr>
                <w:rFonts w:hint="eastAsia" w:asciiTheme="majorEastAsia" w:hAnsiTheme="majorEastAsia" w:eastAsiaTheme="majorEastAsia" w:cstheme="majorEastAsia"/>
                <w:bCs/>
                <w:kern w:val="0"/>
                <w:sz w:val="24"/>
                <w:szCs w:val="24"/>
              </w:rPr>
              <w:t>的按照倍数累进计数；</w:t>
            </w:r>
            <w:r>
              <w:rPr>
                <w:rFonts w:hint="eastAsia" w:asciiTheme="majorEastAsia" w:hAnsiTheme="majorEastAsia" w:eastAsiaTheme="majorEastAsia" w:cstheme="majorEastAsia"/>
                <w:bCs/>
                <w:kern w:val="0"/>
                <w:sz w:val="24"/>
                <w:szCs w:val="24"/>
              </w:rPr>
              <w:br w:type="textWrapping"/>
            </w:r>
            <w:r>
              <w:rPr>
                <w:rFonts w:hint="eastAsia" w:asciiTheme="majorEastAsia" w:hAnsiTheme="majorEastAsia" w:eastAsiaTheme="majorEastAsia" w:cstheme="majorEastAsia"/>
                <w:b/>
                <w:kern w:val="0"/>
                <w:sz w:val="24"/>
                <w:szCs w:val="24"/>
              </w:rPr>
              <w:t>注3</w:t>
            </w:r>
            <w:r>
              <w:rPr>
                <w:rFonts w:hint="eastAsia" w:asciiTheme="majorEastAsia" w:hAnsiTheme="majorEastAsia" w:eastAsiaTheme="majorEastAsia" w:cstheme="majorEastAsia"/>
                <w:bCs/>
                <w:kern w:val="0"/>
                <w:sz w:val="24"/>
                <w:szCs w:val="24"/>
              </w:rPr>
              <w:t>：植物落叶、落花、落果根据其性状可不计为可见垃圾，陈旧性污渍应不计为污渍，水渍应不计为污渍；</w:t>
            </w:r>
          </w:p>
          <w:p w14:paraId="3DBA5F05">
            <w:pP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b/>
                <w:kern w:val="0"/>
                <w:sz w:val="24"/>
                <w:szCs w:val="24"/>
              </w:rPr>
              <w:t>注4</w:t>
            </w:r>
            <w:r>
              <w:rPr>
                <w:rFonts w:hint="eastAsia" w:asciiTheme="majorEastAsia" w:hAnsiTheme="majorEastAsia" w:eastAsiaTheme="majorEastAsia" w:cstheme="majorEastAsia"/>
                <w:bCs/>
                <w:kern w:val="0"/>
                <w:sz w:val="24"/>
                <w:szCs w:val="24"/>
              </w:rPr>
              <w:t>：道路等级中车行道、人行道满分各为100分，每级道路得分为车行道得分和人行道得分的平均值。</w:t>
            </w:r>
          </w:p>
        </w:tc>
      </w:tr>
    </w:tbl>
    <w:p w14:paraId="3BBF535F">
      <w:pPr>
        <w:rPr>
          <w:rFonts w:hint="eastAsia" w:asciiTheme="majorEastAsia" w:hAnsiTheme="majorEastAsia" w:eastAsiaTheme="majorEastAsia" w:cstheme="majorEastAsia"/>
          <w:sz w:val="28"/>
          <w:szCs w:val="28"/>
        </w:rPr>
      </w:pPr>
    </w:p>
    <w:p w14:paraId="4ECBBE1A">
      <w:pPr>
        <w:rPr>
          <w:rFonts w:hint="eastAsia" w:asciiTheme="majorEastAsia" w:hAnsiTheme="majorEastAsia" w:eastAsiaTheme="majorEastAsia" w:cstheme="majorEastAsia"/>
          <w:sz w:val="28"/>
          <w:szCs w:val="28"/>
        </w:rPr>
      </w:pPr>
    </w:p>
    <w:p w14:paraId="7325858A">
      <w:pPr>
        <w:rPr>
          <w:rFonts w:hint="eastAsia" w:asciiTheme="majorEastAsia" w:hAnsiTheme="majorEastAsia" w:eastAsiaTheme="majorEastAsia" w:cstheme="majorEastAsia"/>
          <w:sz w:val="28"/>
          <w:szCs w:val="28"/>
        </w:rPr>
        <w:sectPr>
          <w:footerReference r:id="rId10" w:type="default"/>
          <w:footerReference r:id="rId11" w:type="even"/>
          <w:pgSz w:w="16838" w:h="11906" w:orient="landscape"/>
          <w:pgMar w:top="567" w:right="1440" w:bottom="567" w:left="1440" w:header="1417" w:footer="992" w:gutter="0"/>
          <w:cols w:space="720" w:num="1"/>
          <w:docGrid w:type="lines" w:linePitch="312" w:charSpace="0"/>
        </w:sectPr>
      </w:pPr>
    </w:p>
    <w:p w14:paraId="794CE1C5">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A.2 道路清扫保洁工作评价参见表A.2。</w:t>
      </w:r>
    </w:p>
    <w:p w14:paraId="4A522268">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表A.2 道路清扫保洁工作评价表</w:t>
      </w:r>
    </w:p>
    <w:p w14:paraId="11AC9BFD">
      <w:pPr>
        <w:rPr>
          <w:rFonts w:hint="eastAsia" w:asciiTheme="majorEastAsia" w:hAnsiTheme="majorEastAsia" w:eastAsiaTheme="majorEastAsia" w:cstheme="majorEastAsia"/>
          <w:sz w:val="28"/>
          <w:szCs w:val="28"/>
        </w:rPr>
      </w:pPr>
    </w:p>
    <w:tbl>
      <w:tblPr>
        <w:tblStyle w:val="10"/>
        <w:tblW w:w="9858" w:type="dxa"/>
        <w:tblInd w:w="-4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
        <w:gridCol w:w="656"/>
        <w:gridCol w:w="1238"/>
        <w:gridCol w:w="3768"/>
        <w:gridCol w:w="3615"/>
      </w:tblGrid>
      <w:tr w14:paraId="0CF0F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581" w:type="dxa"/>
            <w:vAlign w:val="center"/>
          </w:tcPr>
          <w:p w14:paraId="1A64833A">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序号</w:t>
            </w:r>
          </w:p>
        </w:tc>
        <w:tc>
          <w:tcPr>
            <w:tcW w:w="1894" w:type="dxa"/>
            <w:gridSpan w:val="2"/>
            <w:vAlign w:val="center"/>
          </w:tcPr>
          <w:p w14:paraId="51414AA2">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考评项目</w:t>
            </w:r>
          </w:p>
        </w:tc>
        <w:tc>
          <w:tcPr>
            <w:tcW w:w="3768" w:type="dxa"/>
            <w:vAlign w:val="center"/>
          </w:tcPr>
          <w:p w14:paraId="2861F098">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考评内容</w:t>
            </w:r>
          </w:p>
        </w:tc>
        <w:tc>
          <w:tcPr>
            <w:tcW w:w="3615" w:type="dxa"/>
            <w:vAlign w:val="center"/>
          </w:tcPr>
          <w:p w14:paraId="1AC5BB0E">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评分标准</w:t>
            </w:r>
          </w:p>
        </w:tc>
      </w:tr>
      <w:tr w14:paraId="01CAD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1" w:type="dxa"/>
            <w:vMerge w:val="restart"/>
            <w:vAlign w:val="center"/>
          </w:tcPr>
          <w:p w14:paraId="01A33A57">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p>
        </w:tc>
        <w:tc>
          <w:tcPr>
            <w:tcW w:w="656" w:type="dxa"/>
            <w:vMerge w:val="restart"/>
            <w:textDirection w:val="tbRlV"/>
            <w:vAlign w:val="center"/>
          </w:tcPr>
          <w:p w14:paraId="42FEB371">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日常管理（20分）</w:t>
            </w:r>
          </w:p>
        </w:tc>
        <w:tc>
          <w:tcPr>
            <w:tcW w:w="1238" w:type="dxa"/>
            <w:vAlign w:val="center"/>
          </w:tcPr>
          <w:p w14:paraId="28B171CB">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规章制度</w:t>
            </w:r>
          </w:p>
          <w:p w14:paraId="3043680F">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（3分）</w:t>
            </w:r>
          </w:p>
        </w:tc>
        <w:tc>
          <w:tcPr>
            <w:tcW w:w="3768" w:type="dxa"/>
            <w:vAlign w:val="center"/>
          </w:tcPr>
          <w:p w14:paraId="7D5FDB0E">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有完善的岗位职责、规章制度、操作规程、运行记录等。</w:t>
            </w:r>
          </w:p>
        </w:tc>
        <w:tc>
          <w:tcPr>
            <w:tcW w:w="3615" w:type="dxa"/>
            <w:vAlign w:val="center"/>
          </w:tcPr>
          <w:p w14:paraId="507B3097">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无完善的规章制度、操作规程、运行记录，每项扣0.2分。</w:t>
            </w:r>
          </w:p>
        </w:tc>
      </w:tr>
      <w:tr w14:paraId="6872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581" w:type="dxa"/>
            <w:vMerge w:val="continue"/>
            <w:vAlign w:val="center"/>
          </w:tcPr>
          <w:p w14:paraId="79377E7D">
            <w:pPr>
              <w:spacing w:line="240" w:lineRule="auto"/>
              <w:rPr>
                <w:rFonts w:hint="eastAsia" w:asciiTheme="majorEastAsia" w:hAnsiTheme="majorEastAsia" w:eastAsiaTheme="majorEastAsia" w:cstheme="majorEastAsia"/>
                <w:sz w:val="24"/>
                <w:szCs w:val="24"/>
              </w:rPr>
            </w:pPr>
          </w:p>
        </w:tc>
        <w:tc>
          <w:tcPr>
            <w:tcW w:w="656" w:type="dxa"/>
            <w:vMerge w:val="continue"/>
            <w:vAlign w:val="center"/>
          </w:tcPr>
          <w:p w14:paraId="23443834">
            <w:pPr>
              <w:spacing w:line="240" w:lineRule="auto"/>
              <w:rPr>
                <w:rFonts w:hint="eastAsia" w:asciiTheme="majorEastAsia" w:hAnsiTheme="majorEastAsia" w:eastAsiaTheme="majorEastAsia" w:cstheme="majorEastAsia"/>
                <w:sz w:val="24"/>
                <w:szCs w:val="24"/>
              </w:rPr>
            </w:pPr>
          </w:p>
        </w:tc>
        <w:tc>
          <w:tcPr>
            <w:tcW w:w="1238" w:type="dxa"/>
            <w:vAlign w:val="center"/>
          </w:tcPr>
          <w:p w14:paraId="5D3226BA">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保洁员管理（2分）</w:t>
            </w:r>
          </w:p>
        </w:tc>
        <w:tc>
          <w:tcPr>
            <w:tcW w:w="3768" w:type="dxa"/>
            <w:vAlign w:val="center"/>
          </w:tcPr>
          <w:p w14:paraId="347951E0">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考核合格，着装规范、整洁，遵守劳动纪律，服从管理，文明用语，遵守交通规则和安全作业规程。</w:t>
            </w:r>
          </w:p>
        </w:tc>
        <w:tc>
          <w:tcPr>
            <w:tcW w:w="3615" w:type="dxa"/>
            <w:vAlign w:val="center"/>
          </w:tcPr>
          <w:p w14:paraId="0C297E21">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考核不合格，扣1分；其余每次扣0.1分</w:t>
            </w:r>
          </w:p>
        </w:tc>
      </w:tr>
      <w:tr w14:paraId="69D86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581" w:type="dxa"/>
            <w:vMerge w:val="continue"/>
            <w:vAlign w:val="center"/>
          </w:tcPr>
          <w:p w14:paraId="459B9B21">
            <w:pPr>
              <w:spacing w:line="240" w:lineRule="auto"/>
              <w:rPr>
                <w:rFonts w:hint="eastAsia" w:asciiTheme="majorEastAsia" w:hAnsiTheme="majorEastAsia" w:eastAsiaTheme="majorEastAsia" w:cstheme="majorEastAsia"/>
                <w:sz w:val="24"/>
                <w:szCs w:val="24"/>
              </w:rPr>
            </w:pPr>
          </w:p>
        </w:tc>
        <w:tc>
          <w:tcPr>
            <w:tcW w:w="656" w:type="dxa"/>
            <w:vMerge w:val="continue"/>
            <w:vAlign w:val="center"/>
          </w:tcPr>
          <w:p w14:paraId="2AB79C6F">
            <w:pPr>
              <w:spacing w:line="240" w:lineRule="auto"/>
              <w:rPr>
                <w:rFonts w:hint="eastAsia" w:asciiTheme="majorEastAsia" w:hAnsiTheme="majorEastAsia" w:eastAsiaTheme="majorEastAsia" w:cstheme="majorEastAsia"/>
                <w:sz w:val="24"/>
                <w:szCs w:val="24"/>
              </w:rPr>
            </w:pPr>
          </w:p>
        </w:tc>
        <w:tc>
          <w:tcPr>
            <w:tcW w:w="1238" w:type="dxa"/>
            <w:vAlign w:val="center"/>
          </w:tcPr>
          <w:p w14:paraId="08240372">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驾驶员管理（3分）</w:t>
            </w:r>
          </w:p>
        </w:tc>
        <w:tc>
          <w:tcPr>
            <w:tcW w:w="3768" w:type="dxa"/>
            <w:vAlign w:val="center"/>
          </w:tcPr>
          <w:p w14:paraId="62416120">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持和所操作的车辆相符的驾照，考核合格，遵守道路交通法规和安全作业规程，作业时统一着装并佩戴工作牌。</w:t>
            </w:r>
          </w:p>
        </w:tc>
        <w:tc>
          <w:tcPr>
            <w:tcW w:w="3615" w:type="dxa"/>
            <w:vAlign w:val="center"/>
          </w:tcPr>
          <w:p w14:paraId="12A2BC4B">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所持驾照与所操作车辆不相符，扣2分；考核不合格，扣2分；未遵守道路交通法规和安全作业规程，每次扣1分；未统一着装、佩戴工作牌或反光服等，每次扣0.2分。</w:t>
            </w:r>
          </w:p>
        </w:tc>
      </w:tr>
      <w:tr w14:paraId="3AF5D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vMerge w:val="continue"/>
            <w:vAlign w:val="center"/>
          </w:tcPr>
          <w:p w14:paraId="25EBA04F">
            <w:pPr>
              <w:spacing w:line="240" w:lineRule="auto"/>
              <w:rPr>
                <w:rFonts w:hint="eastAsia" w:asciiTheme="majorEastAsia" w:hAnsiTheme="majorEastAsia" w:eastAsiaTheme="majorEastAsia" w:cstheme="majorEastAsia"/>
                <w:sz w:val="24"/>
                <w:szCs w:val="24"/>
              </w:rPr>
            </w:pPr>
          </w:p>
        </w:tc>
        <w:tc>
          <w:tcPr>
            <w:tcW w:w="656" w:type="dxa"/>
            <w:vMerge w:val="continue"/>
            <w:vAlign w:val="center"/>
          </w:tcPr>
          <w:p w14:paraId="5FE528A4">
            <w:pPr>
              <w:spacing w:line="240" w:lineRule="auto"/>
              <w:rPr>
                <w:rFonts w:hint="eastAsia" w:asciiTheme="majorEastAsia" w:hAnsiTheme="majorEastAsia" w:eastAsiaTheme="majorEastAsia" w:cstheme="majorEastAsia"/>
                <w:sz w:val="24"/>
                <w:szCs w:val="24"/>
              </w:rPr>
            </w:pPr>
          </w:p>
        </w:tc>
        <w:tc>
          <w:tcPr>
            <w:tcW w:w="1238" w:type="dxa"/>
            <w:vAlign w:val="center"/>
          </w:tcPr>
          <w:p w14:paraId="10E8BDE5">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作业时间</w:t>
            </w:r>
          </w:p>
          <w:p w14:paraId="74A3A9FC">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（3分）</w:t>
            </w:r>
          </w:p>
        </w:tc>
        <w:tc>
          <w:tcPr>
            <w:tcW w:w="3768" w:type="dxa"/>
            <w:vAlign w:val="center"/>
          </w:tcPr>
          <w:p w14:paraId="4C4EC7FE">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按规定时段进行清扫保洁作业，机械作业避开早晚人行车流高峰时段。</w:t>
            </w:r>
          </w:p>
        </w:tc>
        <w:tc>
          <w:tcPr>
            <w:tcW w:w="3615" w:type="dxa"/>
            <w:vAlign w:val="center"/>
          </w:tcPr>
          <w:p w14:paraId="2457F92F">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人工清扫保洁未按规定时间作业，每次扣0.5分；机械作业未按规定时间作业，每次扣0.5分。</w:t>
            </w:r>
          </w:p>
        </w:tc>
      </w:tr>
      <w:tr w14:paraId="0D863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581" w:type="dxa"/>
            <w:vMerge w:val="continue"/>
            <w:vAlign w:val="center"/>
          </w:tcPr>
          <w:p w14:paraId="14CBE20F">
            <w:pPr>
              <w:spacing w:line="240" w:lineRule="auto"/>
              <w:rPr>
                <w:rFonts w:hint="eastAsia" w:asciiTheme="majorEastAsia" w:hAnsiTheme="majorEastAsia" w:eastAsiaTheme="majorEastAsia" w:cstheme="majorEastAsia"/>
                <w:sz w:val="24"/>
                <w:szCs w:val="24"/>
              </w:rPr>
            </w:pPr>
          </w:p>
        </w:tc>
        <w:tc>
          <w:tcPr>
            <w:tcW w:w="656" w:type="dxa"/>
            <w:vMerge w:val="continue"/>
            <w:vAlign w:val="center"/>
          </w:tcPr>
          <w:p w14:paraId="04B58F2C">
            <w:pPr>
              <w:spacing w:line="240" w:lineRule="auto"/>
              <w:rPr>
                <w:rFonts w:hint="eastAsia" w:asciiTheme="majorEastAsia" w:hAnsiTheme="majorEastAsia" w:eastAsiaTheme="majorEastAsia" w:cstheme="majorEastAsia"/>
                <w:sz w:val="24"/>
                <w:szCs w:val="24"/>
              </w:rPr>
            </w:pPr>
          </w:p>
        </w:tc>
        <w:tc>
          <w:tcPr>
            <w:tcW w:w="1238" w:type="dxa"/>
            <w:vAlign w:val="center"/>
          </w:tcPr>
          <w:p w14:paraId="63D0E174">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规范作业</w:t>
            </w:r>
          </w:p>
          <w:p w14:paraId="2195B744">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（9分）</w:t>
            </w:r>
          </w:p>
        </w:tc>
        <w:tc>
          <w:tcPr>
            <w:tcW w:w="3768" w:type="dxa"/>
            <w:vAlign w:val="center"/>
          </w:tcPr>
          <w:p w14:paraId="5895773E">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在作业范围内按照操作流程安全、规范作业</w:t>
            </w:r>
          </w:p>
        </w:tc>
        <w:tc>
          <w:tcPr>
            <w:tcW w:w="3615" w:type="dxa"/>
            <w:vAlign w:val="center"/>
          </w:tcPr>
          <w:p w14:paraId="44949B83">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未按规定路段作业，每次扣0.5分；未按操作流程作业，每次扣0.3分；机械清扫保洁车辆作业期间出现超速作业、副发动机转速不达标等作业不规范情况时，每次扣1分。</w:t>
            </w:r>
          </w:p>
        </w:tc>
      </w:tr>
      <w:tr w14:paraId="3AC3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vMerge w:val="restart"/>
            <w:vAlign w:val="center"/>
          </w:tcPr>
          <w:p w14:paraId="633E82C6">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w:t>
            </w:r>
          </w:p>
        </w:tc>
        <w:tc>
          <w:tcPr>
            <w:tcW w:w="656" w:type="dxa"/>
            <w:vMerge w:val="restart"/>
            <w:vAlign w:val="center"/>
          </w:tcPr>
          <w:p w14:paraId="31C21FCC">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设施设备（10分）</w:t>
            </w:r>
          </w:p>
        </w:tc>
        <w:tc>
          <w:tcPr>
            <w:tcW w:w="1238" w:type="dxa"/>
            <w:vAlign w:val="center"/>
          </w:tcPr>
          <w:p w14:paraId="5621136F">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人工清扫保洁设施设备（3分）</w:t>
            </w:r>
          </w:p>
        </w:tc>
        <w:tc>
          <w:tcPr>
            <w:tcW w:w="3768" w:type="dxa"/>
            <w:vAlign w:val="center"/>
          </w:tcPr>
          <w:p w14:paraId="30C76570">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清扫保洁作业工具及车辆</w:t>
            </w:r>
            <w:r>
              <w:rPr>
                <w:rFonts w:hint="eastAsia" w:asciiTheme="majorEastAsia" w:hAnsiTheme="majorEastAsia" w:eastAsiaTheme="majorEastAsia" w:cstheme="majorEastAsia"/>
                <w:sz w:val="24"/>
                <w:szCs w:val="24"/>
              </w:rPr>
              <w:t>应外观干净整洁，停放时应与道路呈平行方向。</w:t>
            </w:r>
          </w:p>
        </w:tc>
        <w:tc>
          <w:tcPr>
            <w:tcW w:w="3615" w:type="dxa"/>
            <w:vAlign w:val="center"/>
          </w:tcPr>
          <w:p w14:paraId="2A0D098A">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车容不整洁，每次扣0.2分；随意摆放作业工具，每次扣0.1分。</w:t>
            </w:r>
          </w:p>
        </w:tc>
      </w:tr>
      <w:tr w14:paraId="50CE4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vMerge w:val="continue"/>
            <w:vAlign w:val="center"/>
          </w:tcPr>
          <w:p w14:paraId="7150408E">
            <w:pPr>
              <w:spacing w:line="240" w:lineRule="auto"/>
              <w:rPr>
                <w:rFonts w:hint="eastAsia" w:asciiTheme="majorEastAsia" w:hAnsiTheme="majorEastAsia" w:eastAsiaTheme="majorEastAsia" w:cstheme="majorEastAsia"/>
                <w:sz w:val="24"/>
                <w:szCs w:val="24"/>
              </w:rPr>
            </w:pPr>
          </w:p>
        </w:tc>
        <w:tc>
          <w:tcPr>
            <w:tcW w:w="656" w:type="dxa"/>
            <w:vMerge w:val="continue"/>
            <w:vAlign w:val="center"/>
          </w:tcPr>
          <w:p w14:paraId="66191D19">
            <w:pPr>
              <w:spacing w:line="240" w:lineRule="auto"/>
              <w:rPr>
                <w:rFonts w:hint="eastAsia" w:asciiTheme="majorEastAsia" w:hAnsiTheme="majorEastAsia" w:eastAsiaTheme="majorEastAsia" w:cstheme="majorEastAsia"/>
                <w:sz w:val="24"/>
                <w:szCs w:val="24"/>
              </w:rPr>
            </w:pPr>
          </w:p>
        </w:tc>
        <w:tc>
          <w:tcPr>
            <w:tcW w:w="1238" w:type="dxa"/>
            <w:vAlign w:val="center"/>
          </w:tcPr>
          <w:p w14:paraId="13085922">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机械清扫保洁设施设备（3分）</w:t>
            </w:r>
          </w:p>
        </w:tc>
        <w:tc>
          <w:tcPr>
            <w:tcW w:w="3768" w:type="dxa"/>
            <w:vAlign w:val="center"/>
          </w:tcPr>
          <w:p w14:paraId="7B480BFD">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统一标识标号，按规定加装定位设备及有效警示装置；定期检修保养；车体干净整洁，车况良好。</w:t>
            </w:r>
          </w:p>
        </w:tc>
        <w:tc>
          <w:tcPr>
            <w:tcW w:w="3615" w:type="dxa"/>
            <w:vAlign w:val="center"/>
          </w:tcPr>
          <w:p w14:paraId="203D25F1">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无统一标识标号、未按规定加装定位设备或私自关闭定位设备，每次扣0.5分；车容不整洁或未开启警示灯，每次扣0.2分；车辆未定期维护保养，每次扣0.3分。</w:t>
            </w:r>
          </w:p>
        </w:tc>
      </w:tr>
      <w:tr w14:paraId="6BB7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vMerge w:val="continue"/>
            <w:vAlign w:val="center"/>
          </w:tcPr>
          <w:p w14:paraId="74BC1256">
            <w:pPr>
              <w:spacing w:line="240" w:lineRule="auto"/>
              <w:rPr>
                <w:rFonts w:hint="eastAsia" w:asciiTheme="majorEastAsia" w:hAnsiTheme="majorEastAsia" w:eastAsiaTheme="majorEastAsia" w:cstheme="majorEastAsia"/>
                <w:sz w:val="24"/>
                <w:szCs w:val="24"/>
              </w:rPr>
            </w:pPr>
          </w:p>
        </w:tc>
        <w:tc>
          <w:tcPr>
            <w:tcW w:w="656" w:type="dxa"/>
            <w:vMerge w:val="continue"/>
            <w:vAlign w:val="center"/>
          </w:tcPr>
          <w:p w14:paraId="0766FAEA">
            <w:pPr>
              <w:spacing w:line="240" w:lineRule="auto"/>
              <w:rPr>
                <w:rFonts w:hint="eastAsia" w:asciiTheme="majorEastAsia" w:hAnsiTheme="majorEastAsia" w:eastAsiaTheme="majorEastAsia" w:cstheme="majorEastAsia"/>
                <w:sz w:val="24"/>
                <w:szCs w:val="24"/>
              </w:rPr>
            </w:pPr>
          </w:p>
        </w:tc>
        <w:tc>
          <w:tcPr>
            <w:tcW w:w="1238" w:type="dxa"/>
            <w:vAlign w:val="center"/>
          </w:tcPr>
          <w:p w14:paraId="2E8C2D54">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道路冲洗、洒水、除雪等设施设备</w:t>
            </w:r>
          </w:p>
          <w:p w14:paraId="3FD53F3D">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（4分）</w:t>
            </w:r>
          </w:p>
        </w:tc>
        <w:tc>
          <w:tcPr>
            <w:tcW w:w="3768" w:type="dxa"/>
            <w:vAlign w:val="center"/>
          </w:tcPr>
          <w:p w14:paraId="68412047">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统一标识标号，按规定加装定位设备及有效警示装置；定期检修保养；车体干净整洁，车况良好。</w:t>
            </w:r>
          </w:p>
        </w:tc>
        <w:tc>
          <w:tcPr>
            <w:tcW w:w="3615" w:type="dxa"/>
            <w:vAlign w:val="center"/>
          </w:tcPr>
          <w:p w14:paraId="2548F67D">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无统一标识标号、未按规定加装定位设备或私自关闭定位设备，每次扣0.5分；车容不整洁或未开启警示灯，每次扣0.2分；车辆未定期维护保养，每次扣0.3分。</w:t>
            </w:r>
          </w:p>
        </w:tc>
      </w:tr>
      <w:tr w14:paraId="2E92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vMerge w:val="restart"/>
            <w:vAlign w:val="center"/>
          </w:tcPr>
          <w:p w14:paraId="6C3F979E">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w:t>
            </w:r>
          </w:p>
        </w:tc>
        <w:tc>
          <w:tcPr>
            <w:tcW w:w="656" w:type="dxa"/>
            <w:vMerge w:val="restart"/>
            <w:vAlign w:val="center"/>
          </w:tcPr>
          <w:p w14:paraId="0FEDC560">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作业质量（50分）</w:t>
            </w:r>
          </w:p>
        </w:tc>
        <w:tc>
          <w:tcPr>
            <w:tcW w:w="1238" w:type="dxa"/>
            <w:vAlign w:val="center"/>
          </w:tcPr>
          <w:p w14:paraId="6FF4DF0F">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道路</w:t>
            </w:r>
          </w:p>
          <w:p w14:paraId="60090A29">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（30分）</w:t>
            </w:r>
          </w:p>
        </w:tc>
        <w:tc>
          <w:tcPr>
            <w:tcW w:w="3768" w:type="dxa"/>
            <w:vAlign w:val="center"/>
          </w:tcPr>
          <w:p w14:paraId="0019FFD4">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路面见本色，无果皮纸屑塑料袋、积泥、污水、路面积尘、烟头、痰迹、小广告等其他废弃物。</w:t>
            </w:r>
          </w:p>
        </w:tc>
        <w:tc>
          <w:tcPr>
            <w:tcW w:w="3615" w:type="dxa"/>
            <w:vAlign w:val="center"/>
          </w:tcPr>
          <w:p w14:paraId="17EF5DAB">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道路作业质量得分=道路得分×权重比（30%）；道路得分根据表A.1进行的打分。</w:t>
            </w:r>
          </w:p>
        </w:tc>
      </w:tr>
      <w:tr w14:paraId="0E11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vMerge w:val="continue"/>
            <w:vAlign w:val="center"/>
          </w:tcPr>
          <w:p w14:paraId="077084AA">
            <w:pPr>
              <w:spacing w:line="240" w:lineRule="auto"/>
              <w:rPr>
                <w:rFonts w:hint="eastAsia" w:asciiTheme="majorEastAsia" w:hAnsiTheme="majorEastAsia" w:eastAsiaTheme="majorEastAsia" w:cstheme="majorEastAsia"/>
                <w:sz w:val="24"/>
                <w:szCs w:val="24"/>
              </w:rPr>
            </w:pPr>
          </w:p>
        </w:tc>
        <w:tc>
          <w:tcPr>
            <w:tcW w:w="656" w:type="dxa"/>
            <w:vMerge w:val="continue"/>
            <w:vAlign w:val="center"/>
          </w:tcPr>
          <w:p w14:paraId="4B6D4572">
            <w:pPr>
              <w:spacing w:line="240" w:lineRule="auto"/>
              <w:rPr>
                <w:rFonts w:hint="eastAsia" w:asciiTheme="majorEastAsia" w:hAnsiTheme="majorEastAsia" w:eastAsiaTheme="majorEastAsia" w:cstheme="majorEastAsia"/>
                <w:sz w:val="24"/>
                <w:szCs w:val="24"/>
              </w:rPr>
            </w:pPr>
          </w:p>
        </w:tc>
        <w:tc>
          <w:tcPr>
            <w:tcW w:w="1238" w:type="dxa"/>
            <w:vAlign w:val="center"/>
          </w:tcPr>
          <w:p w14:paraId="12F64CF4">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绿地（绿化带）、广场等（5分）</w:t>
            </w:r>
          </w:p>
        </w:tc>
        <w:tc>
          <w:tcPr>
            <w:tcW w:w="3768" w:type="dxa"/>
            <w:vAlign w:val="center"/>
          </w:tcPr>
          <w:p w14:paraId="21058E3B">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及时清理绿地（绿化带）内垃圾及烟头，保持干净整洁。</w:t>
            </w:r>
          </w:p>
        </w:tc>
        <w:tc>
          <w:tcPr>
            <w:tcW w:w="3615" w:type="dxa"/>
            <w:vAlign w:val="center"/>
          </w:tcPr>
          <w:p w14:paraId="2BC1B861">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每1000㎡发现果皮、纸屑等垃圾超过8处，每处扣0.3分，每2000㎡发现烟头超过4处，每处扣0.3分。</w:t>
            </w:r>
          </w:p>
        </w:tc>
      </w:tr>
      <w:tr w14:paraId="17C3F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581" w:type="dxa"/>
            <w:vMerge w:val="continue"/>
            <w:vAlign w:val="center"/>
          </w:tcPr>
          <w:p w14:paraId="7CD6A22D">
            <w:pPr>
              <w:spacing w:line="240" w:lineRule="auto"/>
              <w:rPr>
                <w:rFonts w:hint="eastAsia" w:asciiTheme="majorEastAsia" w:hAnsiTheme="majorEastAsia" w:eastAsiaTheme="majorEastAsia" w:cstheme="majorEastAsia"/>
                <w:sz w:val="24"/>
                <w:szCs w:val="24"/>
              </w:rPr>
            </w:pPr>
          </w:p>
        </w:tc>
        <w:tc>
          <w:tcPr>
            <w:tcW w:w="656" w:type="dxa"/>
            <w:vMerge w:val="continue"/>
            <w:vAlign w:val="center"/>
          </w:tcPr>
          <w:p w14:paraId="31DBA050">
            <w:pPr>
              <w:spacing w:line="240" w:lineRule="auto"/>
              <w:rPr>
                <w:rFonts w:hint="eastAsia" w:asciiTheme="majorEastAsia" w:hAnsiTheme="majorEastAsia" w:eastAsiaTheme="majorEastAsia" w:cstheme="majorEastAsia"/>
                <w:sz w:val="24"/>
                <w:szCs w:val="24"/>
              </w:rPr>
            </w:pPr>
          </w:p>
        </w:tc>
        <w:tc>
          <w:tcPr>
            <w:tcW w:w="1238" w:type="dxa"/>
            <w:vAlign w:val="center"/>
          </w:tcPr>
          <w:p w14:paraId="3EFC1250">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人行天桥、地下涵洞等</w:t>
            </w:r>
          </w:p>
          <w:p w14:paraId="0FAC2770">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（5分）</w:t>
            </w:r>
          </w:p>
        </w:tc>
        <w:tc>
          <w:tcPr>
            <w:tcW w:w="3768" w:type="dxa"/>
            <w:vAlign w:val="center"/>
          </w:tcPr>
          <w:p w14:paraId="2B8DA48E">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阶梯、扶手、栏杆、灯饰等干净、整洁，两侧墙面无乱贴、乱画；按作业要求对桥体、通道顶面、内外立面冲洗。</w:t>
            </w:r>
          </w:p>
        </w:tc>
        <w:tc>
          <w:tcPr>
            <w:tcW w:w="3615" w:type="dxa"/>
            <w:vAlign w:val="center"/>
          </w:tcPr>
          <w:p w14:paraId="6586FC1E">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外观有污渍、积尘等，每发现一处扣0.3分；未定期冲洗，每次扣0.2分。</w:t>
            </w:r>
          </w:p>
        </w:tc>
      </w:tr>
      <w:tr w14:paraId="08116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vMerge w:val="continue"/>
            <w:vAlign w:val="center"/>
          </w:tcPr>
          <w:p w14:paraId="6BF80E63">
            <w:pPr>
              <w:spacing w:line="240" w:lineRule="auto"/>
              <w:rPr>
                <w:rFonts w:hint="eastAsia" w:asciiTheme="majorEastAsia" w:hAnsiTheme="majorEastAsia" w:eastAsiaTheme="majorEastAsia" w:cstheme="majorEastAsia"/>
                <w:sz w:val="24"/>
                <w:szCs w:val="24"/>
              </w:rPr>
            </w:pPr>
          </w:p>
        </w:tc>
        <w:tc>
          <w:tcPr>
            <w:tcW w:w="656" w:type="dxa"/>
            <w:vMerge w:val="continue"/>
            <w:vAlign w:val="center"/>
          </w:tcPr>
          <w:p w14:paraId="0413141D">
            <w:pPr>
              <w:spacing w:line="240" w:lineRule="auto"/>
              <w:rPr>
                <w:rFonts w:hint="eastAsia" w:asciiTheme="majorEastAsia" w:hAnsiTheme="majorEastAsia" w:eastAsiaTheme="majorEastAsia" w:cstheme="majorEastAsia"/>
                <w:sz w:val="24"/>
                <w:szCs w:val="24"/>
              </w:rPr>
            </w:pPr>
          </w:p>
        </w:tc>
        <w:tc>
          <w:tcPr>
            <w:tcW w:w="1238" w:type="dxa"/>
            <w:vAlign w:val="center"/>
          </w:tcPr>
          <w:p w14:paraId="35776529">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果皮箱、</w:t>
            </w:r>
          </w:p>
          <w:p w14:paraId="616FD697">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灭烟柱</w:t>
            </w:r>
          </w:p>
          <w:p w14:paraId="13F7F833">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（5分）</w:t>
            </w:r>
          </w:p>
        </w:tc>
        <w:tc>
          <w:tcPr>
            <w:tcW w:w="3768" w:type="dxa"/>
            <w:vAlign w:val="center"/>
          </w:tcPr>
          <w:p w14:paraId="1ED538FC">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表面干净整洁，无破损，按作业要求清掏、擦洗；果皮箱、灭烟柱内垃圾容量小于2/3。</w:t>
            </w:r>
          </w:p>
        </w:tc>
        <w:tc>
          <w:tcPr>
            <w:tcW w:w="3615" w:type="dxa"/>
            <w:vAlign w:val="center"/>
          </w:tcPr>
          <w:p w14:paraId="62929193">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外观有污渍、积尘等，每发现一处扣0.3分；设施有损坏、残缺现象，每发现一处扣0.5分；未按规定清掏、擦洗，每次扣0.5分。</w:t>
            </w:r>
          </w:p>
        </w:tc>
      </w:tr>
      <w:tr w14:paraId="0C7B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dxa"/>
            <w:vMerge w:val="continue"/>
            <w:vAlign w:val="center"/>
          </w:tcPr>
          <w:p w14:paraId="32375D6C">
            <w:pPr>
              <w:spacing w:line="240" w:lineRule="auto"/>
              <w:rPr>
                <w:rFonts w:hint="eastAsia" w:asciiTheme="majorEastAsia" w:hAnsiTheme="majorEastAsia" w:eastAsiaTheme="majorEastAsia" w:cstheme="majorEastAsia"/>
                <w:sz w:val="24"/>
                <w:szCs w:val="24"/>
              </w:rPr>
            </w:pPr>
          </w:p>
        </w:tc>
        <w:tc>
          <w:tcPr>
            <w:tcW w:w="656" w:type="dxa"/>
            <w:vMerge w:val="continue"/>
            <w:vAlign w:val="center"/>
          </w:tcPr>
          <w:p w14:paraId="07F93AED">
            <w:pPr>
              <w:spacing w:line="240" w:lineRule="auto"/>
              <w:rPr>
                <w:rFonts w:hint="eastAsia" w:asciiTheme="majorEastAsia" w:hAnsiTheme="majorEastAsia" w:eastAsiaTheme="majorEastAsia" w:cstheme="majorEastAsia"/>
                <w:sz w:val="24"/>
                <w:szCs w:val="24"/>
              </w:rPr>
            </w:pPr>
          </w:p>
        </w:tc>
        <w:tc>
          <w:tcPr>
            <w:tcW w:w="1238" w:type="dxa"/>
            <w:vAlign w:val="center"/>
          </w:tcPr>
          <w:p w14:paraId="535E68AD">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其他城市</w:t>
            </w:r>
          </w:p>
          <w:p w14:paraId="567A4BDF">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家具</w:t>
            </w:r>
          </w:p>
          <w:p w14:paraId="7BDE5C5B">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（5分）</w:t>
            </w:r>
          </w:p>
        </w:tc>
        <w:tc>
          <w:tcPr>
            <w:tcW w:w="3768" w:type="dxa"/>
            <w:vAlign w:val="center"/>
          </w:tcPr>
          <w:p w14:paraId="29AC267A">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按作业要求定期清洁、擦拭，保持干净整洁。</w:t>
            </w:r>
          </w:p>
        </w:tc>
        <w:tc>
          <w:tcPr>
            <w:tcW w:w="3615" w:type="dxa"/>
            <w:vAlign w:val="center"/>
          </w:tcPr>
          <w:p w14:paraId="75E8BBEA">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未定期擦洗，外观有污渍、积尘等，每发现一处扣0.3分。</w:t>
            </w:r>
          </w:p>
        </w:tc>
      </w:tr>
      <w:tr w14:paraId="4AD19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581" w:type="dxa"/>
            <w:vAlign w:val="center"/>
          </w:tcPr>
          <w:p w14:paraId="4049B7C7">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w:t>
            </w:r>
          </w:p>
        </w:tc>
        <w:tc>
          <w:tcPr>
            <w:tcW w:w="656" w:type="dxa"/>
            <w:vAlign w:val="center"/>
          </w:tcPr>
          <w:p w14:paraId="29E5B279">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安全评价（15分）</w:t>
            </w:r>
          </w:p>
        </w:tc>
        <w:tc>
          <w:tcPr>
            <w:tcW w:w="1238" w:type="dxa"/>
            <w:vAlign w:val="center"/>
          </w:tcPr>
          <w:p w14:paraId="66053215">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安全管理</w:t>
            </w:r>
          </w:p>
          <w:p w14:paraId="39A9109E">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制度</w:t>
            </w:r>
          </w:p>
          <w:p w14:paraId="761EA85D">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（5分）</w:t>
            </w:r>
          </w:p>
        </w:tc>
        <w:tc>
          <w:tcPr>
            <w:tcW w:w="3768" w:type="dxa"/>
            <w:vAlign w:val="center"/>
          </w:tcPr>
          <w:p w14:paraId="1AA50D19">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建立安全生产管理制度、落实安全生产责任人，由完整的检查记录。</w:t>
            </w:r>
          </w:p>
        </w:tc>
        <w:tc>
          <w:tcPr>
            <w:tcW w:w="3615" w:type="dxa"/>
            <w:vAlign w:val="center"/>
          </w:tcPr>
          <w:p w14:paraId="667DB69C">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未建立安全生产管理制度，扣2分；未落实安全生产责任人，扣2分；无完整的检查记录，扣1分。</w:t>
            </w:r>
          </w:p>
        </w:tc>
      </w:tr>
    </w:tbl>
    <w:p w14:paraId="74ECFD6F">
      <w:pPr>
        <w:rPr>
          <w:rFonts w:hint="eastAsia" w:asciiTheme="majorEastAsia" w:hAnsiTheme="majorEastAsia" w:eastAsiaTheme="majorEastAsia" w:cstheme="majorEastAsia"/>
          <w:sz w:val="28"/>
          <w:szCs w:val="28"/>
        </w:rPr>
      </w:pPr>
    </w:p>
    <w:p w14:paraId="4B02AEDF">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表A.2 道路清扫保洁工作评价表（续）</w:t>
      </w:r>
    </w:p>
    <w:p w14:paraId="14120431">
      <w:pPr>
        <w:rPr>
          <w:rFonts w:hint="eastAsia" w:asciiTheme="majorEastAsia" w:hAnsiTheme="majorEastAsia" w:eastAsiaTheme="majorEastAsia" w:cstheme="majorEastAsia"/>
          <w:sz w:val="28"/>
          <w:szCs w:val="28"/>
        </w:rPr>
      </w:pPr>
    </w:p>
    <w:tbl>
      <w:tblPr>
        <w:tblStyle w:val="10"/>
        <w:tblW w:w="9878" w:type="dxa"/>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69"/>
        <w:gridCol w:w="1347"/>
        <w:gridCol w:w="3416"/>
        <w:gridCol w:w="3615"/>
      </w:tblGrid>
      <w:tr w14:paraId="7EE76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731" w:type="dxa"/>
            <w:vAlign w:val="center"/>
          </w:tcPr>
          <w:p w14:paraId="775D6DE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序号</w:t>
            </w:r>
          </w:p>
        </w:tc>
        <w:tc>
          <w:tcPr>
            <w:tcW w:w="2116" w:type="dxa"/>
            <w:gridSpan w:val="2"/>
            <w:vAlign w:val="center"/>
          </w:tcPr>
          <w:p w14:paraId="06F04D8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考评项目</w:t>
            </w:r>
          </w:p>
        </w:tc>
        <w:tc>
          <w:tcPr>
            <w:tcW w:w="3416" w:type="dxa"/>
            <w:vAlign w:val="center"/>
          </w:tcPr>
          <w:p w14:paraId="6D18AA8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考评内容</w:t>
            </w:r>
          </w:p>
        </w:tc>
        <w:tc>
          <w:tcPr>
            <w:tcW w:w="3615" w:type="dxa"/>
            <w:vAlign w:val="center"/>
          </w:tcPr>
          <w:p w14:paraId="6649C42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评分标准</w:t>
            </w:r>
          </w:p>
        </w:tc>
      </w:tr>
      <w:tr w14:paraId="4D2A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14:paraId="17F69277">
            <w:pPr>
              <w:rPr>
                <w:rFonts w:hint="eastAsia" w:asciiTheme="majorEastAsia" w:hAnsiTheme="majorEastAsia" w:eastAsiaTheme="majorEastAsia" w:cstheme="majorEastAsia"/>
                <w:sz w:val="24"/>
                <w:szCs w:val="24"/>
              </w:rPr>
            </w:pPr>
          </w:p>
        </w:tc>
        <w:tc>
          <w:tcPr>
            <w:tcW w:w="769" w:type="dxa"/>
            <w:vAlign w:val="center"/>
          </w:tcPr>
          <w:p w14:paraId="4C0439C2">
            <w:pPr>
              <w:rPr>
                <w:rFonts w:hint="eastAsia" w:asciiTheme="majorEastAsia" w:hAnsiTheme="majorEastAsia" w:eastAsiaTheme="majorEastAsia" w:cstheme="majorEastAsia"/>
                <w:sz w:val="24"/>
                <w:szCs w:val="24"/>
              </w:rPr>
            </w:pPr>
          </w:p>
        </w:tc>
        <w:tc>
          <w:tcPr>
            <w:tcW w:w="1347" w:type="dxa"/>
            <w:vAlign w:val="center"/>
          </w:tcPr>
          <w:p w14:paraId="115CC70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安全设备</w:t>
            </w:r>
          </w:p>
          <w:p w14:paraId="234D032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（5分）</w:t>
            </w:r>
          </w:p>
        </w:tc>
        <w:tc>
          <w:tcPr>
            <w:tcW w:w="3416" w:type="dxa"/>
            <w:vAlign w:val="center"/>
          </w:tcPr>
          <w:p w14:paraId="2F0B5BE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配备反光服装、灭火器、反光板、警示锥（桶）、防滑链等。</w:t>
            </w:r>
          </w:p>
        </w:tc>
        <w:tc>
          <w:tcPr>
            <w:tcW w:w="3615" w:type="dxa"/>
            <w:vAlign w:val="center"/>
          </w:tcPr>
          <w:p w14:paraId="1652DBC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未按规定配备反光服装、灭火器、反光板、警示锥（桶）、防滑链等安全设备，每项扣0.2分；过期未更换安全设备或安全设备不能正常使用，每次扣1分。</w:t>
            </w:r>
          </w:p>
        </w:tc>
      </w:tr>
      <w:tr w14:paraId="7956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0" w:hRule="atLeast"/>
        </w:trPr>
        <w:tc>
          <w:tcPr>
            <w:tcW w:w="731" w:type="dxa"/>
            <w:vAlign w:val="center"/>
          </w:tcPr>
          <w:p w14:paraId="69DF297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w:t>
            </w:r>
          </w:p>
        </w:tc>
        <w:tc>
          <w:tcPr>
            <w:tcW w:w="769" w:type="dxa"/>
            <w:vAlign w:val="center"/>
          </w:tcPr>
          <w:p w14:paraId="46FF8C2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其他（5分）</w:t>
            </w:r>
          </w:p>
        </w:tc>
        <w:tc>
          <w:tcPr>
            <w:tcW w:w="1347" w:type="dxa"/>
            <w:vAlign w:val="center"/>
          </w:tcPr>
          <w:p w14:paraId="0D76A5C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公众监督、</w:t>
            </w:r>
          </w:p>
          <w:p w14:paraId="473A3D8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及时整改</w:t>
            </w:r>
          </w:p>
          <w:p w14:paraId="032003B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（5分）</w:t>
            </w:r>
          </w:p>
        </w:tc>
        <w:tc>
          <w:tcPr>
            <w:tcW w:w="3416" w:type="dxa"/>
            <w:vAlign w:val="center"/>
          </w:tcPr>
          <w:p w14:paraId="0FF6B7E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投诉处理、媒体曝光等</w:t>
            </w:r>
          </w:p>
        </w:tc>
        <w:tc>
          <w:tcPr>
            <w:tcW w:w="3615" w:type="dxa"/>
            <w:vAlign w:val="center"/>
          </w:tcPr>
          <w:p w14:paraId="4B33967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对上级相关业务指导、检查和提出的问题未及时整改，每次扣2分；未及时处理媒体曝光问题、公众投诉问题，每次扣1分。</w:t>
            </w:r>
          </w:p>
        </w:tc>
      </w:tr>
      <w:tr w14:paraId="3587A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rPr>
        <w:tc>
          <w:tcPr>
            <w:tcW w:w="1500" w:type="dxa"/>
            <w:gridSpan w:val="2"/>
            <w:vAlign w:val="center"/>
          </w:tcPr>
          <w:p w14:paraId="4F1826C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合计</w:t>
            </w:r>
          </w:p>
        </w:tc>
        <w:tc>
          <w:tcPr>
            <w:tcW w:w="8378" w:type="dxa"/>
            <w:gridSpan w:val="3"/>
            <w:vAlign w:val="center"/>
          </w:tcPr>
          <w:p w14:paraId="578084A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100分</w:t>
            </w:r>
          </w:p>
        </w:tc>
      </w:tr>
    </w:tbl>
    <w:p w14:paraId="3AA6638D">
      <w:pPr>
        <w:rPr>
          <w:rFonts w:hint="eastAsia" w:asciiTheme="majorEastAsia" w:hAnsiTheme="majorEastAsia" w:eastAsiaTheme="majorEastAsia" w:cstheme="majorEastAsia"/>
          <w:sz w:val="28"/>
          <w:szCs w:val="28"/>
        </w:rPr>
      </w:pPr>
    </w:p>
    <w:p w14:paraId="7A41A650">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br w:type="page"/>
      </w:r>
    </w:p>
    <w:p w14:paraId="54BBEA9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附件4</w:t>
      </w:r>
    </w:p>
    <w:p w14:paraId="0CCD42E0">
      <w:pPr>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周至县生活垃圾清运管理考核办法</w:t>
      </w:r>
    </w:p>
    <w:p w14:paraId="05928D58">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为了加强我县生活垃圾清洁收运管理工作，提高生活垃圾清洁收运水平，减少二次污染，保障人民群众身体健康，根据《城市生活垃圾管理办法》、《西安市城市市容和环境卫生管理条例》和《西安市城市生活垃圾清洁收运工作实施方案》、《西安市生活垃圾分类管理办法》等有关法律和规定要求，结合我县实际，制定本考核办法。</w:t>
      </w:r>
    </w:p>
    <w:p w14:paraId="0F4076AB">
      <w:pPr>
        <w:ind w:firstLine="482" w:firstLineChars="200"/>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一、工作目标</w:t>
      </w:r>
    </w:p>
    <w:p w14:paraId="2886E75B">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为了进一步创新城市生活垃圾管理机制，提高城市生活垃圾收集、清运管理水平，规范生活垃圾收集、清运工作流程，全面提高垃圾收集、清运对环境的第二次污染，满足人民群众对城市环境日益提高的要求，按照目标科学、管理常态、工作精细、清运规范的总要求，进一步明确职责，加大监管力度，进一步提升城市品位和文明程度。</w:t>
      </w:r>
    </w:p>
    <w:p w14:paraId="7DE96A92">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二、考核内容</w:t>
      </w:r>
    </w:p>
    <w:p w14:paraId="2E5365FB">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清运设施设备</w:t>
      </w:r>
    </w:p>
    <w:p w14:paraId="30AB2FBA">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1.收集车辆必须使用环保、密闭式车辆，并统一标识、编号等，以满足生活垃圾前段清洁收集的需要。</w:t>
      </w:r>
    </w:p>
    <w:p w14:paraId="2F0D837E">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2.收集车辆必须确保车容车貌干净整洁，每天对清运车辆进行1-2次的消杀，必须按照交通规范文明安全驾驶。</w:t>
      </w:r>
    </w:p>
    <w:p w14:paraId="24882FF7">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3.清运车辆加装北斗定位系统，建立全县环卫运输北斗监控系统。</w:t>
      </w:r>
    </w:p>
    <w:p w14:paraId="0AFBF051">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4.对清运车辆定期检修、保养，及时更换损坏部件，对部分清运车辆加装收集槽，杜绝渗滤液在道路上抛洒滴漏。</w:t>
      </w:r>
    </w:p>
    <w:p w14:paraId="312B5175">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5.严禁私自挪移、更改、撤离现有生活垃圾收集箱（点）及位置，确保生活垃圾清运安全有序。</w:t>
      </w:r>
    </w:p>
    <w:p w14:paraId="493D37D4">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6.生活垃圾运输必须专车进行运输禁止混合运输。</w:t>
      </w:r>
    </w:p>
    <w:p w14:paraId="54E0891F">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7.定期开展垃圾收集箱的擦洗，保持干净整洁。</w:t>
      </w:r>
    </w:p>
    <w:p w14:paraId="15A1EBFF">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（二）垃圾压缩站运行管理</w:t>
      </w:r>
    </w:p>
    <w:p w14:paraId="333A7B06">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严格按照《生活垃圾压缩站运行维护技术规程》（CJJ109-2006）及其相关管理条例的规定，结合我县实际情况，切实有效的改善压缩站规范作业。</w:t>
      </w:r>
    </w:p>
    <w:p w14:paraId="012FDD21">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1.严禁超负荷压缩箱体。定期对设备进行检测，对变形的箱体及时维修、更换。</w:t>
      </w:r>
    </w:p>
    <w:p w14:paraId="1359FF2D">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2.加强压缩站提升改造，对设备老化，环境脏乱的进行提升改造，及时维修液压设备，提升周边环境。</w:t>
      </w:r>
    </w:p>
    <w:p w14:paraId="161296F9">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3.做好压缩站的消杀、除臭等工作。</w:t>
      </w:r>
    </w:p>
    <w:p w14:paraId="723FF7A4">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（三）清运管理</w:t>
      </w:r>
    </w:p>
    <w:p w14:paraId="38086A69">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1.生活垃圾清运必须做到日产日清，必须及时彻底的清理每个垃圾收集箱（点）的生活垃圾，确保全天生活垃圾收集箱无堆积、无溢箱。</w:t>
      </w:r>
    </w:p>
    <w:p w14:paraId="2B9171E5">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生活垃圾清运应做到收运过程垃圾不落地，将整个收运环节垃圾裸露面积及时间降到最低，实现整个收运环节的高密封性、降低臭气外溢，杜绝运输过程“抛、冒、滴、漏、洒”现象，最大限度降低对环境的污染、预防运输过程中可能产生的二次污染。</w:t>
      </w:r>
    </w:p>
    <w:p w14:paraId="41612208">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3.生活垃圾必须运送至生活垃圾压缩站，严禁乱倒，在生活垃圾处理中心和压缩站必须服从现场调度人员的指挥，按指定区域倾倒。</w:t>
      </w:r>
    </w:p>
    <w:p w14:paraId="0322EA4D">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4.县城沿街（老城街全段、农商街全段）住户和商户采用流动车辆收集，每天收集2次，必须在7:00-11:00和17:00-21:00（冬季）、17:30-21：00（夏季）前收集清运完成。</w:t>
      </w:r>
    </w:p>
    <w:p w14:paraId="546EADEF">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5.做好生活垃圾清运过程中的记录，并建立好台账。</w:t>
      </w:r>
    </w:p>
    <w:p w14:paraId="7D2B484A">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（四）加强教育与培训</w:t>
      </w:r>
    </w:p>
    <w:p w14:paraId="29E5239C">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对新进入市容环卫管理人员和基层和工人进行岗前培训，使市容环卫行业的人员经过培训成为政治合格、业务精通、从业规范的专业人才，提升从业者的整体素质。</w:t>
      </w:r>
    </w:p>
    <w:p w14:paraId="7DA262E4">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三、评分标准</w:t>
      </w:r>
    </w:p>
    <w:p w14:paraId="1762C71E">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1.收集车辆车容车貌不整洁的每次扣0.2分。</w:t>
      </w:r>
    </w:p>
    <w:p w14:paraId="0EB54714">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2.不按规定对垃圾清运车辆进行消杀的每次扣0.2分。</w:t>
      </w:r>
    </w:p>
    <w:p w14:paraId="2B552E66">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3.在垃圾运输过程中有“抛、冒、滴、漏、洒”现象的每次扣0.2分。</w:t>
      </w:r>
    </w:p>
    <w:p w14:paraId="1761EF56">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4.私自挪移、更改、撤离现有生活垃圾收集箱（点）及位置每次扣除1分。</w:t>
      </w:r>
    </w:p>
    <w:p w14:paraId="4787B4F8">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5.垃圾箱满后不及时清运垃圾的每次扣0.5分。</w:t>
      </w:r>
    </w:p>
    <w:p w14:paraId="60127119">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6.由于垃圾清运不及时造成群众投诉的每次扣2分。</w:t>
      </w:r>
    </w:p>
    <w:p w14:paraId="65EF3578">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7.由于垃圾清运不及时造成媒体曝光的每次扣5分。</w:t>
      </w:r>
    </w:p>
    <w:p w14:paraId="4A362439">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8.因不按时开展垃圾箱擦洗的，造成垃圾箱体不干净的每次扣0.5分。</w:t>
      </w:r>
    </w:p>
    <w:p w14:paraId="042D0BE4">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9.严禁超负荷压缩箱体每发现一次扣0.2分。</w:t>
      </w:r>
    </w:p>
    <w:p w14:paraId="772A6F37">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10.对在倾倒垃圾时不服从现场调度人员指挥的每次扣0.3分。</w:t>
      </w:r>
    </w:p>
    <w:p w14:paraId="3D476EEA">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11.对不按时设置流动垃圾收集（点）或出动流动垃圾收集车的每次扣0.5分。</w:t>
      </w:r>
    </w:p>
    <w:p w14:paraId="1F3AB763">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12.对在运输过程中，混合运输的每车每次扣2分。</w:t>
      </w:r>
    </w:p>
    <w:p w14:paraId="63E52678">
      <w:pPr>
        <w:pStyle w:val="2"/>
        <w:rPr>
          <w:rFonts w:hint="eastAsia" w:asciiTheme="majorEastAsia" w:hAnsiTheme="majorEastAsia" w:eastAsiaTheme="majorEastAsia" w:cstheme="majorEastAsia"/>
          <w:sz w:val="28"/>
          <w:szCs w:val="28"/>
        </w:rPr>
      </w:pPr>
    </w:p>
    <w:p w14:paraId="07FC151C">
      <w:pPr>
        <w:pStyle w:val="2"/>
        <w:rPr>
          <w:rFonts w:hint="eastAsia" w:asciiTheme="majorEastAsia" w:hAnsiTheme="majorEastAsia" w:eastAsiaTheme="majorEastAsia" w:cstheme="majorEastAsia"/>
          <w:sz w:val="28"/>
          <w:szCs w:val="28"/>
        </w:rPr>
      </w:pPr>
    </w:p>
    <w:p w14:paraId="12856086">
      <w:pPr>
        <w:pStyle w:val="2"/>
        <w:rPr>
          <w:rFonts w:hint="eastAsia" w:asciiTheme="majorEastAsia" w:hAnsiTheme="majorEastAsia" w:eastAsiaTheme="majorEastAsia" w:cstheme="majorEastAsia"/>
          <w:sz w:val="28"/>
          <w:szCs w:val="28"/>
        </w:rPr>
      </w:pPr>
    </w:p>
    <w:p w14:paraId="6FF6EB7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附件5</w:t>
      </w:r>
    </w:p>
    <w:p w14:paraId="0CDFB846">
      <w:pPr>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西安市城镇公共厕所管理标准</w:t>
      </w:r>
    </w:p>
    <w:p w14:paraId="1D7264DC">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第一条 为加强我市公共厕所管理,提高城镇公共厕所卫生水平,方便群众使用,根据《全国城市卫生检查评比标准》和建设部《城市环境卫生质量标准》及《西安市城市市容和环境卫生管理条例》,制定本标准。</w:t>
      </w:r>
    </w:p>
    <w:p w14:paraId="245C04ED">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第二条 本标准的城镇公共厕所是指供城市居民和流动人口共同使用的环卫公共厕所、公共场所配套公共厕所和社会对外开放公共厕所。适用范围包括园林、旅游、交通、铁路、卫生、商务等行业,涉及公园、旅游区(点)、旅游线路中旅游接待场所及各种旅游饭店、长途汽车首末站、轨道交通站、飞机场、火车站、医院、商场、超市等人员集散场所的公共厕所,以及公共建筑(如码头、商店、饭店、影剧院、体育场馆、展览馆、办公楼等)附设的公共厕所。</w:t>
      </w:r>
    </w:p>
    <w:p w14:paraId="1D8F7891">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第三条 西安市环境卫生行政主管部门负责全市公共厕所管理的统一协调、监督管理工作。按照“谁设置,谁管理”的原则,市级各部门(发改委、交通、卫生、水务、教育、旅游、民政商务等有关部门)负责各行业内公共厕所的监督管理工作。各区(县)、开发区负责本辖区公共厕所的监督管理工作。</w:t>
      </w:r>
    </w:p>
    <w:p w14:paraId="776E5C36">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第四条 城镇公共厕所要有专人管理,管理人员要按时上岗,不得私自雇工顶岗或转包。</w:t>
      </w:r>
    </w:p>
    <w:p w14:paraId="430B65ED">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第五条 城镇公共厕所实行免费开放,重点区域实行24小时免费开放,并切实加强管理。</w:t>
      </w:r>
    </w:p>
    <w:p w14:paraId="330D0D84">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第六条 如厕人员必须遵守公共厕所的各项管理制度,自觉维护公共厕所卫生：</w:t>
      </w:r>
    </w:p>
    <w:p w14:paraId="1BE56DC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（一）大便入坑,小便入池,手纸入笼；</w:t>
      </w:r>
    </w:p>
    <w:p w14:paraId="7CCAB58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（二）禁止随地吐痰,随意乱刻乱画；</w:t>
      </w:r>
    </w:p>
    <w:p w14:paraId="68D4830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（三）大小便后即时冲水,严禁将其它废弃物丢入便池内；</w:t>
      </w:r>
    </w:p>
    <w:p w14:paraId="09AEA99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（四）便后洗手后,即时关掉水龙头；</w:t>
      </w:r>
    </w:p>
    <w:p w14:paraId="53F61D5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（五）要爱护公厕的设施、设备,如有损坏,照价赔偿。</w:t>
      </w:r>
    </w:p>
    <w:p w14:paraId="54E2DE1D">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第七条 公共厕所卫生标准和清扫保洁制度应上墙公布,各类标识规范、明显。</w:t>
      </w:r>
    </w:p>
    <w:p w14:paraId="3EB78137">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第八条 公共厕所设施应符合以下质量要求：</w:t>
      </w:r>
    </w:p>
    <w:p w14:paraId="1D995077">
      <w:pPr>
        <w:rPr>
          <w:rFonts w:hint="eastAsia" w:asciiTheme="majorEastAsia" w:hAnsiTheme="majorEastAsia" w:eastAsiaTheme="majorEastAsia" w:cstheme="majorEastAsia"/>
          <w:spacing w:val="-6"/>
          <w:sz w:val="24"/>
          <w:szCs w:val="24"/>
        </w:rPr>
      </w:pPr>
      <w:r>
        <w:rPr>
          <w:rFonts w:hint="eastAsia" w:asciiTheme="majorEastAsia" w:hAnsiTheme="majorEastAsia" w:eastAsiaTheme="majorEastAsia" w:cstheme="majorEastAsia"/>
          <w:spacing w:val="-6"/>
          <w:sz w:val="24"/>
          <w:szCs w:val="24"/>
        </w:rPr>
        <w:t>（一）内外墙壁无剥落,门窗、洗手池、照明灯具完好无损；</w:t>
      </w:r>
    </w:p>
    <w:p w14:paraId="2B7B9043">
      <w:pPr>
        <w:rPr>
          <w:rFonts w:hint="eastAsia" w:asciiTheme="majorEastAsia" w:hAnsiTheme="majorEastAsia" w:eastAsiaTheme="majorEastAsia" w:cstheme="majorEastAsia"/>
          <w:spacing w:val="-6"/>
          <w:sz w:val="24"/>
          <w:szCs w:val="24"/>
        </w:rPr>
      </w:pPr>
      <w:r>
        <w:rPr>
          <w:rFonts w:hint="eastAsia" w:asciiTheme="majorEastAsia" w:hAnsiTheme="majorEastAsia" w:eastAsiaTheme="majorEastAsia" w:cstheme="majorEastAsia"/>
          <w:spacing w:val="-6"/>
          <w:sz w:val="24"/>
          <w:szCs w:val="24"/>
        </w:rPr>
        <w:t>（二）一、二类公共厕所应有防蝇、防蚁和除臭设施或措施；</w:t>
      </w:r>
    </w:p>
    <w:p w14:paraId="78A37B9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（三）屋面无漏雨,墙壁无痕迹；</w:t>
      </w:r>
    </w:p>
    <w:p w14:paraId="1FB6B2D9">
      <w:pPr>
        <w:rPr>
          <w:rFonts w:hint="eastAsia" w:asciiTheme="majorEastAsia" w:hAnsiTheme="majorEastAsia" w:eastAsiaTheme="majorEastAsia" w:cstheme="majorEastAsia"/>
          <w:spacing w:val="-6"/>
          <w:sz w:val="24"/>
          <w:szCs w:val="24"/>
        </w:rPr>
      </w:pPr>
      <w:r>
        <w:rPr>
          <w:rFonts w:hint="eastAsia" w:asciiTheme="majorEastAsia" w:hAnsiTheme="majorEastAsia" w:eastAsiaTheme="majorEastAsia" w:cstheme="majorEastAsia"/>
          <w:spacing w:val="-6"/>
          <w:sz w:val="24"/>
          <w:szCs w:val="24"/>
        </w:rPr>
        <w:t>（四）地面、便池、便坑道槽、隔档完好,瓷片无脱落损坏；</w:t>
      </w:r>
    </w:p>
    <w:p w14:paraId="1B17ECD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（五）上下水管道畅通,无跑冒滴漏,贮粪池有盖板;</w:t>
      </w:r>
    </w:p>
    <w:p w14:paraId="3DA6D22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（六）保持公共厕所化粪池畅通,防止沼气蓄积;</w:t>
      </w:r>
    </w:p>
    <w:p w14:paraId="7DB700D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（七）漏水情况的维修不能超过2小时；</w:t>
      </w:r>
    </w:p>
    <w:p w14:paraId="417BBFC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（八）小便器、大便器的维修更换不能超过24小时。</w:t>
      </w:r>
    </w:p>
    <w:p w14:paraId="226A02F9">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第九条 公共厕所保洁应符合下列规定：</w:t>
      </w:r>
    </w:p>
    <w:p w14:paraId="45BAB7D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（一）公共厕所内采光、照明和通风应良好,无明显臭味;</w:t>
      </w:r>
    </w:p>
    <w:p w14:paraId="71F8D418">
      <w:pPr>
        <w:rPr>
          <w:rFonts w:hint="eastAsia" w:asciiTheme="majorEastAsia" w:hAnsiTheme="majorEastAsia" w:eastAsiaTheme="majorEastAsia" w:cstheme="majorEastAsia"/>
          <w:spacing w:val="8"/>
          <w:sz w:val="24"/>
          <w:szCs w:val="24"/>
          <w:shd w:val="clear" w:color="auto" w:fill="FFFFFF"/>
        </w:rPr>
      </w:pPr>
      <w:r>
        <w:rPr>
          <w:rFonts w:hint="eastAsia" w:asciiTheme="majorEastAsia" w:hAnsiTheme="majorEastAsia" w:eastAsiaTheme="majorEastAsia" w:cstheme="majorEastAsia"/>
          <w:spacing w:val="8"/>
          <w:sz w:val="24"/>
          <w:szCs w:val="24"/>
          <w:shd w:val="clear" w:color="auto" w:fill="FFFFFF"/>
        </w:rPr>
        <w:t>（二）公共厕所内墙面、天花板、门窗和隔离板无积灰、污迹、蛛网，无乱涂乱画、无乱贴，墙面光洁，外墙面整洁；</w:t>
      </w:r>
    </w:p>
    <w:p w14:paraId="0EA7D5D1">
      <w:pPr>
        <w:rPr>
          <w:rFonts w:hint="eastAsia" w:asciiTheme="majorEastAsia" w:hAnsiTheme="majorEastAsia" w:eastAsiaTheme="majorEastAsia" w:cstheme="majorEastAsia"/>
          <w:spacing w:val="8"/>
          <w:sz w:val="24"/>
          <w:szCs w:val="24"/>
          <w:shd w:val="clear" w:color="auto" w:fill="FFFFFF"/>
        </w:rPr>
      </w:pPr>
      <w:r>
        <w:rPr>
          <w:rFonts w:hint="eastAsia" w:asciiTheme="majorEastAsia" w:hAnsiTheme="majorEastAsia" w:eastAsiaTheme="majorEastAsia" w:cstheme="majorEastAsia"/>
          <w:spacing w:val="8"/>
          <w:sz w:val="24"/>
          <w:szCs w:val="24"/>
          <w:shd w:val="clear" w:color="auto" w:fill="FFFFFF"/>
        </w:rPr>
        <w:t>（三）公共厕所内地面光洁，无积水，无泥土、无粪便、无尿碱；</w:t>
      </w:r>
    </w:p>
    <w:p w14:paraId="126388B4">
      <w:pPr>
        <w:rPr>
          <w:rFonts w:hint="eastAsia" w:asciiTheme="majorEastAsia" w:hAnsiTheme="majorEastAsia" w:eastAsiaTheme="majorEastAsia" w:cstheme="majorEastAsia"/>
          <w:spacing w:val="8"/>
          <w:sz w:val="24"/>
          <w:szCs w:val="24"/>
          <w:shd w:val="clear" w:color="auto" w:fill="FFFFFF"/>
        </w:rPr>
      </w:pPr>
      <w:r>
        <w:rPr>
          <w:rFonts w:hint="eastAsia" w:asciiTheme="majorEastAsia" w:hAnsiTheme="majorEastAsia" w:eastAsiaTheme="majorEastAsia" w:cstheme="majorEastAsia"/>
          <w:spacing w:val="8"/>
          <w:sz w:val="24"/>
          <w:szCs w:val="24"/>
          <w:shd w:val="clear" w:color="auto" w:fill="FFFFFF"/>
        </w:rPr>
        <w:t>（四）蹲位整洁，大便槽两侧无粪便污物，槽内无积粪，洁净见底；</w:t>
      </w:r>
    </w:p>
    <w:p w14:paraId="1341E4E0">
      <w:pPr>
        <w:rPr>
          <w:rFonts w:hint="eastAsia" w:asciiTheme="majorEastAsia" w:hAnsiTheme="majorEastAsia" w:eastAsiaTheme="majorEastAsia" w:cstheme="majorEastAsia"/>
          <w:spacing w:val="8"/>
          <w:sz w:val="24"/>
          <w:szCs w:val="24"/>
          <w:shd w:val="clear" w:color="auto" w:fill="FFFFFF"/>
        </w:rPr>
      </w:pPr>
      <w:r>
        <w:rPr>
          <w:rFonts w:hint="eastAsia" w:asciiTheme="majorEastAsia" w:hAnsiTheme="majorEastAsia" w:eastAsiaTheme="majorEastAsia" w:cstheme="majorEastAsia"/>
          <w:spacing w:val="8"/>
          <w:sz w:val="24"/>
          <w:szCs w:val="24"/>
          <w:shd w:val="clear" w:color="auto" w:fill="FFFFFF"/>
        </w:rPr>
        <w:t>（五）小便槽（斗）无水锈、尿垢、垃圾，基本无臭，沟眼、管道保持畅通；</w:t>
      </w:r>
    </w:p>
    <w:p w14:paraId="16CEF199">
      <w:pPr>
        <w:rPr>
          <w:rFonts w:hint="eastAsia" w:asciiTheme="majorEastAsia" w:hAnsiTheme="majorEastAsia" w:eastAsiaTheme="majorEastAsia" w:cstheme="majorEastAsia"/>
          <w:spacing w:val="8"/>
          <w:sz w:val="24"/>
          <w:szCs w:val="24"/>
          <w:shd w:val="clear" w:color="auto" w:fill="FFFFFF"/>
        </w:rPr>
      </w:pPr>
      <w:r>
        <w:rPr>
          <w:rFonts w:hint="eastAsia" w:asciiTheme="majorEastAsia" w:hAnsiTheme="majorEastAsia" w:eastAsiaTheme="majorEastAsia" w:cstheme="majorEastAsia"/>
          <w:spacing w:val="8"/>
          <w:sz w:val="24"/>
          <w:szCs w:val="24"/>
          <w:shd w:val="clear" w:color="auto" w:fill="FFFFFF"/>
        </w:rPr>
        <w:t>（六）公共厕所内照明灯具、洗手器具、镜子、挂衣钩、烘手器、冲水设施完好，无积灰、污物，窗纱无尘埃、破损；</w:t>
      </w:r>
    </w:p>
    <w:p w14:paraId="2DE886D8">
      <w:pPr>
        <w:rPr>
          <w:rFonts w:hint="eastAsia" w:asciiTheme="majorEastAsia" w:hAnsiTheme="majorEastAsia" w:eastAsiaTheme="majorEastAsia" w:cstheme="majorEastAsia"/>
          <w:spacing w:val="8"/>
          <w:sz w:val="24"/>
          <w:szCs w:val="24"/>
          <w:shd w:val="clear" w:color="auto" w:fill="FFFFFF"/>
        </w:rPr>
      </w:pPr>
      <w:r>
        <w:rPr>
          <w:rFonts w:hint="eastAsia" w:asciiTheme="majorEastAsia" w:hAnsiTheme="majorEastAsia" w:eastAsiaTheme="majorEastAsia" w:cstheme="majorEastAsia"/>
          <w:spacing w:val="8"/>
          <w:sz w:val="24"/>
          <w:szCs w:val="24"/>
          <w:shd w:val="clear" w:color="auto" w:fill="FFFFFF"/>
        </w:rPr>
        <w:t>（七）公共厕所外环境整洁，无乱堆杂物，保洁工具设置整齐，无乱搭建和拉绳，公厕四周3至5米范围内，无垃圾、粪便尿迹等污物；</w:t>
      </w:r>
    </w:p>
    <w:p w14:paraId="4E301E37">
      <w:pPr>
        <w:rPr>
          <w:rFonts w:hint="eastAsia" w:asciiTheme="majorEastAsia" w:hAnsiTheme="majorEastAsia" w:eastAsiaTheme="majorEastAsia" w:cstheme="majorEastAsia"/>
          <w:spacing w:val="8"/>
          <w:sz w:val="24"/>
          <w:szCs w:val="24"/>
          <w:shd w:val="clear" w:color="auto" w:fill="FFFFFF"/>
        </w:rPr>
      </w:pPr>
      <w:r>
        <w:rPr>
          <w:rFonts w:hint="eastAsia" w:asciiTheme="majorEastAsia" w:hAnsiTheme="majorEastAsia" w:eastAsiaTheme="majorEastAsia" w:cstheme="majorEastAsia"/>
          <w:spacing w:val="8"/>
          <w:sz w:val="24"/>
          <w:szCs w:val="24"/>
          <w:shd w:val="clear" w:color="auto" w:fill="FFFFFF"/>
        </w:rPr>
        <w:t>（八）蝇蚊孳生季节应定时喷洒蝇蚊药物或安装防蝇设备，有效控制蚊蝇；</w:t>
      </w:r>
    </w:p>
    <w:p w14:paraId="6B05D12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8"/>
          <w:sz w:val="24"/>
          <w:szCs w:val="24"/>
          <w:shd w:val="clear" w:color="auto" w:fill="FFFFFF"/>
        </w:rPr>
        <w:t>（九）公共厕所环境卫生控制指标应符合下列规定：</w:t>
      </w:r>
    </w:p>
    <w:p w14:paraId="180CFD4D">
      <w:pPr>
        <w:jc w:val="center"/>
        <w:rPr>
          <w:rFonts w:hint="eastAsia" w:asciiTheme="majorEastAsia" w:hAnsiTheme="majorEastAsia" w:eastAsiaTheme="majorEastAsia" w:cstheme="majorEastAsia"/>
          <w:sz w:val="24"/>
          <w:szCs w:val="24"/>
        </w:rPr>
      </w:pPr>
    </w:p>
    <w:p w14:paraId="60F8ED12">
      <w:pPr>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城镇公共厕所环境卫生控制指标</w:t>
      </w:r>
    </w:p>
    <w:tbl>
      <w:tblPr>
        <w:tblStyle w:val="10"/>
        <w:tblW w:w="0" w:type="auto"/>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1668"/>
        <w:gridCol w:w="5329"/>
      </w:tblGrid>
      <w:tr w14:paraId="4D10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550" w:type="dxa"/>
            <w:tcBorders>
              <w:top w:val="single" w:color="auto" w:sz="4" w:space="0"/>
              <w:left w:val="single" w:color="auto" w:sz="4" w:space="0"/>
              <w:bottom w:val="single" w:color="auto" w:sz="4" w:space="0"/>
              <w:right w:val="single" w:color="auto" w:sz="4" w:space="0"/>
            </w:tcBorders>
            <w:vAlign w:val="center"/>
          </w:tcPr>
          <w:p w14:paraId="60347A2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编号</w:t>
            </w:r>
          </w:p>
        </w:tc>
        <w:tc>
          <w:tcPr>
            <w:tcW w:w="1668" w:type="dxa"/>
            <w:tcBorders>
              <w:top w:val="single" w:color="auto" w:sz="4" w:space="0"/>
              <w:left w:val="nil"/>
              <w:bottom w:val="single" w:color="auto" w:sz="4" w:space="0"/>
              <w:right w:val="single" w:color="auto" w:sz="4" w:space="0"/>
            </w:tcBorders>
            <w:vAlign w:val="center"/>
          </w:tcPr>
          <w:p w14:paraId="13DCDA7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卫生指标</w:t>
            </w:r>
          </w:p>
        </w:tc>
        <w:tc>
          <w:tcPr>
            <w:tcW w:w="5329" w:type="dxa"/>
            <w:tcBorders>
              <w:top w:val="single" w:color="auto" w:sz="4" w:space="0"/>
              <w:left w:val="nil"/>
              <w:bottom w:val="single" w:color="auto" w:sz="4" w:space="0"/>
              <w:right w:val="single" w:color="auto" w:sz="4" w:space="0"/>
            </w:tcBorders>
            <w:vAlign w:val="center"/>
          </w:tcPr>
          <w:p w14:paraId="094B45F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要求</w:t>
            </w:r>
          </w:p>
        </w:tc>
      </w:tr>
      <w:tr w14:paraId="29FD2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550" w:type="dxa"/>
            <w:tcBorders>
              <w:top w:val="single" w:color="auto" w:sz="4" w:space="0"/>
              <w:left w:val="single" w:color="auto" w:sz="4" w:space="0"/>
              <w:bottom w:val="single" w:color="auto" w:sz="4" w:space="0"/>
              <w:right w:val="single" w:color="auto" w:sz="4" w:space="0"/>
            </w:tcBorders>
            <w:vAlign w:val="center"/>
          </w:tcPr>
          <w:p w14:paraId="4D4B6D68">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p>
        </w:tc>
        <w:tc>
          <w:tcPr>
            <w:tcW w:w="1668" w:type="dxa"/>
            <w:tcBorders>
              <w:top w:val="single" w:color="auto" w:sz="4" w:space="0"/>
              <w:left w:val="nil"/>
              <w:bottom w:val="single" w:color="auto" w:sz="4" w:space="0"/>
              <w:right w:val="single" w:color="auto" w:sz="4" w:space="0"/>
            </w:tcBorders>
            <w:vAlign w:val="center"/>
          </w:tcPr>
          <w:p w14:paraId="69BD276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纸片(块)</w:t>
            </w:r>
          </w:p>
        </w:tc>
        <w:tc>
          <w:tcPr>
            <w:tcW w:w="5329" w:type="dxa"/>
            <w:tcBorders>
              <w:top w:val="single" w:color="auto" w:sz="4" w:space="0"/>
              <w:left w:val="nil"/>
              <w:bottom w:val="single" w:color="auto" w:sz="4" w:space="0"/>
              <w:right w:val="single" w:color="auto" w:sz="4" w:space="0"/>
            </w:tcBorders>
            <w:vAlign w:val="center"/>
          </w:tcPr>
          <w:p w14:paraId="4C089AC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不应有</w:t>
            </w:r>
          </w:p>
        </w:tc>
      </w:tr>
      <w:tr w14:paraId="3E46E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550" w:type="dxa"/>
            <w:tcBorders>
              <w:top w:val="single" w:color="auto" w:sz="4" w:space="0"/>
              <w:left w:val="single" w:color="auto" w:sz="4" w:space="0"/>
              <w:bottom w:val="single" w:color="auto" w:sz="4" w:space="0"/>
              <w:right w:val="single" w:color="auto" w:sz="4" w:space="0"/>
            </w:tcBorders>
            <w:vAlign w:val="center"/>
          </w:tcPr>
          <w:p w14:paraId="5FD05AB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w:t>
            </w:r>
          </w:p>
        </w:tc>
        <w:tc>
          <w:tcPr>
            <w:tcW w:w="1668" w:type="dxa"/>
            <w:tcBorders>
              <w:top w:val="single" w:color="auto" w:sz="4" w:space="0"/>
              <w:left w:val="nil"/>
              <w:bottom w:val="single" w:color="auto" w:sz="4" w:space="0"/>
              <w:right w:val="single" w:color="auto" w:sz="4" w:space="0"/>
            </w:tcBorders>
            <w:vAlign w:val="center"/>
          </w:tcPr>
          <w:p w14:paraId="0534DD0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烟蒂(个)</w:t>
            </w:r>
          </w:p>
        </w:tc>
        <w:tc>
          <w:tcPr>
            <w:tcW w:w="5329" w:type="dxa"/>
            <w:tcBorders>
              <w:top w:val="single" w:color="auto" w:sz="4" w:space="0"/>
              <w:left w:val="nil"/>
              <w:bottom w:val="single" w:color="auto" w:sz="4" w:space="0"/>
              <w:right w:val="single" w:color="auto" w:sz="4" w:space="0"/>
            </w:tcBorders>
            <w:vAlign w:val="center"/>
          </w:tcPr>
          <w:p w14:paraId="3A4A09B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不应有</w:t>
            </w:r>
          </w:p>
        </w:tc>
      </w:tr>
      <w:tr w14:paraId="69966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550" w:type="dxa"/>
            <w:tcBorders>
              <w:top w:val="single" w:color="auto" w:sz="4" w:space="0"/>
              <w:left w:val="single" w:color="auto" w:sz="4" w:space="0"/>
              <w:bottom w:val="single" w:color="auto" w:sz="4" w:space="0"/>
              <w:right w:val="single" w:color="auto" w:sz="4" w:space="0"/>
            </w:tcBorders>
            <w:vAlign w:val="center"/>
          </w:tcPr>
          <w:p w14:paraId="1E37848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w:t>
            </w:r>
          </w:p>
        </w:tc>
        <w:tc>
          <w:tcPr>
            <w:tcW w:w="1668" w:type="dxa"/>
            <w:tcBorders>
              <w:top w:val="single" w:color="auto" w:sz="4" w:space="0"/>
              <w:left w:val="nil"/>
              <w:bottom w:val="single" w:color="auto" w:sz="4" w:space="0"/>
              <w:right w:val="single" w:color="auto" w:sz="4" w:space="0"/>
            </w:tcBorders>
            <w:vAlign w:val="center"/>
          </w:tcPr>
          <w:p w14:paraId="1DE5E52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粪迹(处)</w:t>
            </w:r>
          </w:p>
        </w:tc>
        <w:tc>
          <w:tcPr>
            <w:tcW w:w="5329" w:type="dxa"/>
            <w:tcBorders>
              <w:top w:val="single" w:color="auto" w:sz="4" w:space="0"/>
              <w:left w:val="nil"/>
              <w:bottom w:val="single" w:color="auto" w:sz="4" w:space="0"/>
              <w:right w:val="single" w:color="auto" w:sz="4" w:space="0"/>
            </w:tcBorders>
            <w:vAlign w:val="center"/>
          </w:tcPr>
          <w:p w14:paraId="6EEC1F1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不应有</w:t>
            </w:r>
          </w:p>
        </w:tc>
      </w:tr>
      <w:tr w14:paraId="45094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550" w:type="dxa"/>
            <w:tcBorders>
              <w:top w:val="single" w:color="auto" w:sz="4" w:space="0"/>
              <w:left w:val="single" w:color="auto" w:sz="4" w:space="0"/>
              <w:bottom w:val="single" w:color="auto" w:sz="4" w:space="0"/>
              <w:right w:val="single" w:color="auto" w:sz="4" w:space="0"/>
            </w:tcBorders>
            <w:vAlign w:val="center"/>
          </w:tcPr>
          <w:p w14:paraId="13F60A2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w:t>
            </w:r>
          </w:p>
        </w:tc>
        <w:tc>
          <w:tcPr>
            <w:tcW w:w="1668" w:type="dxa"/>
            <w:tcBorders>
              <w:top w:val="single" w:color="auto" w:sz="4" w:space="0"/>
              <w:left w:val="nil"/>
              <w:bottom w:val="single" w:color="auto" w:sz="4" w:space="0"/>
              <w:right w:val="single" w:color="auto" w:sz="4" w:space="0"/>
            </w:tcBorders>
            <w:vAlign w:val="center"/>
          </w:tcPr>
          <w:p w14:paraId="0B3C5E0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痰迹(处)</w:t>
            </w:r>
          </w:p>
        </w:tc>
        <w:tc>
          <w:tcPr>
            <w:tcW w:w="5329" w:type="dxa"/>
            <w:tcBorders>
              <w:top w:val="single" w:color="auto" w:sz="4" w:space="0"/>
              <w:left w:val="nil"/>
              <w:bottom w:val="single" w:color="auto" w:sz="4" w:space="0"/>
              <w:right w:val="single" w:color="auto" w:sz="4" w:space="0"/>
            </w:tcBorders>
            <w:vAlign w:val="center"/>
          </w:tcPr>
          <w:p w14:paraId="0CFE68E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不应有</w:t>
            </w:r>
          </w:p>
        </w:tc>
      </w:tr>
      <w:tr w14:paraId="749B9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550" w:type="dxa"/>
            <w:tcBorders>
              <w:top w:val="single" w:color="auto" w:sz="4" w:space="0"/>
              <w:left w:val="single" w:color="auto" w:sz="4" w:space="0"/>
              <w:bottom w:val="single" w:color="auto" w:sz="4" w:space="0"/>
              <w:right w:val="single" w:color="auto" w:sz="4" w:space="0"/>
            </w:tcBorders>
            <w:vAlign w:val="center"/>
          </w:tcPr>
          <w:p w14:paraId="375C996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w:t>
            </w:r>
          </w:p>
        </w:tc>
        <w:tc>
          <w:tcPr>
            <w:tcW w:w="1668" w:type="dxa"/>
            <w:tcBorders>
              <w:top w:val="single" w:color="auto" w:sz="4" w:space="0"/>
              <w:left w:val="nil"/>
              <w:bottom w:val="single" w:color="auto" w:sz="4" w:space="0"/>
              <w:right w:val="single" w:color="auto" w:sz="4" w:space="0"/>
            </w:tcBorders>
            <w:vAlign w:val="center"/>
          </w:tcPr>
          <w:p w14:paraId="1F66F3B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窗格积灰</w:t>
            </w:r>
          </w:p>
        </w:tc>
        <w:tc>
          <w:tcPr>
            <w:tcW w:w="5329" w:type="dxa"/>
            <w:tcBorders>
              <w:top w:val="single" w:color="auto" w:sz="4" w:space="0"/>
              <w:left w:val="nil"/>
              <w:bottom w:val="single" w:color="auto" w:sz="4" w:space="0"/>
              <w:right w:val="single" w:color="auto" w:sz="4" w:space="0"/>
            </w:tcBorders>
            <w:vAlign w:val="center"/>
          </w:tcPr>
          <w:p w14:paraId="0FA535C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不应有</w:t>
            </w:r>
          </w:p>
        </w:tc>
      </w:tr>
      <w:tr w14:paraId="1DE1F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550" w:type="dxa"/>
            <w:tcBorders>
              <w:top w:val="single" w:color="auto" w:sz="4" w:space="0"/>
              <w:left w:val="single" w:color="auto" w:sz="4" w:space="0"/>
              <w:bottom w:val="single" w:color="auto" w:sz="4" w:space="0"/>
              <w:right w:val="single" w:color="auto" w:sz="4" w:space="0"/>
            </w:tcBorders>
            <w:vAlign w:val="center"/>
          </w:tcPr>
          <w:p w14:paraId="445D5BA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6</w:t>
            </w:r>
          </w:p>
        </w:tc>
        <w:tc>
          <w:tcPr>
            <w:tcW w:w="1668" w:type="dxa"/>
            <w:tcBorders>
              <w:top w:val="single" w:color="auto" w:sz="4" w:space="0"/>
              <w:left w:val="nil"/>
              <w:bottom w:val="single" w:color="auto" w:sz="4" w:space="0"/>
              <w:right w:val="single" w:color="auto" w:sz="4" w:space="0"/>
            </w:tcBorders>
            <w:vAlign w:val="center"/>
          </w:tcPr>
          <w:p w14:paraId="60AFE93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蛛网</w:t>
            </w:r>
          </w:p>
        </w:tc>
        <w:tc>
          <w:tcPr>
            <w:tcW w:w="5329" w:type="dxa"/>
            <w:tcBorders>
              <w:top w:val="single" w:color="auto" w:sz="4" w:space="0"/>
              <w:left w:val="nil"/>
              <w:bottom w:val="single" w:color="auto" w:sz="4" w:space="0"/>
              <w:right w:val="single" w:color="auto" w:sz="4" w:space="0"/>
            </w:tcBorders>
            <w:vAlign w:val="center"/>
          </w:tcPr>
          <w:p w14:paraId="48F38DD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不应有</w:t>
            </w:r>
          </w:p>
        </w:tc>
      </w:tr>
      <w:tr w14:paraId="500D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550" w:type="dxa"/>
            <w:vMerge w:val="restart"/>
            <w:tcBorders>
              <w:top w:val="nil"/>
              <w:left w:val="single" w:color="auto" w:sz="4" w:space="0"/>
              <w:bottom w:val="single" w:color="auto" w:sz="4" w:space="0"/>
              <w:right w:val="single" w:color="auto" w:sz="4" w:space="0"/>
            </w:tcBorders>
            <w:vAlign w:val="center"/>
          </w:tcPr>
          <w:p w14:paraId="6DFC5B3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7</w:t>
            </w:r>
          </w:p>
        </w:tc>
        <w:tc>
          <w:tcPr>
            <w:tcW w:w="1668" w:type="dxa"/>
            <w:vMerge w:val="restart"/>
            <w:tcBorders>
              <w:top w:val="nil"/>
              <w:left w:val="nil"/>
              <w:bottom w:val="single" w:color="auto" w:sz="4" w:space="0"/>
              <w:right w:val="single" w:color="auto" w:sz="4" w:space="0"/>
            </w:tcBorders>
            <w:vAlign w:val="center"/>
          </w:tcPr>
          <w:p w14:paraId="450D619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成蝇(只)</w:t>
            </w:r>
          </w:p>
        </w:tc>
        <w:tc>
          <w:tcPr>
            <w:tcW w:w="5329" w:type="dxa"/>
            <w:tcBorders>
              <w:top w:val="single" w:color="auto" w:sz="4" w:space="0"/>
              <w:left w:val="nil"/>
              <w:bottom w:val="single" w:color="auto" w:sz="4" w:space="0"/>
              <w:right w:val="single" w:color="auto" w:sz="4" w:space="0"/>
            </w:tcBorders>
            <w:vAlign w:val="center"/>
          </w:tcPr>
          <w:p w14:paraId="3BECDDA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二类(含)以上公共厕所不应有</w:t>
            </w:r>
          </w:p>
        </w:tc>
      </w:tr>
      <w:tr w14:paraId="4CF6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50" w:type="dxa"/>
            <w:vMerge w:val="continue"/>
            <w:tcBorders>
              <w:top w:val="nil"/>
              <w:left w:val="single" w:color="auto" w:sz="4" w:space="0"/>
              <w:bottom w:val="single" w:color="auto" w:sz="4" w:space="0"/>
              <w:right w:val="single" w:color="auto" w:sz="4" w:space="0"/>
            </w:tcBorders>
            <w:vAlign w:val="center"/>
          </w:tcPr>
          <w:p w14:paraId="5F8C11CE">
            <w:pPr>
              <w:rPr>
                <w:rFonts w:hint="eastAsia" w:asciiTheme="majorEastAsia" w:hAnsiTheme="majorEastAsia" w:eastAsiaTheme="majorEastAsia" w:cstheme="majorEastAsia"/>
                <w:sz w:val="24"/>
                <w:szCs w:val="24"/>
              </w:rPr>
            </w:pPr>
          </w:p>
        </w:tc>
        <w:tc>
          <w:tcPr>
            <w:tcW w:w="1668" w:type="dxa"/>
            <w:vMerge w:val="continue"/>
            <w:tcBorders>
              <w:top w:val="nil"/>
              <w:left w:val="nil"/>
              <w:bottom w:val="single" w:color="auto" w:sz="4" w:space="0"/>
              <w:right w:val="single" w:color="auto" w:sz="4" w:space="0"/>
            </w:tcBorders>
            <w:vAlign w:val="center"/>
          </w:tcPr>
          <w:p w14:paraId="59B37F87">
            <w:pPr>
              <w:rPr>
                <w:rFonts w:hint="eastAsia" w:asciiTheme="majorEastAsia" w:hAnsiTheme="majorEastAsia" w:eastAsiaTheme="majorEastAsia" w:cstheme="majorEastAsia"/>
                <w:sz w:val="24"/>
                <w:szCs w:val="24"/>
              </w:rPr>
            </w:pPr>
          </w:p>
        </w:tc>
        <w:tc>
          <w:tcPr>
            <w:tcW w:w="5329" w:type="dxa"/>
            <w:tcBorders>
              <w:top w:val="single" w:color="auto" w:sz="4" w:space="0"/>
              <w:left w:val="nil"/>
              <w:bottom w:val="single" w:color="auto" w:sz="4" w:space="0"/>
              <w:right w:val="single" w:color="auto" w:sz="4" w:space="0"/>
            </w:tcBorders>
            <w:vAlign w:val="center"/>
          </w:tcPr>
          <w:p w14:paraId="0BA9053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三类公共厕所不得多于3只</w:t>
            </w:r>
          </w:p>
        </w:tc>
      </w:tr>
      <w:tr w14:paraId="508F7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1550" w:type="dxa"/>
            <w:tcBorders>
              <w:top w:val="single" w:color="auto" w:sz="4" w:space="0"/>
              <w:left w:val="single" w:color="auto" w:sz="4" w:space="0"/>
              <w:bottom w:val="single" w:color="auto" w:sz="4" w:space="0"/>
              <w:right w:val="single" w:color="auto" w:sz="4" w:space="0"/>
            </w:tcBorders>
            <w:vAlign w:val="center"/>
          </w:tcPr>
          <w:p w14:paraId="2D5A166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8</w:t>
            </w:r>
          </w:p>
        </w:tc>
        <w:tc>
          <w:tcPr>
            <w:tcW w:w="1668" w:type="dxa"/>
            <w:tcBorders>
              <w:top w:val="single" w:color="auto" w:sz="4" w:space="0"/>
              <w:left w:val="nil"/>
              <w:bottom w:val="single" w:color="auto" w:sz="4" w:space="0"/>
              <w:right w:val="single" w:color="auto" w:sz="4" w:space="0"/>
            </w:tcBorders>
            <w:vAlign w:val="center"/>
          </w:tcPr>
          <w:p w14:paraId="6441032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蝇蛆(尾)</w:t>
            </w:r>
          </w:p>
        </w:tc>
        <w:tc>
          <w:tcPr>
            <w:tcW w:w="5329" w:type="dxa"/>
            <w:tcBorders>
              <w:top w:val="single" w:color="auto" w:sz="4" w:space="0"/>
              <w:left w:val="nil"/>
              <w:bottom w:val="single" w:color="auto" w:sz="4" w:space="0"/>
              <w:right w:val="single" w:color="auto" w:sz="4" w:space="0"/>
            </w:tcBorders>
            <w:vAlign w:val="center"/>
          </w:tcPr>
          <w:p w14:paraId="72F9E28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在厕室内的大小便器内外、地面和化(贮)</w:t>
            </w:r>
          </w:p>
          <w:p w14:paraId="3B0EE04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粪池周围30-50厘米以内肉眼观察不到蝇蛆</w:t>
            </w:r>
          </w:p>
        </w:tc>
      </w:tr>
      <w:tr w14:paraId="48554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50" w:type="dxa"/>
            <w:vMerge w:val="restart"/>
            <w:tcBorders>
              <w:top w:val="nil"/>
              <w:left w:val="single" w:color="auto" w:sz="4" w:space="0"/>
              <w:bottom w:val="single" w:color="auto" w:sz="4" w:space="0"/>
              <w:right w:val="single" w:color="auto" w:sz="4" w:space="0"/>
            </w:tcBorders>
            <w:vAlign w:val="center"/>
          </w:tcPr>
          <w:p w14:paraId="7178F40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9</w:t>
            </w:r>
          </w:p>
        </w:tc>
        <w:tc>
          <w:tcPr>
            <w:tcW w:w="1668" w:type="dxa"/>
            <w:vMerge w:val="restart"/>
            <w:tcBorders>
              <w:top w:val="nil"/>
              <w:left w:val="nil"/>
              <w:bottom w:val="single" w:color="auto" w:sz="4" w:space="0"/>
              <w:right w:val="single" w:color="auto" w:sz="4" w:space="0"/>
            </w:tcBorders>
            <w:vAlign w:val="center"/>
          </w:tcPr>
          <w:p w14:paraId="526F864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臭味强度</w:t>
            </w:r>
          </w:p>
        </w:tc>
        <w:tc>
          <w:tcPr>
            <w:tcW w:w="5329" w:type="dxa"/>
            <w:tcBorders>
              <w:top w:val="single" w:color="auto" w:sz="4" w:space="0"/>
              <w:left w:val="nil"/>
              <w:bottom w:val="single" w:color="auto" w:sz="4" w:space="0"/>
              <w:right w:val="single" w:color="auto" w:sz="4" w:space="0"/>
            </w:tcBorders>
            <w:vAlign w:val="center"/>
          </w:tcPr>
          <w:p w14:paraId="57A1F75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二类(含)以上公共厕所臭味强度为0</w:t>
            </w:r>
          </w:p>
        </w:tc>
      </w:tr>
      <w:tr w14:paraId="365DC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550" w:type="dxa"/>
            <w:vMerge w:val="continue"/>
            <w:tcBorders>
              <w:top w:val="nil"/>
              <w:left w:val="single" w:color="auto" w:sz="4" w:space="0"/>
              <w:bottom w:val="single" w:color="auto" w:sz="4" w:space="0"/>
              <w:right w:val="single" w:color="auto" w:sz="4" w:space="0"/>
            </w:tcBorders>
            <w:vAlign w:val="center"/>
          </w:tcPr>
          <w:p w14:paraId="6056EAA7">
            <w:pPr>
              <w:rPr>
                <w:rFonts w:hint="eastAsia" w:asciiTheme="majorEastAsia" w:hAnsiTheme="majorEastAsia" w:eastAsiaTheme="majorEastAsia" w:cstheme="majorEastAsia"/>
                <w:sz w:val="24"/>
                <w:szCs w:val="24"/>
              </w:rPr>
            </w:pPr>
          </w:p>
        </w:tc>
        <w:tc>
          <w:tcPr>
            <w:tcW w:w="1668" w:type="dxa"/>
            <w:vMerge w:val="continue"/>
            <w:tcBorders>
              <w:top w:val="nil"/>
              <w:left w:val="nil"/>
              <w:bottom w:val="single" w:color="auto" w:sz="4" w:space="0"/>
              <w:right w:val="single" w:color="auto" w:sz="4" w:space="0"/>
            </w:tcBorders>
            <w:vAlign w:val="center"/>
          </w:tcPr>
          <w:p w14:paraId="14604BA7">
            <w:pPr>
              <w:rPr>
                <w:rFonts w:hint="eastAsia" w:asciiTheme="majorEastAsia" w:hAnsiTheme="majorEastAsia" w:eastAsiaTheme="majorEastAsia" w:cstheme="majorEastAsia"/>
                <w:sz w:val="24"/>
                <w:szCs w:val="24"/>
              </w:rPr>
            </w:pPr>
          </w:p>
        </w:tc>
        <w:tc>
          <w:tcPr>
            <w:tcW w:w="5329" w:type="dxa"/>
            <w:tcBorders>
              <w:top w:val="single" w:color="auto" w:sz="4" w:space="0"/>
              <w:left w:val="nil"/>
              <w:bottom w:val="single" w:color="auto" w:sz="4" w:space="0"/>
              <w:right w:val="single" w:color="auto" w:sz="4" w:space="0"/>
            </w:tcBorders>
            <w:vAlign w:val="center"/>
          </w:tcPr>
          <w:p w14:paraId="07C80DD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三类公共厕所臭味强度≤1</w:t>
            </w:r>
          </w:p>
        </w:tc>
      </w:tr>
      <w:tr w14:paraId="28863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8547" w:type="dxa"/>
            <w:gridSpan w:val="3"/>
            <w:tcBorders>
              <w:top w:val="single" w:color="auto" w:sz="4" w:space="0"/>
              <w:left w:val="single" w:color="auto" w:sz="4" w:space="0"/>
              <w:bottom w:val="single" w:color="auto" w:sz="4" w:space="0"/>
              <w:right w:val="single" w:color="auto" w:sz="4" w:space="0"/>
            </w:tcBorders>
            <w:vAlign w:val="center"/>
          </w:tcPr>
          <w:p w14:paraId="7A34CC49">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备注: 臭味强度指人们通过嗅觉感觉到的气味强弱程度。0级为无臭味;1级为勉强感觉臭味存在;2级为稍可感觉出的臭味;3级为极易感觉臭味存在;4级为强烈的气味;5级为无法忍受的极强气味。</w:t>
            </w:r>
          </w:p>
        </w:tc>
      </w:tr>
    </w:tbl>
    <w:p w14:paraId="018EA3FA">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第十条 公共厕所管理人员应遵守下列规定：</w:t>
      </w:r>
    </w:p>
    <w:p w14:paraId="7CAC161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（一）提前10分钟上岗,保持衣着整洁;</w:t>
      </w:r>
    </w:p>
    <w:p w14:paraId="05C3906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（二）正点接班进行移交,查验设施、设备是否正常;</w:t>
      </w:r>
    </w:p>
    <w:p w14:paraId="189AE6A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（三）每天对设施、设备全面清洗一次,做到人离即保洁,并每天对公共厕所进行一次消毒除臭处理。</w:t>
      </w:r>
    </w:p>
    <w:p w14:paraId="52F577C9">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第十一条 公共厕所管理人员不得从事与管理无关的经营活动;禁止在公共厕所内接水、接电、淘菜、洗衣等。</w:t>
      </w:r>
    </w:p>
    <w:p w14:paraId="2745A173">
      <w:pPr>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第十二条 加强产权管理,确保城镇公共厕所数量不减少。任何单位和个人都不得侵占、损坏、拆除、迁移、封闭厕所。确因城市建设需要拆除的,建设单位必须事先提出拆迁方案,依照法规按“先建后拆”的原则负责重建,确有困难不能先建的,按市场价格交纳抵押金后并采取临时的过渡措施。拆除公共厕所必须向行业主管部门备案。</w:t>
      </w:r>
    </w:p>
    <w:p w14:paraId="123F5BF1">
      <w:pP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p>
    <w:p w14:paraId="726B33E9">
      <w:pPr>
        <w:rPr>
          <w:rFonts w:hint="eastAsia" w:asciiTheme="majorEastAsia" w:hAnsiTheme="majorEastAsia" w:eastAsiaTheme="majorEastAsia" w:cstheme="majorEastAsia"/>
          <w:sz w:val="28"/>
          <w:szCs w:val="28"/>
        </w:rPr>
      </w:pPr>
    </w:p>
    <w:p w14:paraId="4CB8B065">
      <w:pPr>
        <w:rPr>
          <w:rFonts w:hint="eastAsia" w:asciiTheme="majorEastAsia" w:hAnsiTheme="majorEastAsia" w:eastAsiaTheme="majorEastAsia" w:cstheme="majorEastAsia"/>
          <w:sz w:val="28"/>
          <w:szCs w:val="28"/>
        </w:rPr>
      </w:pPr>
    </w:p>
    <w:p w14:paraId="6CC7434A">
      <w:pPr>
        <w:rPr>
          <w:rFonts w:hint="eastAsia" w:asciiTheme="majorEastAsia" w:hAnsiTheme="majorEastAsia" w:eastAsiaTheme="majorEastAsia" w:cstheme="majorEastAsia"/>
          <w:sz w:val="28"/>
          <w:szCs w:val="28"/>
        </w:rPr>
      </w:pPr>
    </w:p>
    <w:p w14:paraId="5D7019DA">
      <w:pPr>
        <w:rPr>
          <w:rFonts w:hint="eastAsia" w:asciiTheme="majorEastAsia" w:hAnsiTheme="majorEastAsia" w:eastAsiaTheme="majorEastAsia" w:cstheme="majorEastAsia"/>
          <w:sz w:val="28"/>
          <w:szCs w:val="28"/>
        </w:rPr>
      </w:pPr>
    </w:p>
    <w:p w14:paraId="30E0FFCA">
      <w:pPr>
        <w:rPr>
          <w:rFonts w:hint="eastAsia" w:asciiTheme="majorEastAsia" w:hAnsiTheme="majorEastAsia" w:eastAsiaTheme="majorEastAsia" w:cstheme="majorEastAsia"/>
          <w:sz w:val="28"/>
          <w:szCs w:val="28"/>
        </w:rPr>
      </w:pPr>
    </w:p>
    <w:p w14:paraId="2CE30A13">
      <w:pPr>
        <w:pStyle w:val="2"/>
        <w:rPr>
          <w:rFonts w:hint="eastAsia" w:asciiTheme="majorEastAsia" w:hAnsiTheme="majorEastAsia" w:eastAsiaTheme="majorEastAsia" w:cstheme="majorEastAsia"/>
          <w:sz w:val="28"/>
          <w:szCs w:val="28"/>
        </w:rPr>
      </w:pPr>
    </w:p>
    <w:p w14:paraId="6F512719">
      <w:pPr>
        <w:pStyle w:val="2"/>
        <w:rPr>
          <w:rFonts w:hint="eastAsia" w:asciiTheme="majorEastAsia" w:hAnsiTheme="majorEastAsia" w:eastAsiaTheme="majorEastAsia" w:cstheme="majorEastAsia"/>
          <w:sz w:val="28"/>
          <w:szCs w:val="28"/>
        </w:rPr>
      </w:pPr>
    </w:p>
    <w:p w14:paraId="46B8DF35">
      <w:pPr>
        <w:pStyle w:val="2"/>
        <w:rPr>
          <w:rFonts w:hint="eastAsia" w:asciiTheme="majorEastAsia" w:hAnsiTheme="majorEastAsia" w:eastAsiaTheme="majorEastAsia" w:cstheme="majorEastAsia"/>
          <w:sz w:val="28"/>
          <w:szCs w:val="28"/>
        </w:rPr>
      </w:pPr>
    </w:p>
    <w:p w14:paraId="79E5D923">
      <w:pPr>
        <w:rPr>
          <w:rFonts w:hint="eastAsia" w:asciiTheme="majorEastAsia" w:hAnsiTheme="majorEastAsia" w:eastAsiaTheme="majorEastAsia" w:cstheme="majorEastAsia"/>
          <w:sz w:val="28"/>
          <w:szCs w:val="28"/>
        </w:rPr>
      </w:pPr>
    </w:p>
    <w:p w14:paraId="0A614C7E">
      <w:pPr>
        <w:rPr>
          <w:rFonts w:hint="eastAsia" w:asciiTheme="majorEastAsia" w:hAnsiTheme="majorEastAsia" w:eastAsiaTheme="majorEastAsia" w:cstheme="majorEastAsia"/>
          <w:sz w:val="28"/>
          <w:szCs w:val="28"/>
        </w:rPr>
      </w:pPr>
    </w:p>
    <w:p w14:paraId="0C8F3F71">
      <w:pPr>
        <w:rPr>
          <w:rFonts w:hint="eastAsia" w:asciiTheme="majorEastAsia" w:hAnsiTheme="majorEastAsia" w:eastAsiaTheme="majorEastAsia" w:cstheme="majorEastAsia"/>
          <w:sz w:val="28"/>
          <w:szCs w:val="28"/>
        </w:rPr>
      </w:pPr>
    </w:p>
    <w:p w14:paraId="55C908A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附件6</w:t>
      </w:r>
    </w:p>
    <w:p w14:paraId="088EE8F3">
      <w:pPr>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周至县公共厕所管理考核评分标准</w:t>
      </w:r>
    </w:p>
    <w:tbl>
      <w:tblPr>
        <w:tblStyle w:val="10"/>
        <w:tblW w:w="0" w:type="auto"/>
        <w:jc w:val="center"/>
        <w:tblCellSpacing w:w="0" w:type="dxa"/>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0" w:type="dxa"/>
          <w:left w:w="0" w:type="dxa"/>
          <w:bottom w:w="0" w:type="dxa"/>
          <w:right w:w="0" w:type="dxa"/>
        </w:tblCellMar>
      </w:tblPr>
      <w:tblGrid>
        <w:gridCol w:w="589"/>
        <w:gridCol w:w="599"/>
        <w:gridCol w:w="6479"/>
        <w:gridCol w:w="524"/>
        <w:gridCol w:w="554"/>
      </w:tblGrid>
      <w:tr w14:paraId="5A4EE79C">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rHeight w:val="367" w:hRule="atLeast"/>
          <w:tblCellSpacing w:w="0" w:type="dxa"/>
          <w:jc w:val="center"/>
        </w:trPr>
        <w:tc>
          <w:tcPr>
            <w:tcW w:w="58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3A3DCC9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序号</w:t>
            </w:r>
          </w:p>
        </w:tc>
        <w:tc>
          <w:tcPr>
            <w:tcW w:w="59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58A2B9A8">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内容</w:t>
            </w: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36339B14">
            <w:pPr>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评分标准</w:t>
            </w:r>
          </w:p>
        </w:tc>
        <w:tc>
          <w:tcPr>
            <w:tcW w:w="52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12455DA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分值</w:t>
            </w:r>
          </w:p>
        </w:tc>
        <w:tc>
          <w:tcPr>
            <w:tcW w:w="55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34D7BF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打分</w:t>
            </w:r>
          </w:p>
        </w:tc>
      </w:tr>
      <w:tr w14:paraId="76C532C6">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blCellSpacing w:w="0" w:type="dxa"/>
          <w:jc w:val="center"/>
        </w:trPr>
        <w:tc>
          <w:tcPr>
            <w:tcW w:w="589"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7C6B88F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一 </w:t>
            </w:r>
          </w:p>
        </w:tc>
        <w:tc>
          <w:tcPr>
            <w:tcW w:w="599"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EDC3F5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规 </w:t>
            </w:r>
          </w:p>
          <w:p w14:paraId="25D9986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范 </w:t>
            </w:r>
          </w:p>
          <w:p w14:paraId="680A49D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管 </w:t>
            </w:r>
          </w:p>
          <w:p w14:paraId="53F17758">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理 </w:t>
            </w: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741F7E8">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1、公厕免费按时开放，每厕定员管理，交接流畅，得5分，未做到的，每次扣1分。 </w:t>
            </w:r>
          </w:p>
        </w:tc>
        <w:tc>
          <w:tcPr>
            <w:tcW w:w="524"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3F60A86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20分 </w:t>
            </w:r>
          </w:p>
        </w:tc>
        <w:tc>
          <w:tcPr>
            <w:tcW w:w="554"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7A9A9751">
            <w:pPr>
              <w:rPr>
                <w:rFonts w:hint="eastAsia" w:asciiTheme="majorEastAsia" w:hAnsiTheme="majorEastAsia" w:eastAsiaTheme="majorEastAsia" w:cstheme="majorEastAsia"/>
                <w:sz w:val="24"/>
                <w:szCs w:val="24"/>
              </w:rPr>
            </w:pPr>
          </w:p>
        </w:tc>
      </w:tr>
      <w:tr w14:paraId="5C17A550">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blCellSpacing w:w="0" w:type="dxa"/>
          <w:jc w:val="center"/>
        </w:trPr>
        <w:tc>
          <w:tcPr>
            <w:tcW w:w="58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6FF0C318">
            <w:pPr>
              <w:rPr>
                <w:rFonts w:hint="eastAsia" w:asciiTheme="majorEastAsia" w:hAnsiTheme="majorEastAsia" w:eastAsiaTheme="majorEastAsia" w:cstheme="majorEastAsia"/>
                <w:sz w:val="24"/>
                <w:szCs w:val="24"/>
              </w:rPr>
            </w:pPr>
          </w:p>
        </w:tc>
        <w:tc>
          <w:tcPr>
            <w:tcW w:w="59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11D7E210">
            <w:pPr>
              <w:rPr>
                <w:rFonts w:hint="eastAsia" w:asciiTheme="majorEastAsia" w:hAnsiTheme="majorEastAsia" w:eastAsiaTheme="majorEastAsia" w:cstheme="majorEastAsia"/>
                <w:sz w:val="24"/>
                <w:szCs w:val="24"/>
              </w:rPr>
            </w:pP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10790EA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2、公厕内设施、设备完好，无破损，得5分，未做到的每处扣1分。 </w:t>
            </w:r>
          </w:p>
        </w:tc>
        <w:tc>
          <w:tcPr>
            <w:tcW w:w="52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82EA6DB">
            <w:pPr>
              <w:rPr>
                <w:rFonts w:hint="eastAsia" w:asciiTheme="majorEastAsia" w:hAnsiTheme="majorEastAsia" w:eastAsiaTheme="majorEastAsia" w:cstheme="majorEastAsia"/>
                <w:sz w:val="24"/>
                <w:szCs w:val="24"/>
              </w:rPr>
            </w:pPr>
          </w:p>
        </w:tc>
        <w:tc>
          <w:tcPr>
            <w:tcW w:w="55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B75492D">
            <w:pPr>
              <w:rPr>
                <w:rFonts w:hint="eastAsia" w:asciiTheme="majorEastAsia" w:hAnsiTheme="majorEastAsia" w:eastAsiaTheme="majorEastAsia" w:cstheme="majorEastAsia"/>
                <w:sz w:val="24"/>
                <w:szCs w:val="24"/>
              </w:rPr>
            </w:pPr>
          </w:p>
        </w:tc>
      </w:tr>
      <w:tr w14:paraId="6A0EC366">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blCellSpacing w:w="0" w:type="dxa"/>
          <w:jc w:val="center"/>
        </w:trPr>
        <w:tc>
          <w:tcPr>
            <w:tcW w:w="58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3B6F3D8C">
            <w:pPr>
              <w:rPr>
                <w:rFonts w:hint="eastAsia" w:asciiTheme="majorEastAsia" w:hAnsiTheme="majorEastAsia" w:eastAsiaTheme="majorEastAsia" w:cstheme="majorEastAsia"/>
                <w:sz w:val="24"/>
                <w:szCs w:val="24"/>
              </w:rPr>
            </w:pPr>
          </w:p>
        </w:tc>
        <w:tc>
          <w:tcPr>
            <w:tcW w:w="59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0E18069">
            <w:pPr>
              <w:rPr>
                <w:rFonts w:hint="eastAsia" w:asciiTheme="majorEastAsia" w:hAnsiTheme="majorEastAsia" w:eastAsiaTheme="majorEastAsia" w:cstheme="majorEastAsia"/>
                <w:sz w:val="24"/>
                <w:szCs w:val="24"/>
              </w:rPr>
            </w:pP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85795C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3、公厕标识按标准设置，公厕内外制度牌、标示牌悬挂规范，得5分，标识设置不规范、悬挂不明显每项每处扣2分。 </w:t>
            </w:r>
          </w:p>
        </w:tc>
        <w:tc>
          <w:tcPr>
            <w:tcW w:w="52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77A08717">
            <w:pPr>
              <w:rPr>
                <w:rFonts w:hint="eastAsia" w:asciiTheme="majorEastAsia" w:hAnsiTheme="majorEastAsia" w:eastAsiaTheme="majorEastAsia" w:cstheme="majorEastAsia"/>
                <w:sz w:val="24"/>
                <w:szCs w:val="24"/>
              </w:rPr>
            </w:pPr>
          </w:p>
        </w:tc>
        <w:tc>
          <w:tcPr>
            <w:tcW w:w="55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6A299843">
            <w:pPr>
              <w:rPr>
                <w:rFonts w:hint="eastAsia" w:asciiTheme="majorEastAsia" w:hAnsiTheme="majorEastAsia" w:eastAsiaTheme="majorEastAsia" w:cstheme="majorEastAsia"/>
                <w:sz w:val="24"/>
                <w:szCs w:val="24"/>
              </w:rPr>
            </w:pPr>
          </w:p>
        </w:tc>
      </w:tr>
      <w:tr w14:paraId="4F627A01">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blCellSpacing w:w="0" w:type="dxa"/>
          <w:jc w:val="center"/>
        </w:trPr>
        <w:tc>
          <w:tcPr>
            <w:tcW w:w="58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6A98F53C">
            <w:pPr>
              <w:rPr>
                <w:rFonts w:hint="eastAsia" w:asciiTheme="majorEastAsia" w:hAnsiTheme="majorEastAsia" w:eastAsiaTheme="majorEastAsia" w:cstheme="majorEastAsia"/>
                <w:sz w:val="24"/>
                <w:szCs w:val="24"/>
              </w:rPr>
            </w:pPr>
          </w:p>
        </w:tc>
        <w:tc>
          <w:tcPr>
            <w:tcW w:w="59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6893D548">
            <w:pPr>
              <w:rPr>
                <w:rFonts w:hint="eastAsia" w:asciiTheme="majorEastAsia" w:hAnsiTheme="majorEastAsia" w:eastAsiaTheme="majorEastAsia" w:cstheme="majorEastAsia"/>
                <w:sz w:val="24"/>
                <w:szCs w:val="24"/>
              </w:rPr>
            </w:pP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1C4717E1">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4、管理职责明确、卫生制度健全有效的，得5分；职责不明、管理松懈的不得分。 </w:t>
            </w:r>
          </w:p>
        </w:tc>
        <w:tc>
          <w:tcPr>
            <w:tcW w:w="52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50B391F4">
            <w:pPr>
              <w:rPr>
                <w:rFonts w:hint="eastAsia" w:asciiTheme="majorEastAsia" w:hAnsiTheme="majorEastAsia" w:eastAsiaTheme="majorEastAsia" w:cstheme="majorEastAsia"/>
                <w:sz w:val="24"/>
                <w:szCs w:val="24"/>
              </w:rPr>
            </w:pPr>
          </w:p>
        </w:tc>
        <w:tc>
          <w:tcPr>
            <w:tcW w:w="55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9AA43F3">
            <w:pPr>
              <w:rPr>
                <w:rFonts w:hint="eastAsia" w:asciiTheme="majorEastAsia" w:hAnsiTheme="majorEastAsia" w:eastAsiaTheme="majorEastAsia" w:cstheme="majorEastAsia"/>
                <w:sz w:val="24"/>
                <w:szCs w:val="24"/>
              </w:rPr>
            </w:pPr>
          </w:p>
        </w:tc>
      </w:tr>
      <w:tr w14:paraId="177F3FB1">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blCellSpacing w:w="0" w:type="dxa"/>
          <w:jc w:val="center"/>
        </w:trPr>
        <w:tc>
          <w:tcPr>
            <w:tcW w:w="589"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3EADE64E">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二 </w:t>
            </w:r>
          </w:p>
        </w:tc>
        <w:tc>
          <w:tcPr>
            <w:tcW w:w="599"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5FEDCAC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优 </w:t>
            </w:r>
          </w:p>
          <w:p w14:paraId="4D6F962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质 </w:t>
            </w:r>
          </w:p>
          <w:p w14:paraId="54F41D7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服 </w:t>
            </w:r>
          </w:p>
          <w:p w14:paraId="63B5CE7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务 </w:t>
            </w: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C72C7CD">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1、公厕管理人员坚守岗位，统一着装、挂牌上岗，开展诚信优质服务的，得5分，未做到的，每项每次扣1分；擅自离岗、脱岗、顶岗、转包的不得分。 </w:t>
            </w:r>
          </w:p>
        </w:tc>
        <w:tc>
          <w:tcPr>
            <w:tcW w:w="524"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6E548D1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20分 </w:t>
            </w:r>
          </w:p>
        </w:tc>
        <w:tc>
          <w:tcPr>
            <w:tcW w:w="554"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14D8717">
            <w:pPr>
              <w:rPr>
                <w:rFonts w:hint="eastAsia" w:asciiTheme="majorEastAsia" w:hAnsiTheme="majorEastAsia" w:eastAsiaTheme="majorEastAsia" w:cstheme="majorEastAsia"/>
                <w:sz w:val="24"/>
                <w:szCs w:val="24"/>
              </w:rPr>
            </w:pPr>
          </w:p>
        </w:tc>
      </w:tr>
      <w:tr w14:paraId="4652FD65">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blCellSpacing w:w="0" w:type="dxa"/>
          <w:jc w:val="center"/>
        </w:trPr>
        <w:tc>
          <w:tcPr>
            <w:tcW w:w="58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673C0C6F">
            <w:pPr>
              <w:rPr>
                <w:rFonts w:hint="eastAsia" w:asciiTheme="majorEastAsia" w:hAnsiTheme="majorEastAsia" w:eastAsiaTheme="majorEastAsia" w:cstheme="majorEastAsia"/>
                <w:sz w:val="24"/>
                <w:szCs w:val="24"/>
              </w:rPr>
            </w:pPr>
          </w:p>
        </w:tc>
        <w:tc>
          <w:tcPr>
            <w:tcW w:w="59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55A5CC38">
            <w:pPr>
              <w:rPr>
                <w:rFonts w:hint="eastAsia" w:asciiTheme="majorEastAsia" w:hAnsiTheme="majorEastAsia" w:eastAsiaTheme="majorEastAsia" w:cstheme="majorEastAsia"/>
                <w:sz w:val="24"/>
                <w:szCs w:val="24"/>
              </w:rPr>
            </w:pP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A247A8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2、服务管理文明、规范，无投诉事件的，得10分，凡有投诉事件并查实有责的，扣5分；凡被新闻媒体批评或曝光的，情况属实的，扣5分。 </w:t>
            </w:r>
          </w:p>
        </w:tc>
        <w:tc>
          <w:tcPr>
            <w:tcW w:w="52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78F99367">
            <w:pPr>
              <w:rPr>
                <w:rFonts w:hint="eastAsia" w:asciiTheme="majorEastAsia" w:hAnsiTheme="majorEastAsia" w:eastAsiaTheme="majorEastAsia" w:cstheme="majorEastAsia"/>
                <w:sz w:val="24"/>
                <w:szCs w:val="24"/>
              </w:rPr>
            </w:pPr>
          </w:p>
        </w:tc>
        <w:tc>
          <w:tcPr>
            <w:tcW w:w="55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9B7DBE6">
            <w:pPr>
              <w:rPr>
                <w:rFonts w:hint="eastAsia" w:asciiTheme="majorEastAsia" w:hAnsiTheme="majorEastAsia" w:eastAsiaTheme="majorEastAsia" w:cstheme="majorEastAsia"/>
                <w:sz w:val="24"/>
                <w:szCs w:val="24"/>
              </w:rPr>
            </w:pPr>
          </w:p>
        </w:tc>
      </w:tr>
      <w:tr w14:paraId="1C13C3BB">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blCellSpacing w:w="0" w:type="dxa"/>
          <w:jc w:val="center"/>
        </w:trPr>
        <w:tc>
          <w:tcPr>
            <w:tcW w:w="58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561036E0">
            <w:pPr>
              <w:rPr>
                <w:rFonts w:hint="eastAsia" w:asciiTheme="majorEastAsia" w:hAnsiTheme="majorEastAsia" w:eastAsiaTheme="majorEastAsia" w:cstheme="majorEastAsia"/>
                <w:sz w:val="24"/>
                <w:szCs w:val="24"/>
              </w:rPr>
            </w:pPr>
          </w:p>
        </w:tc>
        <w:tc>
          <w:tcPr>
            <w:tcW w:w="59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10CB7DA8">
            <w:pPr>
              <w:rPr>
                <w:rFonts w:hint="eastAsia" w:asciiTheme="majorEastAsia" w:hAnsiTheme="majorEastAsia" w:eastAsiaTheme="majorEastAsia" w:cstheme="majorEastAsia"/>
                <w:sz w:val="24"/>
                <w:szCs w:val="24"/>
              </w:rPr>
            </w:pP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3E636B2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3、公厕保洁工具摆放整齐合理的，得5分，未做到的，每处扣0.5分。 </w:t>
            </w:r>
          </w:p>
        </w:tc>
        <w:tc>
          <w:tcPr>
            <w:tcW w:w="52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2F7162F">
            <w:pPr>
              <w:rPr>
                <w:rFonts w:hint="eastAsia" w:asciiTheme="majorEastAsia" w:hAnsiTheme="majorEastAsia" w:eastAsiaTheme="majorEastAsia" w:cstheme="majorEastAsia"/>
                <w:sz w:val="24"/>
                <w:szCs w:val="24"/>
              </w:rPr>
            </w:pPr>
          </w:p>
        </w:tc>
        <w:tc>
          <w:tcPr>
            <w:tcW w:w="55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4B2DF571">
            <w:pPr>
              <w:rPr>
                <w:rFonts w:hint="eastAsia" w:asciiTheme="majorEastAsia" w:hAnsiTheme="majorEastAsia" w:eastAsiaTheme="majorEastAsia" w:cstheme="majorEastAsia"/>
                <w:sz w:val="24"/>
                <w:szCs w:val="24"/>
              </w:rPr>
            </w:pPr>
          </w:p>
        </w:tc>
      </w:tr>
      <w:tr w14:paraId="77E0D91D">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blCellSpacing w:w="0" w:type="dxa"/>
          <w:jc w:val="center"/>
        </w:trPr>
        <w:tc>
          <w:tcPr>
            <w:tcW w:w="589"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2C6E22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三 </w:t>
            </w:r>
          </w:p>
        </w:tc>
        <w:tc>
          <w:tcPr>
            <w:tcW w:w="599"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64CBA68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卫 </w:t>
            </w:r>
          </w:p>
          <w:p w14:paraId="017D5F90">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生 </w:t>
            </w:r>
          </w:p>
          <w:p w14:paraId="7893882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质 </w:t>
            </w:r>
          </w:p>
          <w:p w14:paraId="07B82C45">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量 </w:t>
            </w: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FE02D67">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1、公厕内外环境、设施（备）经常性保持整洁卫生，无乱写乱画的，得10分，未做到的，每项每处扣1分。 </w:t>
            </w:r>
          </w:p>
        </w:tc>
        <w:tc>
          <w:tcPr>
            <w:tcW w:w="524"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7FC652D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30分 </w:t>
            </w:r>
          </w:p>
        </w:tc>
        <w:tc>
          <w:tcPr>
            <w:tcW w:w="554"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468C7BA">
            <w:pPr>
              <w:rPr>
                <w:rFonts w:hint="eastAsia" w:asciiTheme="majorEastAsia" w:hAnsiTheme="majorEastAsia" w:eastAsiaTheme="majorEastAsia" w:cstheme="majorEastAsia"/>
                <w:sz w:val="24"/>
                <w:szCs w:val="24"/>
              </w:rPr>
            </w:pPr>
          </w:p>
        </w:tc>
      </w:tr>
      <w:tr w14:paraId="3CCC954F">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blCellSpacing w:w="0" w:type="dxa"/>
          <w:jc w:val="center"/>
        </w:trPr>
        <w:tc>
          <w:tcPr>
            <w:tcW w:w="58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36DC8C8D">
            <w:pPr>
              <w:rPr>
                <w:rFonts w:hint="eastAsia" w:asciiTheme="majorEastAsia" w:hAnsiTheme="majorEastAsia" w:eastAsiaTheme="majorEastAsia" w:cstheme="majorEastAsia"/>
                <w:sz w:val="24"/>
                <w:szCs w:val="24"/>
              </w:rPr>
            </w:pPr>
          </w:p>
        </w:tc>
        <w:tc>
          <w:tcPr>
            <w:tcW w:w="59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8393D6E">
            <w:pPr>
              <w:rPr>
                <w:rFonts w:hint="eastAsia" w:asciiTheme="majorEastAsia" w:hAnsiTheme="majorEastAsia" w:eastAsiaTheme="majorEastAsia" w:cstheme="majorEastAsia"/>
                <w:sz w:val="24"/>
                <w:szCs w:val="24"/>
              </w:rPr>
            </w:pP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49ECEA9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2、大小便池无污物、无尿渍、无痰迹、无堵塞、无恶臭的，得10分，未做到的，每项每处扣1分。 </w:t>
            </w:r>
          </w:p>
        </w:tc>
        <w:tc>
          <w:tcPr>
            <w:tcW w:w="52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1240E0BC">
            <w:pPr>
              <w:rPr>
                <w:rFonts w:hint="eastAsia" w:asciiTheme="majorEastAsia" w:hAnsiTheme="majorEastAsia" w:eastAsiaTheme="majorEastAsia" w:cstheme="majorEastAsia"/>
                <w:sz w:val="24"/>
                <w:szCs w:val="24"/>
              </w:rPr>
            </w:pPr>
          </w:p>
        </w:tc>
        <w:tc>
          <w:tcPr>
            <w:tcW w:w="55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6BCCDC6">
            <w:pPr>
              <w:rPr>
                <w:rFonts w:hint="eastAsia" w:asciiTheme="majorEastAsia" w:hAnsiTheme="majorEastAsia" w:eastAsiaTheme="majorEastAsia" w:cstheme="majorEastAsia"/>
                <w:sz w:val="24"/>
                <w:szCs w:val="24"/>
              </w:rPr>
            </w:pPr>
          </w:p>
        </w:tc>
      </w:tr>
      <w:tr w14:paraId="441D487C">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blCellSpacing w:w="0" w:type="dxa"/>
          <w:jc w:val="center"/>
        </w:trPr>
        <w:tc>
          <w:tcPr>
            <w:tcW w:w="58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6CC1EB1B">
            <w:pPr>
              <w:rPr>
                <w:rFonts w:hint="eastAsia" w:asciiTheme="majorEastAsia" w:hAnsiTheme="majorEastAsia" w:eastAsiaTheme="majorEastAsia" w:cstheme="majorEastAsia"/>
                <w:sz w:val="24"/>
                <w:szCs w:val="24"/>
              </w:rPr>
            </w:pPr>
          </w:p>
        </w:tc>
        <w:tc>
          <w:tcPr>
            <w:tcW w:w="59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80F6562">
            <w:pPr>
              <w:rPr>
                <w:rFonts w:hint="eastAsia" w:asciiTheme="majorEastAsia" w:hAnsiTheme="majorEastAsia" w:eastAsiaTheme="majorEastAsia" w:cstheme="majorEastAsia"/>
                <w:sz w:val="24"/>
                <w:szCs w:val="24"/>
              </w:rPr>
            </w:pP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1EB6E7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3、做好厕所清洗保洁工作，厕内无积灰，见脏即扫，蹲位隔档无污迹（对出现的野广告按隔档本色覆盖）、无蛛网、无灰尘，地面无积水，镜面干净、洗手池干净整洁，得10分，未做到的，每项每处扣0.5分；蚊蝇孳生期要定时进行消杀，未做到的每次扣1分，蚊蝇超标的扣1分，有卫生死角的扣2分。 </w:t>
            </w:r>
          </w:p>
        </w:tc>
        <w:tc>
          <w:tcPr>
            <w:tcW w:w="52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B435E52">
            <w:pPr>
              <w:rPr>
                <w:rFonts w:hint="eastAsia" w:asciiTheme="majorEastAsia" w:hAnsiTheme="majorEastAsia" w:eastAsiaTheme="majorEastAsia" w:cstheme="majorEastAsia"/>
                <w:sz w:val="24"/>
                <w:szCs w:val="24"/>
              </w:rPr>
            </w:pPr>
          </w:p>
        </w:tc>
        <w:tc>
          <w:tcPr>
            <w:tcW w:w="55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16EAE81F">
            <w:pPr>
              <w:rPr>
                <w:rFonts w:hint="eastAsia" w:asciiTheme="majorEastAsia" w:hAnsiTheme="majorEastAsia" w:eastAsiaTheme="majorEastAsia" w:cstheme="majorEastAsia"/>
                <w:sz w:val="24"/>
                <w:szCs w:val="24"/>
              </w:rPr>
            </w:pPr>
          </w:p>
        </w:tc>
      </w:tr>
      <w:tr w14:paraId="576026F3">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rHeight w:val="781" w:hRule="atLeast"/>
          <w:tblCellSpacing w:w="0" w:type="dxa"/>
          <w:jc w:val="center"/>
        </w:trPr>
        <w:tc>
          <w:tcPr>
            <w:tcW w:w="589"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1179B73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四 </w:t>
            </w:r>
          </w:p>
        </w:tc>
        <w:tc>
          <w:tcPr>
            <w:tcW w:w="599"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1E5FE624">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设 </w:t>
            </w:r>
          </w:p>
          <w:p w14:paraId="3313A202">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施 </w:t>
            </w:r>
          </w:p>
          <w:p w14:paraId="65EB68D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管 </w:t>
            </w:r>
          </w:p>
          <w:p w14:paraId="34E31543">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理 </w:t>
            </w: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4DBFACC">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1、灯光照明、电器设备保持安全有效，得10分。出现损坏未及时维修更换的，每处扣2分。 </w:t>
            </w:r>
          </w:p>
        </w:tc>
        <w:tc>
          <w:tcPr>
            <w:tcW w:w="524"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72FA0B2B">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30分 </w:t>
            </w:r>
          </w:p>
        </w:tc>
        <w:tc>
          <w:tcPr>
            <w:tcW w:w="554"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CEBA673">
            <w:pPr>
              <w:rPr>
                <w:rFonts w:hint="eastAsia" w:asciiTheme="majorEastAsia" w:hAnsiTheme="majorEastAsia" w:eastAsiaTheme="majorEastAsia" w:cstheme="majorEastAsia"/>
                <w:sz w:val="24"/>
                <w:szCs w:val="24"/>
              </w:rPr>
            </w:pPr>
          </w:p>
        </w:tc>
      </w:tr>
      <w:tr w14:paraId="2FC1EFCC">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blCellSpacing w:w="0" w:type="dxa"/>
          <w:jc w:val="center"/>
        </w:trPr>
        <w:tc>
          <w:tcPr>
            <w:tcW w:w="58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310EE6FE">
            <w:pPr>
              <w:rPr>
                <w:rFonts w:hint="eastAsia" w:asciiTheme="majorEastAsia" w:hAnsiTheme="majorEastAsia" w:eastAsiaTheme="majorEastAsia" w:cstheme="majorEastAsia"/>
                <w:sz w:val="24"/>
                <w:szCs w:val="24"/>
              </w:rPr>
            </w:pPr>
          </w:p>
        </w:tc>
        <w:tc>
          <w:tcPr>
            <w:tcW w:w="59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752D7745">
            <w:pPr>
              <w:rPr>
                <w:rFonts w:hint="eastAsia" w:asciiTheme="majorEastAsia" w:hAnsiTheme="majorEastAsia" w:eastAsiaTheme="majorEastAsia" w:cstheme="majorEastAsia"/>
                <w:sz w:val="24"/>
                <w:szCs w:val="24"/>
              </w:rPr>
            </w:pP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68A5B56">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2、洁具、门窗、隔档无损的，得5分。出现损坏未及时更换的，每处扣1分。 </w:t>
            </w:r>
          </w:p>
        </w:tc>
        <w:tc>
          <w:tcPr>
            <w:tcW w:w="52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604903E">
            <w:pPr>
              <w:rPr>
                <w:rFonts w:hint="eastAsia" w:asciiTheme="majorEastAsia" w:hAnsiTheme="majorEastAsia" w:eastAsiaTheme="majorEastAsia" w:cstheme="majorEastAsia"/>
                <w:sz w:val="24"/>
                <w:szCs w:val="24"/>
              </w:rPr>
            </w:pPr>
          </w:p>
        </w:tc>
        <w:tc>
          <w:tcPr>
            <w:tcW w:w="55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427EB88D">
            <w:pPr>
              <w:rPr>
                <w:rFonts w:hint="eastAsia" w:asciiTheme="majorEastAsia" w:hAnsiTheme="majorEastAsia" w:eastAsiaTheme="majorEastAsia" w:cstheme="majorEastAsia"/>
                <w:sz w:val="24"/>
                <w:szCs w:val="24"/>
              </w:rPr>
            </w:pPr>
          </w:p>
        </w:tc>
      </w:tr>
      <w:tr w14:paraId="5AD03A70">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blCellSpacing w:w="0" w:type="dxa"/>
          <w:jc w:val="center"/>
        </w:trPr>
        <w:tc>
          <w:tcPr>
            <w:tcW w:w="58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9968953">
            <w:pPr>
              <w:rPr>
                <w:rFonts w:hint="eastAsia" w:asciiTheme="majorEastAsia" w:hAnsiTheme="majorEastAsia" w:eastAsiaTheme="majorEastAsia" w:cstheme="majorEastAsia"/>
                <w:sz w:val="24"/>
                <w:szCs w:val="24"/>
              </w:rPr>
            </w:pPr>
          </w:p>
        </w:tc>
        <w:tc>
          <w:tcPr>
            <w:tcW w:w="59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6CF2F311">
            <w:pPr>
              <w:rPr>
                <w:rFonts w:hint="eastAsia" w:asciiTheme="majorEastAsia" w:hAnsiTheme="majorEastAsia" w:eastAsiaTheme="majorEastAsia" w:cstheme="majorEastAsia"/>
                <w:sz w:val="24"/>
                <w:szCs w:val="24"/>
              </w:rPr>
            </w:pP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5807D04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3、消毒设施、防蝇帘、纱窗齐全的，得5分。出现损坏未及时更换的，每处扣1分。 </w:t>
            </w:r>
          </w:p>
        </w:tc>
        <w:tc>
          <w:tcPr>
            <w:tcW w:w="52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54155142">
            <w:pPr>
              <w:rPr>
                <w:rFonts w:hint="eastAsia" w:asciiTheme="majorEastAsia" w:hAnsiTheme="majorEastAsia" w:eastAsiaTheme="majorEastAsia" w:cstheme="majorEastAsia"/>
                <w:sz w:val="24"/>
                <w:szCs w:val="24"/>
              </w:rPr>
            </w:pPr>
          </w:p>
        </w:tc>
        <w:tc>
          <w:tcPr>
            <w:tcW w:w="55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4E4A1F63">
            <w:pPr>
              <w:rPr>
                <w:rFonts w:hint="eastAsia" w:asciiTheme="majorEastAsia" w:hAnsiTheme="majorEastAsia" w:eastAsiaTheme="majorEastAsia" w:cstheme="majorEastAsia"/>
                <w:sz w:val="24"/>
                <w:szCs w:val="24"/>
              </w:rPr>
            </w:pPr>
          </w:p>
        </w:tc>
      </w:tr>
      <w:tr w14:paraId="3B4C487A">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rHeight w:val="331" w:hRule="atLeast"/>
          <w:tblCellSpacing w:w="0" w:type="dxa"/>
          <w:jc w:val="center"/>
        </w:trPr>
        <w:tc>
          <w:tcPr>
            <w:tcW w:w="58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EF2F017">
            <w:pPr>
              <w:rPr>
                <w:rFonts w:hint="eastAsia" w:asciiTheme="majorEastAsia" w:hAnsiTheme="majorEastAsia" w:eastAsiaTheme="majorEastAsia" w:cstheme="majorEastAsia"/>
                <w:sz w:val="24"/>
                <w:szCs w:val="24"/>
              </w:rPr>
            </w:pPr>
          </w:p>
        </w:tc>
        <w:tc>
          <w:tcPr>
            <w:tcW w:w="59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28D05ACB">
            <w:pPr>
              <w:rPr>
                <w:rFonts w:hint="eastAsia" w:asciiTheme="majorEastAsia" w:hAnsiTheme="majorEastAsia" w:eastAsiaTheme="majorEastAsia" w:cstheme="majorEastAsia"/>
                <w:sz w:val="24"/>
                <w:szCs w:val="24"/>
              </w:rPr>
            </w:pP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34E768F8">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4、地面、墙壁完好的，得5分。出现损坏未及时维修的，每处扣1分。 </w:t>
            </w:r>
          </w:p>
        </w:tc>
        <w:tc>
          <w:tcPr>
            <w:tcW w:w="52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6D626243">
            <w:pPr>
              <w:rPr>
                <w:rFonts w:hint="eastAsia" w:asciiTheme="majorEastAsia" w:hAnsiTheme="majorEastAsia" w:eastAsiaTheme="majorEastAsia" w:cstheme="majorEastAsia"/>
                <w:sz w:val="24"/>
                <w:szCs w:val="24"/>
              </w:rPr>
            </w:pPr>
          </w:p>
        </w:tc>
        <w:tc>
          <w:tcPr>
            <w:tcW w:w="55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615E1C7D">
            <w:pPr>
              <w:rPr>
                <w:rFonts w:hint="eastAsia" w:asciiTheme="majorEastAsia" w:hAnsiTheme="majorEastAsia" w:eastAsiaTheme="majorEastAsia" w:cstheme="majorEastAsia"/>
                <w:sz w:val="24"/>
                <w:szCs w:val="24"/>
              </w:rPr>
            </w:pPr>
          </w:p>
        </w:tc>
      </w:tr>
      <w:tr w14:paraId="13E848F3">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CellMar>
            <w:top w:w="0" w:type="dxa"/>
            <w:left w:w="0" w:type="dxa"/>
            <w:bottom w:w="0" w:type="dxa"/>
            <w:right w:w="0" w:type="dxa"/>
          </w:tblCellMar>
        </w:tblPrEx>
        <w:trPr>
          <w:trHeight w:val="325" w:hRule="atLeast"/>
          <w:tblCellSpacing w:w="0" w:type="dxa"/>
          <w:jc w:val="center"/>
        </w:trPr>
        <w:tc>
          <w:tcPr>
            <w:tcW w:w="58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1ADFACEC">
            <w:pPr>
              <w:rPr>
                <w:rFonts w:hint="eastAsia" w:asciiTheme="majorEastAsia" w:hAnsiTheme="majorEastAsia" w:eastAsiaTheme="majorEastAsia" w:cstheme="majorEastAsia"/>
                <w:sz w:val="24"/>
                <w:szCs w:val="24"/>
              </w:rPr>
            </w:pPr>
          </w:p>
        </w:tc>
        <w:tc>
          <w:tcPr>
            <w:tcW w:w="599"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74F81BFB">
            <w:pPr>
              <w:rPr>
                <w:rFonts w:hint="eastAsia" w:asciiTheme="majorEastAsia" w:hAnsiTheme="majorEastAsia" w:eastAsiaTheme="majorEastAsia" w:cstheme="majorEastAsia"/>
                <w:sz w:val="24"/>
                <w:szCs w:val="24"/>
              </w:rPr>
            </w:pPr>
          </w:p>
        </w:tc>
        <w:tc>
          <w:tcPr>
            <w:tcW w:w="64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76583FA">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rPr>
              <w:t xml:space="preserve">5、上下水、冲水设施完整有效的，得5分。出现损坏未及时维修的，每处扣1分。 </w:t>
            </w:r>
          </w:p>
        </w:tc>
        <w:tc>
          <w:tcPr>
            <w:tcW w:w="52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06504C3B">
            <w:pPr>
              <w:rPr>
                <w:rFonts w:hint="eastAsia" w:asciiTheme="majorEastAsia" w:hAnsiTheme="majorEastAsia" w:eastAsiaTheme="majorEastAsia" w:cstheme="majorEastAsia"/>
                <w:sz w:val="24"/>
                <w:szCs w:val="24"/>
              </w:rPr>
            </w:pPr>
          </w:p>
        </w:tc>
        <w:tc>
          <w:tcPr>
            <w:tcW w:w="554"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14:paraId="1F2A7836">
            <w:pPr>
              <w:rPr>
                <w:rFonts w:hint="eastAsia" w:asciiTheme="majorEastAsia" w:hAnsiTheme="majorEastAsia" w:eastAsiaTheme="majorEastAsia" w:cstheme="majorEastAsia"/>
                <w:sz w:val="24"/>
                <w:szCs w:val="24"/>
              </w:rPr>
            </w:pPr>
          </w:p>
        </w:tc>
      </w:tr>
    </w:tbl>
    <w:p w14:paraId="67E2995C">
      <w:pPr>
        <w:rPr>
          <w:rFonts w:hint="eastAsia" w:asciiTheme="majorEastAsia" w:hAnsiTheme="majorEastAsia" w:eastAsiaTheme="majorEastAsia" w:cstheme="majorEastAsia"/>
          <w:sz w:val="24"/>
          <w:szCs w:val="24"/>
        </w:rPr>
      </w:pPr>
    </w:p>
    <w:p w14:paraId="011A8F0F">
      <w:pPr>
        <w:rPr>
          <w:rFonts w:hint="eastAsia" w:asciiTheme="majorEastAsia" w:hAnsiTheme="majorEastAsia" w:eastAsiaTheme="majorEastAsia" w:cstheme="majorEastAsia"/>
          <w:sz w:val="24"/>
          <w:szCs w:val="24"/>
        </w:rPr>
      </w:pPr>
    </w:p>
    <w:p w14:paraId="6A150EF6">
      <w:pPr>
        <w:rPr>
          <w:rFonts w:hint="eastAsia" w:asciiTheme="majorEastAsia" w:hAnsiTheme="majorEastAsia" w:eastAsiaTheme="majorEastAsia" w:cstheme="majorEastAsia"/>
          <w:sz w:val="24"/>
          <w:szCs w:val="24"/>
        </w:rPr>
      </w:pPr>
    </w:p>
    <w:p w14:paraId="0E1717DF">
      <w:pPr>
        <w:pStyle w:val="2"/>
        <w:rPr>
          <w:rFonts w:hint="eastAsia" w:asciiTheme="majorEastAsia" w:hAnsiTheme="majorEastAsia" w:eastAsiaTheme="majorEastAsia" w:cstheme="majorEastAsia"/>
          <w:sz w:val="24"/>
          <w:szCs w:val="24"/>
        </w:rPr>
      </w:pPr>
    </w:p>
    <w:p w14:paraId="5A94AA84">
      <w:pPr>
        <w:pStyle w:val="2"/>
        <w:rPr>
          <w:rFonts w:hint="eastAsia" w:asciiTheme="majorEastAsia" w:hAnsiTheme="majorEastAsia" w:eastAsiaTheme="majorEastAsia" w:cstheme="majorEastAsia"/>
          <w:sz w:val="24"/>
          <w:szCs w:val="24"/>
        </w:rPr>
      </w:pPr>
    </w:p>
    <w:p w14:paraId="6FFC0298">
      <w:pPr>
        <w:pStyle w:val="2"/>
        <w:rPr>
          <w:rFonts w:hint="eastAsia" w:asciiTheme="majorEastAsia" w:hAnsiTheme="majorEastAsia" w:eastAsiaTheme="majorEastAsia" w:cstheme="majorEastAsia"/>
          <w:sz w:val="24"/>
          <w:szCs w:val="24"/>
        </w:rPr>
      </w:pPr>
    </w:p>
    <w:p w14:paraId="05F930AC">
      <w:pPr>
        <w:rPr>
          <w:rFonts w:hint="eastAsia" w:asciiTheme="minorEastAsia" w:hAnsiTheme="minorEastAsia" w:eastAsiaTheme="minorEastAsia" w:cstheme="minorEastAsia"/>
          <w:b/>
          <w:bCs/>
          <w:sz w:val="44"/>
          <w:szCs w:val="44"/>
        </w:rPr>
      </w:pPr>
    </w:p>
    <w:p w14:paraId="58865305">
      <w:pPr>
        <w:pStyle w:val="8"/>
        <w:widowControl/>
        <w:spacing w:before="0" w:beforeAutospacing="0" w:after="0" w:afterAutospacing="0"/>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2026年周至县道路清扫保洁、垃圾清运、绿化养护、公厕管护市场化运作项目</w:t>
      </w:r>
    </w:p>
    <w:p w14:paraId="59DC617B">
      <w:pPr>
        <w:jc w:val="center"/>
        <w:rPr>
          <w:rFonts w:hint="eastAsia" w:asciiTheme="minorEastAsia" w:hAnsiTheme="minorEastAsia" w:eastAsiaTheme="minorEastAsia" w:cstheme="minorEastAsia"/>
          <w:sz w:val="32"/>
          <w:szCs w:val="32"/>
          <w:lang w:eastAsia="zh-CN"/>
        </w:rPr>
      </w:pPr>
    </w:p>
    <w:p w14:paraId="1C02EA73">
      <w:pPr>
        <w:jc w:val="center"/>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合同模版，具体以甲方签订为准</w:t>
      </w:r>
      <w:r>
        <w:rPr>
          <w:rFonts w:hint="eastAsia" w:asciiTheme="minorEastAsia" w:hAnsiTheme="minorEastAsia" w:eastAsiaTheme="minorEastAsia" w:cstheme="minorEastAsia"/>
          <w:sz w:val="32"/>
          <w:szCs w:val="32"/>
          <w:lang w:eastAsia="zh-CN"/>
        </w:rPr>
        <w:t>）</w:t>
      </w:r>
    </w:p>
    <w:p w14:paraId="32AB0291">
      <w:pPr>
        <w:pStyle w:val="8"/>
        <w:widowControl/>
        <w:spacing w:before="0" w:beforeAutospacing="0" w:after="0" w:afterAutospacing="0"/>
        <w:jc w:val="center"/>
        <w:rPr>
          <w:rFonts w:hint="eastAsia" w:asciiTheme="minorEastAsia" w:hAnsiTheme="minorEastAsia" w:eastAsiaTheme="minorEastAsia" w:cstheme="minorEastAsia"/>
          <w:b/>
          <w:bCs/>
          <w:sz w:val="44"/>
          <w:szCs w:val="44"/>
        </w:rPr>
      </w:pPr>
    </w:p>
    <w:p w14:paraId="5FFF6021">
      <w:pPr>
        <w:pStyle w:val="8"/>
        <w:widowControl/>
        <w:spacing w:before="0" w:beforeAutospacing="0" w:after="0" w:afterAutospacing="0"/>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（合同包</w:t>
      </w:r>
      <w:r>
        <w:rPr>
          <w:rFonts w:hint="eastAsia" w:asciiTheme="minorEastAsia" w:hAnsiTheme="minorEastAsia" w:eastAsiaTheme="minorEastAsia" w:cstheme="minorEastAsia"/>
          <w:b/>
          <w:bCs/>
          <w:sz w:val="44"/>
          <w:szCs w:val="44"/>
          <w:lang w:val="en-US" w:eastAsia="zh-CN"/>
        </w:rPr>
        <w:t>四</w:t>
      </w:r>
      <w:r>
        <w:rPr>
          <w:rFonts w:hint="eastAsia" w:asciiTheme="minorEastAsia" w:hAnsiTheme="minorEastAsia" w:eastAsiaTheme="minorEastAsia" w:cstheme="minorEastAsia"/>
          <w:b/>
          <w:bCs/>
          <w:sz w:val="44"/>
          <w:szCs w:val="44"/>
        </w:rPr>
        <w:t>）</w:t>
      </w:r>
    </w:p>
    <w:p w14:paraId="55CB00FA">
      <w:pPr>
        <w:adjustRightInd w:val="0"/>
        <w:snapToGrid w:val="0"/>
        <w:spacing w:line="1200" w:lineRule="exact"/>
        <w:jc w:val="center"/>
        <w:rPr>
          <w:rFonts w:hint="eastAsia" w:asciiTheme="minorEastAsia" w:hAnsiTheme="minorEastAsia" w:eastAsiaTheme="minorEastAsia" w:cstheme="minorEastAsia"/>
          <w:b/>
          <w:bCs/>
          <w:sz w:val="84"/>
          <w:szCs w:val="84"/>
        </w:rPr>
      </w:pPr>
      <w:bookmarkStart w:id="92" w:name="_GoBack"/>
      <w:bookmarkEnd w:id="92"/>
      <w:r>
        <w:rPr>
          <w:rFonts w:hint="eastAsia" w:asciiTheme="minorEastAsia" w:hAnsiTheme="minorEastAsia" w:eastAsiaTheme="minorEastAsia" w:cstheme="minorEastAsia"/>
          <w:b/>
          <w:bCs/>
          <w:sz w:val="84"/>
          <w:szCs w:val="84"/>
        </w:rPr>
        <w:t>合</w:t>
      </w:r>
    </w:p>
    <w:p w14:paraId="181C6951">
      <w:pPr>
        <w:pStyle w:val="2"/>
        <w:ind w:firstLine="64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2C10A275">
      <w:pPr>
        <w:adjustRightInd w:val="0"/>
        <w:snapToGrid w:val="0"/>
        <w:spacing w:line="1200" w:lineRule="exact"/>
        <w:jc w:val="center"/>
        <w:rPr>
          <w:rFonts w:hint="eastAsia" w:asciiTheme="minorEastAsia" w:hAnsiTheme="minorEastAsia" w:eastAsiaTheme="minorEastAsia" w:cstheme="minorEastAsia"/>
          <w:b/>
          <w:bCs/>
          <w:sz w:val="84"/>
          <w:szCs w:val="84"/>
        </w:rPr>
      </w:pPr>
      <w:r>
        <w:rPr>
          <w:rFonts w:hint="eastAsia" w:asciiTheme="minorEastAsia" w:hAnsiTheme="minorEastAsia" w:eastAsiaTheme="minorEastAsia" w:cstheme="minorEastAsia"/>
          <w:b/>
          <w:bCs/>
          <w:sz w:val="84"/>
          <w:szCs w:val="84"/>
        </w:rPr>
        <w:t>同</w:t>
      </w:r>
    </w:p>
    <w:p w14:paraId="1004EFC0">
      <w:pPr>
        <w:pStyle w:val="2"/>
        <w:ind w:firstLine="64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15813DD8">
      <w:pPr>
        <w:adjustRightInd w:val="0"/>
        <w:snapToGrid w:val="0"/>
        <w:spacing w:line="1200" w:lineRule="exact"/>
        <w:jc w:val="center"/>
        <w:rPr>
          <w:rFonts w:hint="eastAsia" w:asciiTheme="minorEastAsia" w:hAnsiTheme="minorEastAsia" w:eastAsiaTheme="minorEastAsia" w:cstheme="minorEastAsia"/>
          <w:b/>
          <w:bCs/>
          <w:sz w:val="84"/>
          <w:szCs w:val="84"/>
        </w:rPr>
      </w:pPr>
      <w:r>
        <w:rPr>
          <w:rFonts w:hint="eastAsia" w:asciiTheme="minorEastAsia" w:hAnsiTheme="minorEastAsia" w:eastAsiaTheme="minorEastAsia" w:cstheme="minorEastAsia"/>
          <w:b/>
          <w:bCs/>
          <w:sz w:val="84"/>
          <w:szCs w:val="84"/>
        </w:rPr>
        <w:t>书</w:t>
      </w:r>
    </w:p>
    <w:p w14:paraId="504C1AD1">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48400C00">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13E7AA2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5DD46929">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b/>
          <w:bCs/>
          <w:sz w:val="28"/>
          <w:szCs w:val="28"/>
        </w:rPr>
        <w:t>甲方：</w:t>
      </w:r>
    </w:p>
    <w:p w14:paraId="5A88E6CB">
      <w:pPr>
        <w:pStyle w:val="2"/>
        <w:ind w:firstLine="64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694DF803">
      <w:pPr>
        <w:spacing w:line="360" w:lineRule="auto"/>
        <w:ind w:firstLine="1687" w:firstLineChars="6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乙方：</w:t>
      </w:r>
    </w:p>
    <w:p w14:paraId="2C5C1F39">
      <w:pPr>
        <w:pStyle w:val="2"/>
        <w:rPr>
          <w:rFonts w:hint="eastAsia"/>
        </w:rPr>
      </w:pPr>
    </w:p>
    <w:p w14:paraId="40FFDCCF">
      <w:pPr>
        <w:pStyle w:val="8"/>
        <w:widowControl/>
        <w:spacing w:before="0" w:beforeAutospacing="0" w:after="0" w:afterAutospacing="0"/>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2026年周至县道路清扫保洁、垃圾清运、绿化养护、公厕管护市场化运作项目</w:t>
      </w:r>
    </w:p>
    <w:p w14:paraId="5797F711">
      <w:pPr>
        <w:pStyle w:val="8"/>
        <w:widowControl/>
        <w:spacing w:before="0" w:beforeAutospacing="0" w:after="0" w:afterAutospacing="0"/>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（合同包  ）</w:t>
      </w:r>
    </w:p>
    <w:p w14:paraId="1DD9C9D9">
      <w:pPr>
        <w:pStyle w:val="8"/>
        <w:widowControl/>
        <w:spacing w:before="0" w:beforeAutospacing="0" w:after="0" w:afterAutospacing="0"/>
        <w:jc w:val="both"/>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 xml:space="preserve"> </w:t>
      </w:r>
    </w:p>
    <w:p w14:paraId="41D267B0">
      <w:pPr>
        <w:pStyle w:val="8"/>
        <w:widowControl/>
        <w:spacing w:before="0" w:beforeAutospacing="0" w:after="0" w:afterAutospacing="0"/>
        <w:jc w:val="both"/>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甲方：                        （以下简称甲方）</w:t>
      </w:r>
    </w:p>
    <w:p w14:paraId="621855F7">
      <w:pPr>
        <w:pStyle w:val="4"/>
        <w:adjustRightInd w:val="0"/>
        <w:snapToGrid w:val="0"/>
        <w:spacing w:line="560" w:lineRule="exact"/>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乙方：                        （以下简称乙方）</w:t>
      </w:r>
    </w:p>
    <w:p w14:paraId="2FA05901">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44ECECA8">
      <w:pPr>
        <w:pStyle w:val="4"/>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根据《中华人民共和国合同法》等相关法律规定，经甲、乙双方协商一致，就周至县城区公共区域行道树养护管理和周至县城市管理和综合执法局管理的各个公园、绿地、广场的绿化养护管理服务任务，达成如下合同条款:</w:t>
      </w:r>
    </w:p>
    <w:p w14:paraId="2E563231">
      <w:pPr>
        <w:pStyle w:val="4"/>
        <w:ind w:firstLine="562" w:firstLineChars="200"/>
        <w:jc w:val="left"/>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第一条  项目概况</w:t>
      </w:r>
    </w:p>
    <w:p w14:paraId="3D73CCB0">
      <w:pPr>
        <w:pStyle w:val="4"/>
        <w:ind w:firstLine="560" w:firstLineChars="200"/>
        <w:jc w:val="left"/>
        <w:rPr>
          <w:rFonts w:hint="eastAsia" w:asciiTheme="minorEastAsia" w:hAnsiTheme="minorEastAsia" w:eastAsiaTheme="minorEastAsia" w:cstheme="minorEastAsia"/>
          <w:bCs/>
          <w:sz w:val="28"/>
          <w:szCs w:val="28"/>
          <w:u w:val="single"/>
          <w:lang w:val="en-US" w:eastAsia="zh-CN"/>
        </w:rPr>
      </w:pPr>
      <w:r>
        <w:rPr>
          <w:rFonts w:hint="eastAsia" w:asciiTheme="minorEastAsia" w:hAnsiTheme="minorEastAsia" w:eastAsiaTheme="minorEastAsia" w:cstheme="minorEastAsia"/>
          <w:b w:val="0"/>
          <w:bCs/>
          <w:color w:val="000000"/>
          <w:kern w:val="0"/>
          <w:sz w:val="28"/>
          <w:szCs w:val="28"/>
        </w:rPr>
        <w:t>（一）项目名称</w:t>
      </w:r>
      <w:r>
        <w:rPr>
          <w:rFonts w:hint="eastAsia" w:asciiTheme="minorEastAsia" w:hAnsiTheme="minorEastAsia" w:eastAsiaTheme="minorEastAsia" w:cstheme="minorEastAsia"/>
          <w:b w:val="0"/>
          <w:bCs/>
          <w:color w:val="000000"/>
          <w:kern w:val="0"/>
          <w:sz w:val="28"/>
          <w:szCs w:val="28"/>
          <w:u w:val="single"/>
          <w:lang w:val="en-US" w:eastAsia="zh-CN"/>
        </w:rPr>
        <w:t xml:space="preserve">                                     </w:t>
      </w:r>
    </w:p>
    <w:p w14:paraId="5B62460A">
      <w:pPr>
        <w:pStyle w:val="4"/>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（二）项目地点</w:t>
      </w:r>
      <w:r>
        <w:rPr>
          <w:rFonts w:hint="eastAsia" w:asciiTheme="minorEastAsia" w:hAnsiTheme="minorEastAsia" w:eastAsiaTheme="minorEastAsia" w:cstheme="minorEastAsia"/>
          <w:b w:val="0"/>
          <w:bCs/>
          <w:color w:val="000000"/>
          <w:kern w:val="0"/>
          <w:sz w:val="28"/>
          <w:szCs w:val="28"/>
          <w:u w:val="single"/>
        </w:rPr>
        <w:t>周至县城区范围内,各条大街、及周至县城市管理和综合执法局管理的各个公园、广场、绿地。</w:t>
      </w:r>
    </w:p>
    <w:p w14:paraId="055C8C28">
      <w:pPr>
        <w:pStyle w:val="4"/>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（三）绿化养护管理依据</w:t>
      </w:r>
    </w:p>
    <w:p w14:paraId="425BDE03">
      <w:pPr>
        <w:pStyle w:val="4"/>
        <w:spacing w:line="66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陕西省《城市公园分级标准》、《西安市城市绿化条例》、《西安市公园条例》、《西安市绿化养护管理标准》、《周至县城市管理和综合执法局园林绿化养护管理考核评分细则》等绿化养护管理制度及专业技术规范。</w:t>
      </w:r>
    </w:p>
    <w:p w14:paraId="5EC25D16">
      <w:pPr>
        <w:pStyle w:val="4"/>
        <w:spacing w:line="66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2.中标文件。</w:t>
      </w:r>
    </w:p>
    <w:p w14:paraId="63AFFFAF">
      <w:pPr>
        <w:pStyle w:val="4"/>
        <w:spacing w:line="66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（四）项目组成及具体工作内容</w:t>
      </w:r>
    </w:p>
    <w:p w14:paraId="12A2435D">
      <w:pPr>
        <w:pStyle w:val="4"/>
        <w:spacing w:line="66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1.项目组成</w:t>
      </w:r>
    </w:p>
    <w:p w14:paraId="43E37465">
      <w:pPr>
        <w:pStyle w:val="4"/>
        <w:spacing w:line="66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本项目公共绿化养护面积共计</w:t>
      </w:r>
      <w:r>
        <w:rPr>
          <w:rFonts w:hint="eastAsia" w:asciiTheme="minorEastAsia" w:hAnsiTheme="minorEastAsia" w:eastAsiaTheme="minorEastAsia" w:cstheme="minorEastAsia"/>
          <w:b w:val="0"/>
          <w:bCs/>
          <w:color w:val="000000"/>
          <w:kern w:val="0"/>
          <w:sz w:val="28"/>
          <w:szCs w:val="28"/>
          <w:u w:val="single"/>
        </w:rPr>
        <w:t xml:space="preserve">       </w:t>
      </w:r>
      <w:r>
        <w:rPr>
          <w:rFonts w:hint="eastAsia" w:asciiTheme="minorEastAsia" w:hAnsiTheme="minorEastAsia" w:eastAsiaTheme="minorEastAsia" w:cstheme="minorEastAsia"/>
          <w:b w:val="0"/>
          <w:bCs/>
          <w:color w:val="000000"/>
          <w:kern w:val="0"/>
          <w:sz w:val="28"/>
          <w:szCs w:val="28"/>
        </w:rPr>
        <w:t>平方米，行道树</w:t>
      </w:r>
      <w:r>
        <w:rPr>
          <w:rFonts w:hint="eastAsia" w:asciiTheme="minorEastAsia" w:hAnsiTheme="minorEastAsia" w:eastAsiaTheme="minorEastAsia" w:cstheme="minorEastAsia"/>
          <w:b w:val="0"/>
          <w:bCs/>
          <w:color w:val="000000"/>
          <w:kern w:val="0"/>
          <w:sz w:val="28"/>
          <w:szCs w:val="28"/>
          <w:u w:val="single"/>
        </w:rPr>
        <w:t xml:space="preserve">    </w:t>
      </w:r>
      <w:r>
        <w:rPr>
          <w:rFonts w:hint="eastAsia" w:asciiTheme="minorEastAsia" w:hAnsiTheme="minorEastAsia" w:eastAsiaTheme="minorEastAsia" w:cstheme="minorEastAsia"/>
          <w:b w:val="0"/>
          <w:bCs/>
          <w:color w:val="000000"/>
          <w:kern w:val="0"/>
          <w:sz w:val="28"/>
          <w:szCs w:val="28"/>
        </w:rPr>
        <w:t>株。以上数量在合同期间会因基础设施的建设而发生绿地的增减变化，具体按实际数量计算。</w:t>
      </w:r>
    </w:p>
    <w:p w14:paraId="5740E6FE">
      <w:pPr>
        <w:pStyle w:val="4"/>
        <w:spacing w:line="66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2.具体工作内容</w:t>
      </w:r>
    </w:p>
    <w:p w14:paraId="71833C2B">
      <w:pPr>
        <w:pStyle w:val="4"/>
        <w:spacing w:line="660" w:lineRule="exact"/>
        <w:ind w:firstLine="280" w:firstLineChars="1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（1）公园绿地、广场的卫生清扫保洁及绿冲洗和绿地清掏。</w:t>
      </w:r>
    </w:p>
    <w:p w14:paraId="18830C6C">
      <w:pPr>
        <w:pStyle w:val="4"/>
        <w:spacing w:line="660" w:lineRule="exact"/>
        <w:ind w:firstLine="280" w:firstLineChars="1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（2）绿化植物的浇水、浇灌、排水和施肥。</w:t>
      </w:r>
    </w:p>
    <w:p w14:paraId="34A2172A">
      <w:pPr>
        <w:pStyle w:val="4"/>
        <w:spacing w:line="660" w:lineRule="exact"/>
        <w:ind w:firstLine="280" w:firstLineChars="1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（3）绿化植物的病虫害防治和监测。</w:t>
      </w:r>
    </w:p>
    <w:p w14:paraId="141BB7D5">
      <w:pPr>
        <w:pStyle w:val="4"/>
        <w:spacing w:line="660" w:lineRule="exact"/>
        <w:ind w:firstLine="280" w:firstLineChars="1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（4）绿化植物的整形修剪除土、除草。</w:t>
      </w:r>
    </w:p>
    <w:p w14:paraId="0B2099F9">
      <w:pPr>
        <w:pStyle w:val="4"/>
        <w:spacing w:line="660" w:lineRule="exact"/>
        <w:ind w:firstLine="280" w:firstLineChars="1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（5）去除枯死植物、植物补植、扶正支撑。</w:t>
      </w:r>
    </w:p>
    <w:p w14:paraId="4A0D62FC">
      <w:pPr>
        <w:pStyle w:val="4"/>
        <w:spacing w:line="660" w:lineRule="exact"/>
        <w:ind w:firstLine="280" w:firstLineChars="1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（6）绿化附属设施维护修缮、事故损毁绿化苗木的恢复。</w:t>
      </w:r>
    </w:p>
    <w:p w14:paraId="336DCB58">
      <w:pPr>
        <w:pStyle w:val="4"/>
        <w:spacing w:line="660" w:lineRule="exact"/>
        <w:ind w:firstLine="280" w:firstLineChars="1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（7）植物防护（防寒、旱、风、涝等)</w:t>
      </w:r>
    </w:p>
    <w:p w14:paraId="2AF39CC0">
      <w:pPr>
        <w:spacing w:line="660" w:lineRule="exact"/>
        <w:ind w:firstLine="280" w:firstLineChars="100"/>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（8）养护区域内市政开挖绿地损毁及行人践踏损坏绿地的苗木草坪补栽。</w:t>
      </w:r>
    </w:p>
    <w:p w14:paraId="7496923A">
      <w:pPr>
        <w:pStyle w:val="4"/>
        <w:spacing w:line="660" w:lineRule="exact"/>
        <w:ind w:firstLine="280" w:firstLineChars="1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（9）养护区域内公园广场绿地、行道树及突发事件的应急处理等内容。</w:t>
      </w:r>
    </w:p>
    <w:p w14:paraId="4C247B1B">
      <w:pPr>
        <w:pStyle w:val="4"/>
        <w:spacing w:line="660" w:lineRule="exact"/>
        <w:ind w:firstLine="280" w:firstLineChars="1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（10）市县各级检查发现问题按照要求及时整改并回复。</w:t>
      </w:r>
    </w:p>
    <w:p w14:paraId="6C256691">
      <w:pPr>
        <w:pStyle w:val="4"/>
        <w:spacing w:line="660" w:lineRule="exact"/>
        <w:ind w:firstLine="562" w:firstLineChars="200"/>
        <w:jc w:val="left"/>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第二条 合同期限</w:t>
      </w:r>
    </w:p>
    <w:p w14:paraId="5BB1D141">
      <w:pPr>
        <w:pStyle w:val="4"/>
        <w:spacing w:line="620" w:lineRule="exact"/>
        <w:ind w:left="319" w:leftChars="152"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本合同</w:t>
      </w:r>
      <w:r>
        <w:rPr>
          <w:rFonts w:hint="eastAsia" w:asciiTheme="minorEastAsia" w:hAnsiTheme="minorEastAsia" w:eastAsiaTheme="minorEastAsia" w:cstheme="minorEastAsia"/>
          <w:b w:val="0"/>
          <w:bCs/>
          <w:kern w:val="0"/>
          <w:sz w:val="28"/>
          <w:szCs w:val="28"/>
        </w:rPr>
        <w:t>期限自</w:t>
      </w:r>
      <w:r>
        <w:rPr>
          <w:rFonts w:hint="eastAsia" w:asciiTheme="minorEastAsia" w:hAnsiTheme="minorEastAsia" w:eastAsiaTheme="minorEastAsia" w:cstheme="minorEastAsia"/>
          <w:b w:val="0"/>
          <w:bCs/>
          <w:kern w:val="0"/>
          <w:sz w:val="28"/>
          <w:szCs w:val="28"/>
          <w:u w:val="single"/>
        </w:rPr>
        <w:t xml:space="preserve">    </w:t>
      </w:r>
      <w:r>
        <w:rPr>
          <w:rFonts w:hint="eastAsia" w:asciiTheme="minorEastAsia" w:hAnsiTheme="minorEastAsia" w:eastAsiaTheme="minorEastAsia" w:cstheme="minorEastAsia"/>
          <w:b w:val="0"/>
          <w:bCs/>
          <w:kern w:val="0"/>
          <w:sz w:val="28"/>
          <w:szCs w:val="28"/>
        </w:rPr>
        <w:t>年</w:t>
      </w:r>
      <w:r>
        <w:rPr>
          <w:rFonts w:hint="eastAsia" w:asciiTheme="minorEastAsia" w:hAnsiTheme="minorEastAsia" w:eastAsiaTheme="minorEastAsia" w:cstheme="minorEastAsia"/>
          <w:b w:val="0"/>
          <w:bCs/>
          <w:kern w:val="0"/>
          <w:sz w:val="28"/>
          <w:szCs w:val="28"/>
          <w:u w:val="single"/>
        </w:rPr>
        <w:t xml:space="preserve">  </w:t>
      </w:r>
      <w:r>
        <w:rPr>
          <w:rFonts w:hint="eastAsia" w:asciiTheme="minorEastAsia" w:hAnsiTheme="minorEastAsia" w:eastAsiaTheme="minorEastAsia" w:cstheme="minorEastAsia"/>
          <w:b w:val="0"/>
          <w:bCs/>
          <w:kern w:val="0"/>
          <w:sz w:val="28"/>
          <w:szCs w:val="28"/>
        </w:rPr>
        <w:t>月</w:t>
      </w:r>
      <w:r>
        <w:rPr>
          <w:rFonts w:hint="eastAsia" w:asciiTheme="minorEastAsia" w:hAnsiTheme="minorEastAsia" w:eastAsiaTheme="minorEastAsia" w:cstheme="minorEastAsia"/>
          <w:b w:val="0"/>
          <w:bCs/>
          <w:kern w:val="0"/>
          <w:sz w:val="28"/>
          <w:szCs w:val="28"/>
          <w:u w:val="single"/>
        </w:rPr>
        <w:t xml:space="preserve">  </w:t>
      </w:r>
      <w:r>
        <w:rPr>
          <w:rFonts w:hint="eastAsia" w:asciiTheme="minorEastAsia" w:hAnsiTheme="minorEastAsia" w:eastAsiaTheme="minorEastAsia" w:cstheme="minorEastAsia"/>
          <w:b w:val="0"/>
          <w:bCs/>
          <w:kern w:val="0"/>
          <w:sz w:val="28"/>
          <w:szCs w:val="28"/>
        </w:rPr>
        <w:t>日至</w:t>
      </w:r>
      <w:r>
        <w:rPr>
          <w:rFonts w:hint="eastAsia" w:asciiTheme="minorEastAsia" w:hAnsiTheme="minorEastAsia" w:eastAsiaTheme="minorEastAsia" w:cstheme="minorEastAsia"/>
          <w:b w:val="0"/>
          <w:bCs/>
          <w:kern w:val="0"/>
          <w:sz w:val="28"/>
          <w:szCs w:val="28"/>
          <w:u w:val="single"/>
        </w:rPr>
        <w:t xml:space="preserve">    </w:t>
      </w:r>
      <w:r>
        <w:rPr>
          <w:rFonts w:hint="eastAsia" w:asciiTheme="minorEastAsia" w:hAnsiTheme="minorEastAsia" w:eastAsiaTheme="minorEastAsia" w:cstheme="minorEastAsia"/>
          <w:b w:val="0"/>
          <w:bCs/>
          <w:kern w:val="0"/>
          <w:sz w:val="28"/>
          <w:szCs w:val="28"/>
        </w:rPr>
        <w:t>年</w:t>
      </w:r>
      <w:r>
        <w:rPr>
          <w:rFonts w:hint="eastAsia" w:asciiTheme="minorEastAsia" w:hAnsiTheme="minorEastAsia" w:eastAsiaTheme="minorEastAsia" w:cstheme="minorEastAsia"/>
          <w:b w:val="0"/>
          <w:bCs/>
          <w:kern w:val="0"/>
          <w:sz w:val="28"/>
          <w:szCs w:val="28"/>
          <w:u w:val="single"/>
        </w:rPr>
        <w:t xml:space="preserve">  </w:t>
      </w:r>
      <w:r>
        <w:rPr>
          <w:rFonts w:hint="eastAsia" w:asciiTheme="minorEastAsia" w:hAnsiTheme="minorEastAsia" w:eastAsiaTheme="minorEastAsia" w:cstheme="minorEastAsia"/>
          <w:b w:val="0"/>
          <w:bCs/>
          <w:kern w:val="0"/>
          <w:sz w:val="28"/>
          <w:szCs w:val="28"/>
        </w:rPr>
        <w:t>月</w:t>
      </w:r>
      <w:r>
        <w:rPr>
          <w:rFonts w:hint="eastAsia" w:asciiTheme="minorEastAsia" w:hAnsiTheme="minorEastAsia" w:eastAsiaTheme="minorEastAsia" w:cstheme="minorEastAsia"/>
          <w:b w:val="0"/>
          <w:bCs/>
          <w:kern w:val="0"/>
          <w:sz w:val="28"/>
          <w:szCs w:val="28"/>
          <w:u w:val="single"/>
        </w:rPr>
        <w:t xml:space="preserve">  </w:t>
      </w:r>
      <w:r>
        <w:rPr>
          <w:rFonts w:hint="eastAsia" w:asciiTheme="minorEastAsia" w:hAnsiTheme="minorEastAsia" w:eastAsiaTheme="minorEastAsia" w:cstheme="minorEastAsia"/>
          <w:b w:val="0"/>
          <w:bCs/>
          <w:kern w:val="0"/>
          <w:sz w:val="28"/>
          <w:szCs w:val="28"/>
        </w:rPr>
        <w:t>日。若因养护质量不达标被解除合同，自合同解除之日起自行终止。</w:t>
      </w:r>
    </w:p>
    <w:p w14:paraId="375E1755">
      <w:pPr>
        <w:pStyle w:val="4"/>
        <w:spacing w:line="620" w:lineRule="exact"/>
        <w:ind w:firstLine="562" w:firstLineChars="200"/>
        <w:jc w:val="left"/>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第三条  项目质量等级划分、合同价款及承包方式</w:t>
      </w:r>
    </w:p>
    <w:p w14:paraId="2503BA08">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（一）费用组成及计算</w:t>
      </w:r>
    </w:p>
    <w:p w14:paraId="3E0111B0">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本项目绿化养护费用组成以计算表为准。</w:t>
      </w:r>
    </w:p>
    <w:p w14:paraId="5E13FD90">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（二）合同价款</w:t>
      </w:r>
    </w:p>
    <w:p w14:paraId="367F0846">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依据项目组成及费用计算结果，本项目合同价款（全包价）为人民币￥</w:t>
      </w:r>
      <w:r>
        <w:rPr>
          <w:rFonts w:hint="eastAsia" w:asciiTheme="minorEastAsia" w:hAnsiTheme="minorEastAsia" w:eastAsiaTheme="minorEastAsia" w:cstheme="minorEastAsia"/>
          <w:b w:val="0"/>
          <w:bCs/>
          <w:color w:val="000000"/>
          <w:kern w:val="0"/>
          <w:sz w:val="28"/>
          <w:szCs w:val="28"/>
          <w:u w:val="single"/>
        </w:rPr>
        <w:t xml:space="preserve">          </w:t>
      </w:r>
      <w:r>
        <w:rPr>
          <w:rFonts w:hint="eastAsia" w:asciiTheme="minorEastAsia" w:hAnsiTheme="minorEastAsia" w:eastAsiaTheme="minorEastAsia" w:cstheme="minorEastAsia"/>
          <w:b w:val="0"/>
          <w:bCs/>
          <w:color w:val="000000"/>
          <w:kern w:val="0"/>
          <w:sz w:val="28"/>
          <w:szCs w:val="28"/>
        </w:rPr>
        <w:t>元（大写:</w:t>
      </w:r>
      <w:r>
        <w:rPr>
          <w:rFonts w:hint="eastAsia" w:asciiTheme="minorEastAsia" w:hAnsiTheme="minorEastAsia" w:eastAsiaTheme="minorEastAsia" w:cstheme="minorEastAsia"/>
          <w:b w:val="0"/>
          <w:bCs/>
          <w:color w:val="000000"/>
          <w:kern w:val="0"/>
          <w:sz w:val="28"/>
          <w:szCs w:val="28"/>
          <w:u w:val="single"/>
        </w:rPr>
        <w:t xml:space="preserve">                       </w:t>
      </w:r>
      <w:r>
        <w:rPr>
          <w:rFonts w:hint="eastAsia" w:asciiTheme="minorEastAsia" w:hAnsiTheme="minorEastAsia" w:eastAsiaTheme="minorEastAsia" w:cstheme="minorEastAsia"/>
          <w:b w:val="0"/>
          <w:bCs/>
          <w:color w:val="000000"/>
          <w:kern w:val="0"/>
          <w:sz w:val="28"/>
          <w:szCs w:val="28"/>
        </w:rPr>
        <w:t>），月费用为人民币￥</w:t>
      </w:r>
      <w:r>
        <w:rPr>
          <w:rFonts w:hint="eastAsia" w:asciiTheme="minorEastAsia" w:hAnsiTheme="minorEastAsia" w:eastAsiaTheme="minorEastAsia" w:cstheme="minorEastAsia"/>
          <w:b w:val="0"/>
          <w:bCs/>
          <w:color w:val="000000"/>
          <w:kern w:val="0"/>
          <w:sz w:val="28"/>
          <w:szCs w:val="28"/>
          <w:u w:val="single"/>
        </w:rPr>
        <w:t xml:space="preserve">        </w:t>
      </w:r>
      <w:r>
        <w:rPr>
          <w:rFonts w:hint="eastAsia" w:asciiTheme="minorEastAsia" w:hAnsiTheme="minorEastAsia" w:eastAsiaTheme="minorEastAsia" w:cstheme="minorEastAsia"/>
          <w:b w:val="0"/>
          <w:bCs/>
          <w:color w:val="000000"/>
          <w:kern w:val="0"/>
          <w:sz w:val="28"/>
          <w:szCs w:val="28"/>
        </w:rPr>
        <w:t>元（大写：</w:t>
      </w:r>
      <w:r>
        <w:rPr>
          <w:rFonts w:hint="eastAsia" w:asciiTheme="minorEastAsia" w:hAnsiTheme="minorEastAsia" w:eastAsiaTheme="minorEastAsia" w:cstheme="minorEastAsia"/>
          <w:b w:val="0"/>
          <w:bCs/>
          <w:color w:val="000000"/>
          <w:kern w:val="0"/>
          <w:sz w:val="28"/>
          <w:szCs w:val="28"/>
          <w:u w:val="single"/>
        </w:rPr>
        <w:t xml:space="preserve">                         </w:t>
      </w:r>
      <w:r>
        <w:rPr>
          <w:rFonts w:hint="eastAsia" w:asciiTheme="minorEastAsia" w:hAnsiTheme="minorEastAsia" w:eastAsiaTheme="minorEastAsia" w:cstheme="minorEastAsia"/>
          <w:b w:val="0"/>
          <w:bCs/>
          <w:color w:val="000000"/>
          <w:kern w:val="0"/>
          <w:sz w:val="28"/>
          <w:szCs w:val="28"/>
        </w:rPr>
        <w:t>）。</w:t>
      </w:r>
    </w:p>
    <w:p w14:paraId="3A563196">
      <w:pPr>
        <w:pStyle w:val="4"/>
        <w:spacing w:line="620" w:lineRule="exact"/>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（三）承包方式</w:t>
      </w:r>
    </w:p>
    <w:p w14:paraId="5931FFE9">
      <w:pPr>
        <w:pStyle w:val="4"/>
        <w:spacing w:line="620" w:lineRule="exact"/>
        <w:ind w:firstLine="560" w:firstLineChars="200"/>
        <w:jc w:val="left"/>
        <w:rPr>
          <w:rFonts w:hint="eastAsia" w:asciiTheme="minorEastAsia" w:hAnsiTheme="minorEastAsia" w:eastAsiaTheme="minorEastAsia" w:cstheme="minorEastAsia"/>
          <w:b w:val="0"/>
          <w:bCs/>
          <w:kern w:val="0"/>
          <w:sz w:val="28"/>
          <w:szCs w:val="28"/>
        </w:rPr>
      </w:pPr>
      <w:r>
        <w:rPr>
          <w:rFonts w:hint="eastAsia" w:asciiTheme="minorEastAsia" w:hAnsiTheme="minorEastAsia" w:eastAsiaTheme="minorEastAsia" w:cstheme="minorEastAsia"/>
          <w:b w:val="0"/>
          <w:bCs/>
          <w:color w:val="000000"/>
          <w:kern w:val="0"/>
          <w:sz w:val="28"/>
          <w:szCs w:val="28"/>
        </w:rPr>
        <w:t>1.合</w:t>
      </w:r>
      <w:r>
        <w:rPr>
          <w:rFonts w:hint="eastAsia" w:asciiTheme="minorEastAsia" w:hAnsiTheme="minorEastAsia" w:eastAsiaTheme="minorEastAsia" w:cstheme="minorEastAsia"/>
          <w:b w:val="0"/>
          <w:bCs/>
          <w:kern w:val="0"/>
          <w:sz w:val="28"/>
          <w:szCs w:val="28"/>
        </w:rPr>
        <w:t>同价款包括养护工作所发生的一切费用，不受市场变化影响。当养护工程量发生变化时，结算费用按照实际发生相应调整。</w:t>
      </w:r>
    </w:p>
    <w:p w14:paraId="2BCA2070">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kern w:val="0"/>
          <w:sz w:val="28"/>
          <w:szCs w:val="28"/>
        </w:rPr>
        <w:t>2.本项目综合单价风险范围包括人工费、材料费、机械费、运输费、综合管理费，树木修剪、产生的残枝清理费用、社会价格浮动以及停水、停电、停窝工等费用。不包含遇自然灾害等不可抗力或</w:t>
      </w:r>
      <w:r>
        <w:rPr>
          <w:rFonts w:hint="eastAsia" w:asciiTheme="minorEastAsia" w:hAnsiTheme="minorEastAsia" w:eastAsiaTheme="minorEastAsia" w:cstheme="minorEastAsia"/>
          <w:b w:val="0"/>
          <w:bCs/>
          <w:color w:val="000000"/>
          <w:kern w:val="0"/>
          <w:sz w:val="28"/>
          <w:szCs w:val="28"/>
        </w:rPr>
        <w:t>甲方原因所产生的费用。</w:t>
      </w:r>
    </w:p>
    <w:p w14:paraId="4E1355FA">
      <w:pPr>
        <w:pStyle w:val="4"/>
        <w:ind w:firstLine="840" w:firstLineChars="300"/>
        <w:jc w:val="left"/>
        <w:rPr>
          <w:rFonts w:hint="eastAsia" w:asciiTheme="minorEastAsia" w:hAnsiTheme="minorEastAsia" w:eastAsiaTheme="minorEastAsia" w:cstheme="minorEastAsia"/>
          <w:b w:val="0"/>
          <w:bCs/>
          <w:kern w:val="0"/>
          <w:sz w:val="28"/>
          <w:szCs w:val="28"/>
        </w:rPr>
      </w:pPr>
      <w:r>
        <w:rPr>
          <w:rFonts w:hint="eastAsia" w:asciiTheme="minorEastAsia" w:hAnsiTheme="minorEastAsia" w:eastAsiaTheme="minorEastAsia" w:cstheme="minorEastAsia"/>
          <w:b w:val="0"/>
          <w:bCs/>
          <w:color w:val="000000"/>
          <w:kern w:val="0"/>
          <w:sz w:val="28"/>
          <w:szCs w:val="28"/>
        </w:rPr>
        <w:t>3.对于甲方提出的养护范围以外的工作，乙方应全力完成，增加的工程量由甲方确认后，按照行业相关定额标准，审定工程费用。上述工程费用在每季度最后一个月结算养护费后一并由甲方支付给乙方。</w:t>
      </w:r>
    </w:p>
    <w:p w14:paraId="53DA05FE">
      <w:pPr>
        <w:pStyle w:val="4"/>
        <w:spacing w:line="620" w:lineRule="exact"/>
        <w:ind w:firstLine="562" w:firstLineChars="200"/>
        <w:jc w:val="left"/>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第四条 付款条件及方式</w:t>
      </w:r>
    </w:p>
    <w:p w14:paraId="128951BD">
      <w:pPr>
        <w:pStyle w:val="4"/>
        <w:spacing w:line="620" w:lineRule="exact"/>
        <w:ind w:firstLine="560" w:firstLineChars="200"/>
        <w:jc w:val="left"/>
        <w:rPr>
          <w:rFonts w:hint="eastAsia"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 w:val="0"/>
          <w:bCs/>
          <w:color w:val="000000"/>
          <w:kern w:val="0"/>
          <w:sz w:val="28"/>
          <w:szCs w:val="28"/>
        </w:rPr>
        <w:t>1.本项目绿化养护费用实行按月核算、按月支付，次月支付上月养护费</w:t>
      </w:r>
      <w:r>
        <w:rPr>
          <w:rFonts w:hint="eastAsia" w:asciiTheme="minorEastAsia" w:hAnsiTheme="minorEastAsia" w:eastAsiaTheme="minorEastAsia" w:cstheme="minorEastAsia"/>
          <w:b w:val="0"/>
          <w:bCs/>
          <w:kern w:val="0"/>
          <w:sz w:val="28"/>
          <w:szCs w:val="28"/>
        </w:rPr>
        <w:t>，养护期结束前1个月停止按月计付，等与下一单位移交完毕，移交单经甲方确认且三方签字盖章后完成全部支付。</w:t>
      </w:r>
    </w:p>
    <w:p w14:paraId="2422F4A0">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2.依据月度考核核算表，乙方次月上旬向甲方提交支付相关资料，办理付款手续。乙方必须按照要求提供有效等额税务发票</w:t>
      </w:r>
    </w:p>
    <w:p w14:paraId="37FDCE83">
      <w:pPr>
        <w:pStyle w:val="4"/>
        <w:spacing w:line="620" w:lineRule="exact"/>
        <w:ind w:firstLine="562" w:firstLineChars="200"/>
        <w:jc w:val="left"/>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第五条 质量管理和监督措施</w:t>
      </w:r>
    </w:p>
    <w:p w14:paraId="44257800">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（一）内控管理</w:t>
      </w:r>
    </w:p>
    <w:p w14:paraId="4B2D3136">
      <w:pPr>
        <w:pStyle w:val="2"/>
        <w:ind w:firstLine="600"/>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1.公司必须按人员要求配备足够工作人员并报管理单位备案，管理单位可随时调配人员安排工作任务。人员的配备必须满足养护的需要，不能因人员不足造成工作滞后。所有工作人员必须服从管理单位工作安排，管理单位随时抽查人员到岗工作情况。</w:t>
      </w:r>
    </w:p>
    <w:p w14:paraId="79186C67">
      <w:pPr>
        <w:pStyle w:val="9"/>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2.绿化公司要在县城区有固定的办公场所。每个工作人员必须有冬夏工作服装，工作时必须着工装。配备足够的机械车辆，保证绿化养护工作的需要。甲方提供乙方一台高空修剪车，乙方按租赁费用由甲方在养护费用中扣除。</w:t>
      </w:r>
    </w:p>
    <w:p w14:paraId="2A0A3D66">
      <w:pPr>
        <w:pStyle w:val="2"/>
        <w:ind w:firstLine="6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（二）质量管理</w:t>
      </w:r>
    </w:p>
    <w:p w14:paraId="5A280329">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1.乙方须接受甲方的各类检查考核，甲方有权根据有关规定对质量考核标准及检查办法作相应的修改。</w:t>
      </w:r>
    </w:p>
    <w:p w14:paraId="32E712CD">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2.苗木养护成活率。重要节点景观树及行道树成活率应达到100%，特级养护苗木成活率应达到100%，一级标准乔木及灌木（按株计）成活率应达到99%，二级标准乔木及灌木（按株计）成活率应达到98%，绿篱、花卉、草地不得有断垄斑秃。否则养护结束后按照结算数量扣减未付养护款。</w:t>
      </w:r>
    </w:p>
    <w:p w14:paraId="1373DA9E">
      <w:pPr>
        <w:pStyle w:val="4"/>
        <w:spacing w:line="620" w:lineRule="exact"/>
        <w:ind w:firstLine="560" w:firstLineChars="200"/>
        <w:jc w:val="left"/>
        <w:rPr>
          <w:rFonts w:hint="eastAsia" w:asciiTheme="minorEastAsia" w:hAnsiTheme="minorEastAsia" w:eastAsiaTheme="minorEastAsia" w:cstheme="minorEastAsia"/>
          <w:b w:val="0"/>
          <w:bCs/>
          <w:kern w:val="0"/>
          <w:sz w:val="28"/>
          <w:szCs w:val="28"/>
        </w:rPr>
      </w:pPr>
      <w:r>
        <w:rPr>
          <w:rFonts w:hint="eastAsia" w:asciiTheme="minorEastAsia" w:hAnsiTheme="minorEastAsia" w:eastAsiaTheme="minorEastAsia" w:cstheme="minorEastAsia"/>
          <w:b w:val="0"/>
          <w:bCs/>
          <w:color w:val="000000"/>
          <w:kern w:val="0"/>
          <w:sz w:val="28"/>
          <w:szCs w:val="28"/>
        </w:rPr>
        <w:t>3.合同期间，发生安全事故造成工作人员或第三方生命财产损失，所有</w:t>
      </w:r>
      <w:r>
        <w:rPr>
          <w:rFonts w:hint="eastAsia" w:asciiTheme="minorEastAsia" w:hAnsiTheme="minorEastAsia" w:eastAsiaTheme="minorEastAsia" w:cstheme="minorEastAsia"/>
          <w:b w:val="0"/>
          <w:bCs/>
          <w:kern w:val="0"/>
          <w:sz w:val="28"/>
          <w:szCs w:val="28"/>
        </w:rPr>
        <w:t>经济损失和法律责任由乙方负责。</w:t>
      </w:r>
    </w:p>
    <w:p w14:paraId="47FF75BF">
      <w:pPr>
        <w:pStyle w:val="4"/>
        <w:spacing w:line="620" w:lineRule="exact"/>
        <w:ind w:firstLine="560" w:firstLineChars="200"/>
        <w:jc w:val="left"/>
        <w:rPr>
          <w:rFonts w:hint="eastAsia" w:asciiTheme="minorEastAsia" w:hAnsiTheme="minorEastAsia" w:eastAsiaTheme="minorEastAsia" w:cstheme="minorEastAsia"/>
          <w:b w:val="0"/>
          <w:bCs/>
          <w:kern w:val="0"/>
          <w:sz w:val="28"/>
          <w:szCs w:val="28"/>
        </w:rPr>
      </w:pPr>
      <w:r>
        <w:rPr>
          <w:rFonts w:hint="eastAsia" w:asciiTheme="minorEastAsia" w:hAnsiTheme="minorEastAsia" w:eastAsiaTheme="minorEastAsia" w:cstheme="minorEastAsia"/>
          <w:b w:val="0"/>
          <w:bCs/>
          <w:kern w:val="0"/>
          <w:sz w:val="28"/>
          <w:szCs w:val="28"/>
        </w:rPr>
        <w:t>4.合同期间，乙方未按时足额发放项目配备人员工资且影响恶劣的，经济损失和法律责任由乙方承担。</w:t>
      </w:r>
    </w:p>
    <w:p w14:paraId="56DF2599">
      <w:pPr>
        <w:pStyle w:val="4"/>
        <w:spacing w:line="620" w:lineRule="exact"/>
        <w:ind w:firstLine="560" w:firstLineChars="200"/>
        <w:jc w:val="left"/>
        <w:rPr>
          <w:rFonts w:hint="eastAsia" w:asciiTheme="minorEastAsia" w:hAnsiTheme="minorEastAsia" w:eastAsiaTheme="minorEastAsia" w:cstheme="minorEastAsia"/>
          <w:b w:val="0"/>
          <w:bCs/>
          <w:kern w:val="0"/>
          <w:sz w:val="28"/>
          <w:szCs w:val="28"/>
        </w:rPr>
      </w:pPr>
      <w:r>
        <w:rPr>
          <w:rFonts w:hint="eastAsia" w:asciiTheme="minorEastAsia" w:hAnsiTheme="minorEastAsia" w:eastAsiaTheme="minorEastAsia" w:cstheme="minorEastAsia"/>
          <w:b w:val="0"/>
          <w:bCs/>
          <w:kern w:val="0"/>
          <w:sz w:val="28"/>
          <w:szCs w:val="28"/>
        </w:rPr>
        <w:t>5.合同期内，乙方未按要求为项目配备人员购买意外人身保险且影响重大的，经济损失和法律责任由乙方承担。</w:t>
      </w:r>
    </w:p>
    <w:p w14:paraId="7D3EF70D">
      <w:pPr>
        <w:pStyle w:val="4"/>
        <w:spacing w:line="620" w:lineRule="exact"/>
        <w:ind w:firstLine="560" w:firstLineChars="200"/>
        <w:jc w:val="left"/>
        <w:rPr>
          <w:rFonts w:hint="eastAsia" w:asciiTheme="minorEastAsia" w:hAnsiTheme="minorEastAsia" w:eastAsiaTheme="minorEastAsia" w:cstheme="minorEastAsia"/>
          <w:b w:val="0"/>
          <w:bCs/>
          <w:kern w:val="0"/>
          <w:sz w:val="28"/>
          <w:szCs w:val="28"/>
        </w:rPr>
      </w:pPr>
      <w:r>
        <w:rPr>
          <w:rFonts w:hint="eastAsia" w:asciiTheme="minorEastAsia" w:hAnsiTheme="minorEastAsia" w:eastAsiaTheme="minorEastAsia" w:cstheme="minorEastAsia"/>
          <w:b w:val="0"/>
          <w:bCs/>
          <w:kern w:val="0"/>
          <w:sz w:val="28"/>
          <w:szCs w:val="28"/>
        </w:rPr>
        <w:t>6.乙方违反劳动法或其他相关法律法规造成恶劣影响，经济损失和法律责任由乙方承担。</w:t>
      </w:r>
    </w:p>
    <w:p w14:paraId="1CED2C82">
      <w:pPr>
        <w:pStyle w:val="4"/>
        <w:spacing w:line="620" w:lineRule="exact"/>
        <w:ind w:firstLine="560" w:firstLineChars="200"/>
        <w:jc w:val="left"/>
        <w:rPr>
          <w:rFonts w:hint="eastAsia" w:asciiTheme="minorEastAsia" w:hAnsiTheme="minorEastAsia" w:eastAsiaTheme="minorEastAsia" w:cstheme="minorEastAsia"/>
          <w:b w:val="0"/>
          <w:bCs/>
          <w:kern w:val="0"/>
          <w:sz w:val="28"/>
          <w:szCs w:val="28"/>
        </w:rPr>
      </w:pPr>
      <w:r>
        <w:rPr>
          <w:rFonts w:hint="eastAsia" w:asciiTheme="minorEastAsia" w:hAnsiTheme="minorEastAsia" w:eastAsiaTheme="minorEastAsia" w:cstheme="minorEastAsia"/>
          <w:b w:val="0"/>
          <w:bCs/>
          <w:kern w:val="0"/>
          <w:sz w:val="28"/>
          <w:szCs w:val="28"/>
        </w:rPr>
        <w:t>（二）奖惩办法</w:t>
      </w:r>
    </w:p>
    <w:p w14:paraId="391B056D">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甲方对乙方养护质量和公园广场运营维护作业内容将以定期和不定期两种方式检查考核。考核采取计分方式，具体内容按照《周至县城市管理和综合执法局园林绿化养护管理考核评分细则》执行。</w:t>
      </w:r>
    </w:p>
    <w:p w14:paraId="6C3FD531">
      <w:pPr>
        <w:pStyle w:val="4"/>
        <w:spacing w:line="620" w:lineRule="exact"/>
        <w:ind w:firstLine="562" w:firstLineChars="200"/>
        <w:jc w:val="left"/>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第六条 双方权利和义务</w:t>
      </w:r>
    </w:p>
    <w:p w14:paraId="01126FCC">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（一）甲方权利和义务</w:t>
      </w:r>
    </w:p>
    <w:p w14:paraId="7914EB95">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1.合理制定行道树、公园、绿地广场养护办法，指导、检查并督促乙方开展绿化养护管理工作，依据检查考核结果核定应支付费用并按期支付。</w:t>
      </w:r>
    </w:p>
    <w:p w14:paraId="4B60191D">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2.甲方有权对合同执行的全过程进行监督，随时就养护和公园运营维护工作提出合理意见和要求，对未执行或执行不到位的，甲方有权安排其它人员另行整改，整改费用在结算乙方当月养护费时扣减。</w:t>
      </w:r>
    </w:p>
    <w:p w14:paraId="0119F2D9">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 xml:space="preserve">3.乙方所承担的绿地养护或公园绿化养护工作年度累计两次不能达到甲方的质量要求（以书面通知为准），甲方有权解除合同。 </w:t>
      </w:r>
    </w:p>
    <w:p w14:paraId="7D9DA06E">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4.甲方根据工作需要，随时召集乙方管理人员参加工作会议及业务培训，乙方应积极参加不得缺席。乙方雇员中不称职者，甲方有权提出更换要求，对其中违规违纪人员提出处理意见。</w:t>
      </w:r>
    </w:p>
    <w:p w14:paraId="77B6B81F">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5.因工作原因需在乙方作业服务范围内开挖施工，甲方应书面通知乙方并协商解决方案，乙方应积极予以配合。</w:t>
      </w:r>
    </w:p>
    <w:p w14:paraId="647EC158">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6.甲方有权对乙方工作人员的工资、福利待遇、社会保险办理情况进行监督检查，以保障项目配备人员的合法权益。乙方没有按照国家有关标准按时足额支付工资、福利待遇，或者未办理社会保险，由此引发的乙方与项目配备人员之间的劳动争议或工伤纠纷，或者项目配备人员与第三人之间的人身侵权纠纷，甲方不承担任何责任。上述情形发生时甲方有权书面通知乙方五日内改正，逾期仍不改正或者累计有三次以上该情形的，甲方有权解除本合同。</w:t>
      </w:r>
    </w:p>
    <w:p w14:paraId="70204646">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7.甲方有义务为乙方提供工作上的方便，负责沟通协调各方的工作关系，并提供高空修剪车一台供乙方使用。</w:t>
      </w:r>
    </w:p>
    <w:p w14:paraId="461F0292">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（二）乙方权利和义务</w:t>
      </w:r>
    </w:p>
    <w:p w14:paraId="251273A4">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1.乙方必须坚决贯彻陕西省《城市公园分级标准》、《西安市城市绿化条例》、《西安市公园条例》的各项内容。</w:t>
      </w:r>
    </w:p>
    <w:p w14:paraId="27FC13A0">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2.乙方应合法从事绿化养护和公园广场运营维护作业，独立核算，照章纳税，自主经营，自负盈亏。须严格按照国家有关规定，按期如数缴纳应缴纳的各种税、费和统筹基金。</w:t>
      </w:r>
    </w:p>
    <w:p w14:paraId="4292DDFD">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3.乙方须按照甲方要求,对养护管理人员机构配置实行项目经理负责制。按照甲方对绿化养护公司要求安排人员，配备设备</w:t>
      </w:r>
    </w:p>
    <w:p w14:paraId="327FE400">
      <w:pPr>
        <w:pStyle w:val="4"/>
        <w:spacing w:line="620" w:lineRule="exact"/>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开展日常工作。</w:t>
      </w:r>
    </w:p>
    <w:p w14:paraId="17F475E3">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甲方要求本项目中乙方所聘用的男性绿化养护的年龄不得超过60周岁，女性绿化养护人员的年龄不得超过55周岁。乙方须对所有人员购买人身意外伤害险，以及其他国家及省市规定社保内容。</w:t>
      </w:r>
    </w:p>
    <w:p w14:paraId="4489C6E6">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4.乙方必须自行开展养护管理及劳务工作，禁止转包。如有违反该项规定，视情节轻重，按照《周至县城市管理和综合执法局园林绿化养护管理考核评分细则》有关条款处以罚款，或终止合同。</w:t>
      </w:r>
    </w:p>
    <w:p w14:paraId="70859AF9">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5.乙方应加强对项目配备人员的管理，绝不允许发生项目人员上访事件。</w:t>
      </w:r>
    </w:p>
    <w:p w14:paraId="248B0C0A">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6.抓好员工岗前培训，教育员工爱护运营维护作业区域内的公共设施、财产，保证每一名作业服务人员有丰富的专业知识和娴熟的工作技能。肥料、农药等材料须是符合国家相关标准的合格产品。项目配备车辆及机械设备等应符合国家环保要求，并保证其安全运行。</w:t>
      </w:r>
    </w:p>
    <w:p w14:paraId="20CABDE4">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7.乙方应在养护责任区域内设置固定的管理办公场所，用于日常管理办公，以及办公资料、物资、车辆、设备的存放。</w:t>
      </w:r>
    </w:p>
    <w:p w14:paraId="66CE824A">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8.乙方按照周至县绿化养护和公园广场运营维护作业质量标准及管理要求，须按时向甲方提供人员、机械、物资配备情况，绿化养护及公园广场运营维护月、周工作计划及相应进度统计报表，甲方依此开展现场检查，乙方根据检查结果及时进行整改。年度作业服务期满15日之内向甲方提交年度工作总结、所养护区域的苗木移交单。合同期内，作业服务区内绿化苗木、设施设备发生非正常、自然原因减少及毁损的，乙方应及时补齐或修复，并自行承担所需费用。</w:t>
      </w:r>
    </w:p>
    <w:p w14:paraId="05B64B46">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9.乙方在合同期限内必须严格按照双方约定的养护标准进行养护。如因乙方原因履约不合约定、技术措施失当及其它过错造成甲方损失，应承担赔偿责任。</w:t>
      </w:r>
    </w:p>
    <w:p w14:paraId="4FE3B149">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10.乙方负责巡查维修养护责任范围内所使用的水、电、绿化配套设施及建筑物、构筑物，保证相关设施能够正常运行和使用。如乙方未履行上述义务造成项目或财产损失，由乙方承担赔偿责任。</w:t>
      </w:r>
    </w:p>
    <w:p w14:paraId="73F6B5BB">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 xml:space="preserve">11.乙方必须重视安全生产，落实安全生产责任制，在合同期限内，乙方承担所有安全责任及损失。若因乙方原因造成甲方承担的有关法律责任，乙方应赔偿给甲方造成的一切损失。 </w:t>
      </w:r>
    </w:p>
    <w:p w14:paraId="527536E5">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12.乙方须保证作业现场符合文明施工、治污减霾有关规定，全力配合城市治理等城市环境品质创建提升工作，承担因违反有关规定造成的损失和罚款。</w:t>
      </w:r>
    </w:p>
    <w:p w14:paraId="213D51F0">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13.乙方应具有充足的资金，能够在短时间内（2个月内）作为资金保障支付人员工资及管理服务费用。</w:t>
      </w:r>
    </w:p>
    <w:p w14:paraId="492B1447">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14.乙方须按期完成本合同规定的工作内容和各项临时任务。配合完成重大接待、绿化检查及应急预案紧急启动、防火防汛时的车辆、机械、人员集中调配。</w:t>
      </w:r>
    </w:p>
    <w:p w14:paraId="0B79C4EE">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15.协助甲方做好作业服务区域的绿化养护、设施管理等相关工作。对单位、居住区门前或园区配套商业、服务建筑周边绿化养护不到位、环境管护不到位的情况有义务向甲方相关人员报告，并协助甲方监督相关单位进行整改。</w:t>
      </w:r>
    </w:p>
    <w:p w14:paraId="0A93D87D">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16.乙方不履行上述各项义务，应按本合同约定及《周至县城市管理和综合执法局园林绿化养护管理考核评分细则》有关规定向甲方承担违约责任。</w:t>
      </w:r>
    </w:p>
    <w:p w14:paraId="26DC10D9">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17.乙方在按约定完成绿化养护和公园绿化养护工作的情况下，如甲方连续三个月未及时支付费用，乙方有权解除合同。</w:t>
      </w:r>
    </w:p>
    <w:p w14:paraId="10321945">
      <w:pPr>
        <w:pStyle w:val="4"/>
        <w:spacing w:line="620" w:lineRule="exact"/>
        <w:ind w:firstLine="562" w:firstLineChars="200"/>
        <w:jc w:val="left"/>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第七条 违约责任</w:t>
      </w:r>
    </w:p>
    <w:p w14:paraId="6C9F44D3">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本项目实行考核管理，依据《周至县城市管理和综合执法局园林绿化养护管理考核评分细则》制度执行。</w:t>
      </w:r>
    </w:p>
    <w:p w14:paraId="333DE429">
      <w:pPr>
        <w:pStyle w:val="4"/>
        <w:spacing w:line="620" w:lineRule="exact"/>
        <w:ind w:firstLine="562" w:firstLineChars="200"/>
        <w:jc w:val="left"/>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第八条 争议解决</w:t>
      </w:r>
    </w:p>
    <w:p w14:paraId="6F920C3B">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本合同未尽事宜，双方协商解决。</w:t>
      </w:r>
    </w:p>
    <w:p w14:paraId="51933426">
      <w:pPr>
        <w:pStyle w:val="4"/>
        <w:spacing w:line="620" w:lineRule="exact"/>
        <w:ind w:firstLine="562" w:firstLineChars="200"/>
        <w:jc w:val="left"/>
        <w:rPr>
          <w:rFonts w:hint="eastAsia" w:asciiTheme="minorEastAsia" w:hAnsiTheme="minorEastAsia" w:eastAsiaTheme="minorEastAsia" w:cstheme="minorEastAsia"/>
          <w:bCs/>
          <w:color w:val="000000"/>
          <w:kern w:val="0"/>
          <w:sz w:val="28"/>
          <w:szCs w:val="28"/>
        </w:rPr>
      </w:pPr>
      <w:r>
        <w:rPr>
          <w:rFonts w:hint="eastAsia" w:asciiTheme="minorEastAsia" w:hAnsiTheme="minorEastAsia" w:eastAsiaTheme="minorEastAsia" w:cstheme="minorEastAsia"/>
          <w:bCs/>
          <w:color w:val="000000"/>
          <w:kern w:val="0"/>
          <w:sz w:val="28"/>
          <w:szCs w:val="28"/>
        </w:rPr>
        <w:t>第九条 其他</w:t>
      </w:r>
    </w:p>
    <w:p w14:paraId="1F19EF6C">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一）委托作业服务区域的绿地、行道树、设施设备产权和行政管理权属于甲方所有，乙方仅具有按照合同规定进行养护和绿化养护作业的义务。因养护或运营维护作业以外原因造成损毁，乙方应及时告知甲方，并协助甲方处理相关事宜。</w:t>
      </w:r>
    </w:p>
    <w:p w14:paraId="03E56D70">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（二）本合同由双方签字、盖章后生效。一式陆份，其中正本贰份，副本肆份，甲、乙双方各执正本壹份，副本贰份。</w:t>
      </w:r>
    </w:p>
    <w:p w14:paraId="65F5FDA3">
      <w:pPr>
        <w:pStyle w:val="4"/>
        <w:spacing w:line="620" w:lineRule="exact"/>
        <w:ind w:firstLine="560" w:firstLineChars="200"/>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（三）本合同的附件作为合同的一部分，与本合同具有同等法律效力。</w:t>
      </w:r>
    </w:p>
    <w:p w14:paraId="23259BDF">
      <w:pPr>
        <w:pStyle w:val="4"/>
        <w:spacing w:line="620" w:lineRule="exact"/>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 xml:space="preserve"> </w:t>
      </w:r>
    </w:p>
    <w:p w14:paraId="39E36E78">
      <w:pPr>
        <w:pStyle w:val="4"/>
        <w:spacing w:line="620" w:lineRule="exact"/>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甲方：（公章）                 乙方： （公章）</w:t>
      </w:r>
    </w:p>
    <w:p w14:paraId="037FCC99">
      <w:pPr>
        <w:pStyle w:val="4"/>
        <w:spacing w:line="620" w:lineRule="exact"/>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 xml:space="preserve">地址：                         地址：        </w:t>
      </w:r>
    </w:p>
    <w:p w14:paraId="50C9B9CA">
      <w:pPr>
        <w:pStyle w:val="4"/>
        <w:spacing w:line="620" w:lineRule="exact"/>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法人代表：                     法人代表：</w:t>
      </w:r>
    </w:p>
    <w:p w14:paraId="0619C67B">
      <w:pPr>
        <w:pStyle w:val="4"/>
        <w:spacing w:line="620" w:lineRule="exact"/>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或委托代理人（签字）：         或委托代理人（签字）：</w:t>
      </w:r>
    </w:p>
    <w:p w14:paraId="61DDE35B">
      <w:pPr>
        <w:pStyle w:val="4"/>
        <w:spacing w:line="620" w:lineRule="exact"/>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开户银行：                     开户银行：</w:t>
      </w:r>
    </w:p>
    <w:p w14:paraId="2A191BDD">
      <w:pPr>
        <w:pStyle w:val="4"/>
        <w:spacing w:line="620" w:lineRule="exact"/>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账号：                         账号：</w:t>
      </w:r>
    </w:p>
    <w:p w14:paraId="3AE05642">
      <w:pPr>
        <w:pStyle w:val="4"/>
        <w:spacing w:line="620" w:lineRule="exact"/>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电话：                         电话：</w:t>
      </w:r>
    </w:p>
    <w:p w14:paraId="7CE4DD56">
      <w:pPr>
        <w:pStyle w:val="4"/>
        <w:spacing w:line="620" w:lineRule="exact"/>
        <w:jc w:val="left"/>
        <w:rPr>
          <w:rFonts w:hint="eastAsia" w:asciiTheme="minorEastAsia" w:hAnsiTheme="minorEastAsia" w:eastAsiaTheme="minorEastAsia" w:cstheme="minorEastAsia"/>
          <w:b w:val="0"/>
          <w:bCs/>
          <w:color w:val="000000"/>
          <w:kern w:val="0"/>
          <w:sz w:val="28"/>
          <w:szCs w:val="28"/>
        </w:rPr>
      </w:pPr>
      <w:r>
        <w:rPr>
          <w:rFonts w:hint="eastAsia" w:asciiTheme="minorEastAsia" w:hAnsiTheme="minorEastAsia" w:eastAsiaTheme="minorEastAsia" w:cstheme="minorEastAsia"/>
          <w:b w:val="0"/>
          <w:bCs/>
          <w:color w:val="000000"/>
          <w:kern w:val="0"/>
          <w:sz w:val="28"/>
          <w:szCs w:val="28"/>
        </w:rPr>
        <w:t>传真：                         传真：</w:t>
      </w:r>
    </w:p>
    <w:p w14:paraId="449C4879">
      <w:pPr>
        <w:pStyle w:val="4"/>
        <w:spacing w:line="620" w:lineRule="exact"/>
        <w:jc w:val="left"/>
        <w:rPr>
          <w:rFonts w:hint="eastAsia" w:asciiTheme="minorEastAsia" w:hAnsiTheme="minorEastAsia" w:eastAsiaTheme="minorEastAsia" w:cstheme="minorEastAsia"/>
          <w:color w:val="000000"/>
          <w:kern w:val="0"/>
          <w:sz w:val="28"/>
          <w:szCs w:val="28"/>
          <w:lang w:val="en-US" w:eastAsia="zh-CN"/>
        </w:rPr>
        <w:sectPr>
          <w:pgSz w:w="12240" w:h="15840"/>
          <w:pgMar w:top="1440" w:right="1800" w:bottom="1440" w:left="1800" w:header="720" w:footer="720" w:gutter="0"/>
          <w:cols w:space="720" w:num="1"/>
        </w:sectPr>
      </w:pPr>
      <w:r>
        <w:rPr>
          <w:rFonts w:hint="eastAsia" w:asciiTheme="minorEastAsia" w:hAnsiTheme="minorEastAsia" w:eastAsiaTheme="minorEastAsia" w:cstheme="minorEastAsia"/>
          <w:b w:val="0"/>
          <w:bCs/>
          <w:color w:val="000000"/>
          <w:kern w:val="0"/>
          <w:sz w:val="28"/>
          <w:szCs w:val="28"/>
        </w:rPr>
        <w:t xml:space="preserve">     年    月  日                   年    月 </w:t>
      </w:r>
      <w:r>
        <w:rPr>
          <w:rFonts w:hint="eastAsia" w:asciiTheme="minorEastAsia" w:hAnsiTheme="minorEastAsia" w:eastAsiaTheme="minorEastAsia" w:cstheme="minorEastAsia"/>
          <w:b w:val="0"/>
          <w:bCs/>
          <w:color w:val="000000"/>
          <w:kern w:val="0"/>
          <w:sz w:val="28"/>
          <w:szCs w:val="28"/>
          <w:lang w:val="en-US" w:eastAsia="zh-CN"/>
        </w:rPr>
        <w:t xml:space="preserve"> </w:t>
      </w:r>
      <w:r>
        <w:rPr>
          <w:rFonts w:hint="eastAsia" w:asciiTheme="minorEastAsia" w:hAnsiTheme="minorEastAsia" w:eastAsiaTheme="minorEastAsia" w:cstheme="minorEastAsia"/>
          <w:b w:val="0"/>
          <w:bCs/>
          <w:color w:val="000000"/>
          <w:kern w:val="0"/>
          <w:sz w:val="28"/>
          <w:szCs w:val="28"/>
        </w:rPr>
        <w:t xml:space="preserve"> </w:t>
      </w:r>
      <w:r>
        <w:rPr>
          <w:rFonts w:hint="eastAsia" w:asciiTheme="minorEastAsia" w:hAnsiTheme="minorEastAsia" w:eastAsiaTheme="minorEastAsia" w:cstheme="minorEastAsia"/>
          <w:b w:val="0"/>
          <w:bCs/>
          <w:color w:val="000000"/>
          <w:kern w:val="0"/>
          <w:sz w:val="28"/>
          <w:szCs w:val="28"/>
          <w:lang w:val="en-US" w:eastAsia="zh-CN"/>
        </w:rPr>
        <w:t xml:space="preserve"> 日</w:t>
      </w:r>
    </w:p>
    <w:p w14:paraId="3F87A5D1">
      <w:pPr>
        <w:pStyle w:val="2"/>
        <w:ind w:left="0" w:leftChars="0" w:firstLine="0" w:firstLineChars="0"/>
        <w:rPr>
          <w:rFonts w:hint="eastAsia" w:asciiTheme="minorEastAsia" w:hAnsiTheme="minorEastAsia" w:eastAsiaTheme="minorEastAsia" w:cstheme="minorEastAsia"/>
          <w:sz w:val="28"/>
          <w:szCs w:val="28"/>
          <w:lang w:eastAsia="zh-CN"/>
        </w:rPr>
      </w:pPr>
    </w:p>
    <w:p w14:paraId="3CC42253">
      <w:pPr>
        <w:pStyle w:val="2"/>
        <w:rPr>
          <w:rFonts w:hint="eastAsia" w:asciiTheme="majorEastAsia" w:hAnsiTheme="majorEastAsia" w:eastAsiaTheme="majorEastAsia" w:cstheme="majorEastAsia"/>
          <w:sz w:val="24"/>
          <w:szCs w:val="24"/>
        </w:rPr>
      </w:pPr>
    </w:p>
    <w:sectPr>
      <w:pgSz w:w="11906" w:h="16838"/>
      <w:pgMar w:top="1440" w:right="1474" w:bottom="1440"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A6BEE">
    <w:pPr>
      <w:pStyle w:val="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81D23C">
                          <w:pPr>
                            <w:pStyle w:val="6"/>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2981D23C">
                    <w:pPr>
                      <w:pStyle w:val="6"/>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995CA">
    <w:pPr>
      <w:pStyle w:val="6"/>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7EE2C2">
                          <w:pPr>
                            <w:pStyle w:val="6"/>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D7EE2C2">
                    <w:pPr>
                      <w:pStyle w:val="6"/>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BC540">
    <w:pPr>
      <w:pStyle w:val="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7B1CDB">
                          <w:pPr>
                            <w:pStyle w:val="6"/>
                          </w:pPr>
                          <w:r>
                            <w:fldChar w:fldCharType="begin"/>
                          </w:r>
                          <w:r>
                            <w:instrText xml:space="preserve"> PAGE  \* MERGEFORMAT </w:instrText>
                          </w:r>
                          <w:r>
                            <w:fldChar w:fldCharType="separate"/>
                          </w:r>
                          <w:r>
                            <w:t>8</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ogMnjIAQAAmQMAAA4AAAAAAAAAAQAgAAAAHgEAAGRycy9lMm9Eb2Mu&#10;eG1sUEsFBgAAAAAGAAYAWQEAAFgFAAAAAA==&#10;">
              <v:fill on="f" focussize="0,0"/>
              <v:stroke on="f"/>
              <v:imagedata o:title=""/>
              <o:lock v:ext="edit" aspectratio="f"/>
              <v:textbox inset="0mm,0mm,0mm,0mm" style="mso-fit-shape-to-text:t;">
                <w:txbxContent>
                  <w:p w14:paraId="657B1CDB">
                    <w:pPr>
                      <w:pStyle w:val="6"/>
                    </w:pPr>
                    <w:r>
                      <w:fldChar w:fldCharType="begin"/>
                    </w:r>
                    <w:r>
                      <w:instrText xml:space="preserve"> PAGE  \* MERGEFORMAT </w:instrText>
                    </w:r>
                    <w:r>
                      <w:fldChar w:fldCharType="separate"/>
                    </w:r>
                    <w:r>
                      <w:t>8</w:t>
                    </w:r>
                    <w:r>
                      <w:fldChar w:fldCharType="end"/>
                    </w:r>
                  </w:p>
                </w:txbxContent>
              </v:textbox>
            </v:shape>
          </w:pict>
        </mc:Fallback>
      </mc:AlternateContent>
    </w:r>
  </w:p>
  <w:p w14:paraId="6A36415E">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9AFF7">
    <w:pPr>
      <w:pStyle w:val="6"/>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F44E6B">
                          <w:pPr>
                            <w:pStyle w:val="6"/>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pGhU/IAQAAmQMAAA4AAAAAAAAAAQAgAAAAHgEAAGRycy9lMm9Eb2Mu&#10;eG1sUEsFBgAAAAAGAAYAWQEAAFgFAAAAAA==&#10;">
              <v:fill on="f" focussize="0,0"/>
              <v:stroke on="f"/>
              <v:imagedata o:title=""/>
              <o:lock v:ext="edit" aspectratio="f"/>
              <v:textbox inset="0mm,0mm,0mm,0mm" style="mso-fit-shape-to-text:t;">
                <w:txbxContent>
                  <w:p w14:paraId="55F44E6B">
                    <w:pPr>
                      <w:pStyle w:val="6"/>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F990B1">
                          <w:pPr>
                            <w:pStyle w:val="6"/>
                            <w:jc w:val="both"/>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vrIMkBAACZAwAADgAAAGRycy9lMm9Eb2MueG1srVPNjtMwEL4j8Q6W&#10;79RptU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qi+sgyQEAAJkDAAAOAAAAAAAAAAEAIAAAAB4BAABkcnMvZTJvRG9j&#10;LnhtbFBLBQYAAAAABgAGAFkBAABZBQAAAAA=&#10;">
              <v:fill on="f" focussize="0,0"/>
              <v:stroke on="f"/>
              <v:imagedata o:title=""/>
              <o:lock v:ext="edit" aspectratio="f"/>
              <v:textbox inset="0mm,0mm,0mm,0mm" style="mso-fit-shape-to-text:t;">
                <w:txbxContent>
                  <w:p w14:paraId="79F990B1">
                    <w:pPr>
                      <w:pStyle w:val="6"/>
                      <w:jc w:val="both"/>
                    </w:pPr>
                  </w:p>
                </w:txbxContent>
              </v:textbox>
            </v:shape>
          </w:pict>
        </mc:Fallback>
      </mc:AlternateContent>
    </w:r>
  </w:p>
  <w:p w14:paraId="3FECD8C1">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D949F">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E95566">
                          <w:pPr>
                            <w:pStyle w:val="6"/>
                          </w:pPr>
                          <w:r>
                            <w:fldChar w:fldCharType="begin"/>
                          </w:r>
                          <w:r>
                            <w:instrText xml:space="preserve"> PAGE  \* MERGEFORMAT </w:instrText>
                          </w:r>
                          <w:r>
                            <w:fldChar w:fldCharType="separate"/>
                          </w:r>
                          <w:r>
                            <w:t>12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u1cF8kBAACZAwAADgAAAGRycy9lMm9Eb2MueG1srVPNjtMwEL4j8Q6W&#10;79RppUV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a7VwXyQEAAJkDAAAOAAAAAAAAAAEAIAAAAB4BAABkcnMvZTJvRG9j&#10;LnhtbFBLBQYAAAAABgAGAFkBAABZBQAAAAA=&#10;">
              <v:fill on="f" focussize="0,0"/>
              <v:stroke on="f"/>
              <v:imagedata o:title=""/>
              <o:lock v:ext="edit" aspectratio="f"/>
              <v:textbox inset="0mm,0mm,0mm,0mm" style="mso-fit-shape-to-text:t;">
                <w:txbxContent>
                  <w:p w14:paraId="73E95566">
                    <w:pPr>
                      <w:pStyle w:val="6"/>
                    </w:pPr>
                    <w:r>
                      <w:fldChar w:fldCharType="begin"/>
                    </w:r>
                    <w:r>
                      <w:instrText xml:space="preserve"> PAGE  \* MERGEFORMAT </w:instrText>
                    </w:r>
                    <w:r>
                      <w:fldChar w:fldCharType="separate"/>
                    </w:r>
                    <w:r>
                      <w:t>12</w:t>
                    </w:r>
                    <w:r>
                      <w:fldChar w:fldCharType="end"/>
                    </w:r>
                  </w:p>
                </w:txbxContent>
              </v:textbox>
            </v:shape>
          </w:pict>
        </mc:Fallback>
      </mc:AlternateContent>
    </w:r>
  </w:p>
  <w:p w14:paraId="516D7EA8">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E618D">
    <w:pPr>
      <w:pStyle w:val="7"/>
      <w:jc w:val="center"/>
      <w:rPr>
        <w:rFonts w:hint="eastAsia" w:ascii="黑体" w:hAnsi="黑体" w:eastAsia="黑体"/>
        <w:sz w:val="21"/>
        <w:szCs w:val="21"/>
      </w:rPr>
    </w:pPr>
    <w:r>
      <w:rPr>
        <w:rFonts w:hint="eastAsia" w:ascii="黑体" w:hAnsi="黑体" w:eastAsia="黑体" w:cs="黑体"/>
        <w:sz w:val="21"/>
        <w:szCs w:val="21"/>
      </w:rPr>
      <mc:AlternateContent>
        <mc:Choice Requires="wps">
          <w:drawing>
            <wp:anchor distT="0" distB="0" distL="114300" distR="114300" simplePos="0" relativeHeight="251661312" behindDoc="0" locked="0" layoutInCell="1" allowOverlap="1">
              <wp:simplePos x="0" y="0"/>
              <wp:positionH relativeFrom="margin">
                <wp:posOffset>5825490</wp:posOffset>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720664">
                          <w:pPr>
                            <w:pStyle w:val="7"/>
                            <w:rPr>
                              <w:rFonts w:hint="eastAsia" w:eastAsia="等线"/>
                            </w:rPr>
                          </w:pPr>
                        </w:p>
                      </w:txbxContent>
                    </wps:txbx>
                    <wps:bodyPr wrap="none" lIns="0" tIns="0" rIns="0" bIns="0" upright="1">
                      <a:spAutoFit/>
                    </wps:bodyPr>
                  </wps:wsp>
                </a:graphicData>
              </a:graphic>
            </wp:anchor>
          </w:drawing>
        </mc:Choice>
        <mc:Fallback>
          <w:pict>
            <v:shape id="_x0000_s1026" o:spid="_x0000_s1026" o:spt="202" type="#_x0000_t202" style="position:absolute;left:0pt;margin-left:458.7pt;margin-top:0pt;height:144pt;width:144pt;mso-position-horizontal-relative:margin;mso-wrap-style:none;z-index:251661312;mso-width-relative:page;mso-height-relative:page;" filled="f" stroked="f" coordsize="21600,21600" o:gfxdata="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OseQJtQAAAAJAQAADwAAAAAAAAABACAAAAAiAAAAZHJzL2Rvd25y&#10;ZXYueG1sUEsBAhQAFAAAAAgAh07iQPq776bJAQAAmQMAAA4AAAAAAAAAAQAgAAAAIwEAAGRycy9l&#10;Mm9Eb2MueG1sUEsFBgAAAAAGAAYAWQEAAF4FAAAAAA==&#10;">
              <v:fill on="f" focussize="0,0"/>
              <v:stroke on="f"/>
              <v:imagedata o:title=""/>
              <o:lock v:ext="edit" aspectratio="f"/>
              <v:textbox inset="0mm,0mm,0mm,0mm" style="mso-fit-shape-to-text:t;">
                <w:txbxContent>
                  <w:p w14:paraId="49720664">
                    <w:pPr>
                      <w:pStyle w:val="7"/>
                      <w:rPr>
                        <w:rFonts w:hint="eastAsia" w:eastAsia="等线"/>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95BB3">
    <w:pPr>
      <w:pStyle w:val="7"/>
      <w:spacing w:afterLines="50"/>
      <w:jc w:val="right"/>
      <w:rPr>
        <w:rFonts w:hint="eastAsia" w:ascii="黑体" w:hAnsi="黑体" w:eastAsia="黑体" w:cs="黑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3F7234"/>
    <w:rsid w:val="103F7234"/>
    <w:rsid w:val="58583FC0"/>
    <w:rsid w:val="5B9D1848"/>
    <w:rsid w:val="5E68107D"/>
    <w:rsid w:val="68AA5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99"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99"/>
    <w:pPr>
      <w:spacing w:line="360" w:lineRule="auto"/>
      <w:jc w:val="center"/>
      <w:outlineLvl w:val="0"/>
    </w:pPr>
    <w:rPr>
      <w:rFonts w:ascii="Calibri" w:hAnsi="Calibri" w:eastAsia="微软雅黑"/>
      <w:b/>
      <w:kern w:val="44"/>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480"/>
    </w:pPr>
    <w:rPr>
      <w:rFonts w:ascii="宋体" w:hAnsi="宋体"/>
    </w:rPr>
  </w:style>
  <w:style w:type="paragraph" w:styleId="5">
    <w:name w:val="Body Text"/>
    <w:basedOn w:val="1"/>
    <w:semiHidden/>
    <w:unhideWhenUsed/>
    <w:qFormat/>
    <w:uiPriority w:val="99"/>
    <w:pPr>
      <w:spacing w:after="120"/>
    </w:pPr>
  </w:style>
  <w:style w:type="paragraph" w:styleId="6">
    <w:name w:val="footer"/>
    <w:basedOn w:val="1"/>
    <w:qFormat/>
    <w:uiPriority w:val="99"/>
    <w:pPr>
      <w:tabs>
        <w:tab w:val="center" w:pos="4153"/>
        <w:tab w:val="right" w:pos="8306"/>
      </w:tabs>
      <w:snapToGrid w:val="0"/>
      <w:jc w:val="center"/>
    </w:pPr>
    <w:rPr>
      <w:rFonts w:ascii="仿宋_GB2312" w:hAnsi="仿宋_GB2312" w:eastAsia="仿宋_GB2312"/>
      <w:sz w:val="24"/>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8">
    <w:name w:val="Normal (Web)"/>
    <w:basedOn w:val="1"/>
    <w:semiHidden/>
    <w:unhideWhenUsed/>
    <w:qFormat/>
    <w:uiPriority w:val="99"/>
    <w:pPr>
      <w:spacing w:before="100" w:beforeAutospacing="1" w:after="100" w:afterAutospacing="1"/>
      <w:jc w:val="left"/>
    </w:pPr>
    <w:rPr>
      <w:kern w:val="0"/>
      <w:sz w:val="24"/>
      <w:szCs w:val="24"/>
    </w:rPr>
  </w:style>
  <w:style w:type="paragraph" w:styleId="9">
    <w:name w:val="Body Text First Indent"/>
    <w:basedOn w:val="5"/>
    <w:next w:val="2"/>
    <w:semiHidden/>
    <w:unhideWhenUsed/>
    <w:qFormat/>
    <w:uiPriority w:val="99"/>
    <w:pPr>
      <w:spacing w:before="100" w:beforeAutospacing="1" w:line="360" w:lineRule="auto"/>
      <w:ind w:firstLine="420"/>
    </w:pPr>
    <w:rPr>
      <w:rFonts w:ascii="宋体" w:hAnsi="宋体"/>
      <w:sz w:val="24"/>
      <w:szCs w:val="24"/>
    </w:rPr>
  </w:style>
  <w:style w:type="character" w:styleId="12">
    <w:name w:val="Emphasis"/>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16721</Words>
  <Characters>18445</Characters>
  <Lines>0</Lines>
  <Paragraphs>0</Paragraphs>
  <TotalTime>1</TotalTime>
  <ScaleCrop>false</ScaleCrop>
  <LinksUpToDate>false</LinksUpToDate>
  <CharactersWithSpaces>19094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2026-08-06T08:53:00Z</dcterms:created>
  <dc:creator>芳</dc:creator>
  <cp:lastModifiedBy>S</cp:lastModifiedBy>
  <dcterms:modified xsi:type="dcterms:W3CDTF">2026-08-07T05:21:02Z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3F4F643C594B490EB3D6E5DE535F0722_13</vt:lpwstr>
  </property>
  <property fmtid="{D5CDD505-2E9C-101B-9397-08002B2CF9AE}" pid="4" name="KSOTemplateDocerSaveRecord">
    <vt:lpwstr>eyJoZGlkIjoiNzNjMDBkZGY5YmRjODgzOTVhM2NmYWM2YjZhY2ExMmQiLCJ1c2VySWQiOiIyMzUwOTk3MDMifQ==</vt:lpwstr>
  </property>
</Properties>
</file>