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版本号：FHGJ2026-070620260714001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地理科学虚拟仿真教学中心建设项目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FHGJ2026-0706</w:t>
      </w:r>
      <w:r>
        <w:br/>
      </w:r>
      <w:r>
        <w:br/>
      </w:r>
      <w:r>
        <w:br/>
      </w:r>
    </w:p>
    <w:p>
      <w:pPr>
        <w:pStyle w:val="null3"/>
        <w:jc w:val="center"/>
        <w:outlineLvl w:val="2"/>
      </w:pPr>
      <w:r>
        <w:rPr>
          <w:rFonts w:ascii="仿宋_GB2312" w:hAnsi="仿宋_GB2312" w:cs="仿宋_GB2312" w:eastAsia="仿宋_GB2312"/>
          <w:sz w:val="28"/>
          <w:b/>
        </w:rPr>
        <w:t>宝鸡文理学院</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宝鸡文理学院</w:t>
      </w:r>
      <w:r>
        <w:rPr>
          <w:rFonts w:ascii="仿宋_GB2312" w:hAnsi="仿宋_GB2312" w:cs="仿宋_GB2312" w:eastAsia="仿宋_GB2312"/>
        </w:rPr>
        <w:t>委托，拟对</w:t>
      </w:r>
      <w:r>
        <w:rPr>
          <w:rFonts w:ascii="仿宋_GB2312" w:hAnsi="仿宋_GB2312" w:cs="仿宋_GB2312" w:eastAsia="仿宋_GB2312"/>
        </w:rPr>
        <w:t>地理科学虚拟仿真教学中心建设项目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FHGJ2026-0706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地理科学虚拟仿真教学中心建设项目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目标：本项目以地理科学国家级一流专业建设与师范专业认证为核心导向，面向地理科学、地理信息科学、人文地理与城乡规划等专业实践教学需求，搭建智能互动式虚拟仿真实践教学平台，构建“虚实结合、能实不虚、相互补充”的现代化实践教学体系。通过采购高性能虚拟仿真平台及硬件，补齐野外实践受限、高风险实验难开、大型设备不足、三维GIS与无人机实训条件薄弱等短板，实现地理场景三维可视化、无人机航测虚拟仿真、野外实习数字化预演、综合探究实验智能化互动，全面提升学生地理实践力、空间分析能力、三维建模能力与创新应用能力，为培养高素质应用型、复合型地理师范与地学专业人才提供一流硬件与软件支撑。 绩效：教学覆盖绩效：覆盖核心课程实验12门以上，年均服务学生400人以上，实验项目开出率100%，综合性、设计性、创新性实验占比显著提升。 实践能力绩效：学生可完成无人机虚拟飞行、三维地形建模、GIS空间分析、虚拟野外实习、倾斜摄影测量等全流程训练，实践操作达标率与实验成果优良率明显提高。 专业建设绩效：满足国家级一流本科专业建设、师范认证、实践教学质量评价对虚拟仿真实验教学条件的刚性要求，支撑教学成果奖、教改项目、大学生创新创业项目申报。 资源开放绩效：平台支持校内多专业共享、线上线下混合教学、课外自主训练，同时服务地方基础教育研学与地理实践教学，提升社会服务效益。 运行保障绩效：设备与平台验收合格率100%，系统稳定运行，数据安全可靠，运维便捷高效，资金使用规范，使用寿命满足长期教学科研需求。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1、营业执照：供应商具有独立承担民事责任能力的企业法人、事业法人、其他组织或自然人。企业 法人应提供合法有效的营业执照；事业法人应提供合法有效的事业单位法人证书；其他组织 应提供合法有效的证明文件；自然人参与的提供其身份证明；</w:t>
      </w:r>
    </w:p>
    <w:p>
      <w:pPr>
        <w:pStyle w:val="null3"/>
      </w:pPr>
      <w:r>
        <w:rPr>
          <w:rFonts w:ascii="仿宋_GB2312" w:hAnsi="仿宋_GB2312" w:cs="仿宋_GB2312" w:eastAsia="仿宋_GB2312"/>
        </w:rPr>
        <w:t>2、法定代表人授权委托书：供应商应授权合法的人员参加磋商全过程，其中法定代表人直接参加磋商的，须出具 法定代表人资格证明书，法定代表人授权代表参加磋商的，须出具法定代表人资格证明书及 法定代表人授权委托书；</w:t>
      </w:r>
    </w:p>
    <w:p>
      <w:pPr>
        <w:pStyle w:val="null3"/>
      </w:pPr>
      <w:r>
        <w:rPr>
          <w:rFonts w:ascii="仿宋_GB2312" w:hAnsi="仿宋_GB2312" w:cs="仿宋_GB2312" w:eastAsia="仿宋_GB2312"/>
        </w:rPr>
        <w:t>3、财务状况报告：提供2024或2025年度的财务审计报告（成立时间至提交投标文件截 止时间不足一年的可提供成立后任意时段的资产负债表）或开标前三个月内其基本存款账户 开户银行出具的资信证明；</w:t>
      </w:r>
    </w:p>
    <w:p>
      <w:pPr>
        <w:pStyle w:val="null3"/>
      </w:pPr>
      <w:r>
        <w:rPr>
          <w:rFonts w:ascii="仿宋_GB2312" w:hAnsi="仿宋_GB2312" w:cs="仿宋_GB2312" w:eastAsia="仿宋_GB2312"/>
        </w:rPr>
        <w:t>4、税收缴纳证明：提供2025年6月至今任意3个月的纳税证明或完税证明，纳税证明或 完税证明上应有代收机构或税务机关的公章或业务专用章，依法免税的供应商应提供相关文 件证明；</w:t>
      </w:r>
    </w:p>
    <w:p>
      <w:pPr>
        <w:pStyle w:val="null3"/>
      </w:pPr>
      <w:r>
        <w:rPr>
          <w:rFonts w:ascii="仿宋_GB2312" w:hAnsi="仿宋_GB2312" w:cs="仿宋_GB2312" w:eastAsia="仿宋_GB2312"/>
        </w:rPr>
        <w:t>5、社会保障资金缴纳证明：提供2025年6月至今任意3个月的社会保障资金缴存单据或 社保机构开具的社会保险参保缴费情况证明，依法不需要缴纳社会保障资金的供应商应提供 相关文件证明；</w:t>
      </w:r>
    </w:p>
    <w:p>
      <w:pPr>
        <w:pStyle w:val="null3"/>
      </w:pPr>
      <w:r>
        <w:rPr>
          <w:rFonts w:ascii="仿宋_GB2312" w:hAnsi="仿宋_GB2312" w:cs="仿宋_GB2312" w:eastAsia="仿宋_GB2312"/>
        </w:rPr>
        <w:t>6、履行本合同所必需的设备和专业技术能力：提供具有履行本合同所必需的设备和专业技术能力的承诺书；</w:t>
      </w:r>
    </w:p>
    <w:p>
      <w:pPr>
        <w:pStyle w:val="null3"/>
      </w:pPr>
      <w:r>
        <w:rPr>
          <w:rFonts w:ascii="仿宋_GB2312" w:hAnsi="仿宋_GB2312" w:cs="仿宋_GB2312" w:eastAsia="仿宋_GB2312"/>
        </w:rPr>
        <w:t>7、书面声明：近三年无重大违法记录书面声明：参加本次采购活动前三年内，在经营活动中无重大 违法记录的书面声明</w:t>
      </w:r>
    </w:p>
    <w:p>
      <w:pPr>
        <w:pStyle w:val="null3"/>
      </w:pPr>
      <w:r>
        <w:rPr>
          <w:rFonts w:ascii="仿宋_GB2312" w:hAnsi="仿宋_GB2312" w:cs="仿宋_GB2312" w:eastAsia="仿宋_GB2312"/>
        </w:rPr>
        <w:t>8、信用记录：供应商不得在“信用中国”网站（www.creditchina.gov.cn）中被列入重 大税收违法失信主体；不得在“中国执行信息公开网”（zxgk.court.gov.cn/shixin/）被列 入失信被执行人；不得在“中国政府采购网”（www.ccgp.gov.cn）政府采购严重违法失信行 为记录名单中被财政部门禁止参加政府采购活动；</w:t>
      </w:r>
    </w:p>
    <w:p>
      <w:pPr>
        <w:pStyle w:val="null3"/>
      </w:pPr>
      <w:r>
        <w:rPr>
          <w:rFonts w:ascii="仿宋_GB2312" w:hAnsi="仿宋_GB2312" w:cs="仿宋_GB2312" w:eastAsia="仿宋_GB2312"/>
        </w:rPr>
        <w:t>9、控股管理关系：单位负责人为同一人或者存在直接控股、管理关系的不同供应商，不得参加同一合同 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宝鸡文理学院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宝鸡市高新大道1号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13890172232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陕西省西安市碑林区长安北路113号大话南门壹中心14楼11401室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18966511108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开户名称：丰汇国际项目管理有限公司</w:t>
            </w:r>
          </w:p>
          <w:p>
            <w:pPr>
              <w:pStyle w:val="null3"/>
            </w:pPr>
            <w:r>
              <w:rPr>
                <w:rFonts w:ascii="仿宋_GB2312" w:hAnsi="仿宋_GB2312" w:cs="仿宋_GB2312" w:eastAsia="仿宋_GB2312"/>
              </w:rPr>
              <w:t>开户银行：交通银行西安城南支行</w:t>
            </w:r>
          </w:p>
          <w:p>
            <w:pPr>
              <w:pStyle w:val="null3"/>
            </w:pPr>
            <w:r>
              <w:rPr>
                <w:rFonts w:ascii="仿宋_GB2312" w:hAnsi="仿宋_GB2312" w:cs="仿宋_GB2312" w:eastAsia="仿宋_GB2312"/>
              </w:rPr>
              <w:t>银行账号：611301033010141013028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代理服务费收费标准：参考1980号文</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宝鸡文理学院</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宝鸡文理学院</w:t>
      </w:r>
      <w:r>
        <w:rPr>
          <w:rFonts w:ascii="仿宋_GB2312" w:hAnsi="仿宋_GB2312" w:cs="仿宋_GB2312" w:eastAsia="仿宋_GB2312"/>
        </w:rPr>
        <w:t>负责解释。除上述招标文件内容，其他内容由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宝鸡文理学院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联系人：焦女士</w:t>
      </w:r>
    </w:p>
    <w:p>
      <w:pPr>
        <w:pStyle w:val="null3"/>
      </w:pPr>
      <w:r>
        <w:rPr>
          <w:rFonts w:ascii="仿宋_GB2312" w:hAnsi="仿宋_GB2312" w:cs="仿宋_GB2312" w:eastAsia="仿宋_GB2312"/>
        </w:rPr>
        <w:t>联系电话：18966511108</w:t>
      </w:r>
    </w:p>
    <w:p>
      <w:pPr>
        <w:pStyle w:val="null3"/>
      </w:pPr>
      <w:r>
        <w:rPr>
          <w:rFonts w:ascii="仿宋_GB2312" w:hAnsi="仿宋_GB2312" w:cs="仿宋_GB2312" w:eastAsia="仿宋_GB2312"/>
        </w:rPr>
        <w:t>地址：陕西省西安市碑林区长安北路113号大话南门壹中心14楼11401室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1.项目实现的目标和绩效 目标：本项目以地理科学国家级一流专业建设与师范专业认证为核心导向，面向地理科学、地理信息科学、人文地理与城乡规划等专业实践教学需求，搭建智能互动式虚拟仿真实践教学平台，构建“虚实结合、能实不虚、相互补充”的现代化实践教学体系。通过采购高性能虚拟仿真平台及硬件，补齐野外实践受限、高风险实验难开、大型设备不足、三维GIS与无人机实训条件薄弱等短板，实现地理场景三维可视化、无人机航测虚拟仿真、野外实习数字化预演、综合探究实验智能化互动，全面提升学生地理实践力、空间分析能力、三维建模能力与创新应用能力，为培养高素质应用型、复合型地理师范与地学专业人才提供一流硬件与软件支撑。 绩效：教学覆盖绩效：覆盖核心课程实验12门以上，年均服务学生400人以上，实验项目开出率100%，综合性、设计性、创新性实验占比显著提升。 实践能力绩效：学生可完成无人机虚拟飞行、三维地形建模、GIS空间分析、虚拟野外实习、倾斜摄影测量等全流程训练，实践操作达标率与实验成果优良率明显提高。 专业建设绩效：满足国家级一流本科专业建设、师范认证、实践教学质量评价对虚拟仿真实验教学条件的刚性要求，支撑教学成果奖、教改项目、大学生创新创业项目申报。 资源开放绩效：平台支持校内多专业共享、线上线下混合教学、课外自主训练，同时服务地方基础教育研学与地理实践教学，提升社会服务效益。 运行保障绩效：设备与平台验收合格率100%，系统稳定运行，数据安全可靠，运维便捷高效，资金使用规范，使用寿命满足长期教学科研需求。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394,000.00</w:t>
      </w:r>
    </w:p>
    <w:p>
      <w:pPr>
        <w:pStyle w:val="null3"/>
      </w:pPr>
      <w:r>
        <w:rPr>
          <w:rFonts w:ascii="仿宋_GB2312" w:hAnsi="仿宋_GB2312" w:cs="仿宋_GB2312" w:eastAsia="仿宋_GB2312"/>
        </w:rPr>
        <w:t>采购包最高限价（元）: 394,000.00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智能互动式虚拟仿真实践教学平台等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标的名称：智能互动式虚拟仿真实践教学平台等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6"/>
              <w:gridCol w:w="271"/>
              <w:gridCol w:w="271"/>
              <w:gridCol w:w="186"/>
              <w:gridCol w:w="186"/>
              <w:gridCol w:w="271"/>
              <w:gridCol w:w="583"/>
              <w:gridCol w:w="508"/>
              <w:gridCol w:w="103"/>
            </w:tblGrid>
            <w:tr>
              <w:tc>
                <w:tcPr>
                  <w:tcW w:type="dxa" w:w="2442"/>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6"/>
                      <w:color w:val="000000"/>
                    </w:rPr>
                    <w:t>宝鸡文理学院地理科学虚拟仿真教学中心建设项目采购内容</w:t>
                  </w:r>
                </w:p>
              </w:tc>
              <w:tc>
                <w:tcPr>
                  <w:tcW w:type="dxa" w:w="10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91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仪器设备名称</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数量（台）</w:t>
                  </w:r>
                </w:p>
              </w:tc>
              <w:tc>
                <w:tcPr>
                  <w:tcW w:type="dxa" w:w="10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1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智能互动式虚拟仿真实践教学平台</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节点</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0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5"/>
                  <w:gridSpan w:val="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宝鸡文理学院地理科学虚拟仿真教学中心建设项目</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仪器设备名称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46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技术要求</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智能互动式虚拟仿真实践教学平台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节点</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46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rFonts w:ascii="仿宋_GB2312" w:hAnsi="仿宋_GB2312" w:cs="仿宋_GB2312" w:eastAsia="仿宋_GB2312"/>
                      <w:sz w:val="22"/>
                      <w:color w:val="000000"/>
                    </w:rPr>
                    <w:t>▲1、支持3D Tiles格式数字高程模型（DEM）加载，地形起伏与真实地理数据一致；支持卫星影像（PNG/JPG瓦片）叠加，纹理与地形精准对齐（提供产品功能截图）</w:t>
                  </w:r>
                  <w:r>
                    <w:br/>
                  </w:r>
                  <w:r>
                    <w:rPr>
                      <w:rFonts w:ascii="仿宋_GB2312" w:hAnsi="仿宋_GB2312" w:cs="仿宋_GB2312" w:eastAsia="仿宋_GB2312"/>
                      <w:sz w:val="22"/>
                      <w:color w:val="000000"/>
                    </w:rPr>
                    <w:t>▲2、支持实景三维模型（倾斜摄影3D Tiles），正射影像，点云数据导入与地形融合联动展示。（提供产品功能截图）</w:t>
                  </w:r>
                  <w:r>
                    <w:br/>
                  </w:r>
                  <w:r>
                    <w:rPr>
                      <w:rFonts w:ascii="仿宋_GB2312" w:hAnsi="仿宋_GB2312" w:cs="仿宋_GB2312" w:eastAsia="仿宋_GB2312"/>
                      <w:sz w:val="22"/>
                      <w:color w:val="000000"/>
                    </w:rPr>
                    <w:t>▲3、内置城市、山区、农田、校园4类标准GIS地理场景，一键切换（提供产品功能截图）</w:t>
                  </w:r>
                  <w:r>
                    <w:br/>
                  </w:r>
                  <w:r>
                    <w:rPr>
                      <w:rFonts w:ascii="仿宋_GB2312" w:hAnsi="仿宋_GB2312" w:cs="仿宋_GB2312" w:eastAsia="仿宋_GB2312"/>
                      <w:sz w:val="22"/>
                      <w:color w:val="000000"/>
                    </w:rPr>
                    <w:t>▲4、支持自定义GIS场景导入，可扩展外部地理空间数据（提供产品功能截图）</w:t>
                  </w:r>
                  <w:r>
                    <w:br/>
                  </w:r>
                  <w:r>
                    <w:rPr>
                      <w:rFonts w:ascii="仿宋_GB2312" w:hAnsi="仿宋_GB2312" w:cs="仿宋_GB2312" w:eastAsia="仿宋_GB2312"/>
                      <w:sz w:val="22"/>
                      <w:color w:val="000000"/>
                    </w:rPr>
                    <w:t>5、支持农田/测区面积自动计算，基于飞行航线与地理范围解算</w:t>
                  </w:r>
                  <w:r>
                    <w:br/>
                  </w:r>
                  <w:r>
                    <w:rPr>
                      <w:rFonts w:ascii="仿宋_GB2312" w:hAnsi="仿宋_GB2312" w:cs="仿宋_GB2312" w:eastAsia="仿宋_GB2312"/>
                      <w:sz w:val="22"/>
                      <w:color w:val="000000"/>
                    </w:rPr>
                    <w:t>▲6、支持正射/倾斜摄影，航向重叠率60%–90%、旁向重叠率30%–70%配置（提供产品功能截图）</w:t>
                  </w:r>
                  <w:r>
                    <w:br/>
                  </w:r>
                  <w:r>
                    <w:rPr>
                      <w:rFonts w:ascii="仿宋_GB2312" w:hAnsi="仿宋_GB2312" w:cs="仿宋_GB2312" w:eastAsia="仿宋_GB2312"/>
                      <w:sz w:val="22"/>
                      <w:color w:val="000000"/>
                    </w:rPr>
                    <w:t>▲7、支持基于地理坐标的航线自动生成井字形航线与空间覆盖计算（提供产品功能截图）</w:t>
                  </w:r>
                  <w:r>
                    <w:br/>
                  </w:r>
                  <w:r>
                    <w:rPr>
                      <w:rFonts w:ascii="仿宋_GB2312" w:hAnsi="仿宋_GB2312" w:cs="仿宋_GB2312" w:eastAsia="仿宋_GB2312"/>
                      <w:sz w:val="22"/>
                      <w:color w:val="000000"/>
                    </w:rPr>
                    <w:t>8、支持电力线、油气管线生成</w:t>
                  </w:r>
                  <w:r>
                    <w:br/>
                  </w:r>
                  <w:r>
                    <w:rPr>
                      <w:rFonts w:ascii="仿宋_GB2312" w:hAnsi="仿宋_GB2312" w:cs="仿宋_GB2312" w:eastAsia="仿宋_GB2312"/>
                      <w:sz w:val="22"/>
                      <w:color w:val="000000"/>
                    </w:rPr>
                    <w:t>9、三维场景实时渲染帧率≥60fps</w:t>
                  </w:r>
                  <w:r>
                    <w:br/>
                  </w:r>
                  <w:r>
                    <w:rPr>
                      <w:rFonts w:ascii="仿宋_GB2312" w:hAnsi="仿宋_GB2312" w:cs="仿宋_GB2312" w:eastAsia="仿宋_GB2312"/>
                      <w:sz w:val="22"/>
                      <w:color w:val="000000"/>
                    </w:rPr>
                    <w:t>10、支持模型缩放、平移、旋转、多视角预览</w:t>
                  </w:r>
                  <w:r>
                    <w:br/>
                  </w:r>
                  <w:r>
                    <w:rPr>
                      <w:rFonts w:ascii="仿宋_GB2312" w:hAnsi="仿宋_GB2312" w:cs="仿宋_GB2312" w:eastAsia="仿宋_GB2312"/>
                      <w:sz w:val="22"/>
                      <w:color w:val="000000"/>
                    </w:rPr>
                    <w:t>首次场景加载</w:t>
                  </w:r>
                  <w:r>
                    <w:rPr>
                      <w:rFonts w:ascii="仿宋_GB2312" w:hAnsi="仿宋_GB2312" w:cs="仿宋_GB2312" w:eastAsia="仿宋_GB2312"/>
                      <w:sz w:val="22"/>
                      <w:color w:val="000000"/>
                    </w:rPr>
                    <w:t>≤15 秒，场景切换≤5 秒</w:t>
                  </w:r>
                  <w:r>
                    <w:br/>
                  </w:r>
                  <w:r>
                    <w:rPr>
                      <w:rFonts w:ascii="仿宋_GB2312" w:hAnsi="仿宋_GB2312" w:cs="仿宋_GB2312" w:eastAsia="仿宋_GB2312"/>
                      <w:sz w:val="22"/>
                      <w:color w:val="000000"/>
                    </w:rPr>
                    <w:t>11、基于地理坐标放置电力塔、风机、光伏阵列、油气管线模型沿地理线路自动生成巡检航线，空间覆盖完整；缺陷/泄漏点地理坐标标注，位置可追溯</w:t>
                  </w:r>
                  <w:r>
                    <w:br/>
                  </w:r>
                  <w:r>
                    <w:rPr>
                      <w:rFonts w:ascii="仿宋_GB2312" w:hAnsi="仿宋_GB2312" w:cs="仿宋_GB2312" w:eastAsia="仿宋_GB2312"/>
                      <w:sz w:val="22"/>
                      <w:color w:val="000000"/>
                    </w:rPr>
                    <w:t>12、自动生成含地理轨迹、点位、图片的 PDF 巡检报告</w:t>
                  </w:r>
                  <w:r>
                    <w:br/>
                  </w:r>
                  <w:r>
                    <w:rPr>
                      <w:rFonts w:ascii="仿宋_GB2312" w:hAnsi="仿宋_GB2312" w:cs="仿宋_GB2312" w:eastAsia="仿宋_GB2312"/>
                      <w:sz w:val="22"/>
                      <w:color w:val="000000"/>
                    </w:rPr>
                    <w:t>13、支持正射影像、倾斜摄影、激光雷达点云三类GIS数据采集模拟空三解算、稀疏点云、三维模型可视化演示</w:t>
                  </w:r>
                  <w:r>
                    <w:br/>
                  </w:r>
                  <w:r>
                    <w:rPr>
                      <w:rFonts w:ascii="仿宋_GB2312" w:hAnsi="仿宋_GB2312" w:cs="仿宋_GB2312" w:eastAsia="仿宋_GB2312"/>
                      <w:sz w:val="22"/>
                      <w:color w:val="000000"/>
                    </w:rPr>
                    <w:t>14、采集数据与地理坐标系绑定，支持输出与预览</w:t>
                  </w:r>
                  <w:r>
                    <w:br/>
                  </w:r>
                  <w:r>
                    <w:rPr>
                      <w:rFonts w:ascii="仿宋_GB2312" w:hAnsi="仿宋_GB2312" w:cs="仿宋_GB2312" w:eastAsia="仿宋_GB2312"/>
                      <w:sz w:val="22"/>
                      <w:color w:val="000000"/>
                    </w:rPr>
                    <w:t>15、农田地块地理化建模，支持井字形植保航线；应急救援火场、搜救目标、投放点地理坐标标记；物资投放地理范围判定，命中/偏离实时反馈</w:t>
                  </w:r>
                  <w:r>
                    <w:br/>
                  </w:r>
                  <w:r>
                    <w:rPr>
                      <w:rFonts w:ascii="仿宋_GB2312" w:hAnsi="仿宋_GB2312" w:cs="仿宋_GB2312" w:eastAsia="仿宋_GB2312"/>
                      <w:sz w:val="22"/>
                      <w:color w:val="000000"/>
                    </w:rPr>
                    <w:t>▲16、外部标准GIS数据导入：卫星影像、3D Tiles地形/模型；客户端-服务器采用HTTP传输地理与业务数据（提供产品功能截图）</w:t>
                  </w:r>
                  <w:r>
                    <w:br/>
                  </w:r>
                  <w:r>
                    <w:rPr>
                      <w:rFonts w:ascii="仿宋_GB2312" w:hAnsi="仿宋_GB2312" w:cs="仿宋_GB2312" w:eastAsia="仿宋_GB2312"/>
                      <w:sz w:val="22"/>
                      <w:color w:val="000000"/>
                    </w:rPr>
                    <w:t>17、三维GIS场景数据支持50–100GB本地文件管理；飞行轨迹、点位、任务记录与地理信息关联存储</w:t>
                  </w:r>
                  <w:r>
                    <w:br/>
                  </w:r>
                  <w:r>
                    <w:rPr>
                      <w:rFonts w:ascii="仿宋_GB2312" w:hAnsi="仿宋_GB2312" w:cs="仿宋_GB2312" w:eastAsia="仿宋_GB2312"/>
                      <w:sz w:val="22"/>
                      <w:color w:val="000000"/>
                    </w:rPr>
                    <w:t>▲18、支持新增GIS场景、无人机机型、作业流程扩展；2.支持与教务系统API对接，地理实训数据可互通（提供产品功能截图）</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6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一、设备基本要求</w:t>
                  </w:r>
                </w:p>
                <w:p>
                  <w:pPr>
                    <w:pStyle w:val="null3"/>
                    <w:jc w:val="both"/>
                  </w:pPr>
                  <w:r>
                    <w:rPr>
                      <w:rFonts w:ascii="仿宋_GB2312" w:hAnsi="仿宋_GB2312" w:cs="仿宋_GB2312" w:eastAsia="仿宋_GB2312"/>
                      <w:sz w:val="21"/>
                    </w:rPr>
                    <w:t>服务器架构：双路机架式服务器</w:t>
                  </w:r>
                </w:p>
                <w:p>
                  <w:pPr>
                    <w:pStyle w:val="null3"/>
                    <w:jc w:val="both"/>
                  </w:pPr>
                  <w:r>
                    <w:rPr>
                      <w:rFonts w:ascii="仿宋_GB2312" w:hAnsi="仿宋_GB2312" w:cs="仿宋_GB2312" w:eastAsia="仿宋_GB2312"/>
                      <w:sz w:val="21"/>
                    </w:rPr>
                    <w:t>CPU</w:t>
                  </w:r>
                  <w:r>
                    <w:rPr>
                      <w:rFonts w:ascii="仿宋_GB2312" w:hAnsi="仿宋_GB2312" w:cs="仿宋_GB2312" w:eastAsia="仿宋_GB2312"/>
                      <w:sz w:val="21"/>
                    </w:rPr>
                    <w:t>插槽：</w:t>
                  </w:r>
                  <w:r>
                    <w:rPr>
                      <w:rFonts w:ascii="仿宋_GB2312" w:hAnsi="仿宋_GB2312" w:cs="仿宋_GB2312" w:eastAsia="仿宋_GB2312"/>
                      <w:sz w:val="21"/>
                    </w:rPr>
                    <w:t>≥2</w:t>
                  </w:r>
                  <w:r>
                    <w:rPr>
                      <w:rFonts w:ascii="仿宋_GB2312" w:hAnsi="仿宋_GB2312" w:cs="仿宋_GB2312" w:eastAsia="仿宋_GB2312"/>
                      <w:sz w:val="21"/>
                    </w:rPr>
                    <w:t>个处理器插槽</w:t>
                  </w:r>
                </w:p>
                <w:p>
                  <w:pPr>
                    <w:pStyle w:val="null3"/>
                    <w:jc w:val="both"/>
                  </w:pPr>
                  <w:r>
                    <w:rPr>
                      <w:rFonts w:ascii="仿宋_GB2312" w:hAnsi="仿宋_GB2312" w:cs="仿宋_GB2312" w:eastAsia="仿宋_GB2312"/>
                      <w:sz w:val="21"/>
                    </w:rPr>
                    <w:t>应用场景：虚拟化、数据库、云计算、大数据、</w:t>
                  </w:r>
                  <w:r>
                    <w:rPr>
                      <w:rFonts w:ascii="仿宋_GB2312" w:hAnsi="仿宋_GB2312" w:cs="仿宋_GB2312" w:eastAsia="仿宋_GB2312"/>
                      <w:sz w:val="21"/>
                    </w:rPr>
                    <w:t>GPU</w:t>
                  </w:r>
                  <w:r>
                    <w:rPr>
                      <w:rFonts w:ascii="仿宋_GB2312" w:hAnsi="仿宋_GB2312" w:cs="仿宋_GB2312" w:eastAsia="仿宋_GB2312"/>
                      <w:sz w:val="21"/>
                    </w:rPr>
                    <w:t>计算、企业业务系统等</w:t>
                  </w:r>
                </w:p>
                <w:p>
                  <w:pPr>
                    <w:pStyle w:val="null3"/>
                    <w:jc w:val="both"/>
                  </w:pPr>
                  <w:r>
                    <w:rPr>
                      <w:rFonts w:ascii="仿宋_GB2312" w:hAnsi="仿宋_GB2312" w:cs="仿宋_GB2312" w:eastAsia="仿宋_GB2312"/>
                      <w:sz w:val="21"/>
                    </w:rPr>
                    <w:t>二、处理器参数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CPU</w:t>
                  </w:r>
                  <w:r>
                    <w:rPr>
                      <w:rFonts w:ascii="仿宋_GB2312" w:hAnsi="仿宋_GB2312" w:cs="仿宋_GB2312" w:eastAsia="仿宋_GB2312"/>
                      <w:sz w:val="21"/>
                    </w:rPr>
                    <w:t>数量：</w:t>
                  </w:r>
                  <w:r>
                    <w:rPr>
                      <w:rFonts w:ascii="仿宋_GB2312" w:hAnsi="仿宋_GB2312" w:cs="仿宋_GB2312" w:eastAsia="仿宋_GB2312"/>
                      <w:sz w:val="21"/>
                    </w:rPr>
                    <w:t>2</w:t>
                  </w:r>
                  <w:r>
                    <w:rPr>
                      <w:rFonts w:ascii="仿宋_GB2312" w:hAnsi="仿宋_GB2312" w:cs="仿宋_GB2312" w:eastAsia="仿宋_GB2312"/>
                      <w:sz w:val="21"/>
                    </w:rPr>
                    <w:t>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CPU</w:t>
                  </w:r>
                  <w:r>
                    <w:rPr>
                      <w:rFonts w:ascii="仿宋_GB2312" w:hAnsi="仿宋_GB2312" w:cs="仿宋_GB2312" w:eastAsia="仿宋_GB2312"/>
                      <w:sz w:val="21"/>
                    </w:rPr>
                    <w:t>核心数：</w:t>
                  </w:r>
                  <w:r>
                    <w:rPr>
                      <w:rFonts w:ascii="仿宋_GB2312" w:hAnsi="仿宋_GB2312" w:cs="仿宋_GB2312" w:eastAsia="仿宋_GB2312"/>
                      <w:sz w:val="21"/>
                    </w:rPr>
                    <w:t>≥64</w:t>
                  </w:r>
                  <w:r>
                    <w:rPr>
                      <w:rFonts w:ascii="仿宋_GB2312" w:hAnsi="仿宋_GB2312" w:cs="仿宋_GB2312" w:eastAsia="仿宋_GB2312"/>
                      <w:sz w:val="21"/>
                    </w:rPr>
                    <w:t>核</w:t>
                  </w:r>
                  <w:r>
                    <w:rPr>
                      <w:rFonts w:ascii="仿宋_GB2312" w:hAnsi="仿宋_GB2312" w:cs="仿宋_GB2312" w:eastAsia="仿宋_GB2312"/>
                      <w:sz w:val="21"/>
                    </w:rPr>
                    <w:t>/</w:t>
                  </w:r>
                  <w:r>
                    <w:rPr>
                      <w:rFonts w:ascii="仿宋_GB2312" w:hAnsi="仿宋_GB2312" w:cs="仿宋_GB2312" w:eastAsia="仿宋_GB2312"/>
                      <w:sz w:val="21"/>
                    </w:rPr>
                    <w:t>颗</w:t>
                  </w:r>
                </w:p>
                <w:p>
                  <w:pPr>
                    <w:pStyle w:val="null3"/>
                    <w:jc w:val="both"/>
                  </w:pPr>
                  <w:r>
                    <w:rPr>
                      <w:rFonts w:ascii="仿宋_GB2312" w:hAnsi="仿宋_GB2312" w:cs="仿宋_GB2312" w:eastAsia="仿宋_GB2312"/>
                      <w:sz w:val="21"/>
                    </w:rPr>
                    <w:t>主频：基础频率</w:t>
                  </w:r>
                  <w:r>
                    <w:rPr>
                      <w:rFonts w:ascii="仿宋_GB2312" w:hAnsi="仿宋_GB2312" w:cs="仿宋_GB2312" w:eastAsia="仿宋_GB2312"/>
                      <w:sz w:val="21"/>
                    </w:rPr>
                    <w:t>≥</w:t>
                  </w:r>
                  <w:r>
                    <w:rPr>
                      <w:rFonts w:ascii="仿宋_GB2312" w:hAnsi="仿宋_GB2312" w:cs="仿宋_GB2312" w:eastAsia="仿宋_GB2312"/>
                      <w:sz w:val="21"/>
                    </w:rPr>
                    <w:t>2.45GHz</w:t>
                  </w:r>
                </w:p>
                <w:p>
                  <w:pPr>
                    <w:pStyle w:val="null3"/>
                    <w:jc w:val="both"/>
                  </w:pPr>
                  <w:r>
                    <w:rPr>
                      <w:rFonts w:ascii="仿宋_GB2312" w:hAnsi="仿宋_GB2312" w:cs="仿宋_GB2312" w:eastAsia="仿宋_GB2312"/>
                      <w:sz w:val="21"/>
                    </w:rPr>
                    <w:t>三、内存参数</w:t>
                  </w:r>
                </w:p>
                <w:p>
                  <w:pPr>
                    <w:pStyle w:val="null3"/>
                    <w:jc w:val="both"/>
                  </w:pPr>
                  <w:r>
                    <w:rPr>
                      <w:rFonts w:ascii="仿宋_GB2312" w:hAnsi="仿宋_GB2312" w:cs="仿宋_GB2312" w:eastAsia="仿宋_GB2312"/>
                      <w:sz w:val="21"/>
                    </w:rPr>
                    <w:t>内存插槽：</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个</w:t>
                  </w:r>
                  <w:r>
                    <w:rPr>
                      <w:rFonts w:ascii="仿宋_GB2312" w:hAnsi="仿宋_GB2312" w:cs="仿宋_GB2312" w:eastAsia="仿宋_GB2312"/>
                      <w:sz w:val="21"/>
                    </w:rPr>
                    <w:t>DDR4 DIMM</w:t>
                  </w:r>
                  <w:r>
                    <w:rPr>
                      <w:rFonts w:ascii="仿宋_GB2312" w:hAnsi="仿宋_GB2312" w:cs="仿宋_GB2312" w:eastAsia="仿宋_GB2312"/>
                      <w:sz w:val="21"/>
                    </w:rPr>
                    <w:t>插槽</w:t>
                  </w:r>
                </w:p>
                <w:p>
                  <w:pPr>
                    <w:pStyle w:val="null3"/>
                    <w:jc w:val="both"/>
                  </w:pPr>
                  <w:r>
                    <w:rPr>
                      <w:rFonts w:ascii="仿宋_GB2312" w:hAnsi="仿宋_GB2312" w:cs="仿宋_GB2312" w:eastAsia="仿宋_GB2312"/>
                      <w:sz w:val="21"/>
                    </w:rPr>
                    <w:t>本次配置容量：</w:t>
                  </w:r>
                  <w:r>
                    <w:rPr>
                      <w:rFonts w:ascii="仿宋_GB2312" w:hAnsi="仿宋_GB2312" w:cs="仿宋_GB2312" w:eastAsia="仿宋_GB2312"/>
                      <w:sz w:val="21"/>
                    </w:rPr>
                    <w:t>≥</w:t>
                  </w:r>
                  <w:r>
                    <w:rPr>
                      <w:rFonts w:ascii="仿宋_GB2312" w:hAnsi="仿宋_GB2312" w:cs="仿宋_GB2312" w:eastAsia="仿宋_GB2312"/>
                      <w:sz w:val="21"/>
                    </w:rPr>
                    <w:t>128GB</w:t>
                  </w:r>
                  <w:r>
                    <w:rPr>
                      <w:rFonts w:ascii="仿宋_GB2312" w:hAnsi="仿宋_GB2312" w:cs="仿宋_GB2312" w:eastAsia="仿宋_GB2312"/>
                      <w:sz w:val="21"/>
                    </w:rPr>
                    <w:t>（</w:t>
                  </w:r>
                  <w:r>
                    <w:rPr>
                      <w:rFonts w:ascii="仿宋_GB2312" w:hAnsi="仿宋_GB2312" w:cs="仿宋_GB2312" w:eastAsia="仿宋_GB2312"/>
                      <w:sz w:val="21"/>
                    </w:rPr>
                    <w:t>给出具体的容量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内存保护：支持</w:t>
                  </w:r>
                  <w:r>
                    <w:rPr>
                      <w:rFonts w:ascii="仿宋_GB2312" w:hAnsi="仿宋_GB2312" w:cs="仿宋_GB2312" w:eastAsia="仿宋_GB2312"/>
                      <w:sz w:val="21"/>
                    </w:rPr>
                    <w:t>ECC</w:t>
                  </w:r>
                  <w:r>
                    <w:rPr>
                      <w:rFonts w:ascii="仿宋_GB2312" w:hAnsi="仿宋_GB2312" w:cs="仿宋_GB2312" w:eastAsia="仿宋_GB2312"/>
                      <w:sz w:val="21"/>
                    </w:rPr>
                    <w:t>、内存镜像、内存热备</w:t>
                  </w:r>
                </w:p>
                <w:p>
                  <w:pPr>
                    <w:pStyle w:val="null3"/>
                    <w:jc w:val="both"/>
                  </w:pPr>
                  <w:r>
                    <w:rPr>
                      <w:rFonts w:ascii="仿宋_GB2312" w:hAnsi="仿宋_GB2312" w:cs="仿宋_GB2312" w:eastAsia="仿宋_GB2312"/>
                      <w:sz w:val="21"/>
                    </w:rPr>
                    <w:t>最大支持容量：</w:t>
                  </w:r>
                  <w:r>
                    <w:rPr>
                      <w:rFonts w:ascii="仿宋_GB2312" w:hAnsi="仿宋_GB2312" w:cs="仿宋_GB2312" w:eastAsia="仿宋_GB2312"/>
                      <w:sz w:val="21"/>
                    </w:rPr>
                    <w:t>≥</w:t>
                  </w:r>
                  <w:r>
                    <w:rPr>
                      <w:rFonts w:ascii="仿宋_GB2312" w:hAnsi="仿宋_GB2312" w:cs="仿宋_GB2312" w:eastAsia="仿宋_GB2312"/>
                      <w:sz w:val="21"/>
                    </w:rPr>
                    <w:t>2TB</w:t>
                  </w:r>
                </w:p>
                <w:p>
                  <w:pPr>
                    <w:pStyle w:val="null3"/>
                    <w:jc w:val="both"/>
                  </w:pPr>
                  <w:r>
                    <w:rPr>
                      <w:rFonts w:ascii="仿宋_GB2312" w:hAnsi="仿宋_GB2312" w:cs="仿宋_GB2312" w:eastAsia="仿宋_GB2312"/>
                      <w:sz w:val="21"/>
                    </w:rPr>
                    <w:t>四、硬盘及存储参数</w:t>
                  </w:r>
                </w:p>
                <w:p>
                  <w:pPr>
                    <w:pStyle w:val="null3"/>
                    <w:jc w:val="both"/>
                  </w:pPr>
                  <w:r>
                    <w:rPr>
                      <w:rFonts w:ascii="仿宋_GB2312" w:hAnsi="仿宋_GB2312" w:cs="仿宋_GB2312" w:eastAsia="仿宋_GB2312"/>
                      <w:sz w:val="21"/>
                    </w:rPr>
                    <w:t>硬盘位：支持前置热插拔硬盘位，</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个</w:t>
                  </w:r>
                  <w:r>
                    <w:rPr>
                      <w:rFonts w:ascii="仿宋_GB2312" w:hAnsi="仿宋_GB2312" w:cs="仿宋_GB2312" w:eastAsia="仿宋_GB2312"/>
                      <w:sz w:val="21"/>
                    </w:rPr>
                    <w:t>2.5</w:t>
                  </w:r>
                  <w:r>
                    <w:rPr>
                      <w:rFonts w:ascii="仿宋_GB2312" w:hAnsi="仿宋_GB2312" w:cs="仿宋_GB2312" w:eastAsia="仿宋_GB2312"/>
                      <w:sz w:val="21"/>
                    </w:rPr>
                    <w:t>英寸</w:t>
                  </w:r>
                  <w:r>
                    <w:rPr>
                      <w:rFonts w:ascii="仿宋_GB2312" w:hAnsi="仿宋_GB2312" w:cs="仿宋_GB2312" w:eastAsia="仿宋_GB2312"/>
                      <w:sz w:val="21"/>
                    </w:rPr>
                    <w:t>/3.5</w:t>
                  </w:r>
                  <w:r>
                    <w:rPr>
                      <w:rFonts w:ascii="仿宋_GB2312" w:hAnsi="仿宋_GB2312" w:cs="仿宋_GB2312" w:eastAsia="仿宋_GB2312"/>
                      <w:sz w:val="21"/>
                    </w:rPr>
                    <w:t>英寸硬盘位</w:t>
                  </w:r>
                </w:p>
                <w:p>
                  <w:pPr>
                    <w:pStyle w:val="null3"/>
                    <w:jc w:val="both"/>
                  </w:pPr>
                  <w:r>
                    <w:rPr>
                      <w:rFonts w:ascii="仿宋_GB2312" w:hAnsi="仿宋_GB2312" w:cs="仿宋_GB2312" w:eastAsia="仿宋_GB2312"/>
                      <w:sz w:val="21"/>
                    </w:rPr>
                    <w:t>硬盘类型：支持</w:t>
                  </w:r>
                  <w:r>
                    <w:rPr>
                      <w:rFonts w:ascii="仿宋_GB2312" w:hAnsi="仿宋_GB2312" w:cs="仿宋_GB2312" w:eastAsia="仿宋_GB2312"/>
                      <w:sz w:val="21"/>
                    </w:rPr>
                    <w:t>SAS/SATA HDD</w:t>
                  </w:r>
                  <w:r>
                    <w:rPr>
                      <w:rFonts w:ascii="仿宋_GB2312" w:hAnsi="仿宋_GB2312" w:cs="仿宋_GB2312" w:eastAsia="仿宋_GB2312"/>
                      <w:sz w:val="21"/>
                    </w:rPr>
                    <w:t>、</w:t>
                  </w:r>
                  <w:r>
                    <w:rPr>
                      <w:rFonts w:ascii="仿宋_GB2312" w:hAnsi="仿宋_GB2312" w:cs="仿宋_GB2312" w:eastAsia="仿宋_GB2312"/>
                      <w:sz w:val="21"/>
                    </w:rPr>
                    <w:t>SATA/SAS SSD</w:t>
                  </w:r>
                  <w:r>
                    <w:rPr>
                      <w:rFonts w:ascii="仿宋_GB2312" w:hAnsi="仿宋_GB2312" w:cs="仿宋_GB2312" w:eastAsia="仿宋_GB2312"/>
                      <w:sz w:val="21"/>
                    </w:rPr>
                    <w:t>、</w:t>
                  </w:r>
                  <w:r>
                    <w:rPr>
                      <w:rFonts w:ascii="仿宋_GB2312" w:hAnsi="仿宋_GB2312" w:cs="仿宋_GB2312" w:eastAsia="仿宋_GB2312"/>
                      <w:sz w:val="21"/>
                    </w:rPr>
                    <w:t>NVMe SSD</w:t>
                  </w:r>
                </w:p>
                <w:p>
                  <w:pPr>
                    <w:pStyle w:val="null3"/>
                    <w:jc w:val="both"/>
                  </w:pPr>
                  <w:r>
                    <w:rPr>
                      <w:rFonts w:ascii="仿宋_GB2312" w:hAnsi="仿宋_GB2312" w:cs="仿宋_GB2312" w:eastAsia="仿宋_GB2312"/>
                      <w:sz w:val="21"/>
                    </w:rPr>
                    <w:t>本次配置</w:t>
                  </w:r>
                  <w:r>
                    <w:rPr>
                      <w:rFonts w:ascii="仿宋_GB2312" w:hAnsi="仿宋_GB2312" w:cs="仿宋_GB2312" w:eastAsia="仿宋_GB2312"/>
                      <w:sz w:val="21"/>
                    </w:rPr>
                    <w:t>-</w:t>
                  </w:r>
                  <w:r>
                    <w:rPr>
                      <w:rFonts w:ascii="仿宋_GB2312" w:hAnsi="仿宋_GB2312" w:cs="仿宋_GB2312" w:eastAsia="仿宋_GB2312"/>
                      <w:sz w:val="21"/>
                    </w:rPr>
                    <w:t>系统盘：</w:t>
                  </w:r>
                  <w:r>
                    <w:rPr>
                      <w:rFonts w:ascii="仿宋_GB2312" w:hAnsi="仿宋_GB2312" w:cs="仿宋_GB2312" w:eastAsia="仿宋_GB2312"/>
                      <w:sz w:val="21"/>
                    </w:rPr>
                    <w:t>1TB NVMe SSD ×1</w:t>
                  </w:r>
                  <w:r>
                    <w:rPr>
                      <w:rFonts w:ascii="仿宋_GB2312" w:hAnsi="仿宋_GB2312" w:cs="仿宋_GB2312" w:eastAsia="仿宋_GB2312"/>
                      <w:sz w:val="21"/>
                    </w:rPr>
                    <w:t>块</w:t>
                  </w:r>
                </w:p>
                <w:p>
                  <w:pPr>
                    <w:pStyle w:val="null3"/>
                    <w:jc w:val="both"/>
                  </w:pPr>
                  <w:r>
                    <w:rPr>
                      <w:rFonts w:ascii="仿宋_GB2312" w:hAnsi="仿宋_GB2312" w:cs="仿宋_GB2312" w:eastAsia="仿宋_GB2312"/>
                      <w:sz w:val="21"/>
                    </w:rPr>
                    <w:t>本次配置</w:t>
                  </w:r>
                  <w:r>
                    <w:rPr>
                      <w:rFonts w:ascii="仿宋_GB2312" w:hAnsi="仿宋_GB2312" w:cs="仿宋_GB2312" w:eastAsia="仿宋_GB2312"/>
                      <w:sz w:val="21"/>
                    </w:rPr>
                    <w:t>-</w:t>
                  </w:r>
                  <w:r>
                    <w:rPr>
                      <w:rFonts w:ascii="仿宋_GB2312" w:hAnsi="仿宋_GB2312" w:cs="仿宋_GB2312" w:eastAsia="仿宋_GB2312"/>
                      <w:sz w:val="21"/>
                    </w:rPr>
                    <w:t>数据盘：</w:t>
                  </w:r>
                  <w:r>
                    <w:rPr>
                      <w:rFonts w:ascii="仿宋_GB2312" w:hAnsi="仿宋_GB2312" w:cs="仿宋_GB2312" w:eastAsia="仿宋_GB2312"/>
                      <w:sz w:val="21"/>
                    </w:rPr>
                    <w:t>4TB SATA</w:t>
                  </w:r>
                  <w:r>
                    <w:rPr>
                      <w:rFonts w:ascii="仿宋_GB2312" w:hAnsi="仿宋_GB2312" w:cs="仿宋_GB2312" w:eastAsia="仿宋_GB2312"/>
                      <w:sz w:val="21"/>
                    </w:rPr>
                    <w:t xml:space="preserve">硬盘 </w:t>
                  </w:r>
                  <w:r>
                    <w:rPr>
                      <w:rFonts w:ascii="仿宋_GB2312" w:hAnsi="仿宋_GB2312" w:cs="仿宋_GB2312" w:eastAsia="仿宋_GB2312"/>
                      <w:sz w:val="21"/>
                    </w:rPr>
                    <w:t>×1</w:t>
                  </w:r>
                  <w:r>
                    <w:rPr>
                      <w:rFonts w:ascii="仿宋_GB2312" w:hAnsi="仿宋_GB2312" w:cs="仿宋_GB2312" w:eastAsia="仿宋_GB2312"/>
                      <w:sz w:val="21"/>
                    </w:rPr>
                    <w:t>块</w:t>
                  </w:r>
                </w:p>
                <w:p>
                  <w:pPr>
                    <w:pStyle w:val="null3"/>
                    <w:jc w:val="both"/>
                  </w:pPr>
                  <w:r>
                    <w:rPr>
                      <w:rFonts w:ascii="仿宋_GB2312" w:hAnsi="仿宋_GB2312" w:cs="仿宋_GB2312" w:eastAsia="仿宋_GB2312"/>
                      <w:sz w:val="21"/>
                    </w:rPr>
                    <w:t>热插拔：支持硬盘热插拔</w:t>
                  </w:r>
                </w:p>
                <w:p>
                  <w:pPr>
                    <w:pStyle w:val="null3"/>
                    <w:jc w:val="both"/>
                  </w:pPr>
                  <w:r>
                    <w:rPr>
                      <w:rFonts w:ascii="仿宋_GB2312" w:hAnsi="仿宋_GB2312" w:cs="仿宋_GB2312" w:eastAsia="仿宋_GB2312"/>
                      <w:sz w:val="21"/>
                    </w:rPr>
                    <w:t>RAID</w:t>
                  </w:r>
                  <w:r>
                    <w:rPr>
                      <w:rFonts w:ascii="仿宋_GB2312" w:hAnsi="仿宋_GB2312" w:cs="仿宋_GB2312" w:eastAsia="仿宋_GB2312"/>
                      <w:sz w:val="21"/>
                    </w:rPr>
                    <w:t>卡：支持</w:t>
                  </w:r>
                  <w:r>
                    <w:rPr>
                      <w:rFonts w:ascii="仿宋_GB2312" w:hAnsi="仿宋_GB2312" w:cs="仿宋_GB2312" w:eastAsia="仿宋_GB2312"/>
                      <w:sz w:val="21"/>
                    </w:rPr>
                    <w:t>12Gb/s SAS 3.0</w:t>
                  </w:r>
                  <w:r>
                    <w:rPr>
                      <w:rFonts w:ascii="仿宋_GB2312" w:hAnsi="仿宋_GB2312" w:cs="仿宋_GB2312" w:eastAsia="仿宋_GB2312"/>
                      <w:sz w:val="21"/>
                    </w:rPr>
                    <w:t>接口，兼容</w:t>
                  </w:r>
                  <w:r>
                    <w:rPr>
                      <w:rFonts w:ascii="仿宋_GB2312" w:hAnsi="仿宋_GB2312" w:cs="仿宋_GB2312" w:eastAsia="仿宋_GB2312"/>
                      <w:sz w:val="21"/>
                    </w:rPr>
                    <w:t>6.0Gb/s SATA 3.0</w:t>
                  </w:r>
                  <w:r>
                    <w:rPr>
                      <w:rFonts w:ascii="仿宋_GB2312" w:hAnsi="仿宋_GB2312" w:cs="仿宋_GB2312" w:eastAsia="仿宋_GB2312"/>
                      <w:sz w:val="21"/>
                    </w:rPr>
                    <w:t>接口，支持热插拔</w:t>
                  </w:r>
                  <w:r>
                    <w:rPr>
                      <w:rFonts w:ascii="仿宋_GB2312" w:hAnsi="仿宋_GB2312" w:cs="仿宋_GB2312" w:eastAsia="仿宋_GB2312"/>
                      <w:sz w:val="21"/>
                    </w:rPr>
                    <w:t>RAID</w:t>
                  </w:r>
                  <w:r>
                    <w:rPr>
                      <w:rFonts w:ascii="仿宋_GB2312" w:hAnsi="仿宋_GB2312" w:cs="仿宋_GB2312" w:eastAsia="仿宋_GB2312"/>
                      <w:sz w:val="21"/>
                    </w:rPr>
                    <w:t>支持：支持</w:t>
                  </w:r>
                  <w:r>
                    <w:rPr>
                      <w:rFonts w:ascii="仿宋_GB2312" w:hAnsi="仿宋_GB2312" w:cs="仿宋_GB2312" w:eastAsia="仿宋_GB2312"/>
                      <w:sz w:val="21"/>
                    </w:rPr>
                    <w:t>RAID 0/1/5/6/10/50/60</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存储扩展：支持</w:t>
                  </w:r>
                  <w:r>
                    <w:rPr>
                      <w:rFonts w:ascii="仿宋_GB2312" w:hAnsi="仿宋_GB2312" w:cs="仿宋_GB2312" w:eastAsia="仿宋_GB2312"/>
                      <w:sz w:val="21"/>
                    </w:rPr>
                    <w:t>NVMe</w:t>
                  </w:r>
                  <w:r>
                    <w:rPr>
                      <w:rFonts w:ascii="仿宋_GB2312" w:hAnsi="仿宋_GB2312" w:cs="仿宋_GB2312" w:eastAsia="仿宋_GB2312"/>
                      <w:sz w:val="21"/>
                    </w:rPr>
                    <w:t>高性能存储扩展</w:t>
                  </w:r>
                </w:p>
                <w:p>
                  <w:pPr>
                    <w:pStyle w:val="null3"/>
                    <w:jc w:val="both"/>
                  </w:pPr>
                  <w:r>
                    <w:rPr>
                      <w:rFonts w:ascii="仿宋_GB2312" w:hAnsi="仿宋_GB2312" w:cs="仿宋_GB2312" w:eastAsia="仿宋_GB2312"/>
                      <w:sz w:val="21"/>
                    </w:rPr>
                    <w:t>五、网络参数</w:t>
                  </w:r>
                </w:p>
                <w:p>
                  <w:pPr>
                    <w:pStyle w:val="null3"/>
                    <w:jc w:val="both"/>
                  </w:pPr>
                  <w:r>
                    <w:rPr>
                      <w:rFonts w:ascii="仿宋_GB2312" w:hAnsi="仿宋_GB2312" w:cs="仿宋_GB2312" w:eastAsia="仿宋_GB2312"/>
                      <w:sz w:val="21"/>
                    </w:rPr>
                    <w:t>板载</w:t>
                  </w:r>
                  <w:r>
                    <w:rPr>
                      <w:rFonts w:ascii="仿宋_GB2312" w:hAnsi="仿宋_GB2312" w:cs="仿宋_GB2312" w:eastAsia="仿宋_GB2312"/>
                      <w:sz w:val="21"/>
                    </w:rPr>
                    <w:t>/</w:t>
                  </w:r>
                  <w:r>
                    <w:rPr>
                      <w:rFonts w:ascii="仿宋_GB2312" w:hAnsi="仿宋_GB2312" w:cs="仿宋_GB2312" w:eastAsia="仿宋_GB2312"/>
                      <w:sz w:val="21"/>
                    </w:rPr>
                    <w:t>配置网口：</w:t>
                  </w:r>
                  <w:r>
                    <w:rPr>
                      <w:rFonts w:ascii="仿宋_GB2312" w:hAnsi="仿宋_GB2312" w:cs="仿宋_GB2312" w:eastAsia="仿宋_GB2312"/>
                      <w:sz w:val="21"/>
                    </w:rPr>
                    <w:t>4</w:t>
                  </w:r>
                  <w:r>
                    <w:rPr>
                      <w:rFonts w:ascii="仿宋_GB2312" w:hAnsi="仿宋_GB2312" w:cs="仿宋_GB2312" w:eastAsia="仿宋_GB2312"/>
                      <w:sz w:val="21"/>
                    </w:rPr>
                    <w:t>个千兆电口（</w:t>
                  </w:r>
                  <w:r>
                    <w:rPr>
                      <w:rFonts w:ascii="仿宋_GB2312" w:hAnsi="仿宋_GB2312" w:cs="仿宋_GB2312" w:eastAsia="仿宋_GB2312"/>
                      <w:sz w:val="21"/>
                    </w:rPr>
                    <w:t>4×GE</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管理网口：配置独立远程管理网口</w:t>
                  </w:r>
                </w:p>
                <w:p>
                  <w:pPr>
                    <w:pStyle w:val="null3"/>
                    <w:jc w:val="both"/>
                  </w:pPr>
                  <w:r>
                    <w:rPr>
                      <w:rFonts w:ascii="仿宋_GB2312" w:hAnsi="仿宋_GB2312" w:cs="仿宋_GB2312" w:eastAsia="仿宋_GB2312"/>
                      <w:sz w:val="21"/>
                    </w:rPr>
                    <w:t>网络功能：支持</w:t>
                  </w:r>
                  <w:r>
                    <w:rPr>
                      <w:rFonts w:ascii="仿宋_GB2312" w:hAnsi="仿宋_GB2312" w:cs="仿宋_GB2312" w:eastAsia="仿宋_GB2312"/>
                      <w:sz w:val="21"/>
                    </w:rPr>
                    <w:t>PXE</w:t>
                  </w:r>
                  <w:r>
                    <w:rPr>
                      <w:rFonts w:ascii="仿宋_GB2312" w:hAnsi="仿宋_GB2312" w:cs="仿宋_GB2312" w:eastAsia="仿宋_GB2312"/>
                      <w:sz w:val="21"/>
                    </w:rPr>
                    <w:t>、</w:t>
                  </w:r>
                  <w:r>
                    <w:rPr>
                      <w:rFonts w:ascii="仿宋_GB2312" w:hAnsi="仿宋_GB2312" w:cs="仿宋_GB2312" w:eastAsia="仿宋_GB2312"/>
                      <w:sz w:val="21"/>
                    </w:rPr>
                    <w:t>VLAN</w:t>
                  </w:r>
                  <w:r>
                    <w:rPr>
                      <w:rFonts w:ascii="仿宋_GB2312" w:hAnsi="仿宋_GB2312" w:cs="仿宋_GB2312" w:eastAsia="仿宋_GB2312"/>
                      <w:sz w:val="21"/>
                    </w:rPr>
                    <w:t>、链路聚合等</w:t>
                  </w:r>
                </w:p>
                <w:p>
                  <w:pPr>
                    <w:pStyle w:val="null3"/>
                    <w:jc w:val="both"/>
                  </w:pPr>
                  <w:r>
                    <w:rPr>
                      <w:rFonts w:ascii="仿宋_GB2312" w:hAnsi="仿宋_GB2312" w:cs="仿宋_GB2312" w:eastAsia="仿宋_GB2312"/>
                      <w:sz w:val="21"/>
                    </w:rPr>
                    <w:t>六、扩展能力</w:t>
                  </w:r>
                </w:p>
                <w:p>
                  <w:pPr>
                    <w:pStyle w:val="null3"/>
                    <w:jc w:val="both"/>
                  </w:pPr>
                  <w:r>
                    <w:rPr>
                      <w:rFonts w:ascii="仿宋_GB2312" w:hAnsi="仿宋_GB2312" w:cs="仿宋_GB2312" w:eastAsia="仿宋_GB2312"/>
                      <w:sz w:val="21"/>
                    </w:rPr>
                    <w:t>PCIe</w:t>
                  </w:r>
                  <w:r>
                    <w:rPr>
                      <w:rFonts w:ascii="仿宋_GB2312" w:hAnsi="仿宋_GB2312" w:cs="仿宋_GB2312" w:eastAsia="仿宋_GB2312"/>
                      <w:sz w:val="21"/>
                    </w:rPr>
                    <w:t>插槽：支持多个</w:t>
                  </w:r>
                  <w:r>
                    <w:rPr>
                      <w:rFonts w:ascii="仿宋_GB2312" w:hAnsi="仿宋_GB2312" w:cs="仿宋_GB2312" w:eastAsia="仿宋_GB2312"/>
                      <w:sz w:val="21"/>
                    </w:rPr>
                    <w:t>PCIe 4.0</w:t>
                  </w:r>
                  <w:r>
                    <w:rPr>
                      <w:rFonts w:ascii="仿宋_GB2312" w:hAnsi="仿宋_GB2312" w:cs="仿宋_GB2312" w:eastAsia="仿宋_GB2312"/>
                      <w:sz w:val="21"/>
                    </w:rPr>
                    <w:t>扩展插槽，数量</w:t>
                  </w:r>
                  <w:r>
                    <w:rPr>
                      <w:rFonts w:ascii="仿宋_GB2312" w:hAnsi="仿宋_GB2312" w:cs="仿宋_GB2312" w:eastAsia="仿宋_GB2312"/>
                      <w:sz w:val="21"/>
                    </w:rPr>
                    <w:t>≥3</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GPU</w:t>
                  </w:r>
                  <w:r>
                    <w:rPr>
                      <w:rFonts w:ascii="仿宋_GB2312" w:hAnsi="仿宋_GB2312" w:cs="仿宋_GB2312" w:eastAsia="仿宋_GB2312"/>
                      <w:sz w:val="21"/>
                    </w:rPr>
                    <w:t>配置：</w:t>
                  </w:r>
                  <w:r>
                    <w:rPr>
                      <w:rFonts w:ascii="仿宋_GB2312" w:hAnsi="仿宋_GB2312" w:cs="仿宋_GB2312" w:eastAsia="仿宋_GB2312"/>
                      <w:sz w:val="21"/>
                    </w:rPr>
                    <w:t>≥24 GB</w:t>
                  </w:r>
                  <w:r>
                    <w:rPr>
                      <w:rFonts w:ascii="仿宋_GB2312" w:hAnsi="仿宋_GB2312" w:cs="仿宋_GB2312" w:eastAsia="仿宋_GB2312"/>
                      <w:sz w:val="21"/>
                    </w:rPr>
                    <w:t>，支持</w:t>
                  </w:r>
                  <w:r>
                    <w:rPr>
                      <w:rFonts w:ascii="仿宋_GB2312" w:hAnsi="仿宋_GB2312" w:cs="仿宋_GB2312" w:eastAsia="仿宋_GB2312"/>
                      <w:sz w:val="21"/>
                    </w:rPr>
                    <w:t>ECC</w:t>
                  </w:r>
                  <w:r>
                    <w:rPr>
                      <w:rFonts w:ascii="仿宋_GB2312" w:hAnsi="仿宋_GB2312" w:cs="仿宋_GB2312" w:eastAsia="仿宋_GB2312"/>
                      <w:sz w:val="21"/>
                    </w:rPr>
                    <w:t>（纠错码），显存位宽为</w:t>
                  </w:r>
                  <w:r>
                    <w:rPr>
                      <w:rFonts w:ascii="仿宋_GB2312" w:hAnsi="仿宋_GB2312" w:cs="仿宋_GB2312" w:eastAsia="仿宋_GB2312"/>
                      <w:sz w:val="21"/>
                    </w:rPr>
                    <w:t>384</w:t>
                  </w:r>
                  <w:r>
                    <w:rPr>
                      <w:rFonts w:ascii="仿宋_GB2312" w:hAnsi="仿宋_GB2312" w:cs="仿宋_GB2312" w:eastAsia="仿宋_GB2312"/>
                      <w:sz w:val="21"/>
                    </w:rPr>
                    <w:t>位，显存带宽达</w:t>
                  </w:r>
                  <w:r>
                    <w:rPr>
                      <w:rFonts w:ascii="仿宋_GB2312" w:hAnsi="仿宋_GB2312" w:cs="仿宋_GB2312" w:eastAsia="仿宋_GB2312"/>
                      <w:sz w:val="21"/>
                    </w:rPr>
                    <w:t>768GB/s</w:t>
                  </w:r>
                </w:p>
                <w:p>
                  <w:pPr>
                    <w:pStyle w:val="null3"/>
                    <w:jc w:val="both"/>
                  </w:pPr>
                  <w:r>
                    <w:rPr>
                      <w:rFonts w:ascii="仿宋_GB2312" w:hAnsi="仿宋_GB2312" w:cs="仿宋_GB2312" w:eastAsia="仿宋_GB2312"/>
                      <w:sz w:val="21"/>
                    </w:rPr>
                    <w:t>GPU</w:t>
                  </w:r>
                  <w:r>
                    <w:rPr>
                      <w:rFonts w:ascii="仿宋_GB2312" w:hAnsi="仿宋_GB2312" w:cs="仿宋_GB2312" w:eastAsia="仿宋_GB2312"/>
                      <w:sz w:val="21"/>
                    </w:rPr>
                    <w:t>支持：支持</w:t>
                  </w:r>
                  <w:r>
                    <w:rPr>
                      <w:rFonts w:ascii="仿宋_GB2312" w:hAnsi="仿宋_GB2312" w:cs="仿宋_GB2312" w:eastAsia="仿宋_GB2312"/>
                      <w:sz w:val="21"/>
                    </w:rPr>
                    <w:t>GPU/</w:t>
                  </w:r>
                  <w:r>
                    <w:rPr>
                      <w:rFonts w:ascii="仿宋_GB2312" w:hAnsi="仿宋_GB2312" w:cs="仿宋_GB2312" w:eastAsia="仿宋_GB2312"/>
                      <w:sz w:val="21"/>
                    </w:rPr>
                    <w:t>加速卡扩展</w:t>
                  </w:r>
                </w:p>
                <w:p>
                  <w:pPr>
                    <w:pStyle w:val="null3"/>
                    <w:jc w:val="both"/>
                  </w:pPr>
                  <w:r>
                    <w:rPr>
                      <w:rFonts w:ascii="仿宋_GB2312" w:hAnsi="仿宋_GB2312" w:cs="仿宋_GB2312" w:eastAsia="仿宋_GB2312"/>
                      <w:sz w:val="21"/>
                    </w:rPr>
                    <w:t>HBA/</w:t>
                  </w:r>
                  <w:r>
                    <w:rPr>
                      <w:rFonts w:ascii="仿宋_GB2312" w:hAnsi="仿宋_GB2312" w:cs="仿宋_GB2312" w:eastAsia="仿宋_GB2312"/>
                      <w:sz w:val="21"/>
                    </w:rPr>
                    <w:t>网卡扩展：支持</w:t>
                  </w:r>
                  <w:r>
                    <w:rPr>
                      <w:rFonts w:ascii="仿宋_GB2312" w:hAnsi="仿宋_GB2312" w:cs="仿宋_GB2312" w:eastAsia="仿宋_GB2312"/>
                      <w:sz w:val="21"/>
                    </w:rPr>
                    <w:t>RAID</w:t>
                  </w:r>
                  <w:r>
                    <w:rPr>
                      <w:rFonts w:ascii="仿宋_GB2312" w:hAnsi="仿宋_GB2312" w:cs="仿宋_GB2312" w:eastAsia="仿宋_GB2312"/>
                      <w:sz w:val="21"/>
                    </w:rPr>
                    <w:t>卡、</w:t>
                  </w:r>
                  <w:r>
                    <w:rPr>
                      <w:rFonts w:ascii="仿宋_GB2312" w:hAnsi="仿宋_GB2312" w:cs="仿宋_GB2312" w:eastAsia="仿宋_GB2312"/>
                      <w:sz w:val="21"/>
                    </w:rPr>
                    <w:t>HBA</w:t>
                  </w:r>
                  <w:r>
                    <w:rPr>
                      <w:rFonts w:ascii="仿宋_GB2312" w:hAnsi="仿宋_GB2312" w:cs="仿宋_GB2312" w:eastAsia="仿宋_GB2312"/>
                      <w:sz w:val="21"/>
                    </w:rPr>
                    <w:t>卡、万兆</w:t>
                  </w:r>
                  <w:r>
                    <w:rPr>
                      <w:rFonts w:ascii="仿宋_GB2312" w:hAnsi="仿宋_GB2312" w:cs="仿宋_GB2312" w:eastAsia="仿宋_GB2312"/>
                      <w:sz w:val="21"/>
                    </w:rPr>
                    <w:t>/25G/100G</w:t>
                  </w:r>
                  <w:r>
                    <w:rPr>
                      <w:rFonts w:ascii="仿宋_GB2312" w:hAnsi="仿宋_GB2312" w:cs="仿宋_GB2312" w:eastAsia="仿宋_GB2312"/>
                      <w:sz w:val="21"/>
                    </w:rPr>
                    <w:t>网卡扩展</w:t>
                  </w:r>
                </w:p>
                <w:p>
                  <w:pPr>
                    <w:pStyle w:val="null3"/>
                    <w:jc w:val="both"/>
                  </w:pPr>
                  <w:r>
                    <w:rPr>
                      <w:rFonts w:ascii="仿宋_GB2312" w:hAnsi="仿宋_GB2312" w:cs="仿宋_GB2312" w:eastAsia="仿宋_GB2312"/>
                      <w:sz w:val="21"/>
                    </w:rPr>
                    <w:t>USB</w:t>
                  </w:r>
                  <w:r>
                    <w:rPr>
                      <w:rFonts w:ascii="仿宋_GB2312" w:hAnsi="仿宋_GB2312" w:cs="仿宋_GB2312" w:eastAsia="仿宋_GB2312"/>
                      <w:sz w:val="21"/>
                    </w:rPr>
                    <w:t>接口：前置</w:t>
                  </w:r>
                  <w:r>
                    <w:rPr>
                      <w:rFonts w:ascii="仿宋_GB2312" w:hAnsi="仿宋_GB2312" w:cs="仿宋_GB2312" w:eastAsia="仿宋_GB2312"/>
                      <w:sz w:val="21"/>
                    </w:rPr>
                    <w:t>/</w:t>
                  </w:r>
                  <w:r>
                    <w:rPr>
                      <w:rFonts w:ascii="仿宋_GB2312" w:hAnsi="仿宋_GB2312" w:cs="仿宋_GB2312" w:eastAsia="仿宋_GB2312"/>
                      <w:sz w:val="21"/>
                    </w:rPr>
                    <w:t>后置</w:t>
                  </w:r>
                  <w:r>
                    <w:rPr>
                      <w:rFonts w:ascii="仿宋_GB2312" w:hAnsi="仿宋_GB2312" w:cs="仿宋_GB2312" w:eastAsia="仿宋_GB2312"/>
                      <w:sz w:val="21"/>
                    </w:rPr>
                    <w:t>USB</w:t>
                  </w:r>
                  <w:r>
                    <w:rPr>
                      <w:rFonts w:ascii="仿宋_GB2312" w:hAnsi="仿宋_GB2312" w:cs="仿宋_GB2312" w:eastAsia="仿宋_GB2312"/>
                      <w:sz w:val="21"/>
                    </w:rPr>
                    <w:t>接口</w:t>
                  </w:r>
                </w:p>
                <w:p>
                  <w:pPr>
                    <w:pStyle w:val="null3"/>
                    <w:jc w:val="both"/>
                  </w:pPr>
                  <w:r>
                    <w:rPr>
                      <w:rFonts w:ascii="仿宋_GB2312" w:hAnsi="仿宋_GB2312" w:cs="仿宋_GB2312" w:eastAsia="仿宋_GB2312"/>
                      <w:sz w:val="21"/>
                    </w:rPr>
                    <w:t>显示接口：配置</w:t>
                  </w:r>
                  <w:r>
                    <w:rPr>
                      <w:rFonts w:ascii="仿宋_GB2312" w:hAnsi="仿宋_GB2312" w:cs="仿宋_GB2312" w:eastAsia="仿宋_GB2312"/>
                      <w:sz w:val="21"/>
                    </w:rPr>
                    <w:t>VGA</w:t>
                  </w:r>
                  <w:r>
                    <w:rPr>
                      <w:rFonts w:ascii="仿宋_GB2312" w:hAnsi="仿宋_GB2312" w:cs="仿宋_GB2312" w:eastAsia="仿宋_GB2312"/>
                      <w:sz w:val="21"/>
                    </w:rPr>
                    <w:t>或等效显示接口</w:t>
                  </w:r>
                </w:p>
                <w:p>
                  <w:pPr>
                    <w:pStyle w:val="null3"/>
                    <w:jc w:val="both"/>
                  </w:pPr>
                  <w:r>
                    <w:rPr>
                      <w:rFonts w:ascii="仿宋_GB2312" w:hAnsi="仿宋_GB2312" w:cs="仿宋_GB2312" w:eastAsia="仿宋_GB2312"/>
                      <w:sz w:val="21"/>
                    </w:rPr>
                    <w:t>七、电源与散热</w:t>
                  </w:r>
                </w:p>
                <w:p>
                  <w:pPr>
                    <w:pStyle w:val="null3"/>
                    <w:jc w:val="both"/>
                  </w:pPr>
                  <w:r>
                    <w:rPr>
                      <w:rFonts w:ascii="仿宋_GB2312" w:hAnsi="仿宋_GB2312" w:cs="仿宋_GB2312" w:eastAsia="仿宋_GB2312"/>
                      <w:sz w:val="21"/>
                    </w:rPr>
                    <w:t>电源数量：</w:t>
                  </w:r>
                  <w:r>
                    <w:rPr>
                      <w:rFonts w:ascii="仿宋_GB2312" w:hAnsi="仿宋_GB2312" w:cs="仿宋_GB2312" w:eastAsia="仿宋_GB2312"/>
                      <w:sz w:val="21"/>
                    </w:rPr>
                    <w:t>2</w:t>
                  </w:r>
                  <w:r>
                    <w:rPr>
                      <w:rFonts w:ascii="仿宋_GB2312" w:hAnsi="仿宋_GB2312" w:cs="仿宋_GB2312" w:eastAsia="仿宋_GB2312"/>
                      <w:sz w:val="21"/>
                    </w:rPr>
                    <w:t>个热插拔冗余电源</w:t>
                  </w:r>
                </w:p>
                <w:p>
                  <w:pPr>
                    <w:pStyle w:val="null3"/>
                    <w:jc w:val="both"/>
                  </w:pPr>
                  <w:r>
                    <w:rPr>
                      <w:rFonts w:ascii="仿宋_GB2312" w:hAnsi="仿宋_GB2312" w:cs="仿宋_GB2312" w:eastAsia="仿宋_GB2312"/>
                      <w:sz w:val="21"/>
                    </w:rPr>
                    <w:t>电源功率：</w:t>
                  </w:r>
                  <w:r>
                    <w:rPr>
                      <w:rFonts w:ascii="仿宋_GB2312" w:hAnsi="仿宋_GB2312" w:cs="仿宋_GB2312" w:eastAsia="仿宋_GB2312"/>
                      <w:sz w:val="21"/>
                    </w:rPr>
                    <w:t>不小于</w:t>
                  </w:r>
                  <w:r>
                    <w:rPr>
                      <w:rFonts w:ascii="仿宋_GB2312" w:hAnsi="仿宋_GB2312" w:cs="仿宋_GB2312" w:eastAsia="仿宋_GB2312"/>
                      <w:sz w:val="21"/>
                    </w:rPr>
                    <w:t>800W ×2</w:t>
                  </w:r>
                </w:p>
                <w:p>
                  <w:pPr>
                    <w:pStyle w:val="null3"/>
                    <w:jc w:val="both"/>
                  </w:pPr>
                  <w:r>
                    <w:rPr>
                      <w:rFonts w:ascii="仿宋_GB2312" w:hAnsi="仿宋_GB2312" w:cs="仿宋_GB2312" w:eastAsia="仿宋_GB2312"/>
                      <w:sz w:val="21"/>
                    </w:rPr>
                    <w:t>冗余模式：</w:t>
                  </w:r>
                  <w:r>
                    <w:rPr>
                      <w:rFonts w:ascii="仿宋_GB2312" w:hAnsi="仿宋_GB2312" w:cs="仿宋_GB2312" w:eastAsia="仿宋_GB2312"/>
                      <w:sz w:val="21"/>
                    </w:rPr>
                    <w:t>1+1</w:t>
                  </w:r>
                  <w:r>
                    <w:rPr>
                      <w:rFonts w:ascii="仿宋_GB2312" w:hAnsi="仿宋_GB2312" w:cs="仿宋_GB2312" w:eastAsia="仿宋_GB2312"/>
                      <w:sz w:val="21"/>
                    </w:rPr>
                    <w:t>冗余</w:t>
                  </w:r>
                </w:p>
                <w:p>
                  <w:pPr>
                    <w:pStyle w:val="null3"/>
                    <w:jc w:val="both"/>
                  </w:pPr>
                  <w:r>
                    <w:rPr>
                      <w:rFonts w:ascii="仿宋_GB2312" w:hAnsi="仿宋_GB2312" w:cs="仿宋_GB2312" w:eastAsia="仿宋_GB2312"/>
                      <w:sz w:val="21"/>
                    </w:rPr>
                    <w:t>电源效率：支持</w:t>
                  </w:r>
                  <w:r>
                    <w:rPr>
                      <w:rFonts w:ascii="仿宋_GB2312" w:hAnsi="仿宋_GB2312" w:cs="仿宋_GB2312" w:eastAsia="仿宋_GB2312"/>
                      <w:sz w:val="21"/>
                    </w:rPr>
                    <w:t>80PLUS</w:t>
                  </w:r>
                  <w:r>
                    <w:rPr>
                      <w:rFonts w:ascii="仿宋_GB2312" w:hAnsi="仿宋_GB2312" w:cs="仿宋_GB2312" w:eastAsia="仿宋_GB2312"/>
                      <w:sz w:val="21"/>
                    </w:rPr>
                    <w:t>白金</w:t>
                  </w:r>
                  <w:r>
                    <w:rPr>
                      <w:rFonts w:ascii="仿宋_GB2312" w:hAnsi="仿宋_GB2312" w:cs="仿宋_GB2312" w:eastAsia="仿宋_GB2312"/>
                      <w:sz w:val="21"/>
                    </w:rPr>
                    <w:t>/</w:t>
                  </w:r>
                  <w:r>
                    <w:rPr>
                      <w:rFonts w:ascii="仿宋_GB2312" w:hAnsi="仿宋_GB2312" w:cs="仿宋_GB2312" w:eastAsia="仿宋_GB2312"/>
                      <w:sz w:val="21"/>
                    </w:rPr>
                    <w:t>钛金效率或同等标准</w:t>
                  </w:r>
                </w:p>
                <w:p>
                  <w:pPr>
                    <w:pStyle w:val="null3"/>
                    <w:jc w:val="both"/>
                  </w:pPr>
                  <w:r>
                    <w:rPr>
                      <w:rFonts w:ascii="仿宋_GB2312" w:hAnsi="仿宋_GB2312" w:cs="仿宋_GB2312" w:eastAsia="仿宋_GB2312"/>
                      <w:sz w:val="21"/>
                    </w:rPr>
                    <w:t>风扇：热插拔冗余风扇，支持智能调速、故障告警</w:t>
                  </w:r>
                </w:p>
                <w:p>
                  <w:pPr>
                    <w:pStyle w:val="null3"/>
                    <w:jc w:val="both"/>
                  </w:pPr>
                  <w:r>
                    <w:rPr>
                      <w:rFonts w:ascii="仿宋_GB2312" w:hAnsi="仿宋_GB2312" w:cs="仿宋_GB2312" w:eastAsia="仿宋_GB2312"/>
                      <w:sz w:val="21"/>
                    </w:rPr>
                    <w:t>八、管理功能</w:t>
                  </w:r>
                </w:p>
                <w:p>
                  <w:pPr>
                    <w:pStyle w:val="null3"/>
                    <w:jc w:val="both"/>
                  </w:pPr>
                  <w:r>
                    <w:rPr>
                      <w:rFonts w:ascii="仿宋_GB2312" w:hAnsi="仿宋_GB2312" w:cs="仿宋_GB2312" w:eastAsia="仿宋_GB2312"/>
                      <w:sz w:val="21"/>
                    </w:rPr>
                    <w:t>管理芯片：配置独立服务器管理模块（</w:t>
                  </w:r>
                  <w:r>
                    <w:rPr>
                      <w:rFonts w:ascii="仿宋_GB2312" w:hAnsi="仿宋_GB2312" w:cs="仿宋_GB2312" w:eastAsia="仿宋_GB2312"/>
                      <w:sz w:val="21"/>
                    </w:rPr>
                    <w:t>HDM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远程管理：支持远程开关机、远程</w:t>
                  </w:r>
                  <w:r>
                    <w:rPr>
                      <w:rFonts w:ascii="仿宋_GB2312" w:hAnsi="仿宋_GB2312" w:cs="仿宋_GB2312" w:eastAsia="仿宋_GB2312"/>
                      <w:sz w:val="21"/>
                    </w:rPr>
                    <w:t>KVM</w:t>
                  </w:r>
                  <w:r>
                    <w:rPr>
                      <w:rFonts w:ascii="仿宋_GB2312" w:hAnsi="仿宋_GB2312" w:cs="仿宋_GB2312" w:eastAsia="仿宋_GB2312"/>
                      <w:sz w:val="21"/>
                    </w:rPr>
                    <w:t>、虚拟介质、硬件监控、告警管理</w:t>
                  </w:r>
                </w:p>
                <w:p>
                  <w:pPr>
                    <w:pStyle w:val="null3"/>
                    <w:jc w:val="both"/>
                  </w:pPr>
                  <w:r>
                    <w:rPr>
                      <w:rFonts w:ascii="仿宋_GB2312" w:hAnsi="仿宋_GB2312" w:cs="仿宋_GB2312" w:eastAsia="仿宋_GB2312"/>
                      <w:sz w:val="21"/>
                    </w:rPr>
                    <w:t>管理方式：支持</w:t>
                  </w:r>
                  <w:r>
                    <w:rPr>
                      <w:rFonts w:ascii="仿宋_GB2312" w:hAnsi="仿宋_GB2312" w:cs="仿宋_GB2312" w:eastAsia="仿宋_GB2312"/>
                      <w:sz w:val="21"/>
                    </w:rPr>
                    <w:t>Web</w:t>
                  </w:r>
                  <w:r>
                    <w:rPr>
                      <w:rFonts w:ascii="仿宋_GB2312" w:hAnsi="仿宋_GB2312" w:cs="仿宋_GB2312" w:eastAsia="仿宋_GB2312"/>
                      <w:sz w:val="21"/>
                    </w:rPr>
                    <w:t>、</w:t>
                  </w:r>
                  <w:r>
                    <w:rPr>
                      <w:rFonts w:ascii="仿宋_GB2312" w:hAnsi="仿宋_GB2312" w:cs="仿宋_GB2312" w:eastAsia="仿宋_GB2312"/>
                      <w:sz w:val="21"/>
                    </w:rPr>
                    <w:t>SNMP</w:t>
                  </w:r>
                  <w:r>
                    <w:rPr>
                      <w:rFonts w:ascii="仿宋_GB2312" w:hAnsi="仿宋_GB2312" w:cs="仿宋_GB2312" w:eastAsia="仿宋_GB2312"/>
                      <w:sz w:val="21"/>
                    </w:rPr>
                    <w:t>、</w:t>
                  </w:r>
                  <w:r>
                    <w:rPr>
                      <w:rFonts w:ascii="仿宋_GB2312" w:hAnsi="仿宋_GB2312" w:cs="仿宋_GB2312" w:eastAsia="仿宋_GB2312"/>
                      <w:sz w:val="21"/>
                    </w:rPr>
                    <w:t>IPMI</w:t>
                  </w:r>
                  <w:r>
                    <w:rPr>
                      <w:rFonts w:ascii="仿宋_GB2312" w:hAnsi="仿宋_GB2312" w:cs="仿宋_GB2312" w:eastAsia="仿宋_GB2312"/>
                      <w:sz w:val="21"/>
                    </w:rPr>
                    <w:t>、</w:t>
                  </w:r>
                  <w:r>
                    <w:rPr>
                      <w:rFonts w:ascii="仿宋_GB2312" w:hAnsi="仿宋_GB2312" w:cs="仿宋_GB2312" w:eastAsia="仿宋_GB2312"/>
                      <w:sz w:val="21"/>
                    </w:rPr>
                    <w:t>Redfish</w:t>
                  </w:r>
                  <w:r>
                    <w:rPr>
                      <w:rFonts w:ascii="仿宋_GB2312" w:hAnsi="仿宋_GB2312" w:cs="仿宋_GB2312" w:eastAsia="仿宋_GB2312"/>
                      <w:sz w:val="21"/>
                    </w:rPr>
                    <w:t>等管理协议</w:t>
                  </w:r>
                </w:p>
                <w:p>
                  <w:pPr>
                    <w:pStyle w:val="null3"/>
                    <w:jc w:val="both"/>
                  </w:pPr>
                  <w:r>
                    <w:rPr>
                      <w:rFonts w:ascii="仿宋_GB2312" w:hAnsi="仿宋_GB2312" w:cs="仿宋_GB2312" w:eastAsia="仿宋_GB2312"/>
                      <w:sz w:val="21"/>
                    </w:rPr>
                    <w:t>安全功能：支持安全启动、</w:t>
                  </w:r>
                  <w:r>
                    <w:rPr>
                      <w:rFonts w:ascii="仿宋_GB2312" w:hAnsi="仿宋_GB2312" w:cs="仿宋_GB2312" w:eastAsia="仿宋_GB2312"/>
                      <w:sz w:val="21"/>
                    </w:rPr>
                    <w:t>TPM/</w:t>
                  </w:r>
                  <w:r>
                    <w:rPr>
                      <w:rFonts w:ascii="仿宋_GB2312" w:hAnsi="仿宋_GB2312" w:cs="仿宋_GB2312" w:eastAsia="仿宋_GB2312"/>
                      <w:sz w:val="21"/>
                    </w:rPr>
                    <w:t>可信平台模块</w:t>
                  </w:r>
                </w:p>
                <w:p>
                  <w:pPr>
                    <w:pStyle w:val="null3"/>
                    <w:jc w:val="both"/>
                  </w:pPr>
                  <w:r>
                    <w:rPr>
                      <w:rFonts w:ascii="仿宋_GB2312" w:hAnsi="仿宋_GB2312" w:cs="仿宋_GB2312" w:eastAsia="仿宋_GB2312"/>
                      <w:sz w:val="21"/>
                    </w:rPr>
                    <w:t>日志功能：支持硬件日志、故障告警、资产管理</w:t>
                  </w:r>
                </w:p>
                <w:p>
                  <w:pPr>
                    <w:pStyle w:val="null3"/>
                    <w:jc w:val="both"/>
                  </w:pPr>
                  <w:r>
                    <w:rPr>
                      <w:rFonts w:ascii="仿宋_GB2312" w:hAnsi="仿宋_GB2312" w:cs="仿宋_GB2312" w:eastAsia="仿宋_GB2312"/>
                      <w:sz w:val="21"/>
                    </w:rPr>
                    <w:t>九、兼容性要求</w:t>
                  </w:r>
                </w:p>
                <w:p>
                  <w:pPr>
                    <w:pStyle w:val="null3"/>
                    <w:jc w:val="both"/>
                  </w:pPr>
                  <w:r>
                    <w:rPr>
                      <w:rFonts w:ascii="仿宋_GB2312" w:hAnsi="仿宋_GB2312" w:cs="仿宋_GB2312" w:eastAsia="仿宋_GB2312"/>
                      <w:sz w:val="21"/>
                    </w:rPr>
                    <w:t>操作系统支持：</w:t>
                  </w:r>
                  <w:r>
                    <w:rPr>
                      <w:rFonts w:ascii="仿宋_GB2312" w:hAnsi="仿宋_GB2312" w:cs="仿宋_GB2312" w:eastAsia="仿宋_GB2312"/>
                      <w:sz w:val="21"/>
                    </w:rPr>
                    <w:t>Windows Server</w:t>
                  </w:r>
                  <w:r>
                    <w:rPr>
                      <w:rFonts w:ascii="仿宋_GB2312" w:hAnsi="仿宋_GB2312" w:cs="仿宋_GB2312" w:eastAsia="仿宋_GB2312"/>
                      <w:sz w:val="21"/>
                    </w:rPr>
                    <w:t>、</w:t>
                  </w:r>
                  <w:r>
                    <w:rPr>
                      <w:rFonts w:ascii="仿宋_GB2312" w:hAnsi="仿宋_GB2312" w:cs="仿宋_GB2312" w:eastAsia="仿宋_GB2312"/>
                      <w:sz w:val="21"/>
                    </w:rPr>
                    <w:t>Red Hat</w:t>
                  </w:r>
                  <w:r>
                    <w:rPr>
                      <w:rFonts w:ascii="仿宋_GB2312" w:hAnsi="仿宋_GB2312" w:cs="仿宋_GB2312" w:eastAsia="仿宋_GB2312"/>
                      <w:sz w:val="21"/>
                    </w:rPr>
                    <w:t>、</w:t>
                  </w:r>
                  <w:r>
                    <w:rPr>
                      <w:rFonts w:ascii="仿宋_GB2312" w:hAnsi="仿宋_GB2312" w:cs="仿宋_GB2312" w:eastAsia="仿宋_GB2312"/>
                      <w:sz w:val="21"/>
                    </w:rPr>
                    <w:t>SUSE</w:t>
                  </w:r>
                  <w:r>
                    <w:rPr>
                      <w:rFonts w:ascii="仿宋_GB2312" w:hAnsi="仿宋_GB2312" w:cs="仿宋_GB2312" w:eastAsia="仿宋_GB2312"/>
                      <w:sz w:val="21"/>
                    </w:rPr>
                    <w:t>、</w:t>
                  </w:r>
                  <w:r>
                    <w:rPr>
                      <w:rFonts w:ascii="仿宋_GB2312" w:hAnsi="仿宋_GB2312" w:cs="仿宋_GB2312" w:eastAsia="仿宋_GB2312"/>
                      <w:sz w:val="21"/>
                    </w:rPr>
                    <w:t>CentOS</w:t>
                  </w:r>
                  <w:r>
                    <w:rPr>
                      <w:rFonts w:ascii="仿宋_GB2312" w:hAnsi="仿宋_GB2312" w:cs="仿宋_GB2312" w:eastAsia="仿宋_GB2312"/>
                      <w:sz w:val="21"/>
                    </w:rPr>
                    <w:t>、</w:t>
                  </w:r>
                  <w:r>
                    <w:rPr>
                      <w:rFonts w:ascii="仿宋_GB2312" w:hAnsi="仿宋_GB2312" w:cs="仿宋_GB2312" w:eastAsia="仿宋_GB2312"/>
                      <w:sz w:val="21"/>
                    </w:rPr>
                    <w:t>Ubuntu</w:t>
                  </w:r>
                  <w:r>
                    <w:rPr>
                      <w:rFonts w:ascii="仿宋_GB2312" w:hAnsi="仿宋_GB2312" w:cs="仿宋_GB2312" w:eastAsia="仿宋_GB2312"/>
                      <w:sz w:val="21"/>
                    </w:rPr>
                    <w:t>、</w:t>
                  </w:r>
                  <w:r>
                    <w:rPr>
                      <w:rFonts w:ascii="仿宋_GB2312" w:hAnsi="仿宋_GB2312" w:cs="仿宋_GB2312" w:eastAsia="仿宋_GB2312"/>
                      <w:sz w:val="21"/>
                    </w:rPr>
                    <w:t>vmware ESXi</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虚拟化支持：</w:t>
                  </w:r>
                  <w:r>
                    <w:rPr>
                      <w:rFonts w:ascii="仿宋_GB2312" w:hAnsi="仿宋_GB2312" w:cs="仿宋_GB2312" w:eastAsia="仿宋_GB2312"/>
                      <w:sz w:val="21"/>
                    </w:rPr>
                    <w:t>vmware</w:t>
                  </w:r>
                  <w:r>
                    <w:rPr>
                      <w:rFonts w:ascii="仿宋_GB2312" w:hAnsi="仿宋_GB2312" w:cs="仿宋_GB2312" w:eastAsia="仿宋_GB2312"/>
                      <w:sz w:val="21"/>
                    </w:rPr>
                    <w:t>、</w:t>
                  </w:r>
                  <w:r>
                    <w:rPr>
                      <w:rFonts w:ascii="仿宋_GB2312" w:hAnsi="仿宋_GB2312" w:cs="仿宋_GB2312" w:eastAsia="仿宋_GB2312"/>
                      <w:sz w:val="21"/>
                    </w:rPr>
                    <w:t>KVM</w:t>
                  </w:r>
                  <w:r>
                    <w:rPr>
                      <w:rFonts w:ascii="仿宋_GB2312" w:hAnsi="仿宋_GB2312" w:cs="仿宋_GB2312" w:eastAsia="仿宋_GB2312"/>
                      <w:sz w:val="21"/>
                    </w:rPr>
                    <w:t>、</w:t>
                  </w:r>
                  <w:r>
                    <w:rPr>
                      <w:rFonts w:ascii="仿宋_GB2312" w:hAnsi="仿宋_GB2312" w:cs="仿宋_GB2312" w:eastAsia="仿宋_GB2312"/>
                      <w:sz w:val="21"/>
                    </w:rPr>
                    <w:t>Hyper-V</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数据库支持：</w:t>
                  </w:r>
                  <w:r>
                    <w:rPr>
                      <w:rFonts w:ascii="仿宋_GB2312" w:hAnsi="仿宋_GB2312" w:cs="仿宋_GB2312" w:eastAsia="仿宋_GB2312"/>
                      <w:sz w:val="21"/>
                    </w:rPr>
                    <w:t>Oracle</w:t>
                  </w:r>
                  <w:r>
                    <w:rPr>
                      <w:rFonts w:ascii="仿宋_GB2312" w:hAnsi="仿宋_GB2312" w:cs="仿宋_GB2312" w:eastAsia="仿宋_GB2312"/>
                      <w:sz w:val="21"/>
                    </w:rPr>
                    <w:t>、</w:t>
                  </w:r>
                  <w:r>
                    <w:rPr>
                      <w:rFonts w:ascii="仿宋_GB2312" w:hAnsi="仿宋_GB2312" w:cs="仿宋_GB2312" w:eastAsia="仿宋_GB2312"/>
                      <w:sz w:val="21"/>
                    </w:rPr>
                    <w:t>MySQL</w:t>
                  </w:r>
                  <w:r>
                    <w:rPr>
                      <w:rFonts w:ascii="仿宋_GB2312" w:hAnsi="仿宋_GB2312" w:cs="仿宋_GB2312" w:eastAsia="仿宋_GB2312"/>
                      <w:sz w:val="21"/>
                    </w:rPr>
                    <w:t>、</w:t>
                  </w:r>
                  <w:r>
                    <w:rPr>
                      <w:rFonts w:ascii="仿宋_GB2312" w:hAnsi="仿宋_GB2312" w:cs="仿宋_GB2312" w:eastAsia="仿宋_GB2312"/>
                      <w:sz w:val="21"/>
                    </w:rPr>
                    <w:t>SQL Server</w:t>
                  </w:r>
                  <w:r>
                    <w:rPr>
                      <w:rFonts w:ascii="仿宋_GB2312" w:hAnsi="仿宋_GB2312" w:cs="仿宋_GB2312" w:eastAsia="仿宋_GB2312"/>
                      <w:sz w:val="21"/>
                    </w:rPr>
                    <w:t>、</w:t>
                  </w:r>
                  <w:r>
                    <w:rPr>
                      <w:rFonts w:ascii="仿宋_GB2312" w:hAnsi="仿宋_GB2312" w:cs="仿宋_GB2312" w:eastAsia="仿宋_GB2312"/>
                      <w:sz w:val="21"/>
                    </w:rPr>
                    <w:t>PostgreSQL</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认证要求：须通过虚拟化平台兼容性认证</w:t>
                  </w:r>
                </w:p>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宝鸡文理学院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进度款，供货完毕经甲方验收合格后，乙方出具合同总额发票，甲方自收到全款发票之日起三个月内支付全部货款，达到付款条件起30个工作日内，支付合同总金额的100.0%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2026年8月31日前完成，确保正常教育教学，并组织培训，培训要求： （1）现场集中培训：在学校指定地点进行面对面培训、操作演示和现场答疑。 （2）分角色专项培训：分别针对管理员、教师、教辅人员、学生等不同角色开展专项培训。 （3）实操演练培训：以真实教学场景为基础，指导参训人员进行平台操作练习。 （4）线上培训：可通过视频会议、在线直播、录播课程等方式开展补充培训。 （5）一对一指导：对重点课程负责人、管理员或使用频率较高的教师提供专项指导。 （6）培训资料支持：提供电子版及必要的纸质版培训材料、操作手册、视频教程等。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原厂整机质保不低于3年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2、未按合同要求的提供服务或质量不能满足技术要求，采购人有权终止合同，甚至对供方违约行为进行追究。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投标方案.docx 产品技术参数表 投标函 中小企业声明函 残疾人福利性单位声明函 商务应答表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供应商具有独立承担民事责任能力的企业法人、事业法人、其他组织或自然人。企业 法人应提供合法有效的营业执照；事业法人应提供合法有效的事业单位法人证书；其他组织 应提供合法有效的证明文件；自然人参与的提供其身份证明；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 法定代表人资格证明书，法定代表人授权代表参加磋商的，须出具法定代表人资格证明书及 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提供2024或2025年度的财务审计报告（成立时间至提交投标文件截 止时间不足一年的可提供成立后任意时段的资产负债表）或开标前三个月内其基本存款账户 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提供2025年6月至今任意3个月的纳税证明或完税证明，纳税证明或 完税证明上应有代收机构或税务机关的公章或业务专用章，依法免税的供应商应提供相关文 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提供2025年6月至今任意3个月的社会保障资金缴存单据或 社保机构开具的社会保险参保缴费情况证明，依法不需要缴纳社会保障资金的供应商应提供 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近三年无重大违法记录书面声明：参加本次采购活动前三年内，在经营活动中无重大 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供应商不得在“信用中国”网站（www.creditchina.gov.cn）中被列入重 大税收违法失信主体；不得在“中国执行信息公开网”（zxgk.court.gov.cn/shixin/）被列 入失信被执行人；不得在“中国政府采购网”（www.ccgp.gov.cn）政府采购严重违法失信行 为记录名单中被财政部门禁止参加政府采购活动；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 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投标产品的技术指标、参数完全符合或优于招标文件要求，计20分，▲项参数每负偏离一项扣2分，非▲项参数负偏离一项扣0.2分，扣完为止。 注：提供▲项技术指标、参数的相应的证明材料（包括但不限于检测报告、软件截图、实物照片、专利证书、厂家技术规格书、彩页等），经评审专家审定得分。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整体项目方案</w:t>
            </w:r>
          </w:p>
        </w:tc>
        <w:tc>
          <w:tcPr>
            <w:tcW w:type="dxa" w:w="2492"/>
          </w:tcPr>
          <w:p>
            <w:pPr>
              <w:pStyle w:val="null3"/>
            </w:pPr>
            <w:r>
              <w:rPr>
                <w:rFonts w:ascii="仿宋_GB2312" w:hAnsi="仿宋_GB2312" w:cs="仿宋_GB2312" w:eastAsia="仿宋_GB2312"/>
              </w:rPr>
              <w:t>投标人针对本项目提供完整的项目实施方案，包括但不限于：①供货组织安排；②实施计划及进度计划；③安装、调试及配合验收方案；④项目团队人员配置。方案各部分内容全面详细、阐述条理清晰详尽、符合本项目采购需求得12分；以上分项每缺少一项内容扣3分；有某一项不符合实际要求或不满足实施或不满足交付要求或套用其他项目内容的扣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投标人针对本项目提供详细的产品质量保障方案，包括但不限于：①产品品牌、型号、 产地明确，备品配件供应有保障；②质量保证措施；③产品货源渠道（不限于制造商授权函、销售协议等）。方案各部分内容全面详细、阐述条理清晰详尽、符合本项目采购需求得12分；以上分项每缺少一项内容扣4分；有某一项不完整或不符合实际要求或不满足实施要求或套用其他项目内容的扣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产品售后方案</w:t>
            </w:r>
          </w:p>
        </w:tc>
        <w:tc>
          <w:tcPr>
            <w:tcW w:type="dxa" w:w="2492"/>
          </w:tcPr>
          <w:p>
            <w:pPr>
              <w:pStyle w:val="null3"/>
            </w:pPr>
            <w:r>
              <w:rPr>
                <w:rFonts w:ascii="仿宋_GB2312" w:hAnsi="仿宋_GB2312" w:cs="仿宋_GB2312" w:eastAsia="仿宋_GB2312"/>
              </w:rPr>
              <w:t>投标人在采购人对于产品售后服务要求的基础上，提供优化后的售后服务方案，保障采购人使用，包括但不限于：①售后服务承诺；②售后服务方案（须包含解决问题能力、紧急故障处理预案、故障维修响应时间及备品备件库的情况等）。方案各部分内容全面详细、阐述条理清晰详尽、符合本项目采购需求得10分；以上分项每缺少一项内容扣5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方案各部分内容全面详细、阐述条理清晰详尽、符合本项目采购需求得6分；以上分项每缺少一项内容扣3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提供投标人2022年1月1日至今（以合同签订日期为准）同类项目完整合同，每提供1个计5分，最高得10分，提供不全不计分。 同类项目指：同类型或包含但不限于本项目主要标的物的业绩证明材料。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