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BE47C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业绩</w:t>
      </w:r>
      <w:bookmarkStart w:id="0" w:name="_GoBack"/>
      <w:bookmarkEnd w:id="0"/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1A340F0D"/>
    <w:rsid w:val="235276A7"/>
    <w:rsid w:val="2D5E3AFE"/>
    <w:rsid w:val="360217A9"/>
    <w:rsid w:val="3DAD4CBD"/>
    <w:rsid w:val="4368266F"/>
    <w:rsid w:val="43DE6DD5"/>
    <w:rsid w:val="4D097489"/>
    <w:rsid w:val="4D5A6673"/>
    <w:rsid w:val="515F1555"/>
    <w:rsid w:val="522B4CDD"/>
    <w:rsid w:val="52412A09"/>
    <w:rsid w:val="52842DED"/>
    <w:rsid w:val="55376345"/>
    <w:rsid w:val="5792501F"/>
    <w:rsid w:val="598C3104"/>
    <w:rsid w:val="6B732357"/>
    <w:rsid w:val="7C18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2026-05-18T03:47:39Z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B3129ADE8D564CF3A1E9804EE9ABE831_13</vt:lpwstr>
  </property>
</Properties>
</file>