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C5B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bookmarkStart w:id="0" w:name="_Toc19478"/>
      <w:bookmarkStart w:id="1" w:name="_Toc6397"/>
      <w:r>
        <w:rPr>
          <w:rFonts w:hint="eastAsia" w:cs="宋体"/>
          <w:b/>
          <w:bCs/>
          <w:i w:val="0"/>
          <w:iCs w:val="0"/>
          <w:caps w:val="0"/>
          <w:color w:val="auto"/>
          <w:spacing w:val="0"/>
          <w:sz w:val="39"/>
          <w:szCs w:val="39"/>
          <w:highlight w:val="none"/>
          <w:shd w:val="clear" w:fill="FFFFFF"/>
          <w:lang w:val="en-US" w:eastAsia="zh-CN"/>
        </w:rPr>
        <w:t>西安市殡仪馆鲜花花材及殡葬用品采购项目</w:t>
      </w:r>
    </w:p>
    <w:p w14:paraId="23230E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3D1036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31D25454">
      <w:pPr>
        <w:pStyle w:val="2"/>
        <w:rPr>
          <w:rFonts w:hint="eastAsia"/>
        </w:rPr>
      </w:pPr>
    </w:p>
    <w:p w14:paraId="660521A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62E882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r>
        <w:rPr>
          <w:rFonts w:hint="eastAsia" w:ascii="宋体" w:hAnsi="宋体" w:eastAsia="宋体" w:cs="宋体"/>
          <w:b/>
          <w:bCs/>
          <w:i w:val="0"/>
          <w:iCs w:val="0"/>
          <w:caps w:val="0"/>
          <w:color w:val="auto"/>
          <w:spacing w:val="0"/>
          <w:sz w:val="39"/>
          <w:szCs w:val="39"/>
          <w:highlight w:val="none"/>
          <w:shd w:val="clear" w:fill="FFFFFF"/>
        </w:rPr>
        <w:t>采购合同</w:t>
      </w:r>
    </w:p>
    <w:p w14:paraId="4809A1ED">
      <w:pPr>
        <w:rPr>
          <w:rFonts w:hint="eastAsia" w:ascii="宋体" w:hAnsi="宋体" w:eastAsia="宋体" w:cs="宋体"/>
          <w:b/>
          <w:bCs/>
          <w:i w:val="0"/>
          <w:iCs w:val="0"/>
          <w:caps w:val="0"/>
          <w:color w:val="auto"/>
          <w:spacing w:val="0"/>
          <w:sz w:val="39"/>
          <w:szCs w:val="39"/>
          <w:highlight w:val="none"/>
          <w:shd w:val="clear" w:fill="FFFFFF"/>
        </w:rPr>
      </w:pPr>
    </w:p>
    <w:p w14:paraId="6D9B2C6A">
      <w:pPr>
        <w:pStyle w:val="6"/>
        <w:rPr>
          <w:rFonts w:hint="default" w:ascii="仿宋" w:hAnsi="仿宋" w:eastAsia="仿宋"/>
          <w:color w:val="auto"/>
          <w:highlight w:val="none"/>
          <w:shd w:val="clear" w:color="auto" w:fill="FFFFFF"/>
        </w:rPr>
      </w:pPr>
      <w:bookmarkStart w:id="2" w:name="_Toc32759"/>
      <w:bookmarkStart w:id="3" w:name="_Toc1270"/>
      <w:bookmarkStart w:id="4" w:name="_Toc16574"/>
      <w:bookmarkStart w:id="5" w:name="_Toc26511"/>
    </w:p>
    <w:p w14:paraId="0AE54CC6">
      <w:pPr>
        <w:rPr>
          <w:rFonts w:hint="default" w:ascii="仿宋" w:hAnsi="仿宋" w:eastAsia="仿宋"/>
          <w:color w:val="auto"/>
          <w:highlight w:val="none"/>
          <w:shd w:val="clear" w:color="auto" w:fill="FFFFFF"/>
        </w:rPr>
      </w:pPr>
    </w:p>
    <w:p w14:paraId="3DE70198">
      <w:pPr>
        <w:pStyle w:val="6"/>
        <w:rPr>
          <w:rFonts w:hint="default" w:ascii="仿宋" w:hAnsi="仿宋" w:eastAsia="仿宋"/>
          <w:color w:val="auto"/>
          <w:highlight w:val="none"/>
          <w:shd w:val="clear" w:color="auto" w:fill="FFFFFF"/>
        </w:rPr>
      </w:pPr>
    </w:p>
    <w:p w14:paraId="1A10C452">
      <w:pPr>
        <w:rPr>
          <w:rFonts w:hint="default" w:ascii="仿宋" w:hAnsi="仿宋" w:eastAsia="仿宋"/>
          <w:color w:val="auto"/>
          <w:highlight w:val="none"/>
          <w:shd w:val="clear" w:color="auto" w:fill="FFFFFF"/>
        </w:rPr>
      </w:pPr>
    </w:p>
    <w:p w14:paraId="2D2862D3">
      <w:pPr>
        <w:rPr>
          <w:rFonts w:hint="default"/>
          <w:color w:val="auto"/>
          <w:highlight w:val="none"/>
        </w:rPr>
      </w:pPr>
    </w:p>
    <w:p w14:paraId="2D5A5C72">
      <w:pPr>
        <w:rPr>
          <w:rFonts w:hint="default" w:ascii="仿宋" w:hAnsi="仿宋" w:eastAsia="仿宋"/>
          <w:color w:val="auto"/>
          <w:highlight w:val="none"/>
          <w:shd w:val="clear" w:color="auto" w:fill="FFFFFF"/>
        </w:rPr>
      </w:pPr>
    </w:p>
    <w:p w14:paraId="41CE18C3">
      <w:pPr>
        <w:pStyle w:val="6"/>
        <w:rPr>
          <w:rFonts w:hint="default"/>
          <w:color w:val="auto"/>
          <w:highlight w:val="none"/>
        </w:rPr>
      </w:pPr>
    </w:p>
    <w:p w14:paraId="384A88A8">
      <w:pPr>
        <w:adjustRightInd w:val="0"/>
        <w:snapToGrid w:val="0"/>
        <w:rPr>
          <w:rFonts w:ascii="仿宋" w:hAnsi="仿宋" w:eastAsia="仿宋"/>
          <w:color w:val="auto"/>
          <w:highlight w:val="none"/>
        </w:rPr>
      </w:pPr>
    </w:p>
    <w:p w14:paraId="76B228B9">
      <w:pPr>
        <w:adjustRightInd w:val="0"/>
        <w:snapToGrid w:val="0"/>
        <w:rPr>
          <w:rFonts w:ascii="仿宋" w:hAnsi="仿宋" w:eastAsia="仿宋"/>
          <w:color w:val="auto"/>
          <w:highlight w:val="none"/>
        </w:rPr>
      </w:pPr>
    </w:p>
    <w:p w14:paraId="47EFA5B2">
      <w:pPr>
        <w:adjustRightInd w:val="0"/>
        <w:snapToGrid w:val="0"/>
        <w:rPr>
          <w:rFonts w:hint="eastAsia" w:ascii="仿宋" w:hAnsi="仿宋" w:eastAsia="仿宋" w:cs="Times New Roman"/>
          <w:b/>
          <w:color w:val="auto"/>
          <w:kern w:val="0"/>
          <w:sz w:val="28"/>
          <w:szCs w:val="24"/>
          <w:highlight w:val="none"/>
          <w:lang w:val="en-US" w:eastAsia="zh-CN" w:bidi="ar"/>
        </w:rPr>
      </w:pPr>
    </w:p>
    <w:p w14:paraId="65E5D226">
      <w:pPr>
        <w:pageBreakBefore w:val="0"/>
        <w:kinsoku/>
        <w:wordWrap/>
        <w:overflowPunct/>
        <w:topLinePunct w:val="0"/>
        <w:bidi w:val="0"/>
        <w:adjustRightInd w:val="0"/>
        <w:snapToGrid w:val="0"/>
        <w:spacing w:line="600" w:lineRule="exact"/>
        <w:textAlignment w:val="auto"/>
        <w:rPr>
          <w:rFonts w:hint="eastAsia" w:ascii="仿宋" w:hAnsi="仿宋" w:eastAsia="仿宋" w:cs="Times New Roman"/>
          <w:b/>
          <w:color w:val="auto"/>
          <w:kern w:val="0"/>
          <w:sz w:val="28"/>
          <w:szCs w:val="24"/>
          <w:highlight w:val="none"/>
          <w:lang w:val="en-US" w:eastAsia="zh-CN" w:bidi="ar"/>
        </w:rPr>
      </w:pPr>
    </w:p>
    <w:p w14:paraId="37B69BA4">
      <w:pPr>
        <w:pageBreakBefore w:val="0"/>
        <w:widowControl w:val="0"/>
        <w:kinsoku/>
        <w:wordWrap/>
        <w:overflowPunct/>
        <w:topLinePunct w:val="0"/>
        <w:autoSpaceDE/>
        <w:autoSpaceDN/>
        <w:bidi w:val="0"/>
        <w:adjustRightInd w:val="0"/>
        <w:snapToGrid w:val="0"/>
        <w:spacing w:line="600" w:lineRule="exact"/>
        <w:textAlignment w:val="auto"/>
        <w:rPr>
          <w:rFonts w:hint="eastAsia" w:ascii="仿宋" w:hAnsi="仿宋" w:eastAsia="仿宋" w:cs="Times New Roman"/>
          <w:b/>
          <w:color w:val="auto"/>
          <w:kern w:val="0"/>
          <w:sz w:val="28"/>
          <w:szCs w:val="24"/>
          <w:highlight w:val="none"/>
          <w:lang w:val="en-US" w:eastAsia="zh-CN" w:bidi="ar"/>
        </w:rPr>
      </w:pPr>
      <w:r>
        <w:rPr>
          <w:rFonts w:hint="eastAsia" w:ascii="仿宋" w:hAnsi="仿宋" w:eastAsia="仿宋" w:cs="Times New Roman"/>
          <w:b/>
          <w:color w:val="auto"/>
          <w:kern w:val="0"/>
          <w:sz w:val="28"/>
          <w:szCs w:val="24"/>
          <w:highlight w:val="none"/>
          <w:lang w:val="en-US" w:eastAsia="zh-CN" w:bidi="ar"/>
        </w:rPr>
        <w:t>采购项目名称：</w:t>
      </w:r>
      <w:r>
        <w:rPr>
          <w:rFonts w:hint="eastAsia" w:ascii="仿宋" w:hAnsi="仿宋" w:eastAsia="仿宋" w:cs="Times New Roman"/>
          <w:b/>
          <w:color w:val="auto"/>
          <w:kern w:val="0"/>
          <w:sz w:val="28"/>
          <w:szCs w:val="24"/>
          <w:highlight w:val="none"/>
          <w:u w:val="single"/>
          <w:lang w:val="en-US" w:eastAsia="zh-CN" w:bidi="ar"/>
        </w:rPr>
        <w:t xml:space="preserve"> 西安市殡仪馆鲜花花材及殡葬用品采购项目</w:t>
      </w:r>
      <w:r>
        <w:rPr>
          <w:rFonts w:hint="eastAsia" w:ascii="仿宋" w:hAnsi="仿宋" w:eastAsia="仿宋" w:cs="Times New Roman"/>
          <w:b/>
          <w:color w:val="auto"/>
          <w:kern w:val="0"/>
          <w:sz w:val="28"/>
          <w:szCs w:val="24"/>
          <w:highlight w:val="none"/>
          <w:lang w:val="en-US" w:eastAsia="zh-CN" w:bidi="ar"/>
        </w:rPr>
        <w:t xml:space="preserve">                                     </w:t>
      </w:r>
      <w:bookmarkEnd w:id="2"/>
      <w:bookmarkEnd w:id="3"/>
      <w:bookmarkEnd w:id="4"/>
      <w:bookmarkEnd w:id="5"/>
    </w:p>
    <w:p w14:paraId="124A1030">
      <w:pPr>
        <w:pStyle w:val="9"/>
        <w:keepNext w:val="0"/>
        <w:keepLines w:val="0"/>
        <w:pageBreakBefore w:val="0"/>
        <w:widowControl/>
        <w:kinsoku/>
        <w:wordWrap/>
        <w:overflowPunct/>
        <w:topLinePunct w:val="0"/>
        <w:autoSpaceDE w:val="0"/>
        <w:autoSpaceDN w:val="0"/>
        <w:bidi w:val="0"/>
        <w:adjustRightInd/>
        <w:snapToGrid/>
        <w:spacing w:before="0" w:line="600" w:lineRule="exact"/>
        <w:textAlignment w:val="auto"/>
        <w:outlineLvl w:val="2"/>
        <w:rPr>
          <w:rFonts w:hint="eastAsia" w:ascii="仿宋" w:hAnsi="仿宋" w:eastAsia="仿宋" w:cs="Times New Roman"/>
          <w:b/>
          <w:color w:val="auto"/>
          <w:kern w:val="0"/>
          <w:sz w:val="28"/>
          <w:szCs w:val="24"/>
          <w:highlight w:val="none"/>
          <w:u w:val="single"/>
          <w:lang w:val="en-US" w:eastAsia="zh-CN" w:bidi="ar"/>
        </w:rPr>
      </w:pPr>
      <w:bookmarkStart w:id="6" w:name="_Toc11546"/>
      <w:bookmarkStart w:id="7" w:name="_Toc7639"/>
      <w:bookmarkStart w:id="8" w:name="_Toc19183"/>
      <w:bookmarkStart w:id="9" w:name="_Toc17160"/>
      <w:r>
        <w:rPr>
          <w:rFonts w:hint="eastAsia" w:ascii="仿宋" w:hAnsi="仿宋" w:eastAsia="仿宋" w:cs="Times New Roman"/>
          <w:b/>
          <w:color w:val="auto"/>
          <w:kern w:val="0"/>
          <w:sz w:val="28"/>
          <w:szCs w:val="24"/>
          <w:highlight w:val="none"/>
          <w:lang w:val="en-US" w:eastAsia="zh-CN" w:bidi="ar"/>
        </w:rPr>
        <w:t>采购项目地点：</w:t>
      </w:r>
      <w:r>
        <w:rPr>
          <w:rFonts w:hint="eastAsia" w:ascii="仿宋" w:hAnsi="仿宋" w:eastAsia="仿宋" w:cs="Times New Roman"/>
          <w:b/>
          <w:color w:val="auto"/>
          <w:kern w:val="0"/>
          <w:sz w:val="28"/>
          <w:szCs w:val="24"/>
          <w:highlight w:val="none"/>
          <w:u w:val="single"/>
          <w:lang w:val="en-US" w:eastAsia="zh-CN" w:bidi="ar"/>
        </w:rPr>
        <w:t xml:space="preserve">  西安市长安区鸣犊留公三村  </w:t>
      </w:r>
    </w:p>
    <w:p w14:paraId="77754553">
      <w:pPr>
        <w:pStyle w:val="9"/>
        <w:keepNext w:val="0"/>
        <w:keepLines w:val="0"/>
        <w:pageBreakBefore w:val="0"/>
        <w:widowControl/>
        <w:kinsoku/>
        <w:wordWrap/>
        <w:overflowPunct/>
        <w:topLinePunct w:val="0"/>
        <w:autoSpaceDE w:val="0"/>
        <w:autoSpaceDN w:val="0"/>
        <w:bidi w:val="0"/>
        <w:adjustRightInd/>
        <w:snapToGrid/>
        <w:spacing w:before="0" w:line="600" w:lineRule="exact"/>
        <w:textAlignment w:val="auto"/>
        <w:outlineLvl w:val="2"/>
        <w:rPr>
          <w:rFonts w:hint="eastAsia" w:ascii="仿宋" w:hAnsi="仿宋" w:eastAsia="仿宋" w:cs="Times New Roman"/>
          <w:b/>
          <w:color w:val="auto"/>
          <w:kern w:val="0"/>
          <w:sz w:val="28"/>
          <w:szCs w:val="24"/>
          <w:highlight w:val="none"/>
          <w:lang w:val="en-US" w:eastAsia="zh-CN" w:bidi="ar"/>
        </w:rPr>
      </w:pPr>
      <w:r>
        <w:rPr>
          <w:rFonts w:hint="eastAsia" w:ascii="仿宋" w:hAnsi="仿宋" w:eastAsia="仿宋" w:cs="Times New Roman"/>
          <w:b/>
          <w:color w:val="auto"/>
          <w:kern w:val="0"/>
          <w:sz w:val="28"/>
          <w:szCs w:val="24"/>
          <w:highlight w:val="none"/>
          <w:lang w:val="en-US" w:eastAsia="zh-CN" w:bidi="ar"/>
        </w:rPr>
        <w:t>包号：</w:t>
      </w:r>
      <w:r>
        <w:rPr>
          <w:rFonts w:hint="eastAsia" w:ascii="仿宋" w:hAnsi="仿宋" w:eastAsia="仿宋" w:cs="Times New Roman"/>
          <w:b/>
          <w:color w:val="auto"/>
          <w:kern w:val="0"/>
          <w:sz w:val="28"/>
          <w:szCs w:val="24"/>
          <w:highlight w:val="none"/>
          <w:u w:val="single"/>
          <w:lang w:val="en-US" w:eastAsia="zh-CN" w:bidi="ar"/>
        </w:rPr>
        <w:t xml:space="preserve">  一包：西安市殡仪馆殡葬用品采购项目 </w:t>
      </w:r>
      <w:r>
        <w:rPr>
          <w:rFonts w:hint="eastAsia" w:ascii="仿宋" w:hAnsi="仿宋" w:eastAsia="仿宋" w:cs="Times New Roman"/>
          <w:b/>
          <w:color w:val="auto"/>
          <w:kern w:val="0"/>
          <w:sz w:val="28"/>
          <w:szCs w:val="24"/>
          <w:highlight w:val="none"/>
          <w:lang w:val="en-US" w:eastAsia="zh-CN" w:bidi="ar"/>
        </w:rPr>
        <w:t xml:space="preserve">                                                  </w:t>
      </w:r>
      <w:bookmarkEnd w:id="6"/>
      <w:bookmarkEnd w:id="7"/>
      <w:bookmarkEnd w:id="8"/>
      <w:bookmarkEnd w:id="9"/>
    </w:p>
    <w:p w14:paraId="0AD62113">
      <w:pPr>
        <w:pageBreakBefore w:val="0"/>
        <w:widowControl w:val="0"/>
        <w:kinsoku/>
        <w:wordWrap/>
        <w:overflowPunct/>
        <w:topLinePunct w:val="0"/>
        <w:autoSpaceDE/>
        <w:autoSpaceDN/>
        <w:bidi w:val="0"/>
        <w:adjustRightInd w:val="0"/>
        <w:snapToGrid w:val="0"/>
        <w:spacing w:line="600" w:lineRule="exact"/>
        <w:textAlignment w:val="auto"/>
        <w:rPr>
          <w:rFonts w:hint="eastAsia" w:ascii="仿宋" w:hAnsi="仿宋" w:eastAsia="仿宋" w:cs="Times New Roman"/>
          <w:b/>
          <w:color w:val="auto"/>
          <w:kern w:val="0"/>
          <w:sz w:val="28"/>
          <w:szCs w:val="24"/>
          <w:highlight w:val="none"/>
          <w:lang w:val="en-US" w:eastAsia="zh-CN" w:bidi="ar"/>
        </w:rPr>
      </w:pPr>
      <w:bookmarkStart w:id="10" w:name="_Toc17504"/>
      <w:bookmarkStart w:id="11" w:name="_Toc11161"/>
      <w:bookmarkStart w:id="12" w:name="_Toc1819"/>
      <w:bookmarkStart w:id="13" w:name="_Toc32754"/>
      <w:r>
        <w:rPr>
          <w:rFonts w:hint="eastAsia" w:ascii="仿宋" w:hAnsi="仿宋" w:eastAsia="仿宋" w:cs="Times New Roman"/>
          <w:b/>
          <w:color w:val="auto"/>
          <w:kern w:val="0"/>
          <w:sz w:val="28"/>
          <w:szCs w:val="24"/>
          <w:highlight w:val="none"/>
          <w:lang w:val="en-US" w:eastAsia="zh-CN" w:bidi="ar"/>
        </w:rPr>
        <w:t>合同编号：</w:t>
      </w:r>
      <w:r>
        <w:rPr>
          <w:rFonts w:hint="eastAsia" w:ascii="仿宋" w:hAnsi="仿宋" w:eastAsia="仿宋" w:cs="Times New Roman"/>
          <w:b/>
          <w:color w:val="auto"/>
          <w:kern w:val="0"/>
          <w:sz w:val="28"/>
          <w:szCs w:val="24"/>
          <w:highlight w:val="none"/>
          <w:u w:val="single"/>
          <w:lang w:val="en-US" w:eastAsia="zh-CN" w:bidi="ar"/>
        </w:rPr>
        <w:t xml:space="preserve">                                </w:t>
      </w:r>
      <w:r>
        <w:rPr>
          <w:rFonts w:hint="eastAsia" w:ascii="仿宋" w:hAnsi="仿宋" w:eastAsia="仿宋" w:cs="Times New Roman"/>
          <w:b/>
          <w:color w:val="auto"/>
          <w:kern w:val="0"/>
          <w:sz w:val="28"/>
          <w:szCs w:val="24"/>
          <w:highlight w:val="none"/>
          <w:lang w:val="en-US" w:eastAsia="zh-CN" w:bidi="ar"/>
        </w:rPr>
        <w:t xml:space="preserve">                                         </w:t>
      </w:r>
      <w:bookmarkEnd w:id="10"/>
      <w:bookmarkEnd w:id="11"/>
      <w:bookmarkEnd w:id="12"/>
      <w:bookmarkEnd w:id="13"/>
    </w:p>
    <w:p w14:paraId="373FBF67">
      <w:pPr>
        <w:pageBreakBefore w:val="0"/>
        <w:widowControl w:val="0"/>
        <w:kinsoku/>
        <w:wordWrap/>
        <w:overflowPunct/>
        <w:topLinePunct w:val="0"/>
        <w:autoSpaceDE/>
        <w:autoSpaceDN/>
        <w:bidi w:val="0"/>
        <w:adjustRightInd w:val="0"/>
        <w:snapToGrid w:val="0"/>
        <w:spacing w:line="600" w:lineRule="exact"/>
        <w:textAlignment w:val="auto"/>
        <w:rPr>
          <w:rFonts w:hint="eastAsia" w:ascii="仿宋" w:hAnsi="仿宋" w:eastAsia="仿宋" w:cs="Times New Roman"/>
          <w:b/>
          <w:color w:val="auto"/>
          <w:kern w:val="0"/>
          <w:sz w:val="28"/>
          <w:szCs w:val="24"/>
          <w:highlight w:val="none"/>
          <w:lang w:val="en-US" w:eastAsia="zh-CN" w:bidi="ar"/>
        </w:rPr>
      </w:pPr>
      <w:bookmarkStart w:id="14" w:name="_Toc4231"/>
      <w:bookmarkStart w:id="15" w:name="_Toc6711"/>
      <w:bookmarkStart w:id="16" w:name="_Toc19116"/>
      <w:bookmarkStart w:id="17" w:name="_Toc20225"/>
      <w:r>
        <w:rPr>
          <w:rFonts w:hint="eastAsia" w:ascii="仿宋" w:hAnsi="仿宋" w:eastAsia="仿宋" w:cs="Times New Roman"/>
          <w:b/>
          <w:color w:val="auto"/>
          <w:kern w:val="0"/>
          <w:sz w:val="28"/>
          <w:szCs w:val="24"/>
          <w:highlight w:val="none"/>
          <w:lang w:val="en-US" w:eastAsia="zh-CN" w:bidi="ar"/>
        </w:rPr>
        <w:t>采购人（以下简称甲方）：</w:t>
      </w:r>
      <w:r>
        <w:rPr>
          <w:rFonts w:hint="eastAsia" w:ascii="仿宋" w:hAnsi="仿宋" w:eastAsia="仿宋" w:cs="Times New Roman"/>
          <w:b/>
          <w:color w:val="auto"/>
          <w:kern w:val="0"/>
          <w:sz w:val="28"/>
          <w:szCs w:val="24"/>
          <w:highlight w:val="none"/>
          <w:u w:val="single"/>
          <w:lang w:val="en-US" w:eastAsia="zh-CN" w:bidi="ar"/>
        </w:rPr>
        <w:t xml:space="preserve">  西安市殡仪馆     </w:t>
      </w:r>
      <w:r>
        <w:rPr>
          <w:rFonts w:hint="eastAsia" w:ascii="仿宋" w:hAnsi="仿宋" w:eastAsia="仿宋" w:cs="Times New Roman"/>
          <w:b/>
          <w:color w:val="auto"/>
          <w:kern w:val="0"/>
          <w:sz w:val="28"/>
          <w:szCs w:val="24"/>
          <w:highlight w:val="none"/>
          <w:lang w:val="en-US" w:eastAsia="zh-CN" w:bidi="ar"/>
        </w:rPr>
        <w:t xml:space="preserve">                                     </w:t>
      </w:r>
      <w:bookmarkEnd w:id="14"/>
      <w:bookmarkEnd w:id="15"/>
      <w:bookmarkEnd w:id="16"/>
      <w:bookmarkEnd w:id="17"/>
    </w:p>
    <w:p w14:paraId="2E0C7D65">
      <w:pPr>
        <w:pageBreakBefore w:val="0"/>
        <w:widowControl w:val="0"/>
        <w:kinsoku/>
        <w:wordWrap/>
        <w:overflowPunct/>
        <w:topLinePunct w:val="0"/>
        <w:autoSpaceDE/>
        <w:autoSpaceDN/>
        <w:bidi w:val="0"/>
        <w:adjustRightInd w:val="0"/>
        <w:snapToGrid w:val="0"/>
        <w:spacing w:line="600" w:lineRule="exact"/>
        <w:textAlignment w:val="auto"/>
        <w:rPr>
          <w:rFonts w:hint="eastAsia" w:ascii="仿宋" w:hAnsi="仿宋" w:eastAsia="仿宋" w:cs="Times New Roman"/>
          <w:b/>
          <w:color w:val="auto"/>
          <w:kern w:val="0"/>
          <w:sz w:val="28"/>
          <w:szCs w:val="24"/>
          <w:highlight w:val="none"/>
          <w:lang w:val="en-US" w:eastAsia="zh-CN" w:bidi="ar"/>
        </w:rPr>
      </w:pPr>
      <w:bookmarkStart w:id="18" w:name="_Toc17899"/>
      <w:bookmarkStart w:id="19" w:name="_Toc7818"/>
      <w:bookmarkStart w:id="20" w:name="_Toc20190"/>
      <w:bookmarkStart w:id="21" w:name="_Toc4068"/>
      <w:r>
        <w:rPr>
          <w:rFonts w:hint="eastAsia" w:ascii="仿宋" w:hAnsi="仿宋" w:eastAsia="仿宋" w:cs="Times New Roman"/>
          <w:b/>
          <w:color w:val="auto"/>
          <w:kern w:val="0"/>
          <w:sz w:val="28"/>
          <w:szCs w:val="24"/>
          <w:highlight w:val="none"/>
          <w:lang w:val="en-US" w:eastAsia="zh-CN" w:bidi="ar"/>
        </w:rPr>
        <w:t>供应商（以下简称乙方）：</w:t>
      </w:r>
      <w:r>
        <w:rPr>
          <w:rFonts w:hint="eastAsia" w:ascii="仿宋" w:hAnsi="仿宋" w:eastAsia="仿宋" w:cs="Times New Roman"/>
          <w:b/>
          <w:color w:val="auto"/>
          <w:kern w:val="0"/>
          <w:sz w:val="28"/>
          <w:szCs w:val="24"/>
          <w:highlight w:val="none"/>
          <w:u w:val="single"/>
          <w:lang w:val="en-US" w:eastAsia="zh-CN" w:bidi="ar"/>
        </w:rPr>
        <w:t xml:space="preserve">                   </w:t>
      </w:r>
      <w:r>
        <w:rPr>
          <w:rFonts w:hint="eastAsia" w:ascii="仿宋" w:hAnsi="仿宋" w:eastAsia="仿宋" w:cs="Times New Roman"/>
          <w:b/>
          <w:color w:val="auto"/>
          <w:kern w:val="0"/>
          <w:sz w:val="28"/>
          <w:szCs w:val="24"/>
          <w:highlight w:val="none"/>
          <w:lang w:val="en-US" w:eastAsia="zh-CN" w:bidi="ar"/>
        </w:rPr>
        <w:t xml:space="preserve">                   </w:t>
      </w:r>
      <w:bookmarkEnd w:id="18"/>
      <w:bookmarkEnd w:id="19"/>
      <w:bookmarkEnd w:id="20"/>
      <w:bookmarkEnd w:id="21"/>
    </w:p>
    <w:p w14:paraId="29A3DAB7">
      <w:pPr>
        <w:pStyle w:val="5"/>
        <w:pageBreakBefore w:val="0"/>
        <w:widowControl w:val="0"/>
        <w:kinsoku/>
        <w:wordWrap/>
        <w:overflowPunct/>
        <w:topLinePunct w:val="0"/>
        <w:autoSpaceDE/>
        <w:autoSpaceDN/>
        <w:bidi w:val="0"/>
        <w:spacing w:line="600" w:lineRule="exact"/>
        <w:textAlignment w:val="auto"/>
        <w:rPr>
          <w:rFonts w:hint="eastAsia"/>
          <w:color w:val="auto"/>
          <w:highlight w:val="none"/>
        </w:rPr>
      </w:pPr>
      <w:r>
        <w:rPr>
          <w:rFonts w:hint="eastAsia" w:ascii="仿宋" w:hAnsi="仿宋" w:eastAsia="仿宋" w:cs="Times New Roman"/>
          <w:b/>
          <w:color w:val="auto"/>
          <w:kern w:val="0"/>
          <w:sz w:val="28"/>
          <w:szCs w:val="24"/>
          <w:highlight w:val="none"/>
          <w:lang w:val="en-US" w:eastAsia="zh-CN" w:bidi="ar"/>
        </w:rPr>
        <w:t>签订日期：</w:t>
      </w:r>
      <w:r>
        <w:rPr>
          <w:rFonts w:hint="eastAsia" w:ascii="仿宋" w:hAnsi="仿宋" w:eastAsia="仿宋" w:cs="Times New Roman"/>
          <w:b/>
          <w:color w:val="auto"/>
          <w:kern w:val="0"/>
          <w:sz w:val="28"/>
          <w:szCs w:val="24"/>
          <w:highlight w:val="none"/>
          <w:u w:val="single"/>
          <w:lang w:val="en-US" w:eastAsia="zh-CN" w:bidi="ar"/>
        </w:rPr>
        <w:t xml:space="preserve">                                </w:t>
      </w:r>
      <w:r>
        <w:rPr>
          <w:rFonts w:hint="eastAsia" w:ascii="仿宋" w:hAnsi="仿宋" w:eastAsia="仿宋" w:cs="Times New Roman"/>
          <w:b/>
          <w:color w:val="auto"/>
          <w:kern w:val="0"/>
          <w:sz w:val="28"/>
          <w:szCs w:val="24"/>
          <w:highlight w:val="none"/>
          <w:lang w:val="en-US" w:eastAsia="zh-CN" w:bidi="ar"/>
        </w:rPr>
        <w:t xml:space="preserve">             </w:t>
      </w:r>
      <w:r>
        <w:rPr>
          <w:rFonts w:hint="eastAsia" w:ascii="仿宋" w:hAnsi="仿宋" w:eastAsia="仿宋"/>
          <w:color w:val="auto"/>
          <w:highlight w:val="none"/>
        </w:rPr>
        <w:t xml:space="preserve">          </w:t>
      </w:r>
    </w:p>
    <w:p w14:paraId="7515D322">
      <w:pPr>
        <w:keepNext w:val="0"/>
        <w:keepLines w:val="0"/>
        <w:pageBreakBefore w:val="0"/>
        <w:widowControl/>
        <w:kinsoku/>
        <w:wordWrap/>
        <w:overflowPunct/>
        <w:topLinePunct w:val="0"/>
        <w:autoSpaceDE/>
        <w:autoSpaceDN/>
        <w:bidi w:val="0"/>
        <w:adjustRightInd/>
        <w:snapToGrid/>
        <w:spacing w:before="157" w:beforeLines="50" w:line="500" w:lineRule="exact"/>
        <w:jc w:val="left"/>
        <w:textAlignment w:val="auto"/>
        <w:rPr>
          <w:rFonts w:hint="eastAsia" w:ascii="宋体" w:hAnsi="宋体" w:cs="宋体"/>
          <w:color w:val="auto"/>
          <w:kern w:val="0"/>
          <w:sz w:val="24"/>
          <w:highlight w:val="none"/>
          <w:lang w:bidi="ar"/>
        </w:rPr>
      </w:pPr>
    </w:p>
    <w:p w14:paraId="1FCE35D3">
      <w:pPr>
        <w:keepNext w:val="0"/>
        <w:keepLines w:val="0"/>
        <w:pageBreakBefore w:val="0"/>
        <w:widowControl/>
        <w:kinsoku/>
        <w:wordWrap/>
        <w:overflowPunct/>
        <w:topLinePunct w:val="0"/>
        <w:autoSpaceDE/>
        <w:autoSpaceDN/>
        <w:bidi w:val="0"/>
        <w:adjustRightInd/>
        <w:snapToGrid/>
        <w:spacing w:before="157" w:beforeLines="50" w:line="500" w:lineRule="exact"/>
        <w:jc w:val="left"/>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lang w:bidi="ar"/>
        </w:rPr>
        <w:t>甲方：</w:t>
      </w:r>
      <w:r>
        <w:rPr>
          <w:rFonts w:hint="eastAsia" w:ascii="宋体" w:hAnsi="宋体" w:cs="宋体"/>
          <w:color w:val="auto"/>
          <w:kern w:val="0"/>
          <w:sz w:val="24"/>
          <w:highlight w:val="none"/>
          <w:u w:val="single"/>
        </w:rPr>
        <w:t>西安市殡仪馆</w:t>
      </w:r>
    </w:p>
    <w:p w14:paraId="4B52ED51">
      <w:pPr>
        <w:keepNext w:val="0"/>
        <w:keepLines w:val="0"/>
        <w:pageBreakBefore w:val="0"/>
        <w:widowControl/>
        <w:kinsoku/>
        <w:wordWrap/>
        <w:overflowPunct/>
        <w:topLinePunct w:val="0"/>
        <w:bidi w:val="0"/>
        <w:spacing w:line="500" w:lineRule="exact"/>
        <w:jc w:val="left"/>
        <w:textAlignment w:val="auto"/>
        <w:rPr>
          <w:rFonts w:hint="default" w:ascii="宋体" w:hAnsi="宋体" w:eastAsia="宋体" w:cs="宋体"/>
          <w:color w:val="auto"/>
          <w:kern w:val="0"/>
          <w:sz w:val="24"/>
          <w:highlight w:val="none"/>
          <w:u w:val="single"/>
          <w:lang w:val="en-US" w:eastAsia="zh-CN"/>
        </w:rPr>
      </w:pPr>
      <w:r>
        <w:rPr>
          <w:rFonts w:hint="eastAsia" w:ascii="宋体" w:hAnsi="宋体" w:cs="宋体"/>
          <w:color w:val="auto"/>
          <w:kern w:val="0"/>
          <w:sz w:val="24"/>
          <w:highlight w:val="none"/>
          <w:lang w:bidi="ar"/>
        </w:rPr>
        <w:t>乙方：</w:t>
      </w:r>
      <w:r>
        <w:rPr>
          <w:rFonts w:hint="eastAsia" w:ascii="宋体" w:hAnsi="宋体" w:eastAsia="宋体" w:cs="宋体"/>
          <w:color w:val="auto"/>
          <w:kern w:val="0"/>
          <w:sz w:val="24"/>
          <w:highlight w:val="none"/>
          <w:u w:val="single"/>
          <w:lang w:val="en-US" w:eastAsia="zh-CN" w:bidi="ar"/>
        </w:rPr>
        <w:t xml:space="preserve">            </w:t>
      </w:r>
    </w:p>
    <w:p w14:paraId="569E16E9">
      <w:pPr>
        <w:keepNext w:val="0"/>
        <w:keepLines w:val="0"/>
        <w:pageBreakBefore w:val="0"/>
        <w:widowControl/>
        <w:kinsoku/>
        <w:wordWrap/>
        <w:overflowPunct/>
        <w:topLinePunct w:val="0"/>
        <w:bidi w:val="0"/>
        <w:spacing w:line="500" w:lineRule="exact"/>
        <w:ind w:firstLine="480" w:firstLineChars="200"/>
        <w:jc w:val="left"/>
        <w:textAlignment w:val="auto"/>
        <w:rPr>
          <w:rFonts w:hint="eastAsia" w:ascii="宋体" w:hAnsi="宋体" w:cs="宋体"/>
          <w:color w:val="auto"/>
          <w:kern w:val="0"/>
          <w:sz w:val="24"/>
          <w:highlight w:val="none"/>
          <w:lang w:eastAsia="zh-CN" w:bidi="ar"/>
        </w:rPr>
      </w:pPr>
      <w:r>
        <w:rPr>
          <w:rFonts w:hint="eastAsia" w:ascii="宋体" w:hAnsi="宋体" w:cs="宋体"/>
          <w:color w:val="auto"/>
          <w:kern w:val="0"/>
          <w:sz w:val="24"/>
          <w:highlight w:val="none"/>
          <w:lang w:val="en-US" w:eastAsia="zh-CN" w:bidi="ar"/>
        </w:rPr>
        <w:t>西安市殡仪馆鲜花及辅助材料采购项目</w:t>
      </w:r>
      <w:r>
        <w:rPr>
          <w:rFonts w:hint="eastAsia" w:ascii="宋体" w:hAnsi="宋体" w:cs="宋体"/>
          <w:color w:val="auto"/>
          <w:kern w:val="0"/>
          <w:sz w:val="24"/>
          <w:highlight w:val="none"/>
          <w:lang w:bidi="ar"/>
        </w:rPr>
        <w:t>，由</w:t>
      </w:r>
      <w:r>
        <w:rPr>
          <w:rFonts w:hint="eastAsia" w:ascii="宋体" w:hAnsi="宋体" w:cs="宋体"/>
          <w:color w:val="auto"/>
          <w:kern w:val="0"/>
          <w:sz w:val="24"/>
          <w:highlight w:val="none"/>
          <w:lang w:val="en-US" w:eastAsia="zh-CN" w:bidi="ar"/>
        </w:rPr>
        <w:t>亿诚建设项目管理有限公司组织公开招标，西安市殡仪馆</w:t>
      </w:r>
      <w:r>
        <w:rPr>
          <w:rFonts w:hint="eastAsia" w:ascii="宋体" w:hAnsi="宋体" w:cs="宋体"/>
          <w:color w:val="auto"/>
          <w:kern w:val="0"/>
          <w:sz w:val="24"/>
          <w:highlight w:val="none"/>
          <w:lang w:bidi="ar"/>
        </w:rPr>
        <w:t>（以下简称甲方）确定</w:t>
      </w:r>
      <w:r>
        <w:rPr>
          <w:rFonts w:hint="eastAsia" w:ascii="宋体" w:hAnsi="宋体" w:eastAsia="宋体" w:cs="宋体"/>
          <w:color w:val="auto"/>
          <w:kern w:val="0"/>
          <w:sz w:val="24"/>
          <w:highlight w:val="none"/>
          <w:u w:val="single"/>
          <w:lang w:val="en-US" w:eastAsia="zh-CN" w:bidi="ar"/>
        </w:rPr>
        <w:t xml:space="preserve">         </w:t>
      </w:r>
      <w:r>
        <w:rPr>
          <w:rFonts w:hint="eastAsia" w:ascii="宋体" w:hAnsi="宋体" w:cs="宋体"/>
          <w:color w:val="auto"/>
          <w:kern w:val="0"/>
          <w:sz w:val="24"/>
          <w:highlight w:val="none"/>
          <w:lang w:bidi="ar"/>
        </w:rPr>
        <w:t>（以下简称乙方）为该项目</w:t>
      </w:r>
      <w:r>
        <w:rPr>
          <w:rFonts w:hint="eastAsia" w:ascii="宋体" w:hAnsi="宋体" w:eastAsia="宋体" w:cs="宋体"/>
          <w:color w:val="auto"/>
          <w:kern w:val="0"/>
          <w:sz w:val="24"/>
          <w:highlight w:val="none"/>
          <w:lang w:val="en-US" w:eastAsia="zh-CN" w:bidi="ar"/>
        </w:rPr>
        <w:t>一包：西安市殡仪馆殡葬用品采购项目</w:t>
      </w:r>
      <w:r>
        <w:rPr>
          <w:rFonts w:hint="eastAsia" w:ascii="宋体" w:hAnsi="宋体" w:cs="宋体"/>
          <w:color w:val="auto"/>
          <w:kern w:val="0"/>
          <w:sz w:val="24"/>
          <w:highlight w:val="none"/>
          <w:lang w:eastAsia="zh-CN" w:bidi="ar"/>
        </w:rPr>
        <w:t>成交</w:t>
      </w:r>
      <w:r>
        <w:rPr>
          <w:rFonts w:hint="eastAsia" w:ascii="宋体" w:hAnsi="宋体" w:cs="宋体"/>
          <w:color w:val="auto"/>
          <w:kern w:val="0"/>
          <w:sz w:val="24"/>
          <w:highlight w:val="none"/>
          <w:lang w:bidi="ar"/>
        </w:rPr>
        <w:t>单位。依据《中华人民共和国</w:t>
      </w:r>
      <w:r>
        <w:rPr>
          <w:rFonts w:hint="eastAsia" w:ascii="宋体" w:hAnsi="宋体" w:cs="宋体"/>
          <w:color w:val="auto"/>
          <w:kern w:val="0"/>
          <w:sz w:val="24"/>
          <w:highlight w:val="none"/>
          <w:lang w:eastAsia="zh-CN" w:bidi="ar"/>
        </w:rPr>
        <w:t>民法典</w:t>
      </w:r>
      <w:r>
        <w:rPr>
          <w:rFonts w:hint="eastAsia" w:ascii="宋体" w:hAnsi="宋体" w:cs="宋体"/>
          <w:color w:val="auto"/>
          <w:kern w:val="0"/>
          <w:sz w:val="24"/>
          <w:highlight w:val="none"/>
          <w:lang w:bidi="ar"/>
        </w:rPr>
        <w:t>》和《中华人民共和国政府采购法》，经甲、乙双方共同协商，按下述条款和条件签署</w:t>
      </w:r>
      <w:r>
        <w:rPr>
          <w:rFonts w:hint="eastAsia" w:ascii="宋体" w:hAnsi="宋体" w:cs="宋体"/>
          <w:color w:val="auto"/>
          <w:kern w:val="0"/>
          <w:sz w:val="24"/>
          <w:highlight w:val="none"/>
          <w:lang w:eastAsia="zh-CN" w:bidi="ar"/>
        </w:rPr>
        <w:t>本合同。</w:t>
      </w:r>
    </w:p>
    <w:bookmarkEnd w:id="0"/>
    <w:bookmarkEnd w:id="1"/>
    <w:p w14:paraId="641B194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bookmarkStart w:id="22" w:name="_Toc15104"/>
      <w:bookmarkStart w:id="23" w:name="_Toc18387"/>
      <w:r>
        <w:rPr>
          <w:rFonts w:hint="eastAsia" w:ascii="宋体" w:hAnsi="宋体" w:eastAsia="宋体" w:cs="宋体"/>
          <w:b/>
          <w:bCs/>
          <w:color w:val="000000" w:themeColor="text1"/>
          <w:kern w:val="0"/>
          <w:sz w:val="24"/>
          <w:szCs w:val="24"/>
          <w:highlight w:val="none"/>
          <w:lang w:val="en-US" w:eastAsia="zh-CN" w:bidi="ar"/>
          <w14:textFill>
            <w14:solidFill>
              <w14:schemeClr w14:val="tx1"/>
            </w14:solidFill>
          </w14:textFill>
        </w:rPr>
        <w:t>一、交货条件</w:t>
      </w:r>
    </w:p>
    <w:p w14:paraId="4E9C60A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（一）服务期：</w:t>
      </w:r>
      <w:r>
        <w:rPr>
          <w:rFonts w:hint="eastAsia" w:ascii="宋体" w:hAnsi="宋体" w:eastAsia="宋体" w:cs="宋体"/>
          <w:color w:val="auto"/>
          <w:kern w:val="0"/>
          <w:sz w:val="24"/>
          <w:szCs w:val="24"/>
          <w:highlight w:val="none"/>
          <w:lang w:val="en-US" w:eastAsia="zh-CN" w:bidi="ar"/>
        </w:rPr>
        <w:t>自合同签署之日起</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1年或累计结算金额达到80万，以先到达者为准； </w:t>
      </w:r>
    </w:p>
    <w:p w14:paraId="66C391F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（二）交货时间：</w:t>
      </w:r>
      <w:r>
        <w:rPr>
          <w:rFonts w:hint="eastAsia" w:cs="宋体"/>
          <w:color w:val="000000" w:themeColor="text1"/>
          <w:kern w:val="0"/>
          <w:sz w:val="24"/>
          <w:szCs w:val="24"/>
          <w:highlight w:val="none"/>
          <w:lang w:val="en-US" w:eastAsia="zh-CN" w:bidi="ar"/>
          <w14:textFill>
            <w14:solidFill>
              <w14:schemeClr w14:val="tx1"/>
            </w14:solidFill>
          </w14:textFill>
        </w:rPr>
        <w:t>乙方</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接到</w:t>
      </w:r>
      <w:r>
        <w:rPr>
          <w:rFonts w:hint="eastAsia" w:cs="宋体"/>
          <w:color w:val="000000" w:themeColor="text1"/>
          <w:kern w:val="0"/>
          <w:sz w:val="24"/>
          <w:szCs w:val="24"/>
          <w:highlight w:val="none"/>
          <w:lang w:val="en-US" w:eastAsia="zh-CN" w:bidi="ar"/>
          <w14:textFill>
            <w14:solidFill>
              <w14:schemeClr w14:val="tx1"/>
            </w14:solidFill>
          </w14:textFill>
        </w:rPr>
        <w:t>甲方</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要货通知后</w:t>
      </w:r>
      <w:r>
        <w:rPr>
          <w:rFonts w:hint="eastAsia" w:cs="宋体"/>
          <w:color w:val="000000" w:themeColor="text1"/>
          <w:kern w:val="0"/>
          <w:sz w:val="24"/>
          <w:szCs w:val="24"/>
          <w:highlight w:val="none"/>
          <w:lang w:val="en-US" w:eastAsia="zh-CN" w:bidi="ar"/>
          <w14:textFill>
            <w14:solidFill>
              <w14:schemeClr w14:val="tx1"/>
            </w14:solidFill>
          </w14:textFill>
        </w:rPr>
        <w:t>3个工作</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日内完成供货； </w:t>
      </w:r>
    </w:p>
    <w:p w14:paraId="147E5D5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（三）交货地点：西安市殡仪馆</w:t>
      </w:r>
      <w:r>
        <w:rPr>
          <w:rFonts w:hint="eastAsia" w:ascii="宋体" w:hAnsi="宋体" w:eastAsia="宋体" w:cs="宋体"/>
          <w:color w:val="auto"/>
          <w:kern w:val="0"/>
          <w:sz w:val="24"/>
          <w:szCs w:val="24"/>
          <w:lang w:val="en-US" w:eastAsia="zh-CN" w:bidi="ar"/>
        </w:rPr>
        <w:t xml:space="preserve">或甲方指定地点。 </w:t>
      </w:r>
    </w:p>
    <w:p w14:paraId="772C0CA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 xml:space="preserve">二、合同价款 </w:t>
      </w:r>
    </w:p>
    <w:p w14:paraId="2200DDC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（一）</w:t>
      </w:r>
      <w:r>
        <w:rPr>
          <w:rFonts w:hint="eastAsia" w:ascii="宋体" w:hAnsi="宋体" w:eastAsia="宋体" w:cs="宋体"/>
          <w:color w:val="auto"/>
          <w:kern w:val="0"/>
          <w:sz w:val="24"/>
          <w:szCs w:val="24"/>
          <w:lang w:val="en-US" w:eastAsia="zh-CN" w:bidi="ar"/>
        </w:rPr>
        <w:t>本合同为固定单价合同，乙方投标单价为最终结算单价，</w:t>
      </w: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包括供应费、运杂费、税金和其他一切费用。 </w:t>
      </w:r>
    </w:p>
    <w:p w14:paraId="232555F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 xml:space="preserve">三、款项结算 </w:t>
      </w:r>
    </w:p>
    <w:p w14:paraId="4DCC2E6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（一）合同签订后按月结算货款 </w:t>
      </w:r>
    </w:p>
    <w:p w14:paraId="1B02A96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（二）支付方式：银行转账。 </w:t>
      </w:r>
    </w:p>
    <w:p w14:paraId="17452E4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（三）付款方式：</w:t>
      </w:r>
      <w:r>
        <w:rPr>
          <w:rFonts w:hint="eastAsia" w:cs="宋体"/>
          <w:color w:val="000000" w:themeColor="text1"/>
          <w:kern w:val="0"/>
          <w:sz w:val="24"/>
          <w:szCs w:val="24"/>
          <w:lang w:val="en-US" w:eastAsia="zh-CN" w:bidi="ar"/>
          <w14:textFill>
            <w14:solidFill>
              <w14:schemeClr w14:val="tx1"/>
            </w14:solidFill>
          </w14:textFill>
        </w:rPr>
        <w:t>付款前乙方</w:t>
      </w:r>
      <w:r>
        <w:rPr>
          <w:rFonts w:hint="eastAsia" w:ascii="宋体" w:hAnsi="宋体" w:eastAsia="宋体" w:cs="宋体"/>
          <w:color w:val="000000" w:themeColor="text1"/>
          <w:kern w:val="0"/>
          <w:sz w:val="24"/>
          <w:szCs w:val="24"/>
          <w:lang w:val="en-US" w:eastAsia="zh-CN" w:bidi="ar"/>
          <w14:textFill>
            <w14:solidFill>
              <w14:schemeClr w14:val="tx1"/>
            </w14:solidFill>
          </w14:textFill>
        </w:rPr>
        <w:t>需提供“增值税专用发票”</w:t>
      </w:r>
    </w:p>
    <w:p w14:paraId="39965CA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（四）本项目付款方式采取先供货销售、后支付货款的方式，每月以西安市殡仪馆实际销售商品的成本结算货款。</w:t>
      </w:r>
    </w:p>
    <w:p w14:paraId="6A0BECC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 xml:space="preserve">四、质量保证 </w:t>
      </w:r>
    </w:p>
    <w:p w14:paraId="34F091F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（一）所选原材料必须保证质量可靠、进货渠道正规，符合国家相关标准，并满足招标文件要求。 </w:t>
      </w:r>
    </w:p>
    <w:p w14:paraId="115237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（二）所供成品保证质量合格，符合国家有关技术规范，确保无水货、假货、翻新货及残次品，并能按期交货。 </w:t>
      </w:r>
    </w:p>
    <w:p w14:paraId="57FA672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（三）保证所供货物在装卸、运输和仓储过程中有足够的包装保护，防止货物受潮、腐烂、遭受冲撞及其他不可预见的损坏。 </w:t>
      </w:r>
    </w:p>
    <w:p w14:paraId="30597B3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（四）</w:t>
      </w:r>
      <w:r>
        <w:rPr>
          <w:rFonts w:hint="eastAsia" w:cs="宋体"/>
          <w:color w:val="000000" w:themeColor="text1"/>
          <w:kern w:val="0"/>
          <w:sz w:val="24"/>
          <w:szCs w:val="24"/>
          <w:lang w:val="en-US" w:eastAsia="zh-CN" w:bidi="ar"/>
          <w14:textFill>
            <w14:solidFill>
              <w14:schemeClr w14:val="tx1"/>
            </w14:solidFill>
          </w14:textFill>
        </w:rPr>
        <w:t>乙方</w:t>
      </w:r>
      <w:r>
        <w:rPr>
          <w:rFonts w:hint="eastAsia" w:ascii="宋体" w:hAnsi="宋体" w:eastAsia="宋体" w:cs="宋体"/>
          <w:color w:val="000000" w:themeColor="text1"/>
          <w:kern w:val="0"/>
          <w:sz w:val="24"/>
          <w:szCs w:val="24"/>
          <w:lang w:val="en-US" w:eastAsia="zh-CN" w:bidi="ar"/>
          <w14:textFill>
            <w14:solidFill>
              <w14:schemeClr w14:val="tx1"/>
            </w14:solidFill>
          </w14:textFill>
        </w:rPr>
        <w:t>所供货物，若发生侵权而产生的一切后果，由</w:t>
      </w:r>
      <w:r>
        <w:rPr>
          <w:rFonts w:hint="eastAsia" w:cs="宋体"/>
          <w:color w:val="000000" w:themeColor="text1"/>
          <w:kern w:val="0"/>
          <w:sz w:val="24"/>
          <w:szCs w:val="24"/>
          <w:lang w:val="en-US" w:eastAsia="zh-CN" w:bidi="ar"/>
          <w14:textFill>
            <w14:solidFill>
              <w14:schemeClr w14:val="tx1"/>
            </w14:solidFill>
          </w14:textFill>
        </w:rPr>
        <w:t>乙方</w:t>
      </w:r>
      <w:r>
        <w:rPr>
          <w:rFonts w:hint="eastAsia" w:ascii="宋体" w:hAnsi="宋体" w:eastAsia="宋体" w:cs="宋体"/>
          <w:color w:val="000000" w:themeColor="text1"/>
          <w:kern w:val="0"/>
          <w:sz w:val="24"/>
          <w:szCs w:val="24"/>
          <w:lang w:val="en-US" w:eastAsia="zh-CN" w:bidi="ar"/>
          <w14:textFill>
            <w14:solidFill>
              <w14:schemeClr w14:val="tx1"/>
            </w14:solidFill>
          </w14:textFill>
        </w:rPr>
        <w:t>负责。</w:t>
      </w:r>
      <w:r>
        <w:rPr>
          <w:rFonts w:hint="eastAsia" w:cs="宋体"/>
          <w:color w:val="000000" w:themeColor="text1"/>
          <w:kern w:val="0"/>
          <w:sz w:val="24"/>
          <w:szCs w:val="24"/>
          <w:lang w:val="en-US" w:eastAsia="zh-CN" w:bidi="ar"/>
          <w14:textFill>
            <w14:solidFill>
              <w14:schemeClr w14:val="tx1"/>
            </w14:solidFill>
          </w14:textFill>
        </w:rPr>
        <w:t>甲方</w:t>
      </w: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保留索赔权力。 </w:t>
      </w:r>
    </w:p>
    <w:p w14:paraId="65CC50B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 xml:space="preserve">五、运输 </w:t>
      </w:r>
    </w:p>
    <w:p w14:paraId="74505F9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（一）</w:t>
      </w:r>
      <w:r>
        <w:rPr>
          <w:rFonts w:hint="eastAsia" w:ascii="宋体" w:hAnsi="宋体" w:cs="仿宋"/>
          <w:color w:val="000000" w:themeColor="text1"/>
          <w:sz w:val="24"/>
          <w:szCs w:val="24"/>
          <w:lang w:val="zh-CN"/>
          <w14:textFill>
            <w14:solidFill>
              <w14:schemeClr w14:val="tx1"/>
            </w14:solidFill>
          </w14:textFill>
        </w:rPr>
        <w:t>运输由</w:t>
      </w:r>
      <w:r>
        <w:rPr>
          <w:rFonts w:hint="eastAsia" w:cs="仿宋"/>
          <w:color w:val="000000" w:themeColor="text1"/>
          <w:sz w:val="24"/>
          <w:szCs w:val="24"/>
          <w:lang w:val="zh-CN"/>
          <w14:textFill>
            <w14:solidFill>
              <w14:schemeClr w14:val="tx1"/>
            </w14:solidFill>
          </w14:textFill>
        </w:rPr>
        <w:t>乙方</w:t>
      </w:r>
      <w:r>
        <w:rPr>
          <w:rFonts w:hint="eastAsia" w:ascii="宋体" w:hAnsi="宋体" w:cs="仿宋"/>
          <w:color w:val="000000" w:themeColor="text1"/>
          <w:sz w:val="24"/>
          <w:szCs w:val="24"/>
          <w:lang w:val="zh-CN"/>
          <w14:textFill>
            <w14:solidFill>
              <w14:schemeClr w14:val="tx1"/>
            </w14:solidFill>
          </w14:textFill>
        </w:rPr>
        <w:t>负责，运杂费已包含在合同总价内，包括从货物供应地点运送至交货地点所含的运输费、装卸费、仓储费、保险费等</w:t>
      </w: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 </w:t>
      </w:r>
    </w:p>
    <w:p w14:paraId="439D350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（二）</w:t>
      </w:r>
      <w:r>
        <w:rPr>
          <w:rFonts w:hint="eastAsia" w:ascii="宋体" w:hAnsi="宋体" w:cs="仿宋"/>
          <w:color w:val="000000" w:themeColor="text1"/>
          <w:sz w:val="24"/>
          <w:szCs w:val="24"/>
          <w:lang w:val="zh-CN"/>
          <w14:textFill>
            <w14:solidFill>
              <w14:schemeClr w14:val="tx1"/>
            </w14:solidFill>
          </w14:textFill>
        </w:rPr>
        <w:t>运输方式由</w:t>
      </w:r>
      <w:r>
        <w:rPr>
          <w:rFonts w:hint="eastAsia" w:cs="仿宋"/>
          <w:color w:val="000000" w:themeColor="text1"/>
          <w:sz w:val="24"/>
          <w:szCs w:val="24"/>
          <w:lang w:val="zh-CN"/>
          <w14:textFill>
            <w14:solidFill>
              <w14:schemeClr w14:val="tx1"/>
            </w14:solidFill>
          </w14:textFill>
        </w:rPr>
        <w:t>乙方</w:t>
      </w:r>
      <w:r>
        <w:rPr>
          <w:rFonts w:hint="eastAsia" w:ascii="宋体" w:hAnsi="宋体" w:cs="仿宋"/>
          <w:color w:val="000000" w:themeColor="text1"/>
          <w:sz w:val="24"/>
          <w:szCs w:val="24"/>
          <w:lang w:val="zh-CN"/>
          <w14:textFill>
            <w14:solidFill>
              <w14:schemeClr w14:val="tx1"/>
            </w14:solidFill>
          </w14:textFill>
        </w:rPr>
        <w:t>自行选择，但必须保证按期交货</w:t>
      </w: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 </w:t>
      </w:r>
    </w:p>
    <w:p w14:paraId="6282286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（三）运输过程中发生的一切安全事故、货物毁损灭失风险及由此产生的全部责任和费用均由乙方承担；货物经甲方验收合格后，风险转移至甲方。</w:t>
      </w:r>
    </w:p>
    <w:p w14:paraId="0E6E57F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 xml:space="preserve">六、验收 </w:t>
      </w:r>
    </w:p>
    <w:p w14:paraId="76F786A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（一）</w:t>
      </w:r>
      <w:r>
        <w:rPr>
          <w:rFonts w:hint="eastAsia" w:ascii="宋体" w:hAnsi="宋体" w:cs="仿宋"/>
          <w:color w:val="000000" w:themeColor="text1"/>
          <w:sz w:val="24"/>
          <w:szCs w:val="24"/>
          <w:lang w:val="zh-CN"/>
          <w14:textFill>
            <w14:solidFill>
              <w14:schemeClr w14:val="tx1"/>
            </w14:solidFill>
          </w14:textFill>
        </w:rPr>
        <w:t>货物到达</w:t>
      </w:r>
      <w:r>
        <w:rPr>
          <w:rFonts w:hint="eastAsia" w:cs="仿宋"/>
          <w:color w:val="000000" w:themeColor="text1"/>
          <w:sz w:val="24"/>
          <w:szCs w:val="24"/>
          <w:lang w:val="zh-CN"/>
          <w14:textFill>
            <w14:solidFill>
              <w14:schemeClr w14:val="tx1"/>
            </w14:solidFill>
          </w14:textFill>
        </w:rPr>
        <w:t>甲方</w:t>
      </w:r>
      <w:r>
        <w:rPr>
          <w:rFonts w:hint="eastAsia" w:ascii="宋体" w:hAnsi="宋体" w:cs="仿宋"/>
          <w:color w:val="000000" w:themeColor="text1"/>
          <w:sz w:val="24"/>
          <w:szCs w:val="24"/>
          <w:lang w:val="zh-CN"/>
          <w14:textFill>
            <w14:solidFill>
              <w14:schemeClr w14:val="tx1"/>
            </w14:solidFill>
          </w14:textFill>
        </w:rPr>
        <w:t>指定地点后，</w:t>
      </w:r>
      <w:r>
        <w:rPr>
          <w:rFonts w:hint="eastAsia" w:cs="仿宋"/>
          <w:color w:val="000000" w:themeColor="text1"/>
          <w:sz w:val="24"/>
          <w:szCs w:val="24"/>
          <w:lang w:val="zh-CN"/>
          <w14:textFill>
            <w14:solidFill>
              <w14:schemeClr w14:val="tx1"/>
            </w14:solidFill>
          </w14:textFill>
        </w:rPr>
        <w:t>甲方</w:t>
      </w:r>
      <w:r>
        <w:rPr>
          <w:rFonts w:hint="eastAsia" w:ascii="宋体" w:hAnsi="宋体" w:cs="仿宋"/>
          <w:color w:val="000000" w:themeColor="text1"/>
          <w:sz w:val="24"/>
          <w:szCs w:val="24"/>
          <w:lang w:val="zh-CN"/>
          <w14:textFill>
            <w14:solidFill>
              <w14:schemeClr w14:val="tx1"/>
            </w14:solidFill>
          </w14:textFill>
        </w:rPr>
        <w:t>根据合同要求进行验收，确认产地、规格和数量。必要时委托具有相关资质的第三方检测机构或邀请行业专家对货物质量等进行抽样检验，检验费用由</w:t>
      </w:r>
      <w:r>
        <w:rPr>
          <w:rFonts w:hint="eastAsia" w:cs="仿宋"/>
          <w:color w:val="000000" w:themeColor="text1"/>
          <w:sz w:val="24"/>
          <w:szCs w:val="24"/>
          <w:lang w:val="zh-CN"/>
          <w14:textFill>
            <w14:solidFill>
              <w14:schemeClr w14:val="tx1"/>
            </w14:solidFill>
          </w14:textFill>
        </w:rPr>
        <w:t>乙方</w:t>
      </w:r>
      <w:r>
        <w:rPr>
          <w:rFonts w:hint="eastAsia" w:ascii="宋体" w:hAnsi="宋体" w:cs="仿宋"/>
          <w:color w:val="000000" w:themeColor="text1"/>
          <w:sz w:val="24"/>
          <w:szCs w:val="24"/>
          <w:lang w:val="zh-CN"/>
          <w14:textFill>
            <w14:solidFill>
              <w14:schemeClr w14:val="tx1"/>
            </w14:solidFill>
          </w14:textFill>
        </w:rPr>
        <w:t>承担。</w:t>
      </w: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 xml:space="preserve"> </w:t>
      </w:r>
    </w:p>
    <w:p w14:paraId="0926BAB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（二）</w:t>
      </w:r>
      <w:r>
        <w:rPr>
          <w:rFonts w:hint="eastAsia" w:ascii="宋体" w:hAnsi="宋体" w:cs="宋体"/>
          <w:color w:val="000000" w:themeColor="text1"/>
          <w:sz w:val="24"/>
          <w:szCs w:val="24"/>
          <w14:textFill>
            <w14:solidFill>
              <w14:schemeClr w14:val="tx1"/>
            </w14:solidFill>
          </w14:textFill>
        </w:rPr>
        <w:t>对于不符合要求的货物，</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cs="宋体"/>
          <w:color w:val="000000" w:themeColor="text1"/>
          <w:sz w:val="24"/>
          <w:szCs w:val="24"/>
          <w14:textFill>
            <w14:solidFill>
              <w14:schemeClr w14:val="tx1"/>
            </w14:solidFill>
          </w14:textFill>
        </w:rPr>
        <w:t>有权拒绝进场并要求</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cs="宋体"/>
          <w:color w:val="000000" w:themeColor="text1"/>
          <w:sz w:val="24"/>
          <w:szCs w:val="24"/>
          <w14:textFill>
            <w14:solidFill>
              <w14:schemeClr w14:val="tx1"/>
            </w14:solidFill>
          </w14:textFill>
        </w:rPr>
        <w:t>予以更换，由此产生的有关费用由相关的</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cs="宋体"/>
          <w:color w:val="000000" w:themeColor="text1"/>
          <w:sz w:val="24"/>
          <w:szCs w:val="24"/>
          <w14:textFill>
            <w14:solidFill>
              <w14:schemeClr w14:val="tx1"/>
            </w14:solidFill>
          </w14:textFill>
        </w:rPr>
        <w:t>承担。</w:t>
      </w:r>
    </w:p>
    <w:p w14:paraId="51EED4F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kern w:val="0"/>
          <w:sz w:val="24"/>
          <w:szCs w:val="24"/>
          <w:lang w:val="en-US" w:eastAsia="zh-CN" w:bidi="ar"/>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三</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如发生货物不符合要求需要更换相关货物的情况，有关的</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应在24小时内完成换货工作，所更换的货物应是符合要求产品。如因更换不及时或更换的货物再次出质量问题从而给</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的管理服务工作带来不良影响的，</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有权依照本项目的有关规定对</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进行处理。</w:t>
      </w:r>
    </w:p>
    <w:p w14:paraId="64804F0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cs="宋体"/>
          <w:color w:val="000000" w:themeColor="text1"/>
          <w:kern w:val="0"/>
          <w:sz w:val="24"/>
          <w:szCs w:val="24"/>
          <w:lang w:val="en-US" w:eastAsia="zh-CN" w:bidi="ar"/>
          <w14:textFill>
            <w14:solidFill>
              <w14:schemeClr w14:val="tx1"/>
            </w14:solidFill>
          </w14:textFill>
        </w:rPr>
        <w:t>（四）</w:t>
      </w: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验收依据 </w:t>
      </w:r>
    </w:p>
    <w:p w14:paraId="601BA7A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1、招标文件、投标文件、澄清表（函）； </w:t>
      </w:r>
    </w:p>
    <w:p w14:paraId="1B24845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2、本合同及附件文本； </w:t>
      </w:r>
    </w:p>
    <w:p w14:paraId="31A2529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3、国家相应的标准、规范。 </w:t>
      </w:r>
    </w:p>
    <w:p w14:paraId="42471D6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 xml:space="preserve">七、售后服务 </w:t>
      </w:r>
    </w:p>
    <w:p w14:paraId="0DCFAE7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质量保证期：自货物出厂之日起至少12个月，若该质量保证期小于国家标准，则以国家标准为准。 </w:t>
      </w:r>
    </w:p>
    <w:p w14:paraId="048BF63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质保期内： </w:t>
      </w:r>
    </w:p>
    <w:p w14:paraId="5B2FD0C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1、30天内，如出现质量问题，可以选择换货或退货； </w:t>
      </w:r>
    </w:p>
    <w:p w14:paraId="28A5ACD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2、30天至60天内，如出现质量问题，可选择换货。 </w:t>
      </w:r>
    </w:p>
    <w:p w14:paraId="7B770F9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color w:val="auto"/>
          <w:kern w:val="0"/>
          <w:sz w:val="24"/>
          <w:szCs w:val="24"/>
          <w:lang w:val="en-US" w:eastAsia="zh-CN" w:bidi="ar"/>
        </w:rPr>
        <w:t>3、甲方提出退换货要求的，乙方须在 24 小时内响应并安排人员上门处理。</w:t>
      </w: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 xml:space="preserve">八、技术与服务 </w:t>
      </w:r>
    </w:p>
    <w:p w14:paraId="39D8ABA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（一）技术资料 </w:t>
      </w:r>
    </w:p>
    <w:p w14:paraId="7FEE51E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1、质量合格证； </w:t>
      </w:r>
    </w:p>
    <w:p w14:paraId="7BA9BFF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2、使用说明； </w:t>
      </w:r>
    </w:p>
    <w:p w14:paraId="0EA6EBB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3、其它资料。 </w:t>
      </w:r>
    </w:p>
    <w:p w14:paraId="5595D1A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（二）</w:t>
      </w:r>
      <w:r>
        <w:rPr>
          <w:rFonts w:hint="eastAsia" w:ascii="宋体" w:hAnsi="宋体" w:eastAsia="宋体" w:cs="宋体"/>
          <w:color w:val="000000" w:themeColor="text1"/>
          <w:sz w:val="24"/>
          <w:szCs w:val="24"/>
          <w:lang w:val="en-US" w:eastAsia="zh-CN"/>
          <w14:textFill>
            <w14:solidFill>
              <w14:schemeClr w14:val="tx1"/>
            </w14:solidFill>
          </w14:textFill>
        </w:rPr>
        <w:t>服务承诺</w:t>
      </w:r>
    </w:p>
    <w:p w14:paraId="56E6E77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需提供详细的质量保证承诺及售后服务计划。货物送达</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指定的地点后，如非</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人为发生货物损坏的，供货商应及时退、换货</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退换货的费用由</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承担。</w:t>
      </w:r>
      <w:r>
        <w:rPr>
          <w:rFonts w:hint="eastAsia" w:cs="宋体"/>
          <w:color w:val="000000" w:themeColor="text1"/>
          <w:sz w:val="24"/>
          <w:szCs w:val="24"/>
          <w:lang w:val="en-US" w:eastAsia="zh-CN"/>
          <w14:textFill>
            <w14:solidFill>
              <w14:schemeClr w14:val="tx1"/>
            </w14:solidFill>
          </w14:textFill>
        </w:rPr>
        <w:t xml:space="preserve">  </w:t>
      </w:r>
    </w:p>
    <w:p w14:paraId="3A36884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如要求</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提供非产品质量问题的服务，其费用另议。</w:t>
      </w:r>
    </w:p>
    <w:p w14:paraId="2935C57B">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3、在合同期内，</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可针对同规格、型号、同材质的货物，使用便于区分、有特色的详细名称供货，但需列明对应的招标时所用的货物类别（商品名称在投标文件、合同、验货单、销售单等不同文件中的表述应当一致），且按投标时所报价格结算，不得以人工、材料成本上升原因，对供货价格上调。</w:t>
      </w:r>
    </w:p>
    <w:p w14:paraId="7C06DD86">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4、如果</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的产品存在质量问题，</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可暂停该品种产品，要求</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及时整改。如果整改3次仍不能满足质量要求，则</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有权停止该品种产品。如果</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的产品滞销，连续3个月销售记录为零，则</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有权停止该品种产品。</w:t>
      </w:r>
    </w:p>
    <w:p w14:paraId="0DB6D5A8">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有义务按</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的要求进行产品规格和款式的修改。</w:t>
      </w:r>
    </w:p>
    <w:p w14:paraId="28B5A8DD">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提供的全部货物均应按标准保护措施进行包装，这类包装应适应于远距离运输、防潮、防震、防锈和防野蛮装卸，以确保货物安全无损运抵指定现场。</w:t>
      </w:r>
    </w:p>
    <w:p w14:paraId="49DE7EDE">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strike/>
          <w:dstrike w:val="0"/>
          <w:color w:val="000000" w:themeColor="text1"/>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必须根据</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的业务销售需求保证供货量。</w:t>
      </w:r>
    </w:p>
    <w:p w14:paraId="43D0972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九、违约责任</w:t>
      </w: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 </w:t>
      </w:r>
    </w:p>
    <w:p w14:paraId="2EB57E39">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乙方未按“接到甲方要货通知后</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日内完成供货”约定供货的，每延迟1日，按该批次供货金额的5%向甲方支付违约金（不足1日按1日计算）</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延迟超过</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日的，甲方有权单方解除该批次供货约定，且乙方需向甲方支付该批次预计供货金额20%的违约金</w:t>
      </w:r>
      <w:r>
        <w:rPr>
          <w:rFonts w:hint="eastAsia" w:ascii="宋体" w:hAnsi="宋体" w:eastAsia="宋体" w:cs="宋体"/>
          <w:color w:val="000000" w:themeColor="text1"/>
          <w:sz w:val="24"/>
          <w:szCs w:val="24"/>
          <w:lang w:eastAsia="zh-CN"/>
          <w14:textFill>
            <w14:solidFill>
              <w14:schemeClr w14:val="tx1"/>
            </w14:solidFill>
          </w14:textFill>
        </w:rPr>
        <w:t>。</w:t>
      </w:r>
    </w:p>
    <w:p w14:paraId="0D711602">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针对甲方临时特殊规格产品需求，若双方已协商确定供货时间，乙方未按时供货的，每延迟1小时按该批货物金额的1%支付违约金；延迟超过24小时的，甲方有权拒绝接收该批货物，且乙方需赔偿甲方因临时调货产生的差价（甲方可向第三方采购，差价由乙方承担）及家属投诉处理费用。</w:t>
      </w:r>
    </w:p>
    <w:p w14:paraId="59A4719D">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验收不合格需换货的，乙方未在24小时内完成换货的，每延迟12小时按该批货物金额的3%支付违约金；延迟超过48小时的，甲方有权直接扣除该批货物对应货款的20%，且乙方需重新提供符合要求的货物（费用自担）</w:t>
      </w:r>
    </w:p>
    <w:p w14:paraId="05F407D6">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若乙方提供的货物不符合本合同约定，经甲方验收或第三方检测确认不合格的，乙方除需免费更换合格货物外，每出现1批次不合格产品，需按该批次货物金额的10%向甲方支付违约金；</w:t>
      </w:r>
      <w:r>
        <w:rPr>
          <w:rFonts w:hint="default" w:ascii="宋体" w:hAnsi="宋体" w:eastAsia="宋体" w:cs="宋体"/>
          <w:color w:val="000000" w:themeColor="text1"/>
          <w:sz w:val="24"/>
          <w:szCs w:val="24"/>
          <w14:textFill>
            <w14:solidFill>
              <w14:schemeClr w14:val="tx1"/>
            </w14:solidFill>
          </w14:textFill>
        </w:rPr>
        <w:t>因产品质量引发家属投诉的，乙方需在2小时内响应处理，若导致甲方承担赔偿责任（如家属索赔），乙方需全额赔付；若引发诉讼，乙方需承担全部诉讼费、律师费及甲方因此产生的名誉损失赔偿（每次诉讼最低赔偿5万元）；同一品类产品累计出现3次质量不合格（含换货后仍不合格）的，甲方有权永久终止该品类合作，且乙方需按该品类近3个月平均月销售额的2倍支付违约金。</w:t>
      </w:r>
    </w:p>
    <w:p w14:paraId="063485C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cs="宋体"/>
          <w:b/>
          <w:bCs/>
          <w:color w:val="000000" w:themeColor="text1"/>
          <w:kern w:val="0"/>
          <w:sz w:val="24"/>
          <w:szCs w:val="24"/>
          <w:lang w:val="en-US" w:eastAsia="zh-CN" w:bidi="ar"/>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十、</w:t>
      </w:r>
      <w:r>
        <w:rPr>
          <w:rFonts w:hint="eastAsia" w:cs="宋体"/>
          <w:b/>
          <w:bCs/>
          <w:color w:val="000000" w:themeColor="text1"/>
          <w:kern w:val="0"/>
          <w:sz w:val="24"/>
          <w:szCs w:val="24"/>
          <w:lang w:val="en-US" w:eastAsia="zh-CN" w:bidi="ar"/>
          <w14:textFill>
            <w14:solidFill>
              <w14:schemeClr w14:val="tx1"/>
            </w14:solidFill>
          </w14:textFill>
        </w:rPr>
        <w:t>争议解决</w:t>
      </w:r>
    </w:p>
    <w:p w14:paraId="403A354F">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auto"/>
        <w:outlineLvl w:val="9"/>
        <w:rPr>
          <w:rFonts w:hint="default" w:cs="宋体"/>
          <w:b/>
          <w:bCs/>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本合同产生争议，甲乙双方应本着友好积极态度进行协商解决；协商不成，可提请有关部门进行调解，调解不成的向甲方所在地人民法院提出诉讼。</w:t>
      </w:r>
    </w:p>
    <w:p w14:paraId="07C0801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cs="宋体"/>
          <w:b/>
          <w:bCs/>
          <w:color w:val="000000" w:themeColor="text1"/>
          <w:kern w:val="0"/>
          <w:sz w:val="24"/>
          <w:szCs w:val="24"/>
          <w:lang w:val="en-US" w:eastAsia="zh-CN" w:bidi="ar"/>
          <w14:textFill>
            <w14:solidFill>
              <w14:schemeClr w14:val="tx1"/>
            </w14:solidFill>
          </w14:textFill>
        </w:rPr>
        <w:t>十一、</w:t>
      </w: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合同份数</w:t>
      </w: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 </w:t>
      </w:r>
    </w:p>
    <w:p w14:paraId="4DD243F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合同一式</w:t>
      </w:r>
      <w:r>
        <w:rPr>
          <w:rFonts w:hint="eastAsia" w:cs="宋体"/>
          <w:color w:val="000000" w:themeColor="text1"/>
          <w:kern w:val="0"/>
          <w:sz w:val="24"/>
          <w:szCs w:val="24"/>
          <w:lang w:val="en-US" w:eastAsia="zh-CN" w:bidi="ar"/>
          <w14:textFill>
            <w14:solidFill>
              <w14:schemeClr w14:val="tx1"/>
            </w14:solidFill>
          </w14:textFill>
        </w:rPr>
        <w:t>4</w:t>
      </w:r>
      <w:r>
        <w:rPr>
          <w:rFonts w:hint="eastAsia" w:ascii="宋体" w:hAnsi="宋体" w:eastAsia="宋体" w:cs="宋体"/>
          <w:color w:val="000000" w:themeColor="text1"/>
          <w:kern w:val="0"/>
          <w:sz w:val="24"/>
          <w:szCs w:val="24"/>
          <w:lang w:val="en-US" w:eastAsia="zh-CN" w:bidi="ar"/>
          <w14:textFill>
            <w14:solidFill>
              <w14:schemeClr w14:val="tx1"/>
            </w14:solidFill>
          </w14:textFill>
        </w:rPr>
        <w:t>份，</w:t>
      </w:r>
      <w:r>
        <w:rPr>
          <w:rFonts w:hint="eastAsia" w:cs="宋体"/>
          <w:color w:val="000000" w:themeColor="text1"/>
          <w:kern w:val="0"/>
          <w:sz w:val="24"/>
          <w:szCs w:val="24"/>
          <w:lang w:val="en-US" w:eastAsia="zh-CN" w:bidi="ar"/>
          <w14:textFill>
            <w14:solidFill>
              <w14:schemeClr w14:val="tx1"/>
            </w14:solidFill>
          </w14:textFill>
        </w:rPr>
        <w:t>甲方2</w:t>
      </w:r>
      <w:r>
        <w:rPr>
          <w:rFonts w:hint="eastAsia" w:ascii="宋体" w:hAnsi="宋体" w:eastAsia="宋体" w:cs="宋体"/>
          <w:color w:val="000000" w:themeColor="text1"/>
          <w:kern w:val="0"/>
          <w:sz w:val="24"/>
          <w:szCs w:val="24"/>
          <w:lang w:val="en-US" w:eastAsia="zh-CN" w:bidi="ar"/>
          <w14:textFill>
            <w14:solidFill>
              <w14:schemeClr w14:val="tx1"/>
            </w14:solidFill>
          </w14:textFill>
        </w:rPr>
        <w:t>份、</w:t>
      </w:r>
      <w:r>
        <w:rPr>
          <w:rFonts w:hint="eastAsia" w:cs="宋体"/>
          <w:color w:val="000000" w:themeColor="text1"/>
          <w:kern w:val="0"/>
          <w:sz w:val="24"/>
          <w:szCs w:val="24"/>
          <w:lang w:val="en-US" w:eastAsia="zh-CN" w:bidi="ar"/>
          <w14:textFill>
            <w14:solidFill>
              <w14:schemeClr w14:val="tx1"/>
            </w14:solidFill>
          </w14:textFill>
        </w:rPr>
        <w:t>乙方</w:t>
      </w:r>
      <w:r>
        <w:rPr>
          <w:rFonts w:hint="eastAsia" w:ascii="宋体" w:hAnsi="宋体" w:eastAsia="宋体" w:cs="宋体"/>
          <w:color w:val="000000" w:themeColor="text1"/>
          <w:kern w:val="0"/>
          <w:sz w:val="24"/>
          <w:szCs w:val="24"/>
          <w:lang w:val="en-US" w:eastAsia="zh-CN" w:bidi="ar"/>
          <w14:textFill>
            <w14:solidFill>
              <w14:schemeClr w14:val="tx1"/>
            </w14:solidFill>
          </w14:textFill>
        </w:rPr>
        <w:t>2份。</w:t>
      </w:r>
      <w:r>
        <w:rPr>
          <w:rFonts w:hint="eastAsia" w:ascii="宋体" w:hAnsi="宋体" w:eastAsia="宋体" w:cs="宋体"/>
          <w:color w:val="000000" w:themeColor="text1"/>
          <w:sz w:val="24"/>
          <w:szCs w:val="24"/>
          <w:lang w:val="en-US" w:eastAsia="zh-CN"/>
          <w14:textFill>
            <w14:solidFill>
              <w14:schemeClr w14:val="tx1"/>
            </w14:solidFill>
          </w14:textFill>
        </w:rPr>
        <w:t>自甲乙双方法定代表人或委托代理人签字盖章后生效</w:t>
      </w:r>
      <w:r>
        <w:rPr>
          <w:rFonts w:hint="eastAsia" w:cs="宋体"/>
          <w:color w:val="000000" w:themeColor="text1"/>
          <w:sz w:val="24"/>
          <w:szCs w:val="24"/>
          <w:lang w:val="en-US" w:eastAsia="zh-CN"/>
          <w14:textFill>
            <w14:solidFill>
              <w14:schemeClr w14:val="tx1"/>
            </w14:solidFill>
          </w14:textFill>
        </w:rPr>
        <w:t>.</w:t>
      </w:r>
    </w:p>
    <w:p w14:paraId="1E7A5D2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b/>
          <w:bCs w:val="0"/>
          <w:lang w:val="en-US"/>
        </w:rPr>
      </w:pPr>
      <w:r>
        <w:rPr>
          <w:rFonts w:hint="eastAsia" w:ascii="宋体" w:hAnsi="宋体" w:cs="宋体"/>
          <w:b/>
          <w:bCs w:val="0"/>
          <w:color w:val="000000"/>
          <w:kern w:val="0"/>
          <w:sz w:val="24"/>
          <w:szCs w:val="24"/>
          <w:lang w:val="en-US" w:eastAsia="zh-CN" w:bidi="ar"/>
        </w:rPr>
        <w:t>十一、后附供货清单</w:t>
      </w:r>
    </w:p>
    <w:p w14:paraId="05E4E97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color w:val="000000"/>
          <w:kern w:val="0"/>
          <w:sz w:val="24"/>
          <w:szCs w:val="24"/>
          <w:lang w:val="en-US" w:eastAsia="zh-CN" w:bidi="ar"/>
        </w:rPr>
        <w:t>十</w:t>
      </w:r>
      <w:r>
        <w:rPr>
          <w:rFonts w:hint="eastAsia" w:cs="宋体"/>
          <w:b/>
          <w:bCs/>
          <w:color w:val="000000"/>
          <w:kern w:val="0"/>
          <w:sz w:val="24"/>
          <w:szCs w:val="24"/>
          <w:lang w:val="en-US" w:eastAsia="zh-CN" w:bidi="ar"/>
        </w:rPr>
        <w:t>二</w:t>
      </w:r>
      <w:r>
        <w:rPr>
          <w:rFonts w:hint="eastAsia" w:ascii="宋体" w:hAnsi="宋体" w:eastAsia="宋体" w:cs="宋体"/>
          <w:b/>
          <w:bCs/>
          <w:color w:val="000000"/>
          <w:kern w:val="0"/>
          <w:sz w:val="24"/>
          <w:szCs w:val="24"/>
          <w:lang w:val="en-US" w:eastAsia="zh-CN" w:bidi="ar"/>
        </w:rPr>
        <w:t xml:space="preserve">、其他 </w:t>
      </w:r>
    </w:p>
    <w:p w14:paraId="02D0056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未尽事宜由双方在签订合同时具体明确</w:t>
      </w:r>
    </w:p>
    <w:bookmarkEnd w:id="22"/>
    <w:bookmarkEnd w:id="23"/>
    <w:tbl>
      <w:tblPr>
        <w:tblStyle w:val="7"/>
        <w:tblpPr w:leftFromText="180" w:rightFromText="180" w:vertAnchor="text" w:horzAnchor="page" w:tblpX="1485" w:tblpY="314"/>
        <w:tblOverlap w:val="never"/>
        <w:tblW w:w="934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09"/>
        <w:gridCol w:w="4740"/>
      </w:tblGrid>
      <w:tr w14:paraId="18A0E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4609" w:type="dxa"/>
            <w:shd w:val="clear" w:color="auto" w:fill="D7D7D7"/>
            <w:noWrap w:val="0"/>
            <w:vAlign w:val="top"/>
          </w:tcPr>
          <w:p w14:paraId="7165E9DE">
            <w:pPr>
              <w:pStyle w:val="10"/>
              <w:tabs>
                <w:tab w:val="left" w:pos="490"/>
              </w:tabs>
              <w:spacing w:before="80"/>
              <w:ind w:left="10"/>
              <w:jc w:val="center"/>
              <w:rPr>
                <w:rFonts w:hint="eastAsia" w:ascii="宋体" w:hAnsi="宋体" w:cs="宋体"/>
                <w:b/>
                <w:color w:val="auto"/>
                <w:sz w:val="24"/>
                <w:highlight w:val="none"/>
              </w:rPr>
            </w:pPr>
            <w:r>
              <w:rPr>
                <w:rFonts w:hint="eastAsia" w:ascii="宋体" w:hAnsi="宋体" w:cs="宋体"/>
                <w:b/>
                <w:color w:val="auto"/>
                <w:sz w:val="24"/>
                <w:highlight w:val="none"/>
              </w:rPr>
              <w:t>甲</w:t>
            </w:r>
            <w:r>
              <w:rPr>
                <w:rFonts w:hint="eastAsia" w:ascii="宋体" w:hAnsi="宋体" w:cs="宋体"/>
                <w:b/>
                <w:color w:val="auto"/>
                <w:sz w:val="24"/>
                <w:highlight w:val="none"/>
              </w:rPr>
              <w:tab/>
            </w:r>
            <w:r>
              <w:rPr>
                <w:rFonts w:hint="eastAsia" w:ascii="宋体" w:hAnsi="宋体" w:cs="宋体"/>
                <w:b/>
                <w:color w:val="auto"/>
                <w:sz w:val="24"/>
                <w:highlight w:val="none"/>
              </w:rPr>
              <w:t>方</w:t>
            </w:r>
          </w:p>
        </w:tc>
        <w:tc>
          <w:tcPr>
            <w:tcW w:w="4740" w:type="dxa"/>
            <w:shd w:val="clear" w:color="auto" w:fill="D7D7D7"/>
            <w:noWrap w:val="0"/>
            <w:vAlign w:val="top"/>
          </w:tcPr>
          <w:p w14:paraId="279BE7E6">
            <w:pPr>
              <w:pStyle w:val="10"/>
              <w:tabs>
                <w:tab w:val="left" w:pos="490"/>
              </w:tabs>
              <w:spacing w:before="80"/>
              <w:ind w:left="10"/>
              <w:jc w:val="center"/>
              <w:rPr>
                <w:rFonts w:hint="eastAsia" w:ascii="宋体" w:hAnsi="宋体" w:cs="宋体"/>
                <w:b/>
                <w:color w:val="auto"/>
                <w:sz w:val="24"/>
                <w:highlight w:val="none"/>
              </w:rPr>
            </w:pPr>
            <w:r>
              <w:rPr>
                <w:rFonts w:hint="eastAsia" w:ascii="宋体" w:hAnsi="宋体" w:cs="宋体"/>
                <w:b/>
                <w:color w:val="auto"/>
                <w:sz w:val="24"/>
                <w:highlight w:val="none"/>
              </w:rPr>
              <w:t>乙</w:t>
            </w:r>
            <w:r>
              <w:rPr>
                <w:rFonts w:hint="eastAsia" w:ascii="宋体" w:hAnsi="宋体" w:cs="宋体"/>
                <w:b/>
                <w:color w:val="auto"/>
                <w:sz w:val="24"/>
                <w:highlight w:val="none"/>
              </w:rPr>
              <w:tab/>
            </w:r>
            <w:r>
              <w:rPr>
                <w:rFonts w:hint="eastAsia" w:ascii="宋体" w:hAnsi="宋体" w:cs="宋体"/>
                <w:b/>
                <w:color w:val="auto"/>
                <w:sz w:val="24"/>
                <w:highlight w:val="none"/>
              </w:rPr>
              <w:t>方</w:t>
            </w:r>
          </w:p>
        </w:tc>
      </w:tr>
      <w:tr w14:paraId="38D23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8" w:hRule="atLeast"/>
        </w:trPr>
        <w:tc>
          <w:tcPr>
            <w:tcW w:w="4609" w:type="dxa"/>
            <w:noWrap w:val="0"/>
            <w:vAlign w:val="top"/>
          </w:tcPr>
          <w:p w14:paraId="55E92F36">
            <w:pPr>
              <w:pStyle w:val="10"/>
              <w:spacing w:before="183"/>
              <w:ind w:left="106"/>
              <w:rPr>
                <w:rFonts w:hint="eastAsia" w:ascii="宋体" w:hAnsi="宋体" w:eastAsia="宋体" w:cs="宋体"/>
                <w:color w:val="auto"/>
                <w:sz w:val="24"/>
                <w:highlight w:val="none"/>
                <w:lang w:eastAsia="zh-CN"/>
              </w:rPr>
            </w:pPr>
            <w:r>
              <w:rPr>
                <w:rFonts w:hint="eastAsia" w:ascii="宋体" w:hAnsi="宋体" w:cs="宋体"/>
                <w:color w:val="auto"/>
                <w:sz w:val="24"/>
                <w:highlight w:val="none"/>
              </w:rPr>
              <w:t>采购人（公章）</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lang w:val="en-US" w:eastAsia="zh-CN"/>
              </w:rPr>
              <w:t>西安市殡仪馆</w:t>
            </w:r>
          </w:p>
        </w:tc>
        <w:tc>
          <w:tcPr>
            <w:tcW w:w="4740" w:type="dxa"/>
            <w:noWrap w:val="0"/>
            <w:vAlign w:val="top"/>
          </w:tcPr>
          <w:p w14:paraId="38EEFC9D">
            <w:pPr>
              <w:pStyle w:val="10"/>
              <w:spacing w:before="183"/>
              <w:ind w:left="107"/>
              <w:rPr>
                <w:rFonts w:hint="eastAsia" w:ascii="宋体" w:hAnsi="宋体" w:eastAsia="宋体" w:cs="宋体"/>
                <w:color w:val="auto"/>
                <w:sz w:val="24"/>
                <w:highlight w:val="none"/>
                <w:lang w:eastAsia="zh-CN"/>
              </w:rPr>
            </w:pPr>
            <w:r>
              <w:rPr>
                <w:rFonts w:hint="eastAsia" w:ascii="宋体" w:hAnsi="宋体" w:cs="宋体"/>
                <w:color w:val="auto"/>
                <w:sz w:val="24"/>
                <w:highlight w:val="none"/>
              </w:rPr>
              <w:t>成交单位（公章）</w:t>
            </w:r>
            <w:r>
              <w:rPr>
                <w:rFonts w:hint="eastAsia" w:ascii="宋体" w:hAnsi="宋体" w:cs="宋体"/>
                <w:color w:val="auto"/>
                <w:sz w:val="24"/>
                <w:highlight w:val="none"/>
                <w:lang w:eastAsia="zh-CN"/>
              </w:rPr>
              <w:t>：</w:t>
            </w:r>
          </w:p>
        </w:tc>
      </w:tr>
      <w:tr w14:paraId="2416F3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4609" w:type="dxa"/>
            <w:noWrap w:val="0"/>
            <w:vAlign w:val="top"/>
          </w:tcPr>
          <w:p w14:paraId="0AFA2269">
            <w:pPr>
              <w:pStyle w:val="10"/>
              <w:spacing w:before="80"/>
              <w:ind w:left="106"/>
              <w:rPr>
                <w:rFonts w:hint="eastAsia" w:ascii="宋体" w:hAnsi="宋体" w:cs="宋体"/>
                <w:color w:val="auto"/>
                <w:sz w:val="24"/>
                <w:highlight w:val="none"/>
              </w:rPr>
            </w:pPr>
            <w:r>
              <w:rPr>
                <w:rFonts w:hint="eastAsia" w:ascii="宋体" w:hAnsi="宋体" w:cs="宋体"/>
                <w:color w:val="auto"/>
                <w:sz w:val="24"/>
                <w:highlight w:val="none"/>
              </w:rPr>
              <w:t>地址：</w:t>
            </w:r>
          </w:p>
        </w:tc>
        <w:tc>
          <w:tcPr>
            <w:tcW w:w="4740" w:type="dxa"/>
            <w:noWrap w:val="0"/>
            <w:vAlign w:val="top"/>
          </w:tcPr>
          <w:p w14:paraId="56DB99A2">
            <w:pPr>
              <w:pStyle w:val="10"/>
              <w:spacing w:before="80"/>
              <w:ind w:left="107"/>
              <w:rPr>
                <w:rFonts w:hint="eastAsia" w:ascii="宋体" w:hAnsi="宋体" w:cs="宋体"/>
                <w:color w:val="auto"/>
                <w:sz w:val="24"/>
                <w:highlight w:val="none"/>
              </w:rPr>
            </w:pPr>
            <w:r>
              <w:rPr>
                <w:rFonts w:hint="eastAsia" w:ascii="宋体" w:hAnsi="宋体" w:cs="宋体"/>
                <w:color w:val="auto"/>
                <w:sz w:val="24"/>
                <w:highlight w:val="none"/>
              </w:rPr>
              <w:t>地址：</w:t>
            </w:r>
          </w:p>
        </w:tc>
      </w:tr>
      <w:tr w14:paraId="199B4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4609" w:type="dxa"/>
            <w:noWrap w:val="0"/>
            <w:vAlign w:val="top"/>
          </w:tcPr>
          <w:p w14:paraId="4E467305">
            <w:pPr>
              <w:pStyle w:val="10"/>
              <w:spacing w:before="80"/>
              <w:ind w:left="106"/>
              <w:rPr>
                <w:rFonts w:hint="eastAsia" w:ascii="宋体" w:hAnsi="宋体" w:cs="宋体"/>
                <w:color w:val="auto"/>
                <w:sz w:val="24"/>
                <w:highlight w:val="none"/>
              </w:rPr>
            </w:pPr>
            <w:r>
              <w:rPr>
                <w:rFonts w:hint="eastAsia" w:ascii="宋体" w:hAnsi="宋体" w:cs="宋体"/>
                <w:color w:val="auto"/>
                <w:sz w:val="24"/>
                <w:highlight w:val="none"/>
              </w:rPr>
              <w:t>邮编：</w:t>
            </w:r>
          </w:p>
        </w:tc>
        <w:tc>
          <w:tcPr>
            <w:tcW w:w="4740" w:type="dxa"/>
            <w:noWrap w:val="0"/>
            <w:vAlign w:val="top"/>
          </w:tcPr>
          <w:p w14:paraId="0C237F18">
            <w:pPr>
              <w:pStyle w:val="10"/>
              <w:spacing w:before="80"/>
              <w:ind w:left="107"/>
              <w:rPr>
                <w:rFonts w:hint="eastAsia" w:ascii="宋体" w:hAnsi="宋体" w:cs="宋体"/>
                <w:color w:val="auto"/>
                <w:sz w:val="24"/>
                <w:highlight w:val="none"/>
              </w:rPr>
            </w:pPr>
            <w:r>
              <w:rPr>
                <w:rFonts w:hint="eastAsia" w:ascii="宋体" w:hAnsi="宋体" w:cs="宋体"/>
                <w:color w:val="auto"/>
                <w:sz w:val="24"/>
                <w:highlight w:val="none"/>
              </w:rPr>
              <w:t>邮编：</w:t>
            </w:r>
          </w:p>
        </w:tc>
      </w:tr>
      <w:tr w14:paraId="6E0775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4609" w:type="dxa"/>
            <w:noWrap w:val="0"/>
            <w:vAlign w:val="top"/>
          </w:tcPr>
          <w:p w14:paraId="10BD3A5B">
            <w:pPr>
              <w:pStyle w:val="10"/>
              <w:spacing w:before="82"/>
              <w:ind w:left="106"/>
              <w:rPr>
                <w:rFonts w:hint="eastAsia" w:ascii="宋体" w:hAnsi="宋体" w:cs="宋体"/>
                <w:color w:val="auto"/>
                <w:sz w:val="24"/>
                <w:highlight w:val="none"/>
              </w:rPr>
            </w:pPr>
            <w:r>
              <w:rPr>
                <w:rFonts w:hint="eastAsia" w:ascii="宋体" w:hAnsi="宋体" w:cs="宋体"/>
                <w:color w:val="auto"/>
                <w:sz w:val="24"/>
                <w:highlight w:val="none"/>
              </w:rPr>
              <w:t>法定代表人：</w:t>
            </w:r>
          </w:p>
        </w:tc>
        <w:tc>
          <w:tcPr>
            <w:tcW w:w="4740" w:type="dxa"/>
            <w:noWrap w:val="0"/>
            <w:vAlign w:val="top"/>
          </w:tcPr>
          <w:p w14:paraId="44DE14FD">
            <w:pPr>
              <w:pStyle w:val="10"/>
              <w:spacing w:before="82"/>
              <w:ind w:left="107"/>
              <w:rPr>
                <w:rFonts w:hint="eastAsia" w:ascii="宋体" w:hAnsi="宋体" w:cs="宋体"/>
                <w:color w:val="auto"/>
                <w:sz w:val="24"/>
                <w:highlight w:val="none"/>
              </w:rPr>
            </w:pPr>
            <w:r>
              <w:rPr>
                <w:rFonts w:hint="eastAsia" w:ascii="宋体" w:hAnsi="宋体" w:cs="宋体"/>
                <w:color w:val="auto"/>
                <w:sz w:val="24"/>
                <w:highlight w:val="none"/>
              </w:rPr>
              <w:t>法定代表人：</w:t>
            </w:r>
          </w:p>
        </w:tc>
      </w:tr>
      <w:tr w14:paraId="618E7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4609" w:type="dxa"/>
            <w:noWrap w:val="0"/>
            <w:vAlign w:val="top"/>
          </w:tcPr>
          <w:p w14:paraId="114E21AF">
            <w:pPr>
              <w:pStyle w:val="10"/>
              <w:spacing w:before="81"/>
              <w:ind w:left="106"/>
              <w:rPr>
                <w:rFonts w:hint="eastAsia" w:ascii="宋体" w:hAnsi="宋体" w:cs="宋体"/>
                <w:color w:val="auto"/>
                <w:sz w:val="24"/>
                <w:highlight w:val="none"/>
              </w:rPr>
            </w:pPr>
            <w:r>
              <w:rPr>
                <w:rFonts w:hint="eastAsia" w:ascii="宋体" w:hAnsi="宋体" w:cs="宋体"/>
                <w:color w:val="auto"/>
                <w:sz w:val="24"/>
                <w:highlight w:val="none"/>
                <w:lang w:val="en-US" w:eastAsia="zh-CN"/>
              </w:rPr>
              <w:t>经办人</w:t>
            </w:r>
            <w:r>
              <w:rPr>
                <w:rFonts w:hint="eastAsia" w:ascii="宋体" w:hAnsi="宋体" w:cs="宋体"/>
                <w:color w:val="auto"/>
                <w:sz w:val="24"/>
                <w:highlight w:val="none"/>
              </w:rPr>
              <w:t>：（签字）</w:t>
            </w:r>
          </w:p>
        </w:tc>
        <w:tc>
          <w:tcPr>
            <w:tcW w:w="4740" w:type="dxa"/>
            <w:noWrap w:val="0"/>
            <w:vAlign w:val="top"/>
          </w:tcPr>
          <w:p w14:paraId="76CC9CF6">
            <w:pPr>
              <w:pStyle w:val="10"/>
              <w:spacing w:before="81"/>
              <w:ind w:left="107"/>
              <w:rPr>
                <w:rFonts w:hint="eastAsia" w:ascii="宋体" w:hAnsi="宋体" w:cs="宋体"/>
                <w:color w:val="auto"/>
                <w:sz w:val="24"/>
                <w:highlight w:val="none"/>
              </w:rPr>
            </w:pPr>
            <w:r>
              <w:rPr>
                <w:rFonts w:hint="eastAsia" w:ascii="宋体" w:hAnsi="宋体" w:cs="宋体"/>
                <w:color w:val="auto"/>
                <w:sz w:val="24"/>
                <w:highlight w:val="none"/>
                <w:lang w:val="en-US" w:eastAsia="zh-CN"/>
              </w:rPr>
              <w:t>经办人</w:t>
            </w:r>
            <w:r>
              <w:rPr>
                <w:rFonts w:hint="eastAsia" w:ascii="宋体" w:hAnsi="宋体" w:cs="宋体"/>
                <w:color w:val="auto"/>
                <w:sz w:val="24"/>
                <w:highlight w:val="none"/>
              </w:rPr>
              <w:t>：（签字）</w:t>
            </w:r>
          </w:p>
        </w:tc>
      </w:tr>
      <w:tr w14:paraId="2E011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4609" w:type="dxa"/>
            <w:noWrap w:val="0"/>
            <w:vAlign w:val="top"/>
          </w:tcPr>
          <w:p w14:paraId="6D3B76CE">
            <w:pPr>
              <w:pStyle w:val="10"/>
              <w:spacing w:before="81"/>
              <w:ind w:left="106"/>
              <w:rPr>
                <w:rFonts w:hint="eastAsia" w:ascii="宋体" w:hAnsi="宋体" w:cs="宋体"/>
                <w:color w:val="auto"/>
                <w:sz w:val="24"/>
                <w:highlight w:val="none"/>
              </w:rPr>
            </w:pPr>
            <w:r>
              <w:rPr>
                <w:rFonts w:hint="eastAsia" w:ascii="宋体" w:hAnsi="宋体" w:cs="宋体"/>
                <w:color w:val="auto"/>
                <w:sz w:val="24"/>
                <w:highlight w:val="none"/>
              </w:rPr>
              <w:t>电话：</w:t>
            </w:r>
          </w:p>
        </w:tc>
        <w:tc>
          <w:tcPr>
            <w:tcW w:w="4740" w:type="dxa"/>
            <w:noWrap w:val="0"/>
            <w:vAlign w:val="top"/>
          </w:tcPr>
          <w:p w14:paraId="203AD781">
            <w:pPr>
              <w:pStyle w:val="10"/>
              <w:spacing w:before="81"/>
              <w:ind w:left="107"/>
              <w:rPr>
                <w:rFonts w:hint="eastAsia" w:ascii="宋体" w:hAnsi="宋体" w:cs="宋体"/>
                <w:color w:val="auto"/>
                <w:sz w:val="24"/>
                <w:highlight w:val="none"/>
              </w:rPr>
            </w:pPr>
            <w:r>
              <w:rPr>
                <w:rFonts w:hint="eastAsia" w:ascii="宋体" w:hAnsi="宋体" w:cs="宋体"/>
                <w:color w:val="auto"/>
                <w:sz w:val="24"/>
                <w:highlight w:val="none"/>
              </w:rPr>
              <w:t>电话：</w:t>
            </w:r>
          </w:p>
        </w:tc>
      </w:tr>
      <w:tr w14:paraId="7E248D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4609" w:type="dxa"/>
            <w:noWrap w:val="0"/>
            <w:vAlign w:val="top"/>
          </w:tcPr>
          <w:p w14:paraId="30551FEC">
            <w:pPr>
              <w:pStyle w:val="10"/>
              <w:spacing w:before="81"/>
              <w:ind w:left="106"/>
              <w:rPr>
                <w:rFonts w:hint="eastAsia" w:ascii="宋体" w:hAnsi="宋体" w:cs="宋体"/>
                <w:color w:val="auto"/>
                <w:sz w:val="24"/>
                <w:highlight w:val="none"/>
              </w:rPr>
            </w:pPr>
            <w:r>
              <w:rPr>
                <w:rFonts w:hint="eastAsia" w:ascii="宋体" w:hAnsi="宋体" w:cs="宋体"/>
                <w:color w:val="auto"/>
                <w:sz w:val="24"/>
                <w:highlight w:val="none"/>
              </w:rPr>
              <w:t>传真：</w:t>
            </w:r>
          </w:p>
        </w:tc>
        <w:tc>
          <w:tcPr>
            <w:tcW w:w="4740" w:type="dxa"/>
            <w:noWrap w:val="0"/>
            <w:vAlign w:val="top"/>
          </w:tcPr>
          <w:p w14:paraId="54D1B389">
            <w:pPr>
              <w:pStyle w:val="10"/>
              <w:spacing w:before="81"/>
              <w:ind w:left="107"/>
              <w:rPr>
                <w:rFonts w:hint="eastAsia" w:ascii="宋体" w:hAnsi="宋体" w:cs="宋体"/>
                <w:color w:val="auto"/>
                <w:sz w:val="24"/>
                <w:highlight w:val="none"/>
              </w:rPr>
            </w:pPr>
            <w:r>
              <w:rPr>
                <w:rFonts w:hint="eastAsia" w:ascii="宋体" w:hAnsi="宋体" w:cs="宋体"/>
                <w:color w:val="auto"/>
                <w:sz w:val="24"/>
                <w:highlight w:val="none"/>
              </w:rPr>
              <w:t>传真：</w:t>
            </w:r>
          </w:p>
        </w:tc>
      </w:tr>
      <w:tr w14:paraId="485071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4609" w:type="dxa"/>
            <w:noWrap w:val="0"/>
            <w:vAlign w:val="top"/>
          </w:tcPr>
          <w:p w14:paraId="6D7CBD2B">
            <w:pPr>
              <w:pStyle w:val="10"/>
              <w:rPr>
                <w:rFonts w:hint="eastAsia" w:ascii="宋体" w:hAnsi="宋体" w:cs="宋体"/>
                <w:color w:val="auto"/>
                <w:highlight w:val="none"/>
              </w:rPr>
            </w:pPr>
          </w:p>
        </w:tc>
        <w:tc>
          <w:tcPr>
            <w:tcW w:w="4740" w:type="dxa"/>
            <w:noWrap w:val="0"/>
            <w:vAlign w:val="top"/>
          </w:tcPr>
          <w:p w14:paraId="6F913C20">
            <w:pPr>
              <w:pStyle w:val="10"/>
              <w:spacing w:before="80"/>
              <w:ind w:left="107"/>
              <w:rPr>
                <w:rFonts w:hint="eastAsia" w:ascii="宋体" w:hAnsi="宋体" w:cs="宋体"/>
                <w:color w:val="auto"/>
                <w:sz w:val="24"/>
                <w:highlight w:val="none"/>
              </w:rPr>
            </w:pPr>
            <w:r>
              <w:rPr>
                <w:rFonts w:hint="eastAsia" w:ascii="宋体" w:hAnsi="宋体" w:cs="宋体"/>
                <w:color w:val="auto"/>
                <w:sz w:val="24"/>
                <w:highlight w:val="none"/>
              </w:rPr>
              <w:t>开户银行：</w:t>
            </w:r>
          </w:p>
        </w:tc>
      </w:tr>
      <w:tr w14:paraId="789EA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4609" w:type="dxa"/>
            <w:noWrap w:val="0"/>
            <w:vAlign w:val="top"/>
          </w:tcPr>
          <w:p w14:paraId="2252871A">
            <w:pPr>
              <w:pStyle w:val="10"/>
              <w:rPr>
                <w:rFonts w:hint="eastAsia" w:ascii="宋体" w:hAnsi="宋体" w:cs="宋体"/>
                <w:color w:val="auto"/>
                <w:highlight w:val="none"/>
              </w:rPr>
            </w:pPr>
          </w:p>
        </w:tc>
        <w:tc>
          <w:tcPr>
            <w:tcW w:w="4740" w:type="dxa"/>
            <w:noWrap w:val="0"/>
            <w:vAlign w:val="top"/>
          </w:tcPr>
          <w:p w14:paraId="79CBC259">
            <w:pPr>
              <w:pStyle w:val="10"/>
              <w:spacing w:before="80"/>
              <w:ind w:left="107"/>
              <w:rPr>
                <w:rFonts w:hint="eastAsia" w:ascii="宋体" w:hAnsi="宋体" w:cs="宋体"/>
                <w:color w:val="auto"/>
                <w:sz w:val="24"/>
                <w:highlight w:val="none"/>
              </w:rPr>
            </w:pPr>
            <w:r>
              <w:rPr>
                <w:rFonts w:hint="eastAsia" w:ascii="宋体" w:hAnsi="宋体" w:cs="宋体"/>
                <w:color w:val="auto"/>
                <w:sz w:val="24"/>
                <w:highlight w:val="none"/>
              </w:rPr>
              <w:t>账号：</w:t>
            </w:r>
          </w:p>
        </w:tc>
      </w:tr>
      <w:tr w14:paraId="0CBC1F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4609" w:type="dxa"/>
            <w:noWrap w:val="0"/>
            <w:vAlign w:val="top"/>
          </w:tcPr>
          <w:p w14:paraId="1241288F">
            <w:pPr>
              <w:pStyle w:val="10"/>
              <w:tabs>
                <w:tab w:val="left" w:pos="1186"/>
                <w:tab w:val="left" w:pos="1666"/>
                <w:tab w:val="left" w:pos="2146"/>
              </w:tabs>
              <w:spacing w:before="82"/>
              <w:ind w:left="106"/>
              <w:rPr>
                <w:rFonts w:hint="eastAsia" w:ascii="宋体" w:hAnsi="宋体" w:cs="宋体"/>
                <w:color w:val="auto"/>
                <w:sz w:val="24"/>
                <w:highlight w:val="none"/>
              </w:rPr>
            </w:pPr>
            <w:r>
              <w:rPr>
                <w:rFonts w:hint="eastAsia" w:ascii="宋体" w:hAnsi="宋体" w:cs="宋体"/>
                <w:color w:val="auto"/>
                <w:sz w:val="24"/>
                <w:highlight w:val="none"/>
              </w:rPr>
              <w:t>日期：</w:t>
            </w:r>
            <w:r>
              <w:rPr>
                <w:rFonts w:hint="eastAsia" w:ascii="宋体" w:hAnsi="宋体" w:cs="宋体"/>
                <w:color w:val="auto"/>
                <w:sz w:val="24"/>
                <w:highlight w:val="none"/>
              </w:rPr>
              <w:tab/>
            </w:r>
            <w:r>
              <w:rPr>
                <w:rFonts w:hint="eastAsia" w:ascii="宋体" w:hAnsi="宋体" w:cs="宋体"/>
                <w:color w:val="auto"/>
                <w:sz w:val="24"/>
                <w:highlight w:val="none"/>
              </w:rPr>
              <w:t>年</w:t>
            </w:r>
            <w:r>
              <w:rPr>
                <w:rFonts w:hint="eastAsia" w:ascii="宋体" w:hAnsi="宋体" w:cs="宋体"/>
                <w:color w:val="auto"/>
                <w:sz w:val="24"/>
                <w:highlight w:val="none"/>
              </w:rPr>
              <w:tab/>
            </w:r>
            <w:r>
              <w:rPr>
                <w:rFonts w:hint="eastAsia" w:ascii="宋体" w:hAnsi="宋体" w:cs="宋体"/>
                <w:color w:val="auto"/>
                <w:sz w:val="24"/>
                <w:highlight w:val="none"/>
              </w:rPr>
              <w:t>月</w:t>
            </w:r>
            <w:r>
              <w:rPr>
                <w:rFonts w:hint="eastAsia" w:ascii="宋体" w:hAnsi="宋体" w:cs="宋体"/>
                <w:color w:val="auto"/>
                <w:sz w:val="24"/>
                <w:highlight w:val="none"/>
              </w:rPr>
              <w:tab/>
            </w:r>
            <w:r>
              <w:rPr>
                <w:rFonts w:hint="eastAsia" w:ascii="宋体" w:hAnsi="宋体" w:cs="宋体"/>
                <w:color w:val="auto"/>
                <w:sz w:val="24"/>
                <w:highlight w:val="none"/>
              </w:rPr>
              <w:t>日</w:t>
            </w:r>
          </w:p>
        </w:tc>
        <w:tc>
          <w:tcPr>
            <w:tcW w:w="4740" w:type="dxa"/>
            <w:noWrap w:val="0"/>
            <w:vAlign w:val="top"/>
          </w:tcPr>
          <w:p w14:paraId="31540CB5">
            <w:pPr>
              <w:pStyle w:val="10"/>
              <w:tabs>
                <w:tab w:val="left" w:pos="1187"/>
                <w:tab w:val="left" w:pos="1667"/>
                <w:tab w:val="left" w:pos="2147"/>
              </w:tabs>
              <w:spacing w:before="82"/>
              <w:ind w:left="107"/>
              <w:rPr>
                <w:rFonts w:hint="eastAsia" w:ascii="宋体" w:hAnsi="宋体" w:cs="宋体"/>
                <w:color w:val="auto"/>
                <w:sz w:val="24"/>
                <w:highlight w:val="none"/>
              </w:rPr>
            </w:pPr>
            <w:r>
              <w:rPr>
                <w:rFonts w:hint="eastAsia" w:ascii="宋体" w:hAnsi="宋体" w:cs="宋体"/>
                <w:color w:val="auto"/>
                <w:sz w:val="24"/>
                <w:highlight w:val="none"/>
              </w:rPr>
              <w:t>日期：</w:t>
            </w:r>
            <w:r>
              <w:rPr>
                <w:rFonts w:hint="eastAsia" w:ascii="宋体" w:hAnsi="宋体" w:cs="宋体"/>
                <w:color w:val="auto"/>
                <w:sz w:val="24"/>
                <w:highlight w:val="none"/>
              </w:rPr>
              <w:tab/>
            </w:r>
            <w:r>
              <w:rPr>
                <w:rFonts w:hint="eastAsia" w:ascii="宋体" w:hAnsi="宋体" w:cs="宋体"/>
                <w:color w:val="auto"/>
                <w:sz w:val="24"/>
                <w:highlight w:val="none"/>
              </w:rPr>
              <w:t>年</w:t>
            </w:r>
            <w:r>
              <w:rPr>
                <w:rFonts w:hint="eastAsia" w:ascii="宋体" w:hAnsi="宋体" w:cs="宋体"/>
                <w:color w:val="auto"/>
                <w:sz w:val="24"/>
                <w:highlight w:val="none"/>
              </w:rPr>
              <w:tab/>
            </w:r>
            <w:r>
              <w:rPr>
                <w:rFonts w:hint="eastAsia" w:ascii="宋体" w:hAnsi="宋体" w:cs="宋体"/>
                <w:color w:val="auto"/>
                <w:sz w:val="24"/>
                <w:highlight w:val="none"/>
              </w:rPr>
              <w:t>月</w:t>
            </w:r>
            <w:r>
              <w:rPr>
                <w:rFonts w:hint="eastAsia" w:ascii="宋体" w:hAnsi="宋体" w:cs="宋体"/>
                <w:color w:val="auto"/>
                <w:sz w:val="24"/>
                <w:highlight w:val="none"/>
              </w:rPr>
              <w:tab/>
            </w:r>
            <w:r>
              <w:rPr>
                <w:rFonts w:hint="eastAsia" w:ascii="宋体" w:hAnsi="宋体" w:cs="宋体"/>
                <w:color w:val="auto"/>
                <w:sz w:val="24"/>
                <w:highlight w:val="none"/>
              </w:rPr>
              <w:t>日</w:t>
            </w:r>
          </w:p>
        </w:tc>
      </w:tr>
    </w:tbl>
    <w:p w14:paraId="6E1F5CCF">
      <w:pPr>
        <w:pStyle w:val="5"/>
        <w:rPr>
          <w:rStyle w:val="11"/>
          <w:rFonts w:hint="eastAsia" w:ascii="Times New Roman" w:hAnsi="Times New Roman" w:eastAsia="宋体" w:cs="Times New Roman"/>
          <w:b/>
          <w:color w:val="auto"/>
          <w:highlight w:val="none"/>
          <w:lang w:val="en-US" w:eastAsia="zh-CN"/>
        </w:rPr>
        <w:sectPr>
          <w:pgSz w:w="11906" w:h="16838"/>
          <w:pgMar w:top="1440" w:right="1800" w:bottom="1440" w:left="1800" w:header="851" w:footer="992" w:gutter="0"/>
          <w:cols w:space="425" w:num="1"/>
          <w:docGrid w:type="lines" w:linePitch="312" w:charSpace="0"/>
        </w:sectPr>
      </w:pPr>
    </w:p>
    <w:p w14:paraId="570AE32E">
      <w:pPr>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附件：</w:t>
      </w:r>
    </w:p>
    <w:p w14:paraId="15CC7801">
      <w:pPr>
        <w:pStyle w:val="2"/>
        <w:rPr>
          <w:rFonts w:hint="eastAsia"/>
          <w:lang w:val="en-US" w:eastAsia="zh-CN"/>
        </w:rPr>
      </w:pPr>
    </w:p>
    <w:p w14:paraId="5D37B22E"/>
    <w:p w14:paraId="1393580C"/>
    <w:p w14:paraId="4F41EF11"/>
    <w:p w14:paraId="33DB6ABF"/>
    <w:p w14:paraId="451FA516"/>
    <w:p w14:paraId="7E5B56ED"/>
    <w:p w14:paraId="6A851056"/>
    <w:p w14:paraId="072DF36A"/>
    <w:p w14:paraId="138DD575"/>
    <w:p w14:paraId="5F37AF25"/>
    <w:p w14:paraId="3132310F"/>
    <w:p w14:paraId="1D570152"/>
    <w:p w14:paraId="18F0002F"/>
    <w:p w14:paraId="158CFB61"/>
    <w:p w14:paraId="675B01FD"/>
    <w:p w14:paraId="33032072"/>
    <w:p w14:paraId="4ABAA34F"/>
    <w:p w14:paraId="5E093A85"/>
    <w:p w14:paraId="010FEC22"/>
    <w:p w14:paraId="70AF1576"/>
    <w:p w14:paraId="7B8CBE38"/>
    <w:p w14:paraId="088F94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r>
        <w:rPr>
          <w:rFonts w:hint="eastAsia" w:cs="宋体"/>
          <w:b/>
          <w:bCs/>
          <w:i w:val="0"/>
          <w:iCs w:val="0"/>
          <w:caps w:val="0"/>
          <w:color w:val="auto"/>
          <w:spacing w:val="0"/>
          <w:sz w:val="39"/>
          <w:szCs w:val="39"/>
          <w:highlight w:val="none"/>
          <w:shd w:val="clear" w:fill="FFFFFF"/>
          <w:lang w:val="en-US" w:eastAsia="zh-CN"/>
        </w:rPr>
        <w:t>西安市殡仪馆鲜花花材及殡葬用品采购项目</w:t>
      </w:r>
    </w:p>
    <w:p w14:paraId="4A1B009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61FD41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44C69CCB">
      <w:pPr>
        <w:pStyle w:val="2"/>
        <w:rPr>
          <w:rFonts w:hint="eastAsia"/>
        </w:rPr>
      </w:pPr>
    </w:p>
    <w:p w14:paraId="3A2EB9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2D49B6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r>
        <w:rPr>
          <w:rFonts w:hint="eastAsia" w:ascii="宋体" w:hAnsi="宋体" w:eastAsia="宋体" w:cs="宋体"/>
          <w:b/>
          <w:bCs/>
          <w:i w:val="0"/>
          <w:iCs w:val="0"/>
          <w:caps w:val="0"/>
          <w:color w:val="auto"/>
          <w:spacing w:val="0"/>
          <w:sz w:val="39"/>
          <w:szCs w:val="39"/>
          <w:highlight w:val="none"/>
          <w:shd w:val="clear" w:fill="FFFFFF"/>
        </w:rPr>
        <w:t>采购合同</w:t>
      </w:r>
    </w:p>
    <w:p w14:paraId="35D90032">
      <w:pPr>
        <w:rPr>
          <w:rFonts w:hint="eastAsia" w:ascii="宋体" w:hAnsi="宋体" w:eastAsia="宋体" w:cs="宋体"/>
          <w:b/>
          <w:bCs/>
          <w:i w:val="0"/>
          <w:iCs w:val="0"/>
          <w:caps w:val="0"/>
          <w:color w:val="auto"/>
          <w:spacing w:val="0"/>
          <w:sz w:val="39"/>
          <w:szCs w:val="39"/>
          <w:highlight w:val="none"/>
          <w:shd w:val="clear" w:fill="FFFFFF"/>
        </w:rPr>
      </w:pPr>
    </w:p>
    <w:p w14:paraId="2019DFA4">
      <w:pPr>
        <w:pStyle w:val="6"/>
        <w:rPr>
          <w:rFonts w:hint="default" w:ascii="仿宋" w:hAnsi="仿宋" w:eastAsia="仿宋"/>
          <w:color w:val="auto"/>
          <w:highlight w:val="none"/>
          <w:shd w:val="clear" w:color="auto" w:fill="FFFFFF"/>
        </w:rPr>
      </w:pPr>
    </w:p>
    <w:p w14:paraId="572A8182">
      <w:pPr>
        <w:rPr>
          <w:rFonts w:hint="default" w:ascii="仿宋" w:hAnsi="仿宋" w:eastAsia="仿宋"/>
          <w:color w:val="auto"/>
          <w:highlight w:val="none"/>
          <w:shd w:val="clear" w:color="auto" w:fill="FFFFFF"/>
        </w:rPr>
      </w:pPr>
    </w:p>
    <w:p w14:paraId="3FCB4A51">
      <w:pPr>
        <w:pStyle w:val="6"/>
        <w:rPr>
          <w:rFonts w:hint="default" w:ascii="仿宋" w:hAnsi="仿宋" w:eastAsia="仿宋"/>
          <w:color w:val="auto"/>
          <w:highlight w:val="none"/>
          <w:shd w:val="clear" w:color="auto" w:fill="FFFFFF"/>
        </w:rPr>
      </w:pPr>
    </w:p>
    <w:p w14:paraId="25AE6C7F">
      <w:pPr>
        <w:rPr>
          <w:rFonts w:hint="default" w:ascii="仿宋" w:hAnsi="仿宋" w:eastAsia="仿宋"/>
          <w:color w:val="auto"/>
          <w:highlight w:val="none"/>
          <w:shd w:val="clear" w:color="auto" w:fill="FFFFFF"/>
        </w:rPr>
      </w:pPr>
    </w:p>
    <w:p w14:paraId="01A23AFA">
      <w:pPr>
        <w:rPr>
          <w:rFonts w:hint="default"/>
          <w:color w:val="auto"/>
          <w:highlight w:val="none"/>
        </w:rPr>
      </w:pPr>
    </w:p>
    <w:p w14:paraId="02B15678">
      <w:pPr>
        <w:rPr>
          <w:rFonts w:hint="default" w:ascii="仿宋" w:hAnsi="仿宋" w:eastAsia="仿宋"/>
          <w:color w:val="auto"/>
          <w:highlight w:val="none"/>
          <w:shd w:val="clear" w:color="auto" w:fill="FFFFFF"/>
        </w:rPr>
      </w:pPr>
    </w:p>
    <w:p w14:paraId="360289FF">
      <w:pPr>
        <w:pStyle w:val="6"/>
        <w:rPr>
          <w:rFonts w:hint="default"/>
          <w:color w:val="auto"/>
          <w:highlight w:val="none"/>
        </w:rPr>
      </w:pPr>
    </w:p>
    <w:p w14:paraId="37E46190">
      <w:pPr>
        <w:adjustRightInd w:val="0"/>
        <w:snapToGrid w:val="0"/>
        <w:rPr>
          <w:rFonts w:ascii="仿宋" w:hAnsi="仿宋" w:eastAsia="仿宋"/>
          <w:color w:val="auto"/>
          <w:highlight w:val="none"/>
        </w:rPr>
      </w:pPr>
    </w:p>
    <w:p w14:paraId="36A33CA7">
      <w:pPr>
        <w:adjustRightInd w:val="0"/>
        <w:snapToGrid w:val="0"/>
        <w:rPr>
          <w:rFonts w:ascii="仿宋" w:hAnsi="仿宋" w:eastAsia="仿宋"/>
          <w:color w:val="auto"/>
          <w:highlight w:val="none"/>
        </w:rPr>
      </w:pPr>
    </w:p>
    <w:p w14:paraId="4D4F6C63">
      <w:pPr>
        <w:adjustRightInd w:val="0"/>
        <w:snapToGrid w:val="0"/>
        <w:rPr>
          <w:rFonts w:hint="eastAsia" w:ascii="仿宋" w:hAnsi="仿宋" w:eastAsia="仿宋" w:cs="Times New Roman"/>
          <w:b/>
          <w:color w:val="auto"/>
          <w:kern w:val="0"/>
          <w:sz w:val="28"/>
          <w:szCs w:val="24"/>
          <w:highlight w:val="none"/>
          <w:lang w:val="en-US" w:eastAsia="zh-CN" w:bidi="ar"/>
        </w:rPr>
      </w:pPr>
    </w:p>
    <w:p w14:paraId="6BD150D8">
      <w:pPr>
        <w:pageBreakBefore w:val="0"/>
        <w:kinsoku/>
        <w:wordWrap/>
        <w:overflowPunct/>
        <w:topLinePunct w:val="0"/>
        <w:bidi w:val="0"/>
        <w:adjustRightInd w:val="0"/>
        <w:snapToGrid w:val="0"/>
        <w:spacing w:line="600" w:lineRule="exact"/>
        <w:textAlignment w:val="auto"/>
        <w:rPr>
          <w:rFonts w:hint="eastAsia" w:ascii="仿宋" w:hAnsi="仿宋" w:eastAsia="仿宋" w:cs="Times New Roman"/>
          <w:b/>
          <w:color w:val="auto"/>
          <w:kern w:val="0"/>
          <w:sz w:val="28"/>
          <w:szCs w:val="24"/>
          <w:highlight w:val="none"/>
          <w:lang w:val="en-US" w:eastAsia="zh-CN" w:bidi="ar"/>
        </w:rPr>
      </w:pPr>
    </w:p>
    <w:p w14:paraId="440D6F85">
      <w:pPr>
        <w:pageBreakBefore w:val="0"/>
        <w:widowControl w:val="0"/>
        <w:kinsoku/>
        <w:wordWrap/>
        <w:overflowPunct/>
        <w:topLinePunct w:val="0"/>
        <w:autoSpaceDE/>
        <w:autoSpaceDN/>
        <w:bidi w:val="0"/>
        <w:adjustRightInd w:val="0"/>
        <w:snapToGrid w:val="0"/>
        <w:spacing w:line="600" w:lineRule="exact"/>
        <w:textAlignment w:val="auto"/>
        <w:rPr>
          <w:rFonts w:hint="eastAsia" w:ascii="仿宋" w:hAnsi="仿宋" w:eastAsia="仿宋" w:cs="Times New Roman"/>
          <w:b/>
          <w:color w:val="auto"/>
          <w:kern w:val="0"/>
          <w:sz w:val="28"/>
          <w:szCs w:val="24"/>
          <w:highlight w:val="none"/>
          <w:lang w:val="en-US" w:eastAsia="zh-CN" w:bidi="ar"/>
        </w:rPr>
      </w:pPr>
      <w:r>
        <w:rPr>
          <w:rFonts w:hint="eastAsia" w:ascii="仿宋" w:hAnsi="仿宋" w:eastAsia="仿宋" w:cs="Times New Roman"/>
          <w:b/>
          <w:color w:val="auto"/>
          <w:kern w:val="0"/>
          <w:sz w:val="28"/>
          <w:szCs w:val="24"/>
          <w:highlight w:val="none"/>
          <w:lang w:val="en-US" w:eastAsia="zh-CN" w:bidi="ar"/>
        </w:rPr>
        <w:t>采购项目名称：</w:t>
      </w:r>
      <w:r>
        <w:rPr>
          <w:rFonts w:hint="eastAsia" w:ascii="仿宋" w:hAnsi="仿宋" w:eastAsia="仿宋" w:cs="Times New Roman"/>
          <w:b/>
          <w:color w:val="auto"/>
          <w:kern w:val="0"/>
          <w:sz w:val="28"/>
          <w:szCs w:val="24"/>
          <w:highlight w:val="none"/>
          <w:u w:val="single"/>
          <w:lang w:val="en-US" w:eastAsia="zh-CN" w:bidi="ar"/>
        </w:rPr>
        <w:t xml:space="preserve"> 西安市殡仪馆鲜花花材及殡葬用品采购项目</w:t>
      </w:r>
      <w:r>
        <w:rPr>
          <w:rFonts w:hint="eastAsia" w:ascii="仿宋" w:hAnsi="仿宋" w:eastAsia="仿宋" w:cs="Times New Roman"/>
          <w:b/>
          <w:color w:val="auto"/>
          <w:kern w:val="0"/>
          <w:sz w:val="28"/>
          <w:szCs w:val="24"/>
          <w:highlight w:val="none"/>
          <w:lang w:val="en-US" w:eastAsia="zh-CN" w:bidi="ar"/>
        </w:rPr>
        <w:t xml:space="preserve">                                     </w:t>
      </w:r>
    </w:p>
    <w:p w14:paraId="400471DC">
      <w:pPr>
        <w:pStyle w:val="9"/>
        <w:keepNext w:val="0"/>
        <w:keepLines w:val="0"/>
        <w:pageBreakBefore w:val="0"/>
        <w:widowControl/>
        <w:kinsoku/>
        <w:wordWrap/>
        <w:overflowPunct/>
        <w:topLinePunct w:val="0"/>
        <w:autoSpaceDE w:val="0"/>
        <w:autoSpaceDN w:val="0"/>
        <w:bidi w:val="0"/>
        <w:adjustRightInd/>
        <w:snapToGrid/>
        <w:spacing w:before="0" w:line="600" w:lineRule="exact"/>
        <w:textAlignment w:val="auto"/>
        <w:outlineLvl w:val="2"/>
        <w:rPr>
          <w:rFonts w:hint="eastAsia" w:ascii="仿宋" w:hAnsi="仿宋" w:eastAsia="仿宋" w:cs="Times New Roman"/>
          <w:b/>
          <w:color w:val="auto"/>
          <w:kern w:val="0"/>
          <w:sz w:val="28"/>
          <w:szCs w:val="24"/>
          <w:highlight w:val="none"/>
          <w:u w:val="single"/>
          <w:lang w:val="en-US" w:eastAsia="zh-CN" w:bidi="ar"/>
        </w:rPr>
      </w:pPr>
      <w:r>
        <w:rPr>
          <w:rFonts w:hint="eastAsia" w:ascii="仿宋" w:hAnsi="仿宋" w:eastAsia="仿宋" w:cs="Times New Roman"/>
          <w:b/>
          <w:color w:val="auto"/>
          <w:kern w:val="0"/>
          <w:sz w:val="28"/>
          <w:szCs w:val="24"/>
          <w:highlight w:val="none"/>
          <w:lang w:val="en-US" w:eastAsia="zh-CN" w:bidi="ar"/>
        </w:rPr>
        <w:t>采购项目地点：</w:t>
      </w:r>
      <w:r>
        <w:rPr>
          <w:rFonts w:hint="eastAsia" w:ascii="仿宋" w:hAnsi="仿宋" w:eastAsia="仿宋" w:cs="Times New Roman"/>
          <w:b/>
          <w:color w:val="auto"/>
          <w:kern w:val="0"/>
          <w:sz w:val="28"/>
          <w:szCs w:val="24"/>
          <w:highlight w:val="none"/>
          <w:u w:val="single"/>
          <w:lang w:val="en-US" w:eastAsia="zh-CN" w:bidi="ar"/>
        </w:rPr>
        <w:t xml:space="preserve">  西安市长安区鸣犊留公三村  </w:t>
      </w:r>
    </w:p>
    <w:p w14:paraId="19945CF8">
      <w:pPr>
        <w:pStyle w:val="9"/>
        <w:keepNext w:val="0"/>
        <w:keepLines w:val="0"/>
        <w:pageBreakBefore w:val="0"/>
        <w:widowControl/>
        <w:kinsoku/>
        <w:wordWrap/>
        <w:overflowPunct/>
        <w:topLinePunct w:val="0"/>
        <w:autoSpaceDE w:val="0"/>
        <w:autoSpaceDN w:val="0"/>
        <w:bidi w:val="0"/>
        <w:adjustRightInd/>
        <w:snapToGrid/>
        <w:spacing w:before="0" w:line="600" w:lineRule="exact"/>
        <w:textAlignment w:val="auto"/>
        <w:outlineLvl w:val="2"/>
        <w:rPr>
          <w:rFonts w:hint="eastAsia" w:ascii="仿宋" w:hAnsi="仿宋" w:eastAsia="仿宋" w:cs="Times New Roman"/>
          <w:b/>
          <w:color w:val="auto"/>
          <w:kern w:val="0"/>
          <w:sz w:val="28"/>
          <w:szCs w:val="24"/>
          <w:highlight w:val="none"/>
          <w:lang w:val="en-US" w:eastAsia="zh-CN" w:bidi="ar"/>
        </w:rPr>
      </w:pPr>
      <w:r>
        <w:rPr>
          <w:rFonts w:hint="eastAsia" w:ascii="仿宋" w:hAnsi="仿宋" w:eastAsia="仿宋" w:cs="Times New Roman"/>
          <w:b/>
          <w:color w:val="auto"/>
          <w:kern w:val="0"/>
          <w:sz w:val="28"/>
          <w:szCs w:val="24"/>
          <w:highlight w:val="none"/>
          <w:lang w:val="en-US" w:eastAsia="zh-CN" w:bidi="ar"/>
        </w:rPr>
        <w:t>包号：</w:t>
      </w:r>
      <w:r>
        <w:rPr>
          <w:rFonts w:hint="eastAsia" w:ascii="仿宋" w:hAnsi="仿宋" w:eastAsia="仿宋" w:cs="Times New Roman"/>
          <w:b/>
          <w:color w:val="auto"/>
          <w:kern w:val="0"/>
          <w:sz w:val="28"/>
          <w:szCs w:val="24"/>
          <w:highlight w:val="none"/>
          <w:u w:val="single"/>
          <w:lang w:val="en-US" w:eastAsia="zh-CN" w:bidi="ar"/>
        </w:rPr>
        <w:t xml:space="preserve">  二包：西安市殡仪馆鲜花花材采购项目 </w:t>
      </w:r>
      <w:r>
        <w:rPr>
          <w:rFonts w:hint="eastAsia" w:ascii="仿宋" w:hAnsi="仿宋" w:eastAsia="仿宋" w:cs="Times New Roman"/>
          <w:b/>
          <w:color w:val="auto"/>
          <w:kern w:val="0"/>
          <w:sz w:val="28"/>
          <w:szCs w:val="24"/>
          <w:highlight w:val="none"/>
          <w:lang w:val="en-US" w:eastAsia="zh-CN" w:bidi="ar"/>
        </w:rPr>
        <w:t xml:space="preserve">                                                  </w:t>
      </w:r>
    </w:p>
    <w:p w14:paraId="3D70530B">
      <w:pPr>
        <w:pageBreakBefore w:val="0"/>
        <w:widowControl w:val="0"/>
        <w:kinsoku/>
        <w:wordWrap/>
        <w:overflowPunct/>
        <w:topLinePunct w:val="0"/>
        <w:autoSpaceDE/>
        <w:autoSpaceDN/>
        <w:bidi w:val="0"/>
        <w:adjustRightInd w:val="0"/>
        <w:snapToGrid w:val="0"/>
        <w:spacing w:line="600" w:lineRule="exact"/>
        <w:textAlignment w:val="auto"/>
        <w:rPr>
          <w:rFonts w:hint="eastAsia" w:ascii="仿宋" w:hAnsi="仿宋" w:eastAsia="仿宋" w:cs="Times New Roman"/>
          <w:b/>
          <w:color w:val="auto"/>
          <w:kern w:val="0"/>
          <w:sz w:val="28"/>
          <w:szCs w:val="24"/>
          <w:highlight w:val="none"/>
          <w:lang w:val="en-US" w:eastAsia="zh-CN" w:bidi="ar"/>
        </w:rPr>
      </w:pPr>
      <w:r>
        <w:rPr>
          <w:rFonts w:hint="eastAsia" w:ascii="仿宋" w:hAnsi="仿宋" w:eastAsia="仿宋" w:cs="Times New Roman"/>
          <w:b/>
          <w:color w:val="auto"/>
          <w:kern w:val="0"/>
          <w:sz w:val="28"/>
          <w:szCs w:val="24"/>
          <w:highlight w:val="none"/>
          <w:lang w:val="en-US" w:eastAsia="zh-CN" w:bidi="ar"/>
        </w:rPr>
        <w:t>合同编号：</w:t>
      </w:r>
      <w:r>
        <w:rPr>
          <w:rFonts w:hint="eastAsia" w:ascii="仿宋" w:hAnsi="仿宋" w:eastAsia="仿宋" w:cs="Times New Roman"/>
          <w:b/>
          <w:color w:val="auto"/>
          <w:kern w:val="0"/>
          <w:sz w:val="28"/>
          <w:szCs w:val="24"/>
          <w:highlight w:val="none"/>
          <w:u w:val="single"/>
          <w:lang w:val="en-US" w:eastAsia="zh-CN" w:bidi="ar"/>
        </w:rPr>
        <w:t xml:space="preserve">                                </w:t>
      </w:r>
      <w:r>
        <w:rPr>
          <w:rFonts w:hint="eastAsia" w:ascii="仿宋" w:hAnsi="仿宋" w:eastAsia="仿宋" w:cs="Times New Roman"/>
          <w:b/>
          <w:color w:val="auto"/>
          <w:kern w:val="0"/>
          <w:sz w:val="28"/>
          <w:szCs w:val="24"/>
          <w:highlight w:val="none"/>
          <w:lang w:val="en-US" w:eastAsia="zh-CN" w:bidi="ar"/>
        </w:rPr>
        <w:t xml:space="preserve">                                         </w:t>
      </w:r>
    </w:p>
    <w:p w14:paraId="5DA73F1B">
      <w:pPr>
        <w:pageBreakBefore w:val="0"/>
        <w:widowControl w:val="0"/>
        <w:kinsoku/>
        <w:wordWrap/>
        <w:overflowPunct/>
        <w:topLinePunct w:val="0"/>
        <w:autoSpaceDE/>
        <w:autoSpaceDN/>
        <w:bidi w:val="0"/>
        <w:adjustRightInd w:val="0"/>
        <w:snapToGrid w:val="0"/>
        <w:spacing w:line="600" w:lineRule="exact"/>
        <w:textAlignment w:val="auto"/>
        <w:rPr>
          <w:rFonts w:hint="eastAsia" w:ascii="仿宋" w:hAnsi="仿宋" w:eastAsia="仿宋" w:cs="Times New Roman"/>
          <w:b/>
          <w:color w:val="auto"/>
          <w:kern w:val="0"/>
          <w:sz w:val="28"/>
          <w:szCs w:val="24"/>
          <w:highlight w:val="none"/>
          <w:lang w:val="en-US" w:eastAsia="zh-CN" w:bidi="ar"/>
        </w:rPr>
      </w:pPr>
      <w:r>
        <w:rPr>
          <w:rFonts w:hint="eastAsia" w:ascii="仿宋" w:hAnsi="仿宋" w:eastAsia="仿宋" w:cs="Times New Roman"/>
          <w:b/>
          <w:color w:val="auto"/>
          <w:kern w:val="0"/>
          <w:sz w:val="28"/>
          <w:szCs w:val="24"/>
          <w:highlight w:val="none"/>
          <w:lang w:val="en-US" w:eastAsia="zh-CN" w:bidi="ar"/>
        </w:rPr>
        <w:t>采购人（以下简称甲方）：</w:t>
      </w:r>
      <w:r>
        <w:rPr>
          <w:rFonts w:hint="eastAsia" w:ascii="仿宋" w:hAnsi="仿宋" w:eastAsia="仿宋" w:cs="Times New Roman"/>
          <w:b/>
          <w:color w:val="auto"/>
          <w:kern w:val="0"/>
          <w:sz w:val="28"/>
          <w:szCs w:val="24"/>
          <w:highlight w:val="none"/>
          <w:u w:val="single"/>
          <w:lang w:val="en-US" w:eastAsia="zh-CN" w:bidi="ar"/>
        </w:rPr>
        <w:t xml:space="preserve">  西安市殡仪馆     </w:t>
      </w:r>
      <w:r>
        <w:rPr>
          <w:rFonts w:hint="eastAsia" w:ascii="仿宋" w:hAnsi="仿宋" w:eastAsia="仿宋" w:cs="Times New Roman"/>
          <w:b/>
          <w:color w:val="auto"/>
          <w:kern w:val="0"/>
          <w:sz w:val="28"/>
          <w:szCs w:val="24"/>
          <w:highlight w:val="none"/>
          <w:lang w:val="en-US" w:eastAsia="zh-CN" w:bidi="ar"/>
        </w:rPr>
        <w:t xml:space="preserve">                                     </w:t>
      </w:r>
    </w:p>
    <w:p w14:paraId="5DF2872A">
      <w:pPr>
        <w:pageBreakBefore w:val="0"/>
        <w:widowControl w:val="0"/>
        <w:kinsoku/>
        <w:wordWrap/>
        <w:overflowPunct/>
        <w:topLinePunct w:val="0"/>
        <w:autoSpaceDE/>
        <w:autoSpaceDN/>
        <w:bidi w:val="0"/>
        <w:adjustRightInd w:val="0"/>
        <w:snapToGrid w:val="0"/>
        <w:spacing w:line="600" w:lineRule="exact"/>
        <w:textAlignment w:val="auto"/>
        <w:rPr>
          <w:rFonts w:hint="eastAsia" w:ascii="仿宋" w:hAnsi="仿宋" w:eastAsia="仿宋" w:cs="Times New Roman"/>
          <w:b/>
          <w:color w:val="auto"/>
          <w:kern w:val="0"/>
          <w:sz w:val="28"/>
          <w:szCs w:val="24"/>
          <w:highlight w:val="none"/>
          <w:lang w:val="en-US" w:eastAsia="zh-CN" w:bidi="ar"/>
        </w:rPr>
      </w:pPr>
      <w:r>
        <w:rPr>
          <w:rFonts w:hint="eastAsia" w:ascii="仿宋" w:hAnsi="仿宋" w:eastAsia="仿宋" w:cs="Times New Roman"/>
          <w:b/>
          <w:color w:val="auto"/>
          <w:kern w:val="0"/>
          <w:sz w:val="28"/>
          <w:szCs w:val="24"/>
          <w:highlight w:val="none"/>
          <w:lang w:val="en-US" w:eastAsia="zh-CN" w:bidi="ar"/>
        </w:rPr>
        <w:t>供应商（以下简称乙方）：</w:t>
      </w:r>
      <w:r>
        <w:rPr>
          <w:rFonts w:hint="eastAsia" w:ascii="仿宋" w:hAnsi="仿宋" w:eastAsia="仿宋" w:cs="Times New Roman"/>
          <w:b/>
          <w:color w:val="auto"/>
          <w:kern w:val="0"/>
          <w:sz w:val="28"/>
          <w:szCs w:val="24"/>
          <w:highlight w:val="none"/>
          <w:u w:val="single"/>
          <w:lang w:val="en-US" w:eastAsia="zh-CN" w:bidi="ar"/>
        </w:rPr>
        <w:t xml:space="preserve">                   </w:t>
      </w:r>
      <w:r>
        <w:rPr>
          <w:rFonts w:hint="eastAsia" w:ascii="仿宋" w:hAnsi="仿宋" w:eastAsia="仿宋" w:cs="Times New Roman"/>
          <w:b/>
          <w:color w:val="auto"/>
          <w:kern w:val="0"/>
          <w:sz w:val="28"/>
          <w:szCs w:val="24"/>
          <w:highlight w:val="none"/>
          <w:lang w:val="en-US" w:eastAsia="zh-CN" w:bidi="ar"/>
        </w:rPr>
        <w:t xml:space="preserve">                   </w:t>
      </w:r>
    </w:p>
    <w:p w14:paraId="279A9A8C">
      <w:pPr>
        <w:pStyle w:val="5"/>
        <w:pageBreakBefore w:val="0"/>
        <w:widowControl w:val="0"/>
        <w:kinsoku/>
        <w:wordWrap/>
        <w:overflowPunct/>
        <w:topLinePunct w:val="0"/>
        <w:autoSpaceDE/>
        <w:autoSpaceDN/>
        <w:bidi w:val="0"/>
        <w:spacing w:line="600" w:lineRule="exact"/>
        <w:textAlignment w:val="auto"/>
        <w:rPr>
          <w:rFonts w:hint="eastAsia"/>
          <w:color w:val="auto"/>
          <w:highlight w:val="none"/>
        </w:rPr>
      </w:pPr>
      <w:r>
        <w:rPr>
          <w:rFonts w:hint="eastAsia" w:ascii="仿宋" w:hAnsi="仿宋" w:eastAsia="仿宋" w:cs="Times New Roman"/>
          <w:b/>
          <w:color w:val="auto"/>
          <w:kern w:val="0"/>
          <w:sz w:val="28"/>
          <w:szCs w:val="24"/>
          <w:highlight w:val="none"/>
          <w:lang w:val="en-US" w:eastAsia="zh-CN" w:bidi="ar"/>
        </w:rPr>
        <w:t>签订日期：</w:t>
      </w:r>
      <w:r>
        <w:rPr>
          <w:rFonts w:hint="eastAsia" w:ascii="仿宋" w:hAnsi="仿宋" w:eastAsia="仿宋" w:cs="Times New Roman"/>
          <w:b/>
          <w:color w:val="auto"/>
          <w:kern w:val="0"/>
          <w:sz w:val="28"/>
          <w:szCs w:val="24"/>
          <w:highlight w:val="none"/>
          <w:u w:val="single"/>
          <w:lang w:val="en-US" w:eastAsia="zh-CN" w:bidi="ar"/>
        </w:rPr>
        <w:t xml:space="preserve">                                </w:t>
      </w:r>
      <w:r>
        <w:rPr>
          <w:rFonts w:hint="eastAsia" w:ascii="仿宋" w:hAnsi="仿宋" w:eastAsia="仿宋" w:cs="Times New Roman"/>
          <w:b/>
          <w:color w:val="auto"/>
          <w:kern w:val="0"/>
          <w:sz w:val="28"/>
          <w:szCs w:val="24"/>
          <w:highlight w:val="none"/>
          <w:lang w:val="en-US" w:eastAsia="zh-CN" w:bidi="ar"/>
        </w:rPr>
        <w:t xml:space="preserve">             </w:t>
      </w:r>
      <w:r>
        <w:rPr>
          <w:rFonts w:hint="eastAsia" w:ascii="仿宋" w:hAnsi="仿宋" w:eastAsia="仿宋"/>
          <w:color w:val="auto"/>
          <w:highlight w:val="none"/>
        </w:rPr>
        <w:t xml:space="preserve">          </w:t>
      </w:r>
    </w:p>
    <w:p w14:paraId="7BEEDCFC">
      <w:pPr>
        <w:keepNext w:val="0"/>
        <w:keepLines w:val="0"/>
        <w:pageBreakBefore w:val="0"/>
        <w:widowControl/>
        <w:kinsoku/>
        <w:wordWrap/>
        <w:overflowPunct/>
        <w:topLinePunct w:val="0"/>
        <w:autoSpaceDE/>
        <w:autoSpaceDN/>
        <w:bidi w:val="0"/>
        <w:adjustRightInd/>
        <w:snapToGrid/>
        <w:spacing w:before="157" w:beforeLines="50" w:line="500" w:lineRule="exact"/>
        <w:jc w:val="left"/>
        <w:textAlignment w:val="auto"/>
        <w:rPr>
          <w:rFonts w:hint="eastAsia" w:ascii="宋体" w:hAnsi="宋体" w:cs="宋体"/>
          <w:color w:val="auto"/>
          <w:kern w:val="0"/>
          <w:sz w:val="24"/>
          <w:highlight w:val="none"/>
          <w:lang w:bidi="ar"/>
        </w:rPr>
      </w:pPr>
    </w:p>
    <w:p w14:paraId="60908641">
      <w:pPr>
        <w:keepNext w:val="0"/>
        <w:keepLines w:val="0"/>
        <w:pageBreakBefore w:val="0"/>
        <w:widowControl/>
        <w:kinsoku/>
        <w:wordWrap/>
        <w:overflowPunct/>
        <w:topLinePunct w:val="0"/>
        <w:autoSpaceDE/>
        <w:autoSpaceDN/>
        <w:bidi w:val="0"/>
        <w:adjustRightInd/>
        <w:snapToGrid/>
        <w:spacing w:before="157" w:beforeLines="50" w:line="500" w:lineRule="exact"/>
        <w:jc w:val="left"/>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lang w:bidi="ar"/>
        </w:rPr>
        <w:t>甲方：</w:t>
      </w:r>
      <w:r>
        <w:rPr>
          <w:rFonts w:hint="eastAsia" w:ascii="宋体" w:hAnsi="宋体" w:cs="宋体"/>
          <w:color w:val="auto"/>
          <w:kern w:val="0"/>
          <w:sz w:val="24"/>
          <w:highlight w:val="none"/>
          <w:u w:val="single"/>
        </w:rPr>
        <w:t>西安市殡仪馆</w:t>
      </w:r>
    </w:p>
    <w:p w14:paraId="2AE5F53A">
      <w:pPr>
        <w:keepNext w:val="0"/>
        <w:keepLines w:val="0"/>
        <w:pageBreakBefore w:val="0"/>
        <w:widowControl/>
        <w:kinsoku/>
        <w:wordWrap/>
        <w:overflowPunct/>
        <w:topLinePunct w:val="0"/>
        <w:bidi w:val="0"/>
        <w:spacing w:line="500" w:lineRule="exact"/>
        <w:jc w:val="left"/>
        <w:textAlignment w:val="auto"/>
        <w:rPr>
          <w:rFonts w:hint="default" w:ascii="宋体" w:hAnsi="宋体" w:eastAsia="宋体" w:cs="宋体"/>
          <w:color w:val="auto"/>
          <w:kern w:val="0"/>
          <w:sz w:val="24"/>
          <w:highlight w:val="none"/>
          <w:u w:val="single"/>
          <w:lang w:val="en-US" w:eastAsia="zh-CN"/>
        </w:rPr>
      </w:pPr>
      <w:r>
        <w:rPr>
          <w:rFonts w:hint="eastAsia" w:ascii="宋体" w:hAnsi="宋体" w:cs="宋体"/>
          <w:color w:val="auto"/>
          <w:kern w:val="0"/>
          <w:sz w:val="24"/>
          <w:highlight w:val="none"/>
          <w:lang w:bidi="ar"/>
        </w:rPr>
        <w:t>乙方：</w:t>
      </w:r>
      <w:r>
        <w:rPr>
          <w:rFonts w:hint="eastAsia" w:ascii="宋体" w:hAnsi="宋体" w:eastAsia="宋体" w:cs="宋体"/>
          <w:color w:val="auto"/>
          <w:kern w:val="0"/>
          <w:sz w:val="24"/>
          <w:highlight w:val="none"/>
          <w:u w:val="single"/>
          <w:lang w:val="en-US" w:eastAsia="zh-CN" w:bidi="ar"/>
        </w:rPr>
        <w:t xml:space="preserve">            </w:t>
      </w:r>
    </w:p>
    <w:p w14:paraId="1E42AA0E">
      <w:pPr>
        <w:keepNext w:val="0"/>
        <w:keepLines w:val="0"/>
        <w:pageBreakBefore w:val="0"/>
        <w:widowControl/>
        <w:kinsoku/>
        <w:wordWrap/>
        <w:overflowPunct/>
        <w:topLinePunct w:val="0"/>
        <w:bidi w:val="0"/>
        <w:spacing w:line="500" w:lineRule="exact"/>
        <w:ind w:firstLine="480" w:firstLineChars="200"/>
        <w:jc w:val="left"/>
        <w:textAlignment w:val="auto"/>
        <w:rPr>
          <w:rFonts w:hint="eastAsia" w:ascii="宋体" w:hAnsi="宋体" w:cs="宋体"/>
          <w:color w:val="auto"/>
          <w:kern w:val="0"/>
          <w:sz w:val="24"/>
          <w:highlight w:val="none"/>
          <w:lang w:eastAsia="zh-CN" w:bidi="ar"/>
        </w:rPr>
      </w:pPr>
      <w:r>
        <w:rPr>
          <w:rFonts w:hint="eastAsia" w:ascii="宋体" w:hAnsi="宋体" w:cs="宋体"/>
          <w:color w:val="auto"/>
          <w:kern w:val="0"/>
          <w:sz w:val="24"/>
          <w:highlight w:val="none"/>
          <w:lang w:val="en-US" w:eastAsia="zh-CN" w:bidi="ar"/>
        </w:rPr>
        <w:t>西安市殡仪馆鲜花及辅助材料采购项目</w:t>
      </w:r>
      <w:r>
        <w:rPr>
          <w:rFonts w:hint="eastAsia" w:ascii="宋体" w:hAnsi="宋体" w:cs="宋体"/>
          <w:color w:val="auto"/>
          <w:kern w:val="0"/>
          <w:sz w:val="24"/>
          <w:highlight w:val="none"/>
          <w:lang w:bidi="ar"/>
        </w:rPr>
        <w:t>，由</w:t>
      </w:r>
      <w:r>
        <w:rPr>
          <w:rFonts w:hint="eastAsia" w:ascii="宋体" w:hAnsi="宋体" w:cs="宋体"/>
          <w:color w:val="auto"/>
          <w:kern w:val="0"/>
          <w:sz w:val="24"/>
          <w:highlight w:val="none"/>
          <w:lang w:val="en-US" w:eastAsia="zh-CN" w:bidi="ar"/>
        </w:rPr>
        <w:t>亿诚建设项目管理有限公司组织公开招标，西安市殡仪馆</w:t>
      </w:r>
      <w:r>
        <w:rPr>
          <w:rFonts w:hint="eastAsia" w:ascii="宋体" w:hAnsi="宋体" w:cs="宋体"/>
          <w:color w:val="auto"/>
          <w:kern w:val="0"/>
          <w:sz w:val="24"/>
          <w:highlight w:val="none"/>
          <w:lang w:bidi="ar"/>
        </w:rPr>
        <w:t>（以下简称甲方）确定</w:t>
      </w:r>
      <w:r>
        <w:rPr>
          <w:rFonts w:hint="eastAsia" w:ascii="宋体" w:hAnsi="宋体" w:eastAsia="宋体" w:cs="宋体"/>
          <w:color w:val="auto"/>
          <w:kern w:val="0"/>
          <w:sz w:val="24"/>
          <w:highlight w:val="none"/>
          <w:u w:val="single"/>
          <w:lang w:val="en-US" w:eastAsia="zh-CN" w:bidi="ar"/>
        </w:rPr>
        <w:t xml:space="preserve">         </w:t>
      </w:r>
      <w:r>
        <w:rPr>
          <w:rFonts w:hint="eastAsia" w:ascii="宋体" w:hAnsi="宋体" w:cs="宋体"/>
          <w:color w:val="auto"/>
          <w:kern w:val="0"/>
          <w:sz w:val="24"/>
          <w:highlight w:val="none"/>
          <w:lang w:bidi="ar"/>
        </w:rPr>
        <w:t>（以下简称乙方）为该项目</w:t>
      </w:r>
      <w:r>
        <w:rPr>
          <w:rFonts w:hint="eastAsia" w:ascii="宋体" w:hAnsi="宋体" w:eastAsia="宋体" w:cs="宋体"/>
          <w:color w:val="auto"/>
          <w:kern w:val="0"/>
          <w:sz w:val="24"/>
          <w:highlight w:val="none"/>
          <w:lang w:val="en-US" w:eastAsia="zh-CN" w:bidi="ar"/>
        </w:rPr>
        <w:t>二包：西安市殡仪馆鲜花花材采购项目</w:t>
      </w:r>
      <w:r>
        <w:rPr>
          <w:rFonts w:hint="eastAsia" w:ascii="宋体" w:hAnsi="宋体" w:cs="宋体"/>
          <w:color w:val="auto"/>
          <w:kern w:val="0"/>
          <w:sz w:val="24"/>
          <w:highlight w:val="none"/>
          <w:lang w:eastAsia="zh-CN" w:bidi="ar"/>
        </w:rPr>
        <w:t>成交</w:t>
      </w:r>
      <w:r>
        <w:rPr>
          <w:rFonts w:hint="eastAsia" w:ascii="宋体" w:hAnsi="宋体" w:cs="宋体"/>
          <w:color w:val="auto"/>
          <w:kern w:val="0"/>
          <w:sz w:val="24"/>
          <w:highlight w:val="none"/>
          <w:lang w:bidi="ar"/>
        </w:rPr>
        <w:t>单位。依据《中华人民共和国</w:t>
      </w:r>
      <w:r>
        <w:rPr>
          <w:rFonts w:hint="eastAsia" w:ascii="宋体" w:hAnsi="宋体" w:cs="宋体"/>
          <w:color w:val="auto"/>
          <w:kern w:val="0"/>
          <w:sz w:val="24"/>
          <w:highlight w:val="none"/>
          <w:lang w:eastAsia="zh-CN" w:bidi="ar"/>
        </w:rPr>
        <w:t>民法典</w:t>
      </w:r>
      <w:r>
        <w:rPr>
          <w:rFonts w:hint="eastAsia" w:ascii="宋体" w:hAnsi="宋体" w:cs="宋体"/>
          <w:color w:val="auto"/>
          <w:kern w:val="0"/>
          <w:sz w:val="24"/>
          <w:highlight w:val="none"/>
          <w:lang w:bidi="ar"/>
        </w:rPr>
        <w:t>》和《中华人民共和国政府采购法》，经甲、乙双方共同协商，按下述条款和条件签署</w:t>
      </w:r>
      <w:r>
        <w:rPr>
          <w:rFonts w:hint="eastAsia" w:ascii="宋体" w:hAnsi="宋体" w:cs="宋体"/>
          <w:color w:val="auto"/>
          <w:kern w:val="0"/>
          <w:sz w:val="24"/>
          <w:highlight w:val="none"/>
          <w:lang w:eastAsia="zh-CN" w:bidi="ar"/>
        </w:rPr>
        <w:t>本合同。</w:t>
      </w:r>
    </w:p>
    <w:p w14:paraId="2D77670E">
      <w:pPr>
        <w:keepNext w:val="0"/>
        <w:keepLines w:val="0"/>
        <w:pageBreakBefore w:val="0"/>
        <w:kinsoku/>
        <w:wordWrap/>
        <w:overflowPunct/>
        <w:topLinePunct w:val="0"/>
        <w:bidi w:val="0"/>
        <w:spacing w:line="500" w:lineRule="exact"/>
        <w:jc w:val="left"/>
        <w:textAlignment w:val="auto"/>
        <w:outlineLvl w:val="0"/>
        <w:rPr>
          <w:rFonts w:ascii="宋体" w:hAnsi="宋体" w:cs="宋体"/>
          <w:b/>
          <w:color w:val="auto"/>
          <w:sz w:val="24"/>
          <w:szCs w:val="24"/>
          <w:highlight w:val="none"/>
        </w:rPr>
      </w:pPr>
      <w:bookmarkStart w:id="24" w:name="_Toc29297"/>
      <w:bookmarkStart w:id="25" w:name="_Toc19706"/>
      <w:r>
        <w:rPr>
          <w:rFonts w:hint="eastAsia" w:ascii="宋体" w:hAnsi="宋体" w:cs="宋体"/>
          <w:b/>
          <w:color w:val="auto"/>
          <w:sz w:val="24"/>
          <w:szCs w:val="24"/>
          <w:highlight w:val="none"/>
        </w:rPr>
        <w:t>一、交货条件：</w:t>
      </w:r>
      <w:bookmarkEnd w:id="24"/>
      <w:bookmarkEnd w:id="25"/>
    </w:p>
    <w:p w14:paraId="5166884F">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rPr>
        <w:t>交货地点：</w:t>
      </w:r>
      <w:r>
        <w:rPr>
          <w:rFonts w:hint="eastAsia" w:ascii="宋体" w:hAnsi="宋体" w:eastAsia="宋体" w:cs="宋体"/>
          <w:color w:val="auto"/>
          <w:sz w:val="24"/>
          <w:szCs w:val="24"/>
          <w:highlight w:val="none"/>
          <w:lang w:eastAsia="zh-CN"/>
        </w:rPr>
        <w:t>西安市殡仪馆</w:t>
      </w:r>
    </w:p>
    <w:p w14:paraId="779543AF">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szCs w:val="24"/>
          <w:highlight w:val="none"/>
          <w:lang w:val="en-US" w:eastAsia="zh-CN"/>
        </w:rPr>
        <w:t>2、供货</w:t>
      </w:r>
      <w:r>
        <w:rPr>
          <w:rFonts w:hint="eastAsia" w:ascii="宋体" w:hAnsi="宋体" w:cs="宋体"/>
          <w:color w:val="auto"/>
          <w:sz w:val="24"/>
          <w:szCs w:val="24"/>
          <w:highlight w:val="none"/>
        </w:rPr>
        <w:t>期：</w:t>
      </w:r>
      <w:r>
        <w:rPr>
          <w:rFonts w:hint="eastAsia" w:ascii="宋体" w:hAnsi="宋体" w:eastAsia="宋体" w:cs="宋体"/>
          <w:color w:val="auto"/>
          <w:sz w:val="24"/>
          <w:highlight w:val="none"/>
          <w:lang w:val="en-US" w:eastAsia="zh-CN"/>
        </w:rPr>
        <w:t>合同签订后一年或累计结算金额到达采购预算，以先到达者为准。</w:t>
      </w:r>
    </w:p>
    <w:p w14:paraId="1D201C68">
      <w:pPr>
        <w:keepNext w:val="0"/>
        <w:keepLines w:val="0"/>
        <w:pageBreakBefore w:val="0"/>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cs="宋体"/>
          <w:color w:val="auto"/>
          <w:sz w:val="24"/>
          <w:szCs w:val="24"/>
          <w:highlight w:val="none"/>
        </w:rPr>
        <w:t>交货</w:t>
      </w:r>
      <w:r>
        <w:rPr>
          <w:rFonts w:hint="eastAsia" w:ascii="宋体" w:hAnsi="宋体" w:eastAsia="宋体" w:cs="宋体"/>
          <w:color w:val="auto"/>
          <w:sz w:val="24"/>
          <w:szCs w:val="24"/>
          <w:highlight w:val="none"/>
          <w:lang w:val="en-US" w:eastAsia="zh-CN"/>
        </w:rPr>
        <w:t>时间</w:t>
      </w:r>
      <w:r>
        <w:rPr>
          <w:rFonts w:hint="eastAsia" w:ascii="宋体" w:hAnsi="宋体" w:cs="宋体"/>
          <w:color w:val="auto"/>
          <w:sz w:val="24"/>
          <w:szCs w:val="24"/>
          <w:highlight w:val="none"/>
        </w:rPr>
        <w:t>：</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接到</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要货通知后</w:t>
      </w:r>
      <w:r>
        <w:rPr>
          <w:rFonts w:hint="eastAsia" w:ascii="宋体" w:hAnsi="宋体" w:eastAsia="宋体" w:cs="宋体"/>
          <w:color w:val="auto"/>
          <w:sz w:val="24"/>
          <w:szCs w:val="24"/>
          <w:highlight w:val="none"/>
          <w:lang w:val="en-US" w:eastAsia="zh-CN"/>
        </w:rPr>
        <w:t>3小时</w:t>
      </w:r>
      <w:r>
        <w:rPr>
          <w:rFonts w:hint="eastAsia" w:ascii="宋体" w:hAnsi="宋体" w:cs="宋体"/>
          <w:color w:val="auto"/>
          <w:sz w:val="24"/>
          <w:szCs w:val="24"/>
          <w:highlight w:val="none"/>
        </w:rPr>
        <w:t>内完成供货。</w:t>
      </w:r>
    </w:p>
    <w:p w14:paraId="7EE4E22A">
      <w:pPr>
        <w:keepNext w:val="0"/>
        <w:keepLines w:val="0"/>
        <w:pageBreakBefore w:val="0"/>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cs="宋体"/>
          <w:color w:val="auto"/>
          <w:sz w:val="24"/>
          <w:szCs w:val="24"/>
          <w:highlight w:val="none"/>
        </w:rPr>
        <w:t>质量要求：符合国家</w:t>
      </w:r>
      <w:r>
        <w:rPr>
          <w:rFonts w:hint="eastAsia" w:ascii="宋体" w:hAnsi="宋体" w:eastAsia="宋体" w:cs="宋体"/>
          <w:color w:val="auto"/>
          <w:sz w:val="24"/>
          <w:szCs w:val="24"/>
          <w:highlight w:val="none"/>
          <w:lang w:val="en-US" w:eastAsia="zh-CN"/>
        </w:rPr>
        <w:t>及行业</w:t>
      </w:r>
      <w:r>
        <w:rPr>
          <w:rFonts w:hint="eastAsia" w:ascii="宋体" w:hAnsi="宋体" w:cs="宋体"/>
          <w:color w:val="auto"/>
          <w:sz w:val="24"/>
          <w:szCs w:val="24"/>
          <w:highlight w:val="none"/>
        </w:rPr>
        <w:t>相关规定要求。</w:t>
      </w:r>
    </w:p>
    <w:p w14:paraId="2B048AAE">
      <w:pPr>
        <w:keepNext w:val="0"/>
        <w:keepLines w:val="0"/>
        <w:pageBreakBefore w:val="0"/>
        <w:kinsoku/>
        <w:wordWrap/>
        <w:overflowPunct/>
        <w:topLinePunct w:val="0"/>
        <w:bidi w:val="0"/>
        <w:spacing w:line="500" w:lineRule="exact"/>
        <w:jc w:val="left"/>
        <w:textAlignment w:val="auto"/>
        <w:outlineLvl w:val="0"/>
        <w:rPr>
          <w:rFonts w:ascii="宋体" w:hAnsi="宋体" w:cs="宋体"/>
          <w:b/>
          <w:color w:val="auto"/>
          <w:sz w:val="24"/>
          <w:szCs w:val="24"/>
          <w:highlight w:val="none"/>
        </w:rPr>
      </w:pPr>
      <w:bookmarkStart w:id="26" w:name="_Toc6070"/>
      <w:bookmarkStart w:id="27" w:name="_Toc20489"/>
      <w:r>
        <w:rPr>
          <w:rFonts w:hint="eastAsia" w:ascii="宋体" w:hAnsi="宋体" w:cs="宋体"/>
          <w:b/>
          <w:color w:val="auto"/>
          <w:sz w:val="24"/>
          <w:szCs w:val="24"/>
          <w:highlight w:val="none"/>
        </w:rPr>
        <w:t>二、合同价款</w:t>
      </w:r>
      <w:bookmarkEnd w:id="26"/>
      <w:bookmarkEnd w:id="27"/>
    </w:p>
    <w:p w14:paraId="044F5A1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1、预算金额：</w:t>
      </w:r>
      <w:r>
        <w:rPr>
          <w:rFonts w:hint="eastAsia" w:ascii="宋体" w:hAnsi="宋体" w:eastAsia="宋体" w:cs="宋体"/>
          <w:color w:val="auto"/>
          <w:sz w:val="24"/>
          <w:szCs w:val="24"/>
          <w:highlight w:val="none"/>
          <w:u w:val="single"/>
          <w:lang w:val="en-US" w:eastAsia="zh-CN"/>
        </w:rPr>
        <w:t xml:space="preserve"> 壹佰捌拾壹万元整（1810000.00元）</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lang w:val="en-US" w:eastAsia="zh-CN"/>
        </w:rPr>
        <w:t>综合单价：人民币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，具体单价见附件。</w:t>
      </w:r>
    </w:p>
    <w:p w14:paraId="1DED24AE">
      <w:pPr>
        <w:adjustRightInd w:val="0"/>
        <w:snapToGrid w:val="0"/>
        <w:spacing w:line="360" w:lineRule="auto"/>
        <w:ind w:firstLine="480" w:firstLineChars="200"/>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2、合同单价固定一次包死，不受市场价变化或实际工作量变化的影响。包括乙方履行合同全过程产生的所有成本和费用。</w:t>
      </w:r>
    </w:p>
    <w:p w14:paraId="4832A12C">
      <w:pPr>
        <w:keepNext w:val="0"/>
        <w:keepLines w:val="0"/>
        <w:pageBreakBefore w:val="0"/>
        <w:kinsoku/>
        <w:wordWrap/>
        <w:overflowPunct/>
        <w:topLinePunct w:val="0"/>
        <w:bidi w:val="0"/>
        <w:spacing w:line="500" w:lineRule="exact"/>
        <w:jc w:val="left"/>
        <w:textAlignment w:val="auto"/>
        <w:outlineLvl w:val="0"/>
        <w:rPr>
          <w:rFonts w:ascii="宋体" w:hAnsi="宋体" w:cs="宋体"/>
          <w:b/>
          <w:color w:val="auto"/>
          <w:sz w:val="24"/>
          <w:szCs w:val="24"/>
          <w:highlight w:val="none"/>
        </w:rPr>
      </w:pPr>
      <w:bookmarkStart w:id="28" w:name="_Toc23606"/>
      <w:bookmarkStart w:id="29" w:name="_Toc29018"/>
      <w:r>
        <w:rPr>
          <w:rFonts w:hint="eastAsia" w:ascii="宋体" w:hAnsi="宋体" w:cs="宋体"/>
          <w:b/>
          <w:color w:val="auto"/>
          <w:sz w:val="24"/>
          <w:szCs w:val="24"/>
          <w:highlight w:val="none"/>
        </w:rPr>
        <w:t>三、款项结算</w:t>
      </w:r>
      <w:bookmarkEnd w:id="28"/>
      <w:bookmarkEnd w:id="29"/>
    </w:p>
    <w:p w14:paraId="19314315">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rPr>
        <w:t>合同签订后按月</w:t>
      </w:r>
      <w:r>
        <w:rPr>
          <w:rFonts w:hint="eastAsia" w:ascii="宋体" w:hAnsi="宋体" w:cs="宋体"/>
          <w:color w:val="auto"/>
          <w:sz w:val="24"/>
          <w:szCs w:val="24"/>
          <w:highlight w:val="none"/>
          <w:lang w:val="en-US" w:eastAsia="zh-CN"/>
        </w:rPr>
        <w:t>据实</w:t>
      </w:r>
      <w:r>
        <w:rPr>
          <w:rFonts w:hint="eastAsia" w:ascii="宋体" w:hAnsi="宋体" w:cs="宋体"/>
          <w:color w:val="auto"/>
          <w:sz w:val="24"/>
          <w:szCs w:val="24"/>
          <w:highlight w:val="none"/>
        </w:rPr>
        <w:t>结算货款</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实际结算金额=实际销售数量×中标成交单价-违约扣款，付款前乙方需开具真实有效足额</w:t>
      </w:r>
      <w:r>
        <w:rPr>
          <w:rFonts w:hint="eastAsia" w:ascii="宋体" w:hAnsi="宋体" w:eastAsia="宋体" w:cs="宋体"/>
          <w:color w:val="auto"/>
          <w:sz w:val="24"/>
          <w:szCs w:val="24"/>
          <w:highlight w:val="none"/>
          <w:lang w:val="en-US" w:eastAsia="zh-CN"/>
        </w:rPr>
        <w:t>增值税专用</w:t>
      </w:r>
      <w:r>
        <w:rPr>
          <w:rFonts w:hint="eastAsia" w:ascii="宋体" w:hAnsi="宋体" w:cs="宋体"/>
          <w:color w:val="auto"/>
          <w:sz w:val="24"/>
          <w:szCs w:val="24"/>
          <w:highlight w:val="none"/>
        </w:rPr>
        <w:t>发票，如未及时开具发票，</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付款期限顺延且不承担任何责任。达到付款条件起10日内，支付上月费用的100.00%。</w:t>
      </w:r>
    </w:p>
    <w:p w14:paraId="360AB2F1">
      <w:pPr>
        <w:keepNext w:val="0"/>
        <w:keepLines w:val="0"/>
        <w:pageBreakBefore w:val="0"/>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rPr>
        <w:t>支付方式：</w:t>
      </w:r>
      <w:r>
        <w:rPr>
          <w:rFonts w:hint="eastAsia" w:ascii="宋体" w:hAnsi="宋体" w:eastAsia="宋体" w:cs="宋体"/>
          <w:color w:val="auto"/>
          <w:sz w:val="24"/>
          <w:szCs w:val="24"/>
          <w:highlight w:val="none"/>
          <w:lang w:val="en-US" w:eastAsia="zh-CN"/>
        </w:rPr>
        <w:t>分批付款，</w:t>
      </w:r>
      <w:r>
        <w:rPr>
          <w:rFonts w:hint="eastAsia" w:ascii="宋体" w:hAnsi="宋体" w:cs="宋体"/>
          <w:color w:val="auto"/>
          <w:sz w:val="24"/>
          <w:szCs w:val="24"/>
          <w:highlight w:val="none"/>
        </w:rPr>
        <w:t>银行转账。</w:t>
      </w:r>
    </w:p>
    <w:p w14:paraId="777574FB">
      <w:pPr>
        <w:keepNext w:val="0"/>
        <w:keepLines w:val="0"/>
        <w:pageBreakBefore w:val="0"/>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cs="宋体"/>
          <w:color w:val="auto"/>
          <w:sz w:val="24"/>
          <w:szCs w:val="24"/>
          <w:highlight w:val="none"/>
        </w:rPr>
        <w:t>结算方式：验收合格后，</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持中标通知书、供货合同、</w:t>
      </w:r>
      <w:r>
        <w:rPr>
          <w:rFonts w:hint="eastAsia" w:ascii="宋体" w:hAnsi="宋体" w:eastAsia="宋体" w:cs="宋体"/>
          <w:color w:val="auto"/>
          <w:sz w:val="24"/>
          <w:szCs w:val="24"/>
          <w:highlight w:val="none"/>
          <w:lang w:val="en-US" w:eastAsia="zh-CN"/>
        </w:rPr>
        <w:t>增值税专用</w:t>
      </w:r>
      <w:r>
        <w:rPr>
          <w:rFonts w:hint="eastAsia" w:ascii="宋体" w:hAnsi="宋体" w:cs="宋体"/>
          <w:color w:val="auto"/>
          <w:sz w:val="24"/>
          <w:szCs w:val="24"/>
          <w:highlight w:val="none"/>
        </w:rPr>
        <w:t>发票、政府采购项目验收单，与</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进行结算。</w:t>
      </w:r>
    </w:p>
    <w:p w14:paraId="7AEE8871">
      <w:pPr>
        <w:keepNext w:val="0"/>
        <w:keepLines w:val="0"/>
        <w:pageBreakBefore w:val="0"/>
        <w:kinsoku/>
        <w:wordWrap/>
        <w:overflowPunct/>
        <w:topLinePunct w:val="0"/>
        <w:bidi w:val="0"/>
        <w:spacing w:line="500" w:lineRule="exact"/>
        <w:jc w:val="left"/>
        <w:textAlignment w:val="auto"/>
        <w:outlineLvl w:val="0"/>
        <w:rPr>
          <w:rFonts w:hint="eastAsia" w:ascii="宋体" w:hAnsi="宋体" w:cs="宋体"/>
          <w:b/>
          <w:color w:val="auto"/>
          <w:sz w:val="24"/>
          <w:szCs w:val="24"/>
          <w:highlight w:val="none"/>
        </w:rPr>
      </w:pPr>
      <w:bookmarkStart w:id="30" w:name="_Toc6876"/>
      <w:bookmarkStart w:id="31" w:name="_Toc22074"/>
      <w:r>
        <w:rPr>
          <w:rFonts w:hint="eastAsia" w:ascii="宋体" w:hAnsi="宋体" w:cs="宋体"/>
          <w:b/>
          <w:color w:val="auto"/>
          <w:sz w:val="24"/>
          <w:szCs w:val="24"/>
          <w:highlight w:val="none"/>
        </w:rPr>
        <w:t>四、服务要求</w:t>
      </w:r>
      <w:bookmarkEnd w:id="30"/>
      <w:bookmarkEnd w:id="31"/>
    </w:p>
    <w:p w14:paraId="691CADC3">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bookmarkStart w:id="32" w:name="_Toc21564"/>
      <w:bookmarkStart w:id="33" w:name="_Toc3482"/>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、本项目原则上由</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根据相关品种货物的现场存量自行组织供货。如是属于</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下达送货任务的，相关的</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应在接到</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的送（交）货通知后</w:t>
      </w: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rPr>
        <w:t>日内将</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要求的货物按质、按样、足额交付至指定的地点。</w:t>
      </w:r>
    </w:p>
    <w:p w14:paraId="3ECD312F">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、服从</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属下工作人员的指挥，在货物交付时，必须按照要求并配合</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做好质量验收和货物进场登记工作。</w:t>
      </w:r>
    </w:p>
    <w:p w14:paraId="14BE1478">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、在本项目执行过程中，</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可根据业务需要，要求</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提供其它投标时未进行报价的产品，相关产品的供货价可在不违反国家相关法律、法规的前提下进行商议。</w:t>
      </w:r>
    </w:p>
    <w:p w14:paraId="21777FBA">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、本项目所有品种（规格）的货物交货时均应存放在</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指定的场地（存放场地由</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免费向各</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提供）。</w:t>
      </w:r>
    </w:p>
    <w:p w14:paraId="450263B8">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应因应场地的实际情况，将所有相关品种、规格的货物进行分类存放，做到货物品种齐全、名称标识清晰，便于选择和区分。</w:t>
      </w:r>
    </w:p>
    <w:p w14:paraId="0DA37682">
      <w:pPr>
        <w:keepNext w:val="0"/>
        <w:keepLines w:val="0"/>
        <w:pageBreakBefore w:val="0"/>
        <w:kinsoku/>
        <w:wordWrap/>
        <w:overflowPunct/>
        <w:topLinePunct w:val="0"/>
        <w:bidi w:val="0"/>
        <w:spacing w:line="500" w:lineRule="exact"/>
        <w:jc w:val="left"/>
        <w:textAlignment w:val="auto"/>
        <w:rPr>
          <w:rFonts w:hint="default" w:ascii="宋体" w:hAnsi="宋体" w:eastAsia="宋体" w:cs="宋体"/>
          <w:strike/>
          <w:dstrike w:val="0"/>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五</w:t>
      </w:r>
      <w:r>
        <w:rPr>
          <w:rFonts w:hint="eastAsia" w:ascii="宋体" w:hAnsi="宋体" w:cs="宋体"/>
          <w:b/>
          <w:color w:val="auto"/>
          <w:sz w:val="24"/>
          <w:szCs w:val="24"/>
          <w:highlight w:val="none"/>
        </w:rPr>
        <w:t>、</w:t>
      </w:r>
      <w:bookmarkStart w:id="34" w:name="_Toc11267"/>
      <w:bookmarkStart w:id="35" w:name="_Toc3880"/>
      <w:bookmarkStart w:id="36" w:name="_Toc7453"/>
      <w:bookmarkStart w:id="37" w:name="_Toc9296"/>
      <w:r>
        <w:rPr>
          <w:rFonts w:hint="eastAsia" w:ascii="宋体" w:hAnsi="宋体" w:cs="宋体"/>
          <w:b/>
          <w:color w:val="auto"/>
          <w:sz w:val="24"/>
          <w:szCs w:val="24"/>
          <w:highlight w:val="none"/>
        </w:rPr>
        <w:t>质量保证</w:t>
      </w:r>
      <w:bookmarkEnd w:id="34"/>
      <w:bookmarkEnd w:id="35"/>
      <w:bookmarkEnd w:id="36"/>
      <w:bookmarkEnd w:id="37"/>
    </w:p>
    <w:p w14:paraId="0CF3006E">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1、所有产品必须保证质量可靠、进货渠道正规，符合国家相关标准，并满足招标文件要求。所有产品是全新、完整、未使用过的合格产品，由产品质量引发的家属投诉、纠纷、诉讼等由乙方负责。</w:t>
      </w:r>
    </w:p>
    <w:p w14:paraId="7B481C4A">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rPr>
        <w:t>成交</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必须根据</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的业务销售需求保证供货量。</w:t>
      </w:r>
    </w:p>
    <w:p w14:paraId="33ACA7BC">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保证所供货物在装卸、运输和仓储过程中有足够的包装保护，防止货物受潮、腐烂、遭受冲撞及其他不可预见的损坏。</w:t>
      </w:r>
    </w:p>
    <w:p w14:paraId="45A744FD">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所供货物，若发生侵权而产生的一切后果，由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负责。</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保留索赔权力。</w:t>
      </w:r>
    </w:p>
    <w:p w14:paraId="7C1EB3D7">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cs="宋体"/>
          <w:color w:val="auto"/>
          <w:sz w:val="24"/>
          <w:szCs w:val="24"/>
          <w:highlight w:val="none"/>
        </w:rPr>
        <w:t>如果</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的产品存在质量问题，</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可暂停该产品</w:t>
      </w:r>
      <w:r>
        <w:rPr>
          <w:rFonts w:hint="eastAsia" w:ascii="宋体" w:hAnsi="宋体" w:eastAsia="宋体" w:cs="宋体"/>
          <w:color w:val="auto"/>
          <w:sz w:val="24"/>
          <w:szCs w:val="24"/>
          <w:highlight w:val="none"/>
          <w:lang w:eastAsia="zh-CN"/>
        </w:rPr>
        <w:t>的采购</w:t>
      </w:r>
      <w:r>
        <w:rPr>
          <w:rFonts w:hint="eastAsia" w:ascii="宋体" w:hAnsi="宋体" w:cs="宋体"/>
          <w:color w:val="auto"/>
          <w:sz w:val="24"/>
          <w:szCs w:val="24"/>
          <w:highlight w:val="none"/>
        </w:rPr>
        <w:t>，要求</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及时整改。如果整改3次仍不能满足质量要求，则</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有权停止该产品</w:t>
      </w:r>
      <w:r>
        <w:rPr>
          <w:rFonts w:hint="eastAsia" w:ascii="宋体" w:hAnsi="宋体" w:eastAsia="宋体" w:cs="宋体"/>
          <w:color w:val="auto"/>
          <w:sz w:val="24"/>
          <w:szCs w:val="24"/>
          <w:highlight w:val="none"/>
          <w:lang w:eastAsia="zh-CN"/>
        </w:rPr>
        <w:t>的采购</w:t>
      </w:r>
      <w:r>
        <w:rPr>
          <w:rFonts w:hint="eastAsia" w:ascii="宋体" w:hAnsi="宋体" w:cs="宋体"/>
          <w:color w:val="auto"/>
          <w:sz w:val="24"/>
          <w:szCs w:val="24"/>
          <w:highlight w:val="none"/>
        </w:rPr>
        <w:t>。如果</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的产品滞销，连续3个月销售记录为零，则</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有权停止该产品</w:t>
      </w:r>
      <w:r>
        <w:rPr>
          <w:rFonts w:hint="eastAsia" w:ascii="宋体" w:hAnsi="宋体" w:eastAsia="宋体" w:cs="宋体"/>
          <w:color w:val="auto"/>
          <w:sz w:val="24"/>
          <w:szCs w:val="24"/>
          <w:highlight w:val="none"/>
          <w:lang w:eastAsia="zh-CN"/>
        </w:rPr>
        <w:t>的采购</w:t>
      </w:r>
      <w:r>
        <w:rPr>
          <w:rFonts w:hint="eastAsia" w:ascii="宋体" w:hAnsi="宋体" w:cs="宋体"/>
          <w:color w:val="auto"/>
          <w:sz w:val="24"/>
          <w:szCs w:val="24"/>
          <w:highlight w:val="none"/>
        </w:rPr>
        <w:t>。</w:t>
      </w:r>
    </w:p>
    <w:p w14:paraId="07AA4120">
      <w:pPr>
        <w:keepNext w:val="0"/>
        <w:keepLines w:val="0"/>
        <w:pageBreakBefore w:val="0"/>
        <w:kinsoku/>
        <w:wordWrap/>
        <w:overflowPunct/>
        <w:topLinePunct w:val="0"/>
        <w:bidi w:val="0"/>
        <w:spacing w:line="500" w:lineRule="exact"/>
        <w:jc w:val="left"/>
        <w:textAlignment w:val="auto"/>
        <w:outlineLvl w:val="0"/>
        <w:rPr>
          <w:rFonts w:ascii="宋体" w:hAnsi="宋体" w:cs="宋体"/>
          <w:b/>
          <w:color w:val="auto"/>
          <w:sz w:val="24"/>
          <w:szCs w:val="24"/>
          <w:highlight w:val="none"/>
        </w:rPr>
      </w:pPr>
      <w:r>
        <w:rPr>
          <w:rFonts w:hint="eastAsia" w:ascii="宋体" w:hAnsi="宋体" w:eastAsia="宋体" w:cs="宋体"/>
          <w:b/>
          <w:color w:val="auto"/>
          <w:sz w:val="24"/>
          <w:szCs w:val="24"/>
          <w:highlight w:val="none"/>
          <w:lang w:val="en-US" w:eastAsia="zh-CN"/>
        </w:rPr>
        <w:t>六、</w:t>
      </w:r>
      <w:r>
        <w:rPr>
          <w:rFonts w:hint="eastAsia" w:ascii="宋体" w:hAnsi="宋体" w:cs="宋体"/>
          <w:b/>
          <w:color w:val="auto"/>
          <w:sz w:val="24"/>
          <w:szCs w:val="24"/>
          <w:highlight w:val="none"/>
        </w:rPr>
        <w:t>运输</w:t>
      </w:r>
      <w:bookmarkEnd w:id="32"/>
      <w:bookmarkEnd w:id="33"/>
    </w:p>
    <w:p w14:paraId="674D3E8C">
      <w:pPr>
        <w:keepNext w:val="0"/>
        <w:keepLines w:val="0"/>
        <w:pageBreakBefore w:val="0"/>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rPr>
        <w:t>运输由</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负责，运杂费已包含在合同总价内，包括从货物供应地点运送至交货地点所含的运输费、装卸费、仓储费、安装费、保险费等。</w:t>
      </w:r>
    </w:p>
    <w:p w14:paraId="43B7DBE1">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rPr>
        <w:t>运输方式由</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自行选择，但必须保证按期交货。</w:t>
      </w:r>
    </w:p>
    <w:p w14:paraId="5C78A68E">
      <w:pPr>
        <w:pStyle w:val="2"/>
        <w:ind w:firstLine="480" w:firstLineChars="200"/>
        <w:rPr>
          <w:rFonts w:hint="eastAsia" w:eastAsia="宋体"/>
          <w:color w:val="auto"/>
          <w:lang w:eastAsia="zh-CN"/>
        </w:rPr>
      </w:pPr>
      <w:r>
        <w:rPr>
          <w:rFonts w:hint="eastAsia" w:ascii="宋体" w:hAnsi="宋体" w:eastAsia="宋体" w:cs="宋体"/>
          <w:color w:val="auto"/>
          <w:sz w:val="24"/>
          <w:szCs w:val="24"/>
          <w:highlight w:val="none"/>
          <w:lang w:val="en-US" w:eastAsia="zh-CN"/>
        </w:rPr>
        <w:t>3、运输过程中发生的一切安全事故、货物毁损灭失风险及由此产生的全部责任和费用均由乙方承担；货物经甲方验收合格后，风险转移至甲方。</w:t>
      </w:r>
    </w:p>
    <w:p w14:paraId="73033F95">
      <w:pPr>
        <w:keepNext w:val="0"/>
        <w:keepLines w:val="0"/>
        <w:pageBreakBefore w:val="0"/>
        <w:kinsoku/>
        <w:wordWrap/>
        <w:overflowPunct/>
        <w:topLinePunct w:val="0"/>
        <w:bidi w:val="0"/>
        <w:spacing w:line="500" w:lineRule="exact"/>
        <w:jc w:val="left"/>
        <w:textAlignment w:val="auto"/>
        <w:outlineLvl w:val="0"/>
        <w:rPr>
          <w:rFonts w:ascii="宋体" w:hAnsi="宋体" w:cs="宋体"/>
          <w:b/>
          <w:color w:val="auto"/>
          <w:sz w:val="24"/>
          <w:szCs w:val="24"/>
          <w:highlight w:val="none"/>
        </w:rPr>
      </w:pPr>
      <w:bookmarkStart w:id="38" w:name="_Toc32583"/>
      <w:bookmarkStart w:id="39" w:name="_Toc454"/>
      <w:r>
        <w:rPr>
          <w:rFonts w:hint="eastAsia" w:ascii="宋体" w:hAnsi="宋体" w:eastAsia="宋体" w:cs="宋体"/>
          <w:b/>
          <w:color w:val="auto"/>
          <w:sz w:val="24"/>
          <w:szCs w:val="24"/>
          <w:highlight w:val="none"/>
          <w:lang w:val="en-US" w:eastAsia="zh-CN"/>
        </w:rPr>
        <w:t>七</w:t>
      </w:r>
      <w:r>
        <w:rPr>
          <w:rFonts w:hint="eastAsia" w:ascii="宋体" w:hAnsi="宋体" w:cs="宋体"/>
          <w:b/>
          <w:color w:val="auto"/>
          <w:sz w:val="24"/>
          <w:szCs w:val="24"/>
          <w:highlight w:val="none"/>
        </w:rPr>
        <w:t>、验收</w:t>
      </w:r>
      <w:bookmarkEnd w:id="38"/>
      <w:bookmarkEnd w:id="39"/>
    </w:p>
    <w:p w14:paraId="0DB092A0">
      <w:pPr>
        <w:keepNext w:val="0"/>
        <w:keepLines w:val="0"/>
        <w:pageBreakBefore w:val="0"/>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rPr>
        <w:t>货物到达</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指定地点后，</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根据合同要求，进行验收，确认产地、规格和数量。必要时委托具有相关资质的第三方检测机构或邀请行业内专家对货物外观质量等进行抽样检验，检验费用由</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承担。</w:t>
      </w:r>
    </w:p>
    <w:p w14:paraId="19EBD310">
      <w:pPr>
        <w:keepNext w:val="0"/>
        <w:keepLines w:val="0"/>
        <w:pageBreakBefore w:val="0"/>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rPr>
        <w:t>验收按国家有关的规定、规范结合本项目的各项要求进行。如在验收时发现所提供的货物有损坏和不符合本项目要求的，由参与验收的工作人员作出详尽的现场记录并由相关工作人员和</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经办人双方签署备案。</w:t>
      </w:r>
    </w:p>
    <w:p w14:paraId="58FF0DF9">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cs="宋体"/>
          <w:color w:val="auto"/>
          <w:sz w:val="24"/>
          <w:szCs w:val="24"/>
          <w:highlight w:val="none"/>
        </w:rPr>
        <w:t>对于不符合要求的货物，</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有权拒绝进场并要求</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予以更换，由此产生的有关费用由相关的</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承担。</w:t>
      </w:r>
    </w:p>
    <w:p w14:paraId="60E282F6">
      <w:pPr>
        <w:keepNext w:val="0"/>
        <w:keepLines w:val="0"/>
        <w:pageBreakBefore w:val="0"/>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cs="宋体"/>
          <w:color w:val="auto"/>
          <w:sz w:val="24"/>
          <w:szCs w:val="24"/>
          <w:highlight w:val="none"/>
        </w:rPr>
        <w:t>如发生货物不符合要求需要更换相关货物的情况，有关的</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应在24小时内完成换货工作，所更换的货物应是符合要求产品。如因更换不及时或更换的货物再次出质量问题从而给</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的管理服务工作带来不良影响的，</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有权依照本项目的有关规定对</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进行处理。</w:t>
      </w:r>
    </w:p>
    <w:p w14:paraId="369D804D">
      <w:pPr>
        <w:keepNext w:val="0"/>
        <w:keepLines w:val="0"/>
        <w:pageBreakBefore w:val="0"/>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cs="宋体"/>
          <w:color w:val="auto"/>
          <w:sz w:val="24"/>
          <w:szCs w:val="24"/>
          <w:highlight w:val="none"/>
        </w:rPr>
        <w:t>如因货物的质量、品种样式、用材、技术指标、工艺等问题发生争议的，由质量技术鉴定部门进行鉴定，如经鉴定货物符合要求的，鉴定费由</w:t>
      </w:r>
      <w:r>
        <w:rPr>
          <w:rFonts w:hint="eastAsia" w:ascii="宋体" w:hAnsi="宋体" w:eastAsia="宋体" w:cs="宋体"/>
          <w:color w:val="auto"/>
          <w:sz w:val="24"/>
          <w:szCs w:val="24"/>
          <w:highlight w:val="none"/>
          <w:lang w:eastAsia="zh-CN"/>
        </w:rPr>
        <w:t>甲方</w:t>
      </w:r>
      <w:r>
        <w:rPr>
          <w:rFonts w:hint="eastAsia" w:ascii="宋体" w:hAnsi="宋体" w:cs="宋体"/>
          <w:color w:val="auto"/>
          <w:sz w:val="24"/>
          <w:szCs w:val="24"/>
          <w:highlight w:val="none"/>
        </w:rPr>
        <w:t>承担；否则鉴定费由</w:t>
      </w:r>
      <w:r>
        <w:rPr>
          <w:rFonts w:hint="eastAsia" w:ascii="宋体" w:hAnsi="宋体" w:eastAsia="宋体" w:cs="宋体"/>
          <w:color w:val="auto"/>
          <w:sz w:val="24"/>
          <w:szCs w:val="24"/>
          <w:highlight w:val="none"/>
          <w:lang w:eastAsia="zh-CN"/>
        </w:rPr>
        <w:t>乙方</w:t>
      </w:r>
      <w:r>
        <w:rPr>
          <w:rFonts w:hint="eastAsia" w:ascii="宋体" w:hAnsi="宋体" w:cs="宋体"/>
          <w:color w:val="auto"/>
          <w:sz w:val="24"/>
          <w:szCs w:val="24"/>
          <w:highlight w:val="none"/>
        </w:rPr>
        <w:t>承担。</w:t>
      </w:r>
    </w:p>
    <w:p w14:paraId="42B6D668">
      <w:pPr>
        <w:keepNext w:val="0"/>
        <w:keepLines w:val="0"/>
        <w:pageBreakBefore w:val="0"/>
        <w:kinsoku/>
        <w:wordWrap/>
        <w:overflowPunct/>
        <w:topLinePunct w:val="0"/>
        <w:bidi w:val="0"/>
        <w:spacing w:line="500" w:lineRule="exact"/>
        <w:jc w:val="left"/>
        <w:textAlignment w:val="auto"/>
        <w:outlineLvl w:val="0"/>
        <w:rPr>
          <w:rFonts w:ascii="宋体" w:hAnsi="宋体" w:cs="宋体"/>
          <w:b/>
          <w:color w:val="auto"/>
          <w:sz w:val="24"/>
          <w:szCs w:val="24"/>
          <w:highlight w:val="none"/>
        </w:rPr>
      </w:pPr>
      <w:bookmarkStart w:id="40" w:name="_Toc6855"/>
      <w:bookmarkStart w:id="41" w:name="_Toc26897"/>
      <w:r>
        <w:rPr>
          <w:rFonts w:hint="eastAsia" w:ascii="宋体" w:hAnsi="宋体" w:eastAsia="宋体" w:cs="宋体"/>
          <w:b/>
          <w:color w:val="auto"/>
          <w:sz w:val="24"/>
          <w:szCs w:val="24"/>
          <w:highlight w:val="none"/>
          <w:lang w:val="en-US" w:eastAsia="zh-CN"/>
        </w:rPr>
        <w:t>八</w:t>
      </w:r>
      <w:r>
        <w:rPr>
          <w:rFonts w:hint="eastAsia" w:ascii="宋体" w:hAnsi="宋体" w:cs="宋体"/>
          <w:b/>
          <w:color w:val="auto"/>
          <w:sz w:val="24"/>
          <w:szCs w:val="24"/>
          <w:highlight w:val="none"/>
        </w:rPr>
        <w:t>、</w:t>
      </w:r>
      <w:bookmarkEnd w:id="40"/>
      <w:bookmarkEnd w:id="41"/>
      <w:bookmarkStart w:id="42" w:name="_Toc22774"/>
      <w:bookmarkStart w:id="43" w:name="_Toc25364"/>
      <w:r>
        <w:rPr>
          <w:rFonts w:hint="eastAsia" w:ascii="宋体" w:hAnsi="宋体" w:cs="宋体"/>
          <w:b/>
          <w:color w:val="auto"/>
          <w:sz w:val="24"/>
          <w:szCs w:val="24"/>
          <w:highlight w:val="none"/>
        </w:rPr>
        <w:t>违约责任</w:t>
      </w:r>
      <w:bookmarkEnd w:id="42"/>
      <w:bookmarkEnd w:id="43"/>
    </w:p>
    <w:p w14:paraId="3AE510F2">
      <w:pPr>
        <w:keepNext w:val="0"/>
        <w:keepLines w:val="0"/>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lang w:eastAsia="zh-CN"/>
        </w:rPr>
      </w:pPr>
      <w:bookmarkStart w:id="44" w:name="_Toc1130"/>
      <w:bookmarkStart w:id="45" w:name="_Toc10161"/>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1、</w:t>
      </w:r>
      <w:r>
        <w:rPr>
          <w:rFonts w:hint="eastAsia" w:ascii="宋体" w:hAnsi="宋体" w:eastAsia="宋体" w:cs="宋体"/>
          <w:color w:val="auto"/>
          <w:sz w:val="24"/>
          <w:szCs w:val="24"/>
          <w:highlight w:val="none"/>
          <w:lang w:eastAsia="zh-CN"/>
        </w:rPr>
        <w:t>乙方未按约定时间供货的，每延迟1小时，按该批次供货金额的5%向甲方支付违约金；延迟超过3小时的，甲方有权单方解除该批次供货约定，乙方须支付该批次预计供货金额30%的违约金。</w:t>
      </w:r>
    </w:p>
    <w:p w14:paraId="3ABEE5F6">
      <w:pPr>
        <w:keepNext w:val="0"/>
        <w:keepLines w:val="0"/>
        <w:pageBreakBefore w:val="0"/>
        <w:kinsoku/>
        <w:wordWrap/>
        <w:overflowPunct/>
        <w:topLinePunct w:val="0"/>
        <w:bidi w:val="0"/>
        <w:spacing w:line="5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针对甲方临时特殊需求，乙方未按双方协商时间供货的，每延迟30分钟按该批货物金额的3%支付违约金；延迟超过2小时的，甲方有权拒绝接收该批货物，乙方须赔偿甲方临时调货产生的差价及家属投诉处理费用。</w:t>
      </w:r>
    </w:p>
    <w:p w14:paraId="45A55985">
      <w:pPr>
        <w:keepNext w:val="0"/>
        <w:keepLines w:val="0"/>
        <w:pageBreakBefore w:val="0"/>
        <w:kinsoku/>
        <w:wordWrap/>
        <w:overflowPunct/>
        <w:topLinePunct w:val="0"/>
        <w:bidi w:val="0"/>
        <w:spacing w:line="5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验收不合格需补货的，乙方未在2小时内完成补货的，每延迟1小时按该批货物金额的5%支付违约金；延迟超过4小时的，甲方有权扣除该批货物对应货款的30%。</w:t>
      </w:r>
    </w:p>
    <w:p w14:paraId="10982A1C">
      <w:pPr>
        <w:keepNext w:val="0"/>
        <w:keepLines w:val="0"/>
        <w:pageBreakBefore w:val="0"/>
        <w:kinsoku/>
        <w:wordWrap/>
        <w:overflowPunct/>
        <w:topLinePunct w:val="0"/>
        <w:bidi w:val="0"/>
        <w:spacing w:line="5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乙方提供不合格花材的，除免费更换外，每出现1批次不合格产品，须按该批次货物金额的15%支付违约金；因质量问题引发家属索赔的，乙方须全额赔付；引发诉讼的，乙方须承担全部诉讼费、律师费及甲方名誉损失（每次诉讼最低赔偿5万元）；同一品类累计2次质量不合格的，甲方有权永久终止该品类合作，乙方须按该品类近1个月平均月销售额的3倍支付违约金。</w:t>
      </w:r>
    </w:p>
    <w:p w14:paraId="62C5EC11">
      <w:pPr>
        <w:keepNext w:val="0"/>
        <w:keepLines w:val="0"/>
        <w:pageBreakBefore w:val="0"/>
        <w:kinsoku/>
        <w:wordWrap/>
        <w:overflowPunct/>
        <w:topLinePunct w:val="0"/>
        <w:bidi w:val="0"/>
        <w:spacing w:line="5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乙方提供假冒伪劣或农药残留超标花材的，甲方有权单方解除本合同，乙方须支付本包预算金额20%的违约金，并赔偿甲方全部损失。</w:t>
      </w:r>
    </w:p>
    <w:p w14:paraId="7726CD55">
      <w:pPr>
        <w:keepNext w:val="0"/>
        <w:keepLines w:val="0"/>
        <w:pageBreakBefore w:val="0"/>
        <w:kinsoku/>
        <w:wordWrap/>
        <w:overflowPunct/>
        <w:topLinePunct w:val="0"/>
        <w:bidi w:val="0"/>
        <w:spacing w:line="5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乙方擅自将本项目分包或转让给第三方的，甲方有权单方解除合同，乙方须支付本包预算金额10%的违约金。</w:t>
      </w:r>
    </w:p>
    <w:p w14:paraId="23AF9953">
      <w:pPr>
        <w:keepNext w:val="0"/>
        <w:keepLines w:val="0"/>
        <w:pageBreakBefore w:val="0"/>
        <w:kinsoku/>
        <w:wordWrap/>
        <w:overflowPunct/>
        <w:topLinePunct w:val="0"/>
        <w:bidi w:val="0"/>
        <w:spacing w:line="500" w:lineRule="exact"/>
        <w:ind w:firstLine="480" w:firstLineChars="200"/>
        <w:textAlignment w:val="auto"/>
        <w:rPr>
          <w:rFonts w:hint="eastAsia" w:ascii="宋体" w:hAnsi="宋体" w:eastAsia="宋体" w:cs="宋体"/>
          <w:strike/>
          <w:dstrike w:val="0"/>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本合同约定的违约金，甲方有权从应付乙方的货款中直接扣除。</w:t>
      </w:r>
    </w:p>
    <w:p w14:paraId="11E19C94">
      <w:pPr>
        <w:pStyle w:val="5"/>
        <w:keepNext/>
        <w:keepLines/>
        <w:pageBreakBefore w:val="0"/>
        <w:widowControl w:val="0"/>
        <w:kinsoku/>
        <w:wordWrap/>
        <w:overflowPunct/>
        <w:topLinePunct w:val="0"/>
        <w:autoSpaceDE/>
        <w:autoSpaceDN/>
        <w:bidi w:val="0"/>
        <w:adjustRightInd/>
        <w:snapToGrid/>
        <w:spacing w:before="0" w:after="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九、争议解决</w:t>
      </w:r>
    </w:p>
    <w:p w14:paraId="5766A1FE">
      <w:pPr>
        <w:keepNext w:val="0"/>
        <w:keepLines w:val="0"/>
        <w:pageBreakBefore w:val="0"/>
        <w:kinsoku/>
        <w:wordWrap/>
        <w:overflowPunct/>
        <w:topLinePunct w:val="0"/>
        <w:bidi w:val="0"/>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关于合同未尽事宜发生纠纷，甲乙双方应协商解决，经协商无法解决的，甲乙双方均可向甲方所在地人民法院提起诉讼。</w:t>
      </w:r>
    </w:p>
    <w:p w14:paraId="32E77227">
      <w:pPr>
        <w:keepNext w:val="0"/>
        <w:keepLines w:val="0"/>
        <w:pageBreakBefore w:val="0"/>
        <w:kinsoku/>
        <w:wordWrap/>
        <w:overflowPunct/>
        <w:topLinePunct w:val="0"/>
        <w:bidi w:val="0"/>
        <w:spacing w:line="500" w:lineRule="exact"/>
        <w:jc w:val="left"/>
        <w:textAlignment w:val="auto"/>
        <w:outlineLvl w:val="0"/>
        <w:rPr>
          <w:rFonts w:ascii="宋体" w:hAnsi="宋体" w:cs="宋体"/>
          <w:b/>
          <w:color w:val="auto"/>
          <w:sz w:val="24"/>
          <w:szCs w:val="24"/>
          <w:highlight w:val="none"/>
        </w:rPr>
      </w:pPr>
      <w:r>
        <w:rPr>
          <w:rFonts w:hint="eastAsia" w:ascii="宋体" w:hAnsi="宋体" w:cs="宋体"/>
          <w:b/>
          <w:color w:val="auto"/>
          <w:sz w:val="24"/>
          <w:szCs w:val="24"/>
          <w:highlight w:val="none"/>
        </w:rPr>
        <w:t>十、合同份数</w:t>
      </w:r>
      <w:bookmarkEnd w:id="44"/>
      <w:bookmarkEnd w:id="45"/>
    </w:p>
    <w:p w14:paraId="5F6B57DD">
      <w:pPr>
        <w:keepNext w:val="0"/>
        <w:keepLines w:val="0"/>
        <w:pageBreakBefore w:val="0"/>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合同一式</w:t>
      </w:r>
      <w:r>
        <w:rPr>
          <w:rFonts w:hint="eastAsia" w:ascii="宋体" w:hAnsi="宋体" w:eastAsia="宋体" w:cs="宋体"/>
          <w:color w:val="auto"/>
          <w:sz w:val="24"/>
          <w:szCs w:val="24"/>
          <w:highlight w:val="none"/>
          <w:lang w:val="en-US" w:eastAsia="zh-CN"/>
        </w:rPr>
        <w:t>4</w:t>
      </w:r>
      <w:r>
        <w:rPr>
          <w:rFonts w:hint="eastAsia" w:ascii="宋体" w:hAnsi="宋体" w:cs="宋体"/>
          <w:color w:val="auto"/>
          <w:sz w:val="24"/>
          <w:szCs w:val="24"/>
          <w:highlight w:val="none"/>
        </w:rPr>
        <w:t>份，</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lang w:val="en-US" w:eastAsia="zh-CN"/>
        </w:rPr>
        <w:t>及</w:t>
      </w:r>
      <w:r>
        <w:rPr>
          <w:rFonts w:hint="eastAsia" w:ascii="宋体" w:hAnsi="宋体" w:cs="宋体"/>
          <w:color w:val="auto"/>
          <w:sz w:val="24"/>
          <w:szCs w:val="24"/>
          <w:highlight w:val="none"/>
          <w:lang w:val="en-US" w:eastAsia="zh-CN"/>
        </w:rPr>
        <w:t>成交单位</w:t>
      </w:r>
      <w:r>
        <w:rPr>
          <w:rFonts w:hint="eastAsia" w:ascii="宋体" w:hAnsi="宋体" w:eastAsia="宋体" w:cs="宋体"/>
          <w:color w:val="auto"/>
          <w:sz w:val="24"/>
          <w:szCs w:val="24"/>
          <w:highlight w:val="none"/>
          <w:lang w:val="en-US" w:eastAsia="zh-CN"/>
        </w:rPr>
        <w:t>各2</w:t>
      </w:r>
      <w:r>
        <w:rPr>
          <w:rFonts w:hint="eastAsia" w:ascii="宋体" w:hAnsi="宋体" w:cs="宋体"/>
          <w:color w:val="auto"/>
          <w:sz w:val="24"/>
          <w:szCs w:val="24"/>
          <w:highlight w:val="none"/>
        </w:rPr>
        <w:t>份。</w:t>
      </w:r>
    </w:p>
    <w:p w14:paraId="05F2018E">
      <w:pPr>
        <w:keepNext w:val="0"/>
        <w:keepLines w:val="0"/>
        <w:pageBreakBefore w:val="0"/>
        <w:kinsoku/>
        <w:wordWrap/>
        <w:overflowPunct/>
        <w:topLinePunct w:val="0"/>
        <w:bidi w:val="0"/>
        <w:spacing w:line="500" w:lineRule="exact"/>
        <w:textAlignment w:val="auto"/>
        <w:outlineLvl w:val="0"/>
        <w:rPr>
          <w:rFonts w:ascii="宋体" w:hAnsi="宋体" w:cs="宋体"/>
          <w:b/>
          <w:color w:val="auto"/>
          <w:sz w:val="24"/>
          <w:szCs w:val="24"/>
          <w:highlight w:val="none"/>
        </w:rPr>
      </w:pPr>
      <w:r>
        <w:rPr>
          <w:rFonts w:hint="eastAsia" w:ascii="宋体" w:hAnsi="宋体" w:cs="宋体"/>
          <w:b/>
          <w:color w:val="auto"/>
          <w:sz w:val="24"/>
          <w:szCs w:val="24"/>
          <w:highlight w:val="none"/>
        </w:rPr>
        <w:t>十</w:t>
      </w:r>
      <w:r>
        <w:rPr>
          <w:rFonts w:hint="eastAsia" w:ascii="宋体" w:hAnsi="宋体" w:eastAsia="宋体" w:cs="宋体"/>
          <w:b/>
          <w:color w:val="auto"/>
          <w:sz w:val="24"/>
          <w:szCs w:val="24"/>
          <w:highlight w:val="none"/>
          <w:lang w:val="en-US" w:eastAsia="zh-CN"/>
        </w:rPr>
        <w:t>一</w:t>
      </w:r>
      <w:r>
        <w:rPr>
          <w:rFonts w:hint="eastAsia" w:ascii="宋体" w:hAnsi="宋体" w:cs="宋体"/>
          <w:b/>
          <w:color w:val="auto"/>
          <w:sz w:val="24"/>
          <w:szCs w:val="24"/>
          <w:highlight w:val="none"/>
        </w:rPr>
        <w:t>、其他</w:t>
      </w:r>
    </w:p>
    <w:p w14:paraId="0EB1B169">
      <w:pPr>
        <w:pStyle w:val="12"/>
        <w:keepNext w:val="0"/>
        <w:keepLines w:val="0"/>
        <w:pageBreakBefore w:val="0"/>
        <w:kinsoku/>
        <w:wordWrap/>
        <w:overflowPunct/>
        <w:topLinePunct w:val="0"/>
        <w:bidi w:val="0"/>
        <w:spacing w:line="500" w:lineRule="exact"/>
        <w:ind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未尽事宜由双方在签订合同时具体明确。</w:t>
      </w:r>
    </w:p>
    <w:tbl>
      <w:tblPr>
        <w:tblStyle w:val="7"/>
        <w:tblpPr w:leftFromText="180" w:rightFromText="180" w:vertAnchor="text" w:horzAnchor="page" w:tblpX="1485" w:tblpY="314"/>
        <w:tblOverlap w:val="never"/>
        <w:tblW w:w="934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09"/>
        <w:gridCol w:w="4740"/>
      </w:tblGrid>
      <w:tr w14:paraId="26767A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8" w:hRule="atLeast"/>
        </w:trPr>
        <w:tc>
          <w:tcPr>
            <w:tcW w:w="4609" w:type="dxa"/>
            <w:shd w:val="clear" w:color="auto" w:fill="D7D7D7"/>
            <w:noWrap w:val="0"/>
            <w:vAlign w:val="top"/>
          </w:tcPr>
          <w:p w14:paraId="3ECB98AB">
            <w:pPr>
              <w:pStyle w:val="10"/>
              <w:tabs>
                <w:tab w:val="left" w:pos="490"/>
              </w:tabs>
              <w:spacing w:before="80"/>
              <w:ind w:left="10"/>
              <w:jc w:val="center"/>
              <w:rPr>
                <w:rFonts w:hint="eastAsia" w:ascii="宋体" w:hAnsi="宋体" w:cs="宋体"/>
                <w:b/>
                <w:color w:val="auto"/>
                <w:sz w:val="24"/>
                <w:highlight w:val="none"/>
              </w:rPr>
            </w:pPr>
            <w:r>
              <w:rPr>
                <w:rFonts w:hint="eastAsia" w:ascii="宋体" w:hAnsi="宋体" w:cs="宋体"/>
                <w:b/>
                <w:color w:val="auto"/>
                <w:sz w:val="24"/>
                <w:highlight w:val="none"/>
              </w:rPr>
              <w:t>甲</w:t>
            </w:r>
            <w:r>
              <w:rPr>
                <w:rFonts w:hint="eastAsia" w:ascii="宋体" w:hAnsi="宋体" w:cs="宋体"/>
                <w:b/>
                <w:color w:val="auto"/>
                <w:sz w:val="24"/>
                <w:highlight w:val="none"/>
              </w:rPr>
              <w:tab/>
            </w:r>
            <w:r>
              <w:rPr>
                <w:rFonts w:hint="eastAsia" w:ascii="宋体" w:hAnsi="宋体" w:cs="宋体"/>
                <w:b/>
                <w:color w:val="auto"/>
                <w:sz w:val="24"/>
                <w:highlight w:val="none"/>
              </w:rPr>
              <w:t>方</w:t>
            </w:r>
          </w:p>
        </w:tc>
        <w:tc>
          <w:tcPr>
            <w:tcW w:w="4740" w:type="dxa"/>
            <w:shd w:val="clear" w:color="auto" w:fill="D7D7D7"/>
            <w:noWrap w:val="0"/>
            <w:vAlign w:val="top"/>
          </w:tcPr>
          <w:p w14:paraId="4814D558">
            <w:pPr>
              <w:pStyle w:val="10"/>
              <w:tabs>
                <w:tab w:val="left" w:pos="490"/>
              </w:tabs>
              <w:spacing w:before="80"/>
              <w:ind w:left="10"/>
              <w:jc w:val="center"/>
              <w:rPr>
                <w:rFonts w:hint="eastAsia" w:ascii="宋体" w:hAnsi="宋体" w:cs="宋体"/>
                <w:b/>
                <w:color w:val="auto"/>
                <w:sz w:val="24"/>
                <w:highlight w:val="none"/>
              </w:rPr>
            </w:pPr>
            <w:r>
              <w:rPr>
                <w:rFonts w:hint="eastAsia" w:ascii="宋体" w:hAnsi="宋体" w:cs="宋体"/>
                <w:b/>
                <w:color w:val="auto"/>
                <w:sz w:val="24"/>
                <w:highlight w:val="none"/>
              </w:rPr>
              <w:t>乙</w:t>
            </w:r>
            <w:r>
              <w:rPr>
                <w:rFonts w:hint="eastAsia" w:ascii="宋体" w:hAnsi="宋体" w:cs="宋体"/>
                <w:b/>
                <w:color w:val="auto"/>
                <w:sz w:val="24"/>
                <w:highlight w:val="none"/>
              </w:rPr>
              <w:tab/>
            </w:r>
            <w:r>
              <w:rPr>
                <w:rFonts w:hint="eastAsia" w:ascii="宋体" w:hAnsi="宋体" w:cs="宋体"/>
                <w:b/>
                <w:color w:val="auto"/>
                <w:sz w:val="24"/>
                <w:highlight w:val="none"/>
              </w:rPr>
              <w:t>方</w:t>
            </w:r>
          </w:p>
        </w:tc>
      </w:tr>
      <w:tr w14:paraId="40E497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8" w:hRule="atLeast"/>
        </w:trPr>
        <w:tc>
          <w:tcPr>
            <w:tcW w:w="4609" w:type="dxa"/>
            <w:noWrap w:val="0"/>
            <w:vAlign w:val="top"/>
          </w:tcPr>
          <w:p w14:paraId="65180C2B">
            <w:pPr>
              <w:pStyle w:val="10"/>
              <w:spacing w:before="183"/>
              <w:ind w:left="106"/>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甲方</w:t>
            </w:r>
            <w:r>
              <w:rPr>
                <w:rFonts w:hint="eastAsia" w:ascii="宋体" w:hAnsi="宋体" w:cs="宋体"/>
                <w:color w:val="auto"/>
                <w:sz w:val="24"/>
                <w:highlight w:val="none"/>
              </w:rPr>
              <w:t>（公章）</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lang w:val="en-US" w:eastAsia="zh-CN"/>
              </w:rPr>
              <w:t>西安市殡仪馆</w:t>
            </w:r>
          </w:p>
        </w:tc>
        <w:tc>
          <w:tcPr>
            <w:tcW w:w="4740" w:type="dxa"/>
            <w:noWrap w:val="0"/>
            <w:vAlign w:val="top"/>
          </w:tcPr>
          <w:p w14:paraId="67111C49">
            <w:pPr>
              <w:pStyle w:val="10"/>
              <w:spacing w:before="183"/>
              <w:ind w:left="107"/>
              <w:rPr>
                <w:rFonts w:hint="eastAsia" w:ascii="宋体" w:hAnsi="宋体" w:eastAsia="宋体" w:cs="宋体"/>
                <w:color w:val="auto"/>
                <w:sz w:val="24"/>
                <w:highlight w:val="none"/>
                <w:lang w:eastAsia="zh-CN"/>
              </w:rPr>
            </w:pPr>
            <w:r>
              <w:rPr>
                <w:rFonts w:hint="eastAsia" w:ascii="宋体" w:hAnsi="宋体" w:cs="宋体"/>
                <w:color w:val="auto"/>
                <w:sz w:val="24"/>
                <w:highlight w:val="none"/>
              </w:rPr>
              <w:t>成交单位（公章）</w:t>
            </w:r>
            <w:r>
              <w:rPr>
                <w:rFonts w:hint="eastAsia" w:ascii="宋体" w:hAnsi="宋体" w:cs="宋体"/>
                <w:color w:val="auto"/>
                <w:sz w:val="24"/>
                <w:highlight w:val="none"/>
                <w:lang w:eastAsia="zh-CN"/>
              </w:rPr>
              <w:t>：</w:t>
            </w:r>
          </w:p>
        </w:tc>
      </w:tr>
      <w:tr w14:paraId="50D4B4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4609" w:type="dxa"/>
            <w:noWrap w:val="0"/>
            <w:vAlign w:val="top"/>
          </w:tcPr>
          <w:p w14:paraId="4367B6EC">
            <w:pPr>
              <w:pStyle w:val="10"/>
              <w:spacing w:before="80"/>
              <w:ind w:left="106"/>
              <w:rPr>
                <w:rFonts w:hint="eastAsia" w:ascii="宋体" w:hAnsi="宋体" w:cs="宋体"/>
                <w:color w:val="auto"/>
                <w:sz w:val="24"/>
                <w:highlight w:val="none"/>
              </w:rPr>
            </w:pPr>
            <w:r>
              <w:rPr>
                <w:rFonts w:hint="eastAsia" w:ascii="宋体" w:hAnsi="宋体" w:cs="宋体"/>
                <w:color w:val="auto"/>
                <w:sz w:val="24"/>
                <w:highlight w:val="none"/>
              </w:rPr>
              <w:t>地址：</w:t>
            </w:r>
          </w:p>
        </w:tc>
        <w:tc>
          <w:tcPr>
            <w:tcW w:w="4740" w:type="dxa"/>
            <w:noWrap w:val="0"/>
            <w:vAlign w:val="top"/>
          </w:tcPr>
          <w:p w14:paraId="10314220">
            <w:pPr>
              <w:pStyle w:val="10"/>
              <w:spacing w:before="80"/>
              <w:ind w:left="107"/>
              <w:rPr>
                <w:rFonts w:hint="eastAsia" w:ascii="宋体" w:hAnsi="宋体" w:cs="宋体"/>
                <w:color w:val="auto"/>
                <w:sz w:val="24"/>
                <w:highlight w:val="none"/>
              </w:rPr>
            </w:pPr>
            <w:r>
              <w:rPr>
                <w:rFonts w:hint="eastAsia" w:ascii="宋体" w:hAnsi="宋体" w:cs="宋体"/>
                <w:color w:val="auto"/>
                <w:sz w:val="24"/>
                <w:highlight w:val="none"/>
              </w:rPr>
              <w:t>地址：</w:t>
            </w:r>
          </w:p>
        </w:tc>
      </w:tr>
      <w:tr w14:paraId="0A0872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4609" w:type="dxa"/>
            <w:noWrap w:val="0"/>
            <w:vAlign w:val="top"/>
          </w:tcPr>
          <w:p w14:paraId="0D9E28C7">
            <w:pPr>
              <w:pStyle w:val="10"/>
              <w:spacing w:before="80"/>
              <w:ind w:left="106"/>
              <w:rPr>
                <w:rFonts w:hint="eastAsia" w:ascii="宋体" w:hAnsi="宋体" w:cs="宋体"/>
                <w:color w:val="auto"/>
                <w:sz w:val="24"/>
                <w:highlight w:val="none"/>
              </w:rPr>
            </w:pPr>
            <w:r>
              <w:rPr>
                <w:rFonts w:hint="eastAsia" w:ascii="宋体" w:hAnsi="宋体" w:cs="宋体"/>
                <w:color w:val="auto"/>
                <w:sz w:val="24"/>
                <w:highlight w:val="none"/>
              </w:rPr>
              <w:t>邮编：</w:t>
            </w:r>
          </w:p>
        </w:tc>
        <w:tc>
          <w:tcPr>
            <w:tcW w:w="4740" w:type="dxa"/>
            <w:noWrap w:val="0"/>
            <w:vAlign w:val="top"/>
          </w:tcPr>
          <w:p w14:paraId="1323E422">
            <w:pPr>
              <w:pStyle w:val="10"/>
              <w:spacing w:before="80"/>
              <w:ind w:left="107"/>
              <w:rPr>
                <w:rFonts w:hint="eastAsia" w:ascii="宋体" w:hAnsi="宋体" w:cs="宋体"/>
                <w:color w:val="auto"/>
                <w:sz w:val="24"/>
                <w:highlight w:val="none"/>
              </w:rPr>
            </w:pPr>
            <w:r>
              <w:rPr>
                <w:rFonts w:hint="eastAsia" w:ascii="宋体" w:hAnsi="宋体" w:cs="宋体"/>
                <w:color w:val="auto"/>
                <w:sz w:val="24"/>
                <w:highlight w:val="none"/>
              </w:rPr>
              <w:t>邮编：</w:t>
            </w:r>
          </w:p>
        </w:tc>
      </w:tr>
      <w:tr w14:paraId="2B25F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4609" w:type="dxa"/>
            <w:noWrap w:val="0"/>
            <w:vAlign w:val="top"/>
          </w:tcPr>
          <w:p w14:paraId="205B6B32">
            <w:pPr>
              <w:pStyle w:val="10"/>
              <w:spacing w:before="82"/>
              <w:ind w:left="106"/>
              <w:rPr>
                <w:rFonts w:hint="eastAsia" w:ascii="宋体" w:hAnsi="宋体" w:cs="宋体"/>
                <w:color w:val="auto"/>
                <w:sz w:val="24"/>
                <w:highlight w:val="none"/>
              </w:rPr>
            </w:pPr>
            <w:r>
              <w:rPr>
                <w:rFonts w:hint="eastAsia" w:ascii="宋体" w:hAnsi="宋体" w:cs="宋体"/>
                <w:color w:val="auto"/>
                <w:sz w:val="24"/>
                <w:highlight w:val="none"/>
              </w:rPr>
              <w:t>法定代表人：</w:t>
            </w:r>
          </w:p>
        </w:tc>
        <w:tc>
          <w:tcPr>
            <w:tcW w:w="4740" w:type="dxa"/>
            <w:noWrap w:val="0"/>
            <w:vAlign w:val="top"/>
          </w:tcPr>
          <w:p w14:paraId="130E5C9E">
            <w:pPr>
              <w:pStyle w:val="10"/>
              <w:spacing w:before="82"/>
              <w:ind w:left="107"/>
              <w:rPr>
                <w:rFonts w:hint="eastAsia" w:ascii="宋体" w:hAnsi="宋体" w:cs="宋体"/>
                <w:color w:val="auto"/>
                <w:sz w:val="24"/>
                <w:highlight w:val="none"/>
              </w:rPr>
            </w:pPr>
            <w:r>
              <w:rPr>
                <w:rFonts w:hint="eastAsia" w:ascii="宋体" w:hAnsi="宋体" w:cs="宋体"/>
                <w:color w:val="auto"/>
                <w:sz w:val="24"/>
                <w:highlight w:val="none"/>
              </w:rPr>
              <w:t>法定代表人：</w:t>
            </w:r>
          </w:p>
        </w:tc>
      </w:tr>
      <w:tr w14:paraId="054EDC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4609" w:type="dxa"/>
            <w:noWrap w:val="0"/>
            <w:vAlign w:val="top"/>
          </w:tcPr>
          <w:p w14:paraId="4248156F">
            <w:pPr>
              <w:pStyle w:val="10"/>
              <w:spacing w:before="81"/>
              <w:ind w:left="106"/>
              <w:rPr>
                <w:rFonts w:hint="eastAsia" w:ascii="宋体" w:hAnsi="宋体" w:cs="宋体"/>
                <w:color w:val="auto"/>
                <w:sz w:val="24"/>
                <w:highlight w:val="none"/>
              </w:rPr>
            </w:pPr>
            <w:r>
              <w:rPr>
                <w:rFonts w:hint="eastAsia" w:ascii="宋体" w:hAnsi="宋体" w:cs="宋体"/>
                <w:color w:val="auto"/>
                <w:sz w:val="24"/>
                <w:highlight w:val="none"/>
                <w:lang w:val="en-US" w:eastAsia="zh-CN"/>
              </w:rPr>
              <w:t>经办人</w:t>
            </w:r>
            <w:r>
              <w:rPr>
                <w:rFonts w:hint="eastAsia" w:ascii="宋体" w:hAnsi="宋体" w:cs="宋体"/>
                <w:color w:val="auto"/>
                <w:sz w:val="24"/>
                <w:highlight w:val="none"/>
              </w:rPr>
              <w:t>：（签字）</w:t>
            </w:r>
          </w:p>
        </w:tc>
        <w:tc>
          <w:tcPr>
            <w:tcW w:w="4740" w:type="dxa"/>
            <w:noWrap w:val="0"/>
            <w:vAlign w:val="top"/>
          </w:tcPr>
          <w:p w14:paraId="023B68A0">
            <w:pPr>
              <w:pStyle w:val="10"/>
              <w:spacing w:before="81"/>
              <w:ind w:left="107"/>
              <w:rPr>
                <w:rFonts w:hint="eastAsia" w:ascii="宋体" w:hAnsi="宋体" w:cs="宋体"/>
                <w:color w:val="auto"/>
                <w:sz w:val="24"/>
                <w:highlight w:val="none"/>
              </w:rPr>
            </w:pPr>
            <w:r>
              <w:rPr>
                <w:rFonts w:hint="eastAsia" w:ascii="宋体" w:hAnsi="宋体" w:cs="宋体"/>
                <w:color w:val="auto"/>
                <w:sz w:val="24"/>
                <w:highlight w:val="none"/>
                <w:lang w:val="en-US" w:eastAsia="zh-CN"/>
              </w:rPr>
              <w:t>经办人</w:t>
            </w:r>
            <w:r>
              <w:rPr>
                <w:rFonts w:hint="eastAsia" w:ascii="宋体" w:hAnsi="宋体" w:cs="宋体"/>
                <w:color w:val="auto"/>
                <w:sz w:val="24"/>
                <w:highlight w:val="none"/>
              </w:rPr>
              <w:t>：（签字）</w:t>
            </w:r>
          </w:p>
        </w:tc>
      </w:tr>
      <w:tr w14:paraId="032E5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4609" w:type="dxa"/>
            <w:noWrap w:val="0"/>
            <w:vAlign w:val="top"/>
          </w:tcPr>
          <w:p w14:paraId="5CC96204">
            <w:pPr>
              <w:pStyle w:val="10"/>
              <w:spacing w:before="81"/>
              <w:ind w:left="106"/>
              <w:rPr>
                <w:rFonts w:hint="eastAsia" w:ascii="宋体" w:hAnsi="宋体" w:cs="宋体"/>
                <w:color w:val="auto"/>
                <w:sz w:val="24"/>
                <w:highlight w:val="none"/>
              </w:rPr>
            </w:pPr>
            <w:r>
              <w:rPr>
                <w:rFonts w:hint="eastAsia" w:ascii="宋体" w:hAnsi="宋体" w:cs="宋体"/>
                <w:color w:val="auto"/>
                <w:sz w:val="24"/>
                <w:highlight w:val="none"/>
              </w:rPr>
              <w:t>电话：</w:t>
            </w:r>
          </w:p>
        </w:tc>
        <w:tc>
          <w:tcPr>
            <w:tcW w:w="4740" w:type="dxa"/>
            <w:noWrap w:val="0"/>
            <w:vAlign w:val="top"/>
          </w:tcPr>
          <w:p w14:paraId="32908255">
            <w:pPr>
              <w:pStyle w:val="10"/>
              <w:spacing w:before="81"/>
              <w:ind w:left="107"/>
              <w:rPr>
                <w:rFonts w:hint="eastAsia" w:ascii="宋体" w:hAnsi="宋体" w:cs="宋体"/>
                <w:color w:val="auto"/>
                <w:sz w:val="24"/>
                <w:highlight w:val="none"/>
              </w:rPr>
            </w:pPr>
            <w:r>
              <w:rPr>
                <w:rFonts w:hint="eastAsia" w:ascii="宋体" w:hAnsi="宋体" w:cs="宋体"/>
                <w:color w:val="auto"/>
                <w:sz w:val="24"/>
                <w:highlight w:val="none"/>
              </w:rPr>
              <w:t>电话：</w:t>
            </w:r>
          </w:p>
        </w:tc>
      </w:tr>
      <w:tr w14:paraId="57085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4609" w:type="dxa"/>
            <w:noWrap w:val="0"/>
            <w:vAlign w:val="top"/>
          </w:tcPr>
          <w:p w14:paraId="4E63793C">
            <w:pPr>
              <w:pStyle w:val="10"/>
              <w:spacing w:before="81"/>
              <w:ind w:left="106"/>
              <w:rPr>
                <w:rFonts w:hint="eastAsia" w:ascii="宋体" w:hAnsi="宋体" w:cs="宋体"/>
                <w:color w:val="auto"/>
                <w:sz w:val="24"/>
                <w:highlight w:val="none"/>
              </w:rPr>
            </w:pPr>
            <w:r>
              <w:rPr>
                <w:rFonts w:hint="eastAsia" w:ascii="宋体" w:hAnsi="宋体" w:cs="宋体"/>
                <w:color w:val="auto"/>
                <w:sz w:val="24"/>
                <w:highlight w:val="none"/>
              </w:rPr>
              <w:t>传真：</w:t>
            </w:r>
          </w:p>
        </w:tc>
        <w:tc>
          <w:tcPr>
            <w:tcW w:w="4740" w:type="dxa"/>
            <w:noWrap w:val="0"/>
            <w:vAlign w:val="top"/>
          </w:tcPr>
          <w:p w14:paraId="602747A2">
            <w:pPr>
              <w:pStyle w:val="10"/>
              <w:spacing w:before="81"/>
              <w:ind w:left="107"/>
              <w:rPr>
                <w:rFonts w:hint="eastAsia" w:ascii="宋体" w:hAnsi="宋体" w:cs="宋体"/>
                <w:color w:val="auto"/>
                <w:sz w:val="24"/>
                <w:highlight w:val="none"/>
              </w:rPr>
            </w:pPr>
            <w:r>
              <w:rPr>
                <w:rFonts w:hint="eastAsia" w:ascii="宋体" w:hAnsi="宋体" w:cs="宋体"/>
                <w:color w:val="auto"/>
                <w:sz w:val="24"/>
                <w:highlight w:val="none"/>
              </w:rPr>
              <w:t>传真：</w:t>
            </w:r>
          </w:p>
        </w:tc>
      </w:tr>
      <w:tr w14:paraId="0CE9A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4609" w:type="dxa"/>
            <w:noWrap w:val="0"/>
            <w:vAlign w:val="top"/>
          </w:tcPr>
          <w:p w14:paraId="2BDD788E">
            <w:pPr>
              <w:pStyle w:val="10"/>
              <w:rPr>
                <w:rFonts w:hint="eastAsia" w:ascii="宋体" w:hAnsi="宋体" w:cs="宋体"/>
                <w:color w:val="auto"/>
                <w:highlight w:val="none"/>
              </w:rPr>
            </w:pPr>
          </w:p>
        </w:tc>
        <w:tc>
          <w:tcPr>
            <w:tcW w:w="4740" w:type="dxa"/>
            <w:noWrap w:val="0"/>
            <w:vAlign w:val="top"/>
          </w:tcPr>
          <w:p w14:paraId="210D38E0">
            <w:pPr>
              <w:pStyle w:val="10"/>
              <w:spacing w:before="80"/>
              <w:ind w:left="107"/>
              <w:rPr>
                <w:rFonts w:hint="eastAsia" w:ascii="宋体" w:hAnsi="宋体" w:cs="宋体"/>
                <w:color w:val="auto"/>
                <w:sz w:val="24"/>
                <w:highlight w:val="none"/>
              </w:rPr>
            </w:pPr>
            <w:r>
              <w:rPr>
                <w:rFonts w:hint="eastAsia" w:ascii="宋体" w:hAnsi="宋体" w:cs="宋体"/>
                <w:color w:val="auto"/>
                <w:sz w:val="24"/>
                <w:highlight w:val="none"/>
              </w:rPr>
              <w:t>开户银行：</w:t>
            </w:r>
          </w:p>
        </w:tc>
      </w:tr>
      <w:tr w14:paraId="2E968E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4609" w:type="dxa"/>
            <w:noWrap w:val="0"/>
            <w:vAlign w:val="top"/>
          </w:tcPr>
          <w:p w14:paraId="5DD8E7BF">
            <w:pPr>
              <w:pStyle w:val="10"/>
              <w:rPr>
                <w:rFonts w:hint="eastAsia" w:ascii="宋体" w:hAnsi="宋体" w:cs="宋体"/>
                <w:color w:val="auto"/>
                <w:highlight w:val="none"/>
              </w:rPr>
            </w:pPr>
          </w:p>
        </w:tc>
        <w:tc>
          <w:tcPr>
            <w:tcW w:w="4740" w:type="dxa"/>
            <w:noWrap w:val="0"/>
            <w:vAlign w:val="top"/>
          </w:tcPr>
          <w:p w14:paraId="4B69D604">
            <w:pPr>
              <w:pStyle w:val="10"/>
              <w:spacing w:before="80"/>
              <w:ind w:left="107"/>
              <w:rPr>
                <w:rFonts w:hint="eastAsia" w:ascii="宋体" w:hAnsi="宋体" w:cs="宋体"/>
                <w:color w:val="auto"/>
                <w:sz w:val="24"/>
                <w:highlight w:val="none"/>
              </w:rPr>
            </w:pPr>
            <w:r>
              <w:rPr>
                <w:rFonts w:hint="eastAsia" w:ascii="宋体" w:hAnsi="宋体" w:cs="宋体"/>
                <w:color w:val="auto"/>
                <w:sz w:val="24"/>
                <w:highlight w:val="none"/>
              </w:rPr>
              <w:t>账号：</w:t>
            </w:r>
          </w:p>
        </w:tc>
      </w:tr>
      <w:tr w14:paraId="0B81AF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4609" w:type="dxa"/>
            <w:noWrap w:val="0"/>
            <w:vAlign w:val="top"/>
          </w:tcPr>
          <w:p w14:paraId="5E4695CE">
            <w:pPr>
              <w:pStyle w:val="10"/>
              <w:tabs>
                <w:tab w:val="left" w:pos="1186"/>
                <w:tab w:val="left" w:pos="1666"/>
                <w:tab w:val="left" w:pos="2146"/>
              </w:tabs>
              <w:spacing w:before="82"/>
              <w:ind w:left="106"/>
              <w:rPr>
                <w:rFonts w:hint="eastAsia" w:ascii="宋体" w:hAnsi="宋体" w:cs="宋体"/>
                <w:color w:val="auto"/>
                <w:sz w:val="24"/>
                <w:highlight w:val="none"/>
              </w:rPr>
            </w:pPr>
            <w:r>
              <w:rPr>
                <w:rFonts w:hint="eastAsia" w:ascii="宋体" w:hAnsi="宋体" w:cs="宋体"/>
                <w:color w:val="auto"/>
                <w:sz w:val="24"/>
                <w:highlight w:val="none"/>
              </w:rPr>
              <w:t>日期：</w:t>
            </w:r>
            <w:r>
              <w:rPr>
                <w:rFonts w:hint="eastAsia" w:ascii="宋体" w:hAnsi="宋体" w:cs="宋体"/>
                <w:color w:val="auto"/>
                <w:sz w:val="24"/>
                <w:highlight w:val="none"/>
              </w:rPr>
              <w:tab/>
            </w:r>
            <w:r>
              <w:rPr>
                <w:rFonts w:hint="eastAsia" w:ascii="宋体" w:hAnsi="宋体" w:cs="宋体"/>
                <w:color w:val="auto"/>
                <w:sz w:val="24"/>
                <w:highlight w:val="none"/>
              </w:rPr>
              <w:t>年</w:t>
            </w:r>
            <w:r>
              <w:rPr>
                <w:rFonts w:hint="eastAsia" w:ascii="宋体" w:hAnsi="宋体" w:cs="宋体"/>
                <w:color w:val="auto"/>
                <w:sz w:val="24"/>
                <w:highlight w:val="none"/>
              </w:rPr>
              <w:tab/>
            </w:r>
            <w:r>
              <w:rPr>
                <w:rFonts w:hint="eastAsia" w:ascii="宋体" w:hAnsi="宋体" w:cs="宋体"/>
                <w:color w:val="auto"/>
                <w:sz w:val="24"/>
                <w:highlight w:val="none"/>
              </w:rPr>
              <w:t>月</w:t>
            </w:r>
            <w:r>
              <w:rPr>
                <w:rFonts w:hint="eastAsia" w:ascii="宋体" w:hAnsi="宋体" w:cs="宋体"/>
                <w:color w:val="auto"/>
                <w:sz w:val="24"/>
                <w:highlight w:val="none"/>
              </w:rPr>
              <w:tab/>
            </w:r>
            <w:r>
              <w:rPr>
                <w:rFonts w:hint="eastAsia" w:ascii="宋体" w:hAnsi="宋体" w:cs="宋体"/>
                <w:color w:val="auto"/>
                <w:sz w:val="24"/>
                <w:highlight w:val="none"/>
              </w:rPr>
              <w:t>日</w:t>
            </w:r>
          </w:p>
        </w:tc>
        <w:tc>
          <w:tcPr>
            <w:tcW w:w="4740" w:type="dxa"/>
            <w:noWrap w:val="0"/>
            <w:vAlign w:val="top"/>
          </w:tcPr>
          <w:p w14:paraId="3C76FE16">
            <w:pPr>
              <w:pStyle w:val="10"/>
              <w:tabs>
                <w:tab w:val="left" w:pos="1187"/>
                <w:tab w:val="left" w:pos="1667"/>
                <w:tab w:val="left" w:pos="2147"/>
              </w:tabs>
              <w:spacing w:before="82"/>
              <w:ind w:left="107"/>
              <w:rPr>
                <w:rFonts w:hint="eastAsia" w:ascii="宋体" w:hAnsi="宋体" w:cs="宋体"/>
                <w:color w:val="auto"/>
                <w:sz w:val="24"/>
                <w:highlight w:val="none"/>
              </w:rPr>
            </w:pPr>
            <w:r>
              <w:rPr>
                <w:rFonts w:hint="eastAsia" w:ascii="宋体" w:hAnsi="宋体" w:cs="宋体"/>
                <w:color w:val="auto"/>
                <w:sz w:val="24"/>
                <w:highlight w:val="none"/>
              </w:rPr>
              <w:t>日期：</w:t>
            </w:r>
            <w:r>
              <w:rPr>
                <w:rFonts w:hint="eastAsia" w:ascii="宋体" w:hAnsi="宋体" w:cs="宋体"/>
                <w:color w:val="auto"/>
                <w:sz w:val="24"/>
                <w:highlight w:val="none"/>
              </w:rPr>
              <w:tab/>
            </w:r>
            <w:r>
              <w:rPr>
                <w:rFonts w:hint="eastAsia" w:ascii="宋体" w:hAnsi="宋体" w:cs="宋体"/>
                <w:color w:val="auto"/>
                <w:sz w:val="24"/>
                <w:highlight w:val="none"/>
              </w:rPr>
              <w:t>年</w:t>
            </w:r>
            <w:r>
              <w:rPr>
                <w:rFonts w:hint="eastAsia" w:ascii="宋体" w:hAnsi="宋体" w:cs="宋体"/>
                <w:color w:val="auto"/>
                <w:sz w:val="24"/>
                <w:highlight w:val="none"/>
              </w:rPr>
              <w:tab/>
            </w:r>
            <w:r>
              <w:rPr>
                <w:rFonts w:hint="eastAsia" w:ascii="宋体" w:hAnsi="宋体" w:cs="宋体"/>
                <w:color w:val="auto"/>
                <w:sz w:val="24"/>
                <w:highlight w:val="none"/>
              </w:rPr>
              <w:t>月</w:t>
            </w:r>
            <w:r>
              <w:rPr>
                <w:rFonts w:hint="eastAsia" w:ascii="宋体" w:hAnsi="宋体" w:cs="宋体"/>
                <w:color w:val="auto"/>
                <w:sz w:val="24"/>
                <w:highlight w:val="none"/>
              </w:rPr>
              <w:tab/>
            </w:r>
            <w:r>
              <w:rPr>
                <w:rFonts w:hint="eastAsia" w:ascii="宋体" w:hAnsi="宋体" w:cs="宋体"/>
                <w:color w:val="auto"/>
                <w:sz w:val="24"/>
                <w:highlight w:val="none"/>
              </w:rPr>
              <w:t>日</w:t>
            </w:r>
          </w:p>
        </w:tc>
      </w:tr>
    </w:tbl>
    <w:p w14:paraId="5FB90951">
      <w:pPr>
        <w:pStyle w:val="5"/>
        <w:rPr>
          <w:rStyle w:val="11"/>
          <w:rFonts w:hint="eastAsia" w:ascii="Times New Roman" w:hAnsi="Times New Roman" w:eastAsia="宋体" w:cs="Times New Roman"/>
          <w:b/>
          <w:color w:val="auto"/>
          <w:highlight w:val="none"/>
          <w:lang w:val="en-US" w:eastAsia="zh-CN"/>
        </w:rPr>
        <w:sectPr>
          <w:pgSz w:w="11906" w:h="16838"/>
          <w:pgMar w:top="1440" w:right="1800" w:bottom="1440" w:left="1800" w:header="851" w:footer="992" w:gutter="0"/>
          <w:cols w:space="425" w:num="1"/>
          <w:docGrid w:type="lines" w:linePitch="312" w:charSpace="0"/>
        </w:sectPr>
      </w:pPr>
    </w:p>
    <w:p w14:paraId="63F16AC1">
      <w:pPr>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附件：</w:t>
      </w:r>
    </w:p>
    <w:p w14:paraId="53024AD6">
      <w:pPr>
        <w:pStyle w:val="2"/>
        <w:rPr>
          <w:rFonts w:hint="eastAsia"/>
          <w:lang w:val="en-US" w:eastAsia="zh-CN"/>
        </w:rPr>
      </w:pPr>
    </w:p>
    <w:p w14:paraId="12200818">
      <w:bookmarkStart w:id="46" w:name="_GoBack"/>
      <w:bookmarkEnd w:id="46"/>
    </w:p>
    <w:sectPr>
      <w:pgSz w:w="16838" w:h="11906" w:orient="landscape"/>
      <w:pgMar w:top="1803" w:right="1440" w:bottom="1803" w:left="1440" w:header="851" w:footer="992" w:gutter="0"/>
      <w:cols w:space="0" w:num="1"/>
      <w:rtlGutter w:val="0"/>
      <w:docGrid w:type="line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CD4E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Times New Roman" w:hAnsi="Times New Roman" w:eastAsia="Times New Roman" w:cs="Times New Roman"/>
      <w:kern w:val="0"/>
      <w:sz w:val="24"/>
      <w:szCs w:val="24"/>
      <w:lang w:val="en-US" w:eastAsia="zh-CN" w:bidi="ar"/>
    </w:rPr>
  </w:style>
  <w:style w:type="paragraph" w:styleId="3">
    <w:name w:val="heading 1"/>
    <w:basedOn w:val="1"/>
    <w:next w:val="1"/>
    <w:link w:val="11"/>
    <w:qFormat/>
    <w:uiPriority w:val="0"/>
    <w:pPr>
      <w:keepNext/>
      <w:keepLines/>
      <w:spacing w:before="340" w:beforeLines="0" w:after="330" w:afterLines="0" w:line="600" w:lineRule="exact"/>
      <w:jc w:val="center"/>
      <w:outlineLvl w:val="0"/>
    </w:pPr>
    <w:rPr>
      <w:rFonts w:ascii="Times New Roman" w:hAnsi="Times New Roman" w:eastAsia="宋体" w:cs="Times New Roman"/>
      <w:b/>
      <w:bCs/>
      <w:kern w:val="44"/>
      <w:sz w:val="30"/>
      <w:szCs w:val="44"/>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toa heading"/>
    <w:basedOn w:val="1"/>
    <w:next w:val="1"/>
    <w:semiHidden/>
    <w:qFormat/>
    <w:uiPriority w:val="0"/>
    <w:pPr>
      <w:spacing w:before="120"/>
    </w:pPr>
    <w:rPr>
      <w:rFonts w:ascii="Arial" w:hAnsi="Arial" w:cs="Arial"/>
      <w:sz w:val="24"/>
      <w:szCs w:val="24"/>
    </w:rPr>
  </w:style>
  <w:style w:type="paragraph" w:styleId="6">
    <w:name w:val="Body Text"/>
    <w:basedOn w:val="1"/>
    <w:next w:val="1"/>
    <w:qFormat/>
    <w:uiPriority w:val="0"/>
    <w:pPr>
      <w:spacing w:after="120"/>
    </w:pPr>
    <w:rPr>
      <w:rFonts w:ascii="Tahoma" w:hAnsi="Tahoma"/>
    </w:rPr>
  </w:style>
  <w:style w:type="paragraph" w:customStyle="1" w:styleId="9">
    <w:name w:val="num"/>
    <w:basedOn w:val="1"/>
    <w:qFormat/>
    <w:uiPriority w:val="0"/>
    <w:pPr>
      <w:spacing w:before="158" w:beforeAutospacing="0"/>
      <w:ind w:firstLine="0"/>
      <w:jc w:val="left"/>
    </w:pPr>
    <w:rPr>
      <w:b/>
      <w:kern w:val="0"/>
      <w:lang w:val="en-US" w:eastAsia="zh-CN" w:bidi="ar"/>
    </w:rPr>
  </w:style>
  <w:style w:type="paragraph" w:customStyle="1" w:styleId="10">
    <w:name w:val="Table Paragraph"/>
    <w:basedOn w:val="1"/>
    <w:autoRedefine/>
    <w:qFormat/>
    <w:uiPriority w:val="0"/>
    <w:pPr>
      <w:keepNext w:val="0"/>
      <w:keepLines w:val="0"/>
      <w:widowControl w:val="0"/>
      <w:suppressLineNumbers w:val="0"/>
      <w:spacing w:before="0" w:beforeAutospacing="0" w:after="0" w:afterAutospacing="0"/>
      <w:ind w:left="0" w:right="0"/>
      <w:jc w:val="left"/>
    </w:pPr>
    <w:rPr>
      <w:rFonts w:hint="default" w:ascii="Calibri" w:hAnsi="Calibri" w:eastAsia="宋体" w:cs="Times New Roman"/>
      <w:kern w:val="0"/>
      <w:sz w:val="22"/>
      <w:szCs w:val="22"/>
      <w:lang w:val="en-US" w:eastAsia="zh-CN" w:bidi="ar"/>
    </w:rPr>
  </w:style>
  <w:style w:type="character" w:customStyle="1" w:styleId="11">
    <w:name w:val="标题 1 Char"/>
    <w:link w:val="3"/>
    <w:autoRedefine/>
    <w:qFormat/>
    <w:uiPriority w:val="0"/>
    <w:rPr>
      <w:rFonts w:ascii="Times New Roman" w:hAnsi="Times New Roman" w:eastAsia="宋体" w:cs="Times New Roman"/>
      <w:b/>
      <w:bCs/>
      <w:kern w:val="44"/>
      <w:sz w:val="30"/>
      <w:szCs w:val="44"/>
    </w:rPr>
  </w:style>
  <w:style w:type="paragraph" w:customStyle="1" w:styleId="12">
    <w:name w:val="正文（缩进 2 字符）"/>
    <w:basedOn w:val="1"/>
    <w:autoRedefine/>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2026-05-18T05:05:41Z</dcterms:created>
  <dc:creator>杨光</dc:creator>
  <cp:lastModifiedBy>亿诚</cp:lastModifiedBy>
  <dcterms:modified xsi:type="dcterms:W3CDTF">2026-05-18T05:06:27Z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eyJoZGlkIjoiM2NmYTlkNmQyOWE5NjNjOWY3Y2ZiMGFkYTc1MDQ4YzciLCJ1c2VySWQiOiIxNjk5OTM3MzU2In0=</vt:lpwstr>
  </property>
  <property fmtid="{D5CDD505-2E9C-101B-9397-08002B2CF9AE}" pid="4" name="ICV">
    <vt:lpwstr>182890EC0635419BA42B9A25B791A291_12</vt:lpwstr>
  </property>
</Properties>
</file>