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版本号：SXLX26-01-077Z(H).1B120260726001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重大节日走访慰问军休干部(二次)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SXLX26-01-077Z(H).1B1</w:t>
      </w:r>
      <w:r>
        <w:br/>
      </w:r>
      <w:r>
        <w:br/>
      </w:r>
      <w:r>
        <w:br/>
      </w:r>
    </w:p>
    <w:p>
      <w:pPr>
        <w:pStyle w:val="null3"/>
        <w:jc w:val="center"/>
        <w:outlineLvl w:val="2"/>
      </w:pPr>
      <w:r>
        <w:rPr>
          <w:rFonts w:ascii="仿宋_GB2312" w:hAnsi="仿宋_GB2312" w:cs="仿宋_GB2312" w:eastAsia="仿宋_GB2312"/>
          <w:sz w:val="28"/>
          <w:b/>
        </w:rPr>
        <w:t>西安市龙首村军队离休退休干部休养所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西安市龙首村军队离休退休干部休养所</w:t>
      </w:r>
      <w:r>
        <w:rPr>
          <w:rFonts w:ascii="仿宋_GB2312" w:hAnsi="仿宋_GB2312" w:cs="仿宋_GB2312" w:eastAsia="仿宋_GB2312"/>
        </w:rPr>
        <w:t>委托，拟对</w:t>
      </w:r>
      <w:r>
        <w:rPr>
          <w:rFonts w:ascii="仿宋_GB2312" w:hAnsi="仿宋_GB2312" w:cs="仿宋_GB2312" w:eastAsia="仿宋_GB2312"/>
        </w:rPr>
        <w:t>重大节日走访慰问军休干部(二次)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SXLX26-01-077Z(H).1B1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重大节日走访慰问军休干部(二次)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主要功能或目标：重大节日走访慰问军休干部 采购内容:慰问品；主要功能或目标:落实军休干部两项待遇，做好军休干部八一建军节、春节慰问工作。需满足的要求：1.产品种类丰富质量有保障、物美价廉。2.提供售后服务。3.送货及时、送货上门。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1、供应商资格要求：供应商须提供《食品经营许可证》或仅销售预包装食品的备案证明资料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西安市龙首村军队离休退休干部休养所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龙首北路东段261号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029-86222703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关于招标代理服务收费有关问题的通知》（发改办价格〔2003〕857号）文件规定的标准收取，不足捌仟圆按捌仟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西安市龙首村军队离休退休干部休养所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西安市龙首村军队离休退休干部休养所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西安市龙首村军队离休退休干部休养所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按采购文件规定的验收标准和方法进行验收。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联系电话：029-88489979-8105</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主要功能或目标：重大节日走访慰问军休干部 采购内容:慰问品；主要功能或目标:落实军休干部两项待遇，做好军休干部八一建军节、春节慰问工作。需满足的要求：1.产品种类丰富质量有保障、物美价廉。2.提供售后服务。3.送货及时、送货上门。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重大节日走访慰问军休干部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标的名称：重大节日走访慰问军休干部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52"/>
            </w:tblGrid>
            <w:tr>
              <w:tc>
                <w:tcPr>
                  <w:tcW w:type="dxa" w:w="2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60"/>
                    <w:ind w:right="105"/>
                    <w:jc w:val="both"/>
                  </w:pPr>
                  <w:r>
                    <w:rPr>
                      <w:rFonts w:ascii="仿宋_GB2312" w:hAnsi="仿宋_GB2312" w:cs="仿宋_GB2312" w:eastAsia="仿宋_GB2312"/>
                      <w:sz w:val="22"/>
                      <w:b/>
                      <w:color w:val="FF0000"/>
                    </w:rPr>
                    <w:t>采购需求及要求</w:t>
                  </w:r>
                </w:p>
                <w:p>
                  <w:pPr>
                    <w:pStyle w:val="null3"/>
                    <w:spacing w:before="60"/>
                    <w:ind w:right="105"/>
                    <w:jc w:val="both"/>
                  </w:pPr>
                  <w:r>
                    <w:rPr>
                      <w:rFonts w:ascii="仿宋_GB2312" w:hAnsi="仿宋_GB2312" w:cs="仿宋_GB2312" w:eastAsia="仿宋_GB2312"/>
                      <w:sz w:val="22"/>
                      <w:b/>
                      <w:color w:val="FF0000"/>
                    </w:rPr>
                    <w:t>1.1采购需求清单：</w:t>
                  </w:r>
                  <w:r>
                    <w:rPr>
                      <w:rFonts w:ascii="仿宋_GB2312" w:hAnsi="仿宋_GB2312" w:cs="仿宋_GB2312" w:eastAsia="仿宋_GB2312"/>
                      <w:sz w:val="22"/>
                      <w:color w:val="FF0000"/>
                    </w:rPr>
                    <w:t>重大节日走访慰问军休干部采购需求一览表。</w:t>
                  </w:r>
                </w:p>
                <w:tbl>
                  <w:tblPr>
                    <w:tblInd w:type="dxa" w:w="135"/>
                    <w:tblBorders>
                      <w:top w:val="none" w:color="000000" w:sz="4"/>
                      <w:left w:val="none" w:color="000000" w:sz="4"/>
                      <w:bottom w:val="none" w:color="000000" w:sz="4"/>
                      <w:right w:val="none" w:color="000000" w:sz="4"/>
                      <w:insideH w:val="none"/>
                      <w:insideV w:val="none"/>
                    </w:tblBorders>
                  </w:tblPr>
                  <w:tblGrid>
                    <w:gridCol w:w="198"/>
                    <w:gridCol w:w="470"/>
                    <w:gridCol w:w="326"/>
                    <w:gridCol w:w="205"/>
                    <w:gridCol w:w="183"/>
                    <w:gridCol w:w="249"/>
                    <w:gridCol w:w="190"/>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限价</w:t>
                        </w:r>
                      </w:p>
                      <w:p>
                        <w:pPr>
                          <w:pStyle w:val="null3"/>
                          <w:jc w:val="center"/>
                        </w:pPr>
                        <w:r>
                          <w:rPr>
                            <w:rFonts w:ascii="仿宋_GB2312" w:hAnsi="仿宋_GB2312" w:cs="仿宋_GB2312" w:eastAsia="仿宋_GB2312"/>
                            <w:sz w:val="22"/>
                            <w:b/>
                          </w:rPr>
                          <w:t>元</w:t>
                        </w:r>
                        <w:r>
                          <w:rPr>
                            <w:rFonts w:ascii="仿宋_GB2312" w:hAnsi="仿宋_GB2312" w:cs="仿宋_GB2312" w:eastAsia="仿宋_GB2312"/>
                            <w:sz w:val="22"/>
                            <w:b/>
                          </w:rPr>
                          <w:t>/人</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分批配送</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食用油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≥5L</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八一慰问品</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大米</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≥5kg</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袋</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有机杂粮礼盒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≥3.0kg</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有机燕麦片礼盒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≥1050g</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干货礼盒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≥1200g</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食用油</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≥5L</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春节慰问品</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大米</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≥5kg</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袋</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面粉</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≥5kg</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袋</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调味品组合</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≥3000ml</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坚果礼盒</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≥1200g</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249"/>
                        <w:vMerge/>
                        <w:tcBorders>
                          <w:top w:val="none" w:color="000000" w:sz="4"/>
                          <w:left w:val="singl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r>
                </w:tbl>
                <w:p>
                  <w:pPr>
                    <w:pStyle w:val="null3"/>
                    <w:ind w:firstLine="440"/>
                    <w:jc w:val="both"/>
                  </w:pPr>
                  <w:r>
                    <w:rPr>
                      <w:rFonts w:ascii="仿宋_GB2312" w:hAnsi="仿宋_GB2312" w:cs="仿宋_GB2312" w:eastAsia="仿宋_GB2312"/>
                      <w:sz w:val="22"/>
                    </w:rPr>
                    <w:t>本项目采购数量为暂定数量，最终以实际结算数量为准，结算金额不超过采购预算。</w:t>
                  </w:r>
                </w:p>
                <w:p>
                  <w:pPr>
                    <w:pStyle w:val="null3"/>
                    <w:jc w:val="both"/>
                  </w:pPr>
                  <w:r>
                    <w:rPr>
                      <w:rFonts w:ascii="仿宋_GB2312" w:hAnsi="仿宋_GB2312" w:cs="仿宋_GB2312" w:eastAsia="仿宋_GB2312"/>
                      <w:sz w:val="22"/>
                    </w:rPr>
                    <w:t>2、产品质量要求、技术标准</w:t>
                  </w:r>
                </w:p>
                <w:p>
                  <w:pPr>
                    <w:pStyle w:val="null3"/>
                    <w:jc w:val="both"/>
                  </w:pPr>
                  <w:r>
                    <w:rPr>
                      <w:rFonts w:ascii="仿宋_GB2312" w:hAnsi="仿宋_GB2312" w:cs="仿宋_GB2312" w:eastAsia="仿宋_GB2312"/>
                      <w:sz w:val="22"/>
                    </w:rPr>
                    <w:t>2.1质量要求</w:t>
                  </w:r>
                </w:p>
                <w:p>
                  <w:pPr>
                    <w:pStyle w:val="null3"/>
                    <w:ind w:firstLine="440"/>
                    <w:jc w:val="both"/>
                  </w:pPr>
                  <w:r>
                    <w:rPr>
                      <w:rFonts w:ascii="仿宋_GB2312" w:hAnsi="仿宋_GB2312" w:cs="仿宋_GB2312" w:eastAsia="仿宋_GB2312"/>
                      <w:sz w:val="22"/>
                    </w:rPr>
                    <w:t>严格按照《中华人民共和国产品质量法》和《中华人民共和国食品安全法》等相关法律法规规定的最新质量标准，严禁添加剂、防腐剂和一些可能危害身体健康的元素含量超标。确保提供的产品符合质量标准，达到合格产品的要求，供应商须提供食品制造商的食品生产许可证。</w:t>
                  </w:r>
                </w:p>
                <w:p>
                  <w:pPr>
                    <w:pStyle w:val="null3"/>
                    <w:jc w:val="both"/>
                  </w:pPr>
                  <w:r>
                    <w:rPr>
                      <w:rFonts w:ascii="仿宋_GB2312" w:hAnsi="仿宋_GB2312" w:cs="仿宋_GB2312" w:eastAsia="仿宋_GB2312"/>
                      <w:sz w:val="22"/>
                    </w:rPr>
                    <w:t>2.2 技术标准</w:t>
                  </w:r>
                </w:p>
                <w:p>
                  <w:pPr>
                    <w:pStyle w:val="null3"/>
                    <w:ind w:firstLine="440"/>
                    <w:jc w:val="both"/>
                  </w:pPr>
                  <w:r>
                    <w:rPr>
                      <w:rFonts w:ascii="仿宋_GB2312" w:hAnsi="仿宋_GB2312" w:cs="仿宋_GB2312" w:eastAsia="仿宋_GB2312"/>
                      <w:sz w:val="22"/>
                    </w:rPr>
                    <w:t>2.2.1八一慰问品：</w:t>
                  </w:r>
                </w:p>
                <w:p>
                  <w:pPr>
                    <w:pStyle w:val="null3"/>
                    <w:ind w:firstLine="440"/>
                    <w:jc w:val="both"/>
                  </w:pPr>
                  <w:r>
                    <w:rPr>
                      <w:rFonts w:ascii="仿宋_GB2312" w:hAnsi="仿宋_GB2312" w:cs="仿宋_GB2312" w:eastAsia="仿宋_GB2312"/>
                      <w:sz w:val="22"/>
                    </w:rPr>
                    <w:t>2.2.1.1食用油</w:t>
                  </w:r>
                </w:p>
                <w:p>
                  <w:pPr>
                    <w:pStyle w:val="null3"/>
                    <w:ind w:firstLine="440"/>
                    <w:jc w:val="both"/>
                  </w:pPr>
                  <w:r>
                    <w:rPr>
                      <w:rFonts w:ascii="仿宋_GB2312" w:hAnsi="仿宋_GB2312" w:cs="仿宋_GB2312" w:eastAsia="仿宋_GB2312"/>
                      <w:sz w:val="22"/>
                    </w:rPr>
                    <w:t>★独立包装,规格：≥5L/桶；配料：花生油，质量等级及加工工艺：一级，水分及挥发物含量≤0.02%；加热试验（280℃）无析出物；黄曲霉毒素B1和黄曲霉毒素总量（B1、B2、G1、G2）不得检出；产品营养成分方面：产品富含油酸，亚油酸，维生素E等营养素，油酸含量≥40%，亚油酸含量≥30%，维生素E含量≥12mg α-TE/100g。以上参数以第三方检测机构出具的有效的检测报告为证明材料。</w:t>
                  </w:r>
                </w:p>
                <w:p>
                  <w:pPr>
                    <w:pStyle w:val="null3"/>
                    <w:ind w:firstLine="440"/>
                    <w:jc w:val="both"/>
                  </w:pPr>
                  <w:r>
                    <w:rPr>
                      <w:rFonts w:ascii="仿宋_GB2312" w:hAnsi="仿宋_GB2312" w:cs="仿宋_GB2312" w:eastAsia="仿宋_GB2312"/>
                      <w:sz w:val="22"/>
                    </w:rPr>
                    <w:t>产品具有花生油应有的色泽：淡黄色至橙黄色，无正常视力可见的外来异物，无异味。外包装上标明生产日期、保质期、净含量、执行标准（或产品标准号）、食品生产许可证编号、贮存条件、产地等。</w:t>
                  </w:r>
                </w:p>
                <w:p>
                  <w:pPr>
                    <w:pStyle w:val="null3"/>
                    <w:ind w:firstLine="440"/>
                    <w:jc w:val="both"/>
                  </w:pPr>
                  <w:r>
                    <w:rPr>
                      <w:rFonts w:ascii="仿宋_GB2312" w:hAnsi="仿宋_GB2312" w:cs="仿宋_GB2312" w:eastAsia="仿宋_GB2312"/>
                      <w:sz w:val="22"/>
                    </w:rPr>
                    <w:t>2.2.1.2米</w:t>
                  </w:r>
                </w:p>
                <w:p>
                  <w:pPr>
                    <w:pStyle w:val="null3"/>
                    <w:ind w:firstLine="440"/>
                    <w:jc w:val="both"/>
                  </w:pPr>
                  <w:r>
                    <w:rPr>
                      <w:rFonts w:ascii="仿宋_GB2312" w:hAnsi="仿宋_GB2312" w:cs="仿宋_GB2312" w:eastAsia="仿宋_GB2312"/>
                      <w:sz w:val="22"/>
                    </w:rPr>
                    <w:t>★独立真空包装，规格：≥5kg/袋，五常大米，加工精度：精碾；质量符合国家标准GB/T19266优质一等标准要求，须提供第三方检测机构出具的有效的检测报告。</w:t>
                  </w:r>
                </w:p>
                <w:p>
                  <w:pPr>
                    <w:pStyle w:val="null3"/>
                    <w:ind w:firstLine="440"/>
                    <w:jc w:val="both"/>
                  </w:pPr>
                  <w:r>
                    <w:rPr>
                      <w:rFonts w:ascii="仿宋_GB2312" w:hAnsi="仿宋_GB2312" w:cs="仿宋_GB2312" w:eastAsia="仿宋_GB2312"/>
                      <w:sz w:val="22"/>
                    </w:rPr>
                    <w:t>感官方面：应有五常大米固有的气味，无异味。米粒半透明或透明，色泽青白有光泽，无杂质，无生霉变质的颗粒。包装上标明产品名称、配料、执行标准（或产品标准号）、生产日期、保质期、净含量、贮存条件、产地等。</w:t>
                  </w:r>
                </w:p>
                <w:p>
                  <w:pPr>
                    <w:pStyle w:val="null3"/>
                    <w:ind w:firstLine="440"/>
                    <w:jc w:val="both"/>
                  </w:pPr>
                  <w:r>
                    <w:rPr>
                      <w:rFonts w:ascii="仿宋_GB2312" w:hAnsi="仿宋_GB2312" w:cs="仿宋_GB2312" w:eastAsia="仿宋_GB2312"/>
                      <w:sz w:val="22"/>
                    </w:rPr>
                    <w:t>2.2.1.3有机杂粮礼盒</w:t>
                  </w:r>
                </w:p>
                <w:p>
                  <w:pPr>
                    <w:pStyle w:val="null3"/>
                    <w:ind w:firstLine="440"/>
                    <w:jc w:val="both"/>
                  </w:pPr>
                  <w:r>
                    <w:rPr>
                      <w:rFonts w:ascii="仿宋_GB2312" w:hAnsi="仿宋_GB2312" w:cs="仿宋_GB2312" w:eastAsia="仿宋_GB2312"/>
                      <w:sz w:val="22"/>
                    </w:rPr>
                    <w:t>★彩色硬质礼盒包装，规格：≥3.0kg，种类≥6种，</w:t>
                  </w:r>
                  <w:r>
                    <w:rPr>
                      <w:rFonts w:ascii="仿宋_GB2312" w:hAnsi="仿宋_GB2312" w:cs="仿宋_GB2312" w:eastAsia="仿宋_GB2312"/>
                      <w:sz w:val="22"/>
                    </w:rPr>
                    <w:t>礼盒中包含的产品提供有效的有机产品认证证书</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内含产品独立包装且均为同一品牌，产品无发霉、变质等异味。内置产品包括但不限于绿豆，小米，黑米、红小豆等。外包装上须标明品名，配料，净含量，生产日期，保质期，产地等。</w:t>
                  </w:r>
                </w:p>
                <w:p>
                  <w:pPr>
                    <w:pStyle w:val="null3"/>
                    <w:ind w:firstLine="440"/>
                    <w:jc w:val="both"/>
                  </w:pPr>
                  <w:r>
                    <w:rPr>
                      <w:rFonts w:ascii="仿宋_GB2312" w:hAnsi="仿宋_GB2312" w:cs="仿宋_GB2312" w:eastAsia="仿宋_GB2312"/>
                      <w:sz w:val="22"/>
                    </w:rPr>
                    <w:t>2.2.1.4有机燕麦片礼盒</w:t>
                  </w:r>
                </w:p>
                <w:p>
                  <w:pPr>
                    <w:pStyle w:val="null3"/>
                    <w:ind w:firstLine="440"/>
                    <w:jc w:val="both"/>
                  </w:pPr>
                  <w:r>
                    <w:rPr>
                      <w:rFonts w:ascii="仿宋_GB2312" w:hAnsi="仿宋_GB2312" w:cs="仿宋_GB2312" w:eastAsia="仿宋_GB2312"/>
                      <w:sz w:val="22"/>
                    </w:rPr>
                    <w:t>★彩色硬质礼盒包装，规格：≥1050g，独立包装且为罐装，罐装数量≥3罐，提供有效的有机产品认证证书。</w:t>
                  </w:r>
                </w:p>
                <w:p>
                  <w:pPr>
                    <w:pStyle w:val="null3"/>
                    <w:ind w:firstLine="440"/>
                    <w:jc w:val="both"/>
                  </w:pPr>
                  <w:r>
                    <w:rPr>
                      <w:rFonts w:ascii="仿宋_GB2312" w:hAnsi="仿宋_GB2312" w:cs="仿宋_GB2312" w:eastAsia="仿宋_GB2312"/>
                      <w:sz w:val="22"/>
                    </w:rPr>
                    <w:t>外包装上须标明品名，配料，净含量，生产日期，保质期，产地等。</w:t>
                  </w:r>
                </w:p>
                <w:p>
                  <w:pPr>
                    <w:pStyle w:val="null3"/>
                    <w:ind w:firstLine="440"/>
                    <w:jc w:val="both"/>
                  </w:pPr>
                  <w:r>
                    <w:rPr>
                      <w:rFonts w:ascii="仿宋_GB2312" w:hAnsi="仿宋_GB2312" w:cs="仿宋_GB2312" w:eastAsia="仿宋_GB2312"/>
                      <w:sz w:val="22"/>
                    </w:rPr>
                    <w:t>2.2.1.5干货礼盒</w:t>
                  </w:r>
                </w:p>
                <w:p>
                  <w:pPr>
                    <w:pStyle w:val="null3"/>
                    <w:ind w:firstLine="440"/>
                    <w:jc w:val="both"/>
                  </w:pPr>
                  <w:r>
                    <w:rPr>
                      <w:rFonts w:ascii="仿宋_GB2312" w:hAnsi="仿宋_GB2312" w:cs="仿宋_GB2312" w:eastAsia="仿宋_GB2312"/>
                      <w:sz w:val="22"/>
                    </w:rPr>
                    <w:t>★彩色硬质礼盒包装，规格：≥1200g,包装内含产品数量≥6种。</w:t>
                  </w:r>
                </w:p>
                <w:p>
                  <w:pPr>
                    <w:pStyle w:val="null3"/>
                    <w:ind w:firstLine="440"/>
                    <w:jc w:val="both"/>
                  </w:pPr>
                  <w:r>
                    <w:rPr>
                      <w:rFonts w:ascii="仿宋_GB2312" w:hAnsi="仿宋_GB2312" w:cs="仿宋_GB2312" w:eastAsia="仿宋_GB2312"/>
                      <w:sz w:val="22"/>
                    </w:rPr>
                    <w:t>内置产品独立包装且均为同一品牌，包括但不限于香菇，木耳，腐竹，银耳等，质量合格，包装上标明产品名称、净含量、生产日期、保质期、贮存条件、产地等。</w:t>
                  </w:r>
                </w:p>
                <w:p>
                  <w:pPr>
                    <w:pStyle w:val="null3"/>
                    <w:ind w:firstLine="440"/>
                    <w:jc w:val="both"/>
                  </w:pPr>
                  <w:r>
                    <w:rPr>
                      <w:rFonts w:ascii="仿宋_GB2312" w:hAnsi="仿宋_GB2312" w:cs="仿宋_GB2312" w:eastAsia="仿宋_GB2312"/>
                      <w:sz w:val="22"/>
                    </w:rPr>
                    <w:t>2.2.2春节慰问品：</w:t>
                  </w:r>
                </w:p>
                <w:p>
                  <w:pPr>
                    <w:pStyle w:val="null3"/>
                    <w:ind w:firstLine="440"/>
                    <w:jc w:val="both"/>
                  </w:pPr>
                  <w:r>
                    <w:rPr>
                      <w:rFonts w:ascii="仿宋_GB2312" w:hAnsi="仿宋_GB2312" w:cs="仿宋_GB2312" w:eastAsia="仿宋_GB2312"/>
                      <w:sz w:val="22"/>
                    </w:rPr>
                    <w:t>2.2.2.1食用油</w:t>
                  </w:r>
                </w:p>
                <w:p>
                  <w:pPr>
                    <w:pStyle w:val="null3"/>
                    <w:ind w:firstLine="440"/>
                    <w:jc w:val="both"/>
                  </w:pPr>
                  <w:r>
                    <w:rPr>
                      <w:rFonts w:ascii="仿宋_GB2312" w:hAnsi="仿宋_GB2312" w:cs="仿宋_GB2312" w:eastAsia="仿宋_GB2312"/>
                      <w:sz w:val="22"/>
                    </w:rPr>
                    <w:t>★独立包装,规格：≥5L/桶。配料：花生油，质量等级及加工工艺：一级，水分及挥发物含量≤0.02%；加热试验（280℃）无析出物；黄曲霉毒素B1和黄曲霉毒素总量（B1、B2、G1、G2）不得检出；产品营养成分方面：产品富含油酸，亚油酸，维生素E等营养素，油酸含量≥40%，亚油酸含量≥30%，维生素E含量≥12mg α-TE/100g。以上参数以第三方检测机构出具的有效的检测报告为证明材料。</w:t>
                  </w:r>
                </w:p>
                <w:p>
                  <w:pPr>
                    <w:pStyle w:val="null3"/>
                    <w:ind w:firstLine="440"/>
                    <w:jc w:val="both"/>
                  </w:pPr>
                  <w:r>
                    <w:rPr>
                      <w:rFonts w:ascii="仿宋_GB2312" w:hAnsi="仿宋_GB2312" w:cs="仿宋_GB2312" w:eastAsia="仿宋_GB2312"/>
                      <w:sz w:val="22"/>
                    </w:rPr>
                    <w:t>产品具有花生油应有的色泽：淡黄色至橙黄色，无正常视力可见的外来异物，无异味。外包装上标明生产日期、保质期、净含量、执行标准（或产品标准号）、食品生产许可证编号、贮存条件、产地等。</w:t>
                  </w:r>
                </w:p>
                <w:p>
                  <w:pPr>
                    <w:pStyle w:val="null3"/>
                    <w:ind w:firstLine="440"/>
                    <w:jc w:val="both"/>
                  </w:pPr>
                  <w:r>
                    <w:rPr>
                      <w:rFonts w:ascii="仿宋_GB2312" w:hAnsi="仿宋_GB2312" w:cs="仿宋_GB2312" w:eastAsia="仿宋_GB2312"/>
                      <w:sz w:val="22"/>
                    </w:rPr>
                    <w:t>2.2.2.2大米</w:t>
                  </w:r>
                </w:p>
                <w:p>
                  <w:pPr>
                    <w:pStyle w:val="null3"/>
                    <w:ind w:firstLine="440"/>
                    <w:jc w:val="both"/>
                  </w:pPr>
                  <w:r>
                    <w:rPr>
                      <w:rFonts w:ascii="仿宋_GB2312" w:hAnsi="仿宋_GB2312" w:cs="仿宋_GB2312" w:eastAsia="仿宋_GB2312"/>
                      <w:sz w:val="22"/>
                    </w:rPr>
                    <w:t>★独立真空包装，规格：≥5kg/袋，五常大米，加工精度：精碾；质量符合国家标准GB/T19266优质一等标准要求，须提供第三方检测机构出具的有效的检测报告。</w:t>
                  </w:r>
                </w:p>
                <w:p>
                  <w:pPr>
                    <w:pStyle w:val="null3"/>
                    <w:ind w:firstLine="440"/>
                    <w:jc w:val="both"/>
                  </w:pPr>
                  <w:r>
                    <w:rPr>
                      <w:rFonts w:ascii="仿宋_GB2312" w:hAnsi="仿宋_GB2312" w:cs="仿宋_GB2312" w:eastAsia="仿宋_GB2312"/>
                      <w:sz w:val="22"/>
                    </w:rPr>
                    <w:t>感官方面：应有五常大米固有的气味，无异味。米粒半透明或透明，色泽青白有光泽，无杂质，无生霉变质的颗粒。包装上标明产品名称、配料、执行标准（或产品标准号）、生产日期、保质期、净含量、贮存条件、产地等。</w:t>
                  </w:r>
                </w:p>
                <w:p>
                  <w:pPr>
                    <w:pStyle w:val="null3"/>
                    <w:ind w:firstLine="440"/>
                    <w:jc w:val="both"/>
                  </w:pPr>
                  <w:r>
                    <w:rPr>
                      <w:rFonts w:ascii="仿宋_GB2312" w:hAnsi="仿宋_GB2312" w:cs="仿宋_GB2312" w:eastAsia="仿宋_GB2312"/>
                      <w:sz w:val="22"/>
                    </w:rPr>
                    <w:t>2.2.2.3面粉</w:t>
                  </w:r>
                </w:p>
                <w:p>
                  <w:pPr>
                    <w:pStyle w:val="null3"/>
                    <w:ind w:firstLine="440"/>
                    <w:jc w:val="both"/>
                  </w:pPr>
                  <w:r>
                    <w:rPr>
                      <w:rFonts w:ascii="仿宋_GB2312" w:hAnsi="仿宋_GB2312" w:cs="仿宋_GB2312" w:eastAsia="仿宋_GB2312"/>
                      <w:sz w:val="22"/>
                    </w:rPr>
                    <w:t>★独立包装，规格：≥5kg/袋。配料：小麦，等级（或加工精度）：精制粉，产品符合执行标准GB/T1355-2021《小麦粉》。提供第三方检测机构出具的有效的检测报告。</w:t>
                  </w:r>
                </w:p>
                <w:p>
                  <w:pPr>
                    <w:pStyle w:val="null3"/>
                    <w:ind w:firstLine="440"/>
                    <w:jc w:val="both"/>
                  </w:pPr>
                  <w:r>
                    <w:rPr>
                      <w:rFonts w:ascii="仿宋_GB2312" w:hAnsi="仿宋_GB2312" w:cs="仿宋_GB2312" w:eastAsia="仿宋_GB2312"/>
                      <w:sz w:val="22"/>
                    </w:rPr>
                    <w:t>产品具有正常的色泽和气味；外观形态：粉状，无结块。包装上标明产品名称、配料、执行标准、生产日期、保质期、净含量、贮存条件、产地等。</w:t>
                  </w:r>
                </w:p>
                <w:p>
                  <w:pPr>
                    <w:pStyle w:val="null3"/>
                    <w:ind w:firstLine="440"/>
                    <w:jc w:val="both"/>
                  </w:pPr>
                  <w:r>
                    <w:rPr>
                      <w:rFonts w:ascii="仿宋_GB2312" w:hAnsi="仿宋_GB2312" w:cs="仿宋_GB2312" w:eastAsia="仿宋_GB2312"/>
                      <w:sz w:val="22"/>
                    </w:rPr>
                    <w:t>2.2.2.4调味品组合</w:t>
                  </w:r>
                </w:p>
                <w:p>
                  <w:pPr>
                    <w:pStyle w:val="null3"/>
                    <w:ind w:firstLine="440"/>
                    <w:jc w:val="both"/>
                  </w:pPr>
                  <w:r>
                    <w:rPr>
                      <w:rFonts w:ascii="仿宋_GB2312" w:hAnsi="仿宋_GB2312" w:cs="仿宋_GB2312" w:eastAsia="仿宋_GB2312"/>
                      <w:sz w:val="22"/>
                    </w:rPr>
                    <w:t>★彩色硬质礼盒包装，规格≥3000ml(毫升ml，等价克，1ml≈1g），产品种类≥6种。</w:t>
                  </w:r>
                </w:p>
                <w:p>
                  <w:pPr>
                    <w:pStyle w:val="null3"/>
                    <w:ind w:firstLine="440"/>
                    <w:jc w:val="both"/>
                  </w:pPr>
                  <w:r>
                    <w:rPr>
                      <w:rFonts w:ascii="仿宋_GB2312" w:hAnsi="仿宋_GB2312" w:cs="仿宋_GB2312" w:eastAsia="仿宋_GB2312"/>
                      <w:sz w:val="22"/>
                    </w:rPr>
                    <w:t>内置产品独立包装且均为同一品牌，产品包括但不限于生抽酱油、醋、蚝油等（以上提及均为瓶装），包装上标明产品名称、配料、生产日期、保质期、净含量、贮存条件、产地等。</w:t>
                  </w:r>
                </w:p>
                <w:p>
                  <w:pPr>
                    <w:pStyle w:val="null3"/>
                    <w:ind w:firstLine="440"/>
                    <w:jc w:val="both"/>
                  </w:pPr>
                  <w:r>
                    <w:rPr>
                      <w:rFonts w:ascii="仿宋_GB2312" w:hAnsi="仿宋_GB2312" w:cs="仿宋_GB2312" w:eastAsia="仿宋_GB2312"/>
                      <w:sz w:val="22"/>
                    </w:rPr>
                    <w:t>2.2.2.5坚果礼盒</w:t>
                  </w:r>
                </w:p>
                <w:p>
                  <w:pPr>
                    <w:pStyle w:val="null3"/>
                    <w:ind w:firstLine="440"/>
                    <w:jc w:val="both"/>
                  </w:pPr>
                  <w:r>
                    <w:rPr>
                      <w:rFonts w:ascii="仿宋_GB2312" w:hAnsi="仿宋_GB2312" w:cs="仿宋_GB2312" w:eastAsia="仿宋_GB2312"/>
                      <w:sz w:val="22"/>
                    </w:rPr>
                    <w:t>★彩色硬质礼盒包装，规格：≥1200g,内置产品独立罐装或桶装且均为同一品牌，包装内含产品数量≥6种。</w:t>
                  </w:r>
                </w:p>
                <w:p>
                  <w:pPr>
                    <w:pStyle w:val="null3"/>
                    <w:ind w:firstLine="440"/>
                    <w:jc w:val="both"/>
                  </w:pPr>
                  <w:r>
                    <w:rPr>
                      <w:rFonts w:ascii="仿宋_GB2312" w:hAnsi="仿宋_GB2312" w:cs="仿宋_GB2312" w:eastAsia="仿宋_GB2312"/>
                      <w:sz w:val="22"/>
                    </w:rPr>
                    <w:t>包括但不限于开心果，夏威夷果，腰果，巴旦木等，包装上标明产品名称、净含量、生产日期、保质期、贮存条件、产地等。</w:t>
                  </w:r>
                </w:p>
                <w:p>
                  <w:pPr>
                    <w:pStyle w:val="null3"/>
                    <w:jc w:val="both"/>
                  </w:pPr>
                  <w:r>
                    <w:rPr>
                      <w:rFonts w:ascii="仿宋_GB2312" w:hAnsi="仿宋_GB2312" w:cs="仿宋_GB2312" w:eastAsia="仿宋_GB2312"/>
                      <w:sz w:val="22"/>
                      <w:b/>
                    </w:rPr>
                    <w:t>3.</w:t>
                  </w:r>
                  <w:r>
                    <w:rPr>
                      <w:rFonts w:ascii="仿宋_GB2312" w:hAnsi="仿宋_GB2312" w:cs="仿宋_GB2312" w:eastAsia="仿宋_GB2312"/>
                      <w:sz w:val="22"/>
                      <w:b/>
                    </w:rPr>
                    <w:t>其他要求或说明</w:t>
                  </w:r>
                </w:p>
                <w:p>
                  <w:pPr>
                    <w:pStyle w:val="null3"/>
                    <w:ind w:firstLine="220"/>
                  </w:pPr>
                  <w:r>
                    <w:rPr>
                      <w:rFonts w:ascii="仿宋_GB2312" w:hAnsi="仿宋_GB2312" w:cs="仿宋_GB2312" w:eastAsia="仿宋_GB2312"/>
                      <w:sz w:val="22"/>
                    </w:rPr>
                    <w:t>3.1投标人的报价是投标人响应招标项目要求的全部工作内容的价格体现，包括投标人完成本项目所需的直接费、间接费、利润、税金及其他相关的一切费用；包括但不限于：人工费、运输与损耗费、保管费、仓储费、包装费、保险费、风险费用、采购代理服务费、利润和税金及不可预见费等全部费用；在提供服务的过程中的任何遗漏，均由中标人免费提供，采购人将不再支付任何费用。</w:t>
                  </w:r>
                </w:p>
                <w:p>
                  <w:pPr>
                    <w:pStyle w:val="null3"/>
                    <w:ind w:firstLine="220"/>
                    <w:jc w:val="both"/>
                  </w:pPr>
                  <w:r>
                    <w:rPr>
                      <w:rFonts w:ascii="仿宋_GB2312" w:hAnsi="仿宋_GB2312" w:cs="仿宋_GB2312" w:eastAsia="仿宋_GB2312"/>
                      <w:sz w:val="22"/>
                    </w:rPr>
                    <w:t>3.2人员配置要求：供应商根据采购项目特性及要求，自行配置履行合同所必需的专业服务团队，自行组织实施与管理，相关人员经过严格培训，有相关工作经验，能够胜任项目工作，保证项目顺利实施。</w:t>
                  </w:r>
                </w:p>
                <w:p>
                  <w:pPr>
                    <w:pStyle w:val="null3"/>
                    <w:ind w:firstLine="220"/>
                    <w:jc w:val="both"/>
                  </w:pPr>
                  <w:r>
                    <w:rPr>
                      <w:rFonts w:ascii="仿宋_GB2312" w:hAnsi="仿宋_GB2312" w:cs="仿宋_GB2312" w:eastAsia="仿宋_GB2312"/>
                      <w:sz w:val="22"/>
                    </w:rPr>
                    <w:t>3.3设施设备要求：供应商根据采购项目特性及要求，自行配置投入履行合同所必需的各类设施设备（不限于专业设备、辅助设备、工具等），保证项目顺利实施。</w:t>
                  </w:r>
                </w:p>
                <w:p>
                  <w:pPr>
                    <w:pStyle w:val="null3"/>
                    <w:spacing w:after="120"/>
                    <w:ind w:firstLine="220"/>
                    <w:jc w:val="both"/>
                  </w:pPr>
                  <w:r>
                    <w:rPr>
                      <w:rFonts w:ascii="仿宋_GB2312" w:hAnsi="仿宋_GB2312" w:cs="仿宋_GB2312" w:eastAsia="仿宋_GB2312"/>
                      <w:sz w:val="22"/>
                    </w:rPr>
                    <w:t>3.4配送要求</w:t>
                  </w:r>
                </w:p>
                <w:p>
                  <w:pPr>
                    <w:pStyle w:val="null3"/>
                    <w:spacing w:after="120"/>
                    <w:ind w:firstLine="440"/>
                    <w:jc w:val="both"/>
                  </w:pPr>
                  <w:r>
                    <w:rPr>
                      <w:rFonts w:ascii="仿宋_GB2312" w:hAnsi="仿宋_GB2312" w:cs="仿宋_GB2312" w:eastAsia="仿宋_GB2312"/>
                      <w:sz w:val="22"/>
                    </w:rPr>
                    <w:t>八一慰问品和春节慰问品按采购人要求分别按批次配送，每次接到采购人通知</w:t>
                  </w:r>
                  <w:r>
                    <w:rPr>
                      <w:rFonts w:ascii="仿宋_GB2312" w:hAnsi="仿宋_GB2312" w:cs="仿宋_GB2312" w:eastAsia="仿宋_GB2312"/>
                      <w:sz w:val="22"/>
                    </w:rPr>
                    <w:t>5日内完成配送至采购人指定地点，保证货物安全配送到位，提供详尽的配送流程。</w:t>
                  </w:r>
                </w:p>
                <w:p>
                  <w:pPr>
                    <w:pStyle w:val="null3"/>
                    <w:spacing w:after="120"/>
                    <w:ind w:firstLine="440"/>
                    <w:jc w:val="both"/>
                  </w:pPr>
                  <w:r>
                    <w:rPr>
                      <w:rFonts w:ascii="仿宋_GB2312" w:hAnsi="仿宋_GB2312" w:cs="仿宋_GB2312" w:eastAsia="仿宋_GB2312"/>
                      <w:sz w:val="22"/>
                    </w:rPr>
                    <w:t>因运输装卸过程中造成的损耗（例如包装严重变形、破损，食品污损等），发现的包装严重变形、破损等产品必须无条件更换，并不附加任何费用，如发生质量问题，供应商需对此负责。（供应商需提供承诺）</w:t>
                  </w:r>
                </w:p>
                <w:p>
                  <w:pPr>
                    <w:pStyle w:val="null3"/>
                    <w:spacing w:after="120"/>
                    <w:ind w:firstLine="440"/>
                    <w:jc w:val="both"/>
                  </w:pPr>
                  <w:r>
                    <w:rPr>
                      <w:rFonts w:ascii="仿宋_GB2312" w:hAnsi="仿宋_GB2312" w:cs="仿宋_GB2312" w:eastAsia="仿宋_GB2312"/>
                      <w:sz w:val="22"/>
                    </w:rPr>
                    <w:t>送货单一式两联，采购人收货人验收货物品种、数量、质量后，供应商送货员确认无误后、双方在送货单上签字确认，其中一联交给采购人留存。</w:t>
                  </w:r>
                </w:p>
                <w:p>
                  <w:pPr>
                    <w:pStyle w:val="null3"/>
                    <w:spacing w:after="120"/>
                    <w:ind w:firstLine="220"/>
                    <w:jc w:val="both"/>
                  </w:pPr>
                  <w:r>
                    <w:rPr>
                      <w:rFonts w:ascii="仿宋_GB2312" w:hAnsi="仿宋_GB2312" w:cs="仿宋_GB2312" w:eastAsia="仿宋_GB2312"/>
                      <w:sz w:val="22"/>
                    </w:rPr>
                    <w:t>3.5售后服务要求</w:t>
                  </w:r>
                </w:p>
                <w:p>
                  <w:pPr>
                    <w:pStyle w:val="null3"/>
                    <w:spacing w:after="120"/>
                    <w:ind w:firstLine="440"/>
                    <w:jc w:val="both"/>
                  </w:pPr>
                  <w:r>
                    <w:rPr>
                      <w:rFonts w:ascii="仿宋_GB2312" w:hAnsi="仿宋_GB2312" w:cs="仿宋_GB2312" w:eastAsia="仿宋_GB2312"/>
                      <w:sz w:val="22"/>
                    </w:rPr>
                    <w:t>供应商需设有专人负责售后服务，如因货品丢失、损坏、有质量问题、配送错误或因供货方负责的运输和包装等不符合合同的约定或证实货品是有缺陷的（包括潜在的缺陷或使用不符合要求的货品等），采购人有权要求供应商在</w:t>
                  </w:r>
                  <w:r>
                    <w:rPr>
                      <w:rFonts w:ascii="仿宋_GB2312" w:hAnsi="仿宋_GB2312" w:cs="仿宋_GB2312" w:eastAsia="仿宋_GB2312"/>
                      <w:sz w:val="22"/>
                    </w:rPr>
                    <w:t>3天内完成退还服务，更换费用由供货方承担。</w:t>
                  </w:r>
                </w:p>
                <w:p>
                  <w:pPr>
                    <w:pStyle w:val="null3"/>
                    <w:spacing w:after="120"/>
                    <w:ind w:firstLine="440"/>
                    <w:jc w:val="both"/>
                  </w:pPr>
                  <w:r>
                    <w:rPr>
                      <w:rFonts w:ascii="仿宋_GB2312" w:hAnsi="仿宋_GB2312" w:cs="仿宋_GB2312" w:eastAsia="仿宋_GB2312"/>
                      <w:sz w:val="22"/>
                    </w:rPr>
                    <w:t>供应商需配备一名专职联络人员与采购人进行事务联系。供应商应提供有效的服务联系人和服务联系电话，如有变更，供应商应及时、主动通知采购人。</w:t>
                  </w:r>
                </w:p>
                <w:p>
                  <w:pPr>
                    <w:pStyle w:val="null3"/>
                    <w:spacing w:after="120"/>
                    <w:ind w:firstLine="220"/>
                    <w:jc w:val="both"/>
                  </w:pPr>
                  <w:r>
                    <w:rPr>
                      <w:rFonts w:ascii="仿宋_GB2312" w:hAnsi="仿宋_GB2312" w:cs="仿宋_GB2312" w:eastAsia="仿宋_GB2312"/>
                      <w:sz w:val="22"/>
                    </w:rPr>
                    <w:t>3.6其他要求</w:t>
                  </w:r>
                </w:p>
                <w:p>
                  <w:pPr>
                    <w:pStyle w:val="null3"/>
                    <w:spacing w:after="120"/>
                    <w:ind w:firstLine="220"/>
                    <w:jc w:val="both"/>
                  </w:pPr>
                  <w:r>
                    <w:rPr>
                      <w:rFonts w:ascii="仿宋_GB2312" w:hAnsi="仿宋_GB2312" w:cs="仿宋_GB2312" w:eastAsia="仿宋_GB2312"/>
                      <w:sz w:val="22"/>
                    </w:rPr>
                    <w:t>（</w:t>
                  </w:r>
                  <w:r>
                    <w:rPr>
                      <w:rFonts w:ascii="仿宋_GB2312" w:hAnsi="仿宋_GB2312" w:cs="仿宋_GB2312" w:eastAsia="仿宋_GB2312"/>
                      <w:sz w:val="22"/>
                    </w:rPr>
                    <w:t>1）产品出入库有明确流程，产品可溯源，仓储制度和调换货制度完善，可确保产品完好，按时交付采购人使用；</w:t>
                  </w:r>
                </w:p>
                <w:p>
                  <w:pPr>
                    <w:pStyle w:val="null3"/>
                    <w:spacing w:after="120"/>
                    <w:ind w:firstLine="220"/>
                    <w:jc w:val="both"/>
                  </w:pPr>
                  <w:r>
                    <w:rPr>
                      <w:rFonts w:ascii="仿宋_GB2312" w:hAnsi="仿宋_GB2312" w:cs="仿宋_GB2312" w:eastAsia="仿宋_GB2312"/>
                      <w:sz w:val="22"/>
                    </w:rPr>
                    <w:t>（</w:t>
                  </w:r>
                  <w:r>
                    <w:rPr>
                      <w:rFonts w:ascii="仿宋_GB2312" w:hAnsi="仿宋_GB2312" w:cs="仿宋_GB2312" w:eastAsia="仿宋_GB2312"/>
                      <w:sz w:val="22"/>
                    </w:rPr>
                    <w:t>2）供应商应根据送货不达、配送车辆事故、特殊天气、食品安全事故等突发性状况建立应急预案及解决方案。</w:t>
                  </w:r>
                </w:p>
                <w:p>
                  <w:pPr>
                    <w:pStyle w:val="null3"/>
                    <w:ind w:firstLine="220"/>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本项目</w:t>
                  </w:r>
                  <w:r>
                    <w:rPr>
                      <w:rFonts w:ascii="仿宋_GB2312" w:hAnsi="仿宋_GB2312" w:cs="仿宋_GB2312" w:eastAsia="仿宋_GB2312"/>
                      <w:sz w:val="22"/>
                    </w:rPr>
                    <w:t>采购</w:t>
                  </w:r>
                  <w:r>
                    <w:rPr>
                      <w:rFonts w:ascii="仿宋_GB2312" w:hAnsi="仿宋_GB2312" w:cs="仿宋_GB2312" w:eastAsia="仿宋_GB2312"/>
                      <w:sz w:val="22"/>
                    </w:rPr>
                    <w:t>标的所属行业为</w:t>
                  </w:r>
                  <w:r>
                    <w:rPr>
                      <w:rFonts w:ascii="仿宋_GB2312" w:hAnsi="仿宋_GB2312" w:cs="仿宋_GB2312" w:eastAsia="仿宋_GB2312"/>
                      <w:sz w:val="22"/>
                    </w:rPr>
                    <w:t>:1.</w:t>
                  </w:r>
                  <w:r>
                    <w:rPr>
                      <w:rFonts w:ascii="仿宋_GB2312" w:hAnsi="仿宋_GB2312" w:cs="仿宋_GB2312" w:eastAsia="仿宋_GB2312"/>
                      <w:sz w:val="22"/>
                      <w:u w:val="single"/>
                    </w:rPr>
                    <w:t>批发业</w:t>
                  </w:r>
                  <w:r>
                    <w:rPr>
                      <w:rFonts w:ascii="仿宋_GB2312" w:hAnsi="仿宋_GB2312" w:cs="仿宋_GB2312" w:eastAsia="仿宋_GB2312"/>
                      <w:sz w:val="22"/>
                    </w:rPr>
                    <w:t xml:space="preserve"> </w:t>
                  </w:r>
                  <w:r>
                    <w:rPr>
                      <w:rFonts w:ascii="仿宋_GB2312" w:hAnsi="仿宋_GB2312" w:cs="仿宋_GB2312" w:eastAsia="仿宋_GB2312"/>
                      <w:sz w:val="22"/>
                    </w:rPr>
                    <w:t>。（从业人员</w:t>
                  </w:r>
                  <w:r>
                    <w:rPr>
                      <w:rFonts w:ascii="仿宋_GB2312" w:hAnsi="仿宋_GB2312" w:cs="仿宋_GB2312" w:eastAsia="仿宋_GB2312"/>
                      <w:sz w:val="22"/>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ind w:firstLine="221"/>
                    <w:jc w:val="both"/>
                  </w:pPr>
                  <w:r>
                    <w:rPr>
                      <w:rFonts w:ascii="仿宋_GB2312" w:hAnsi="仿宋_GB2312" w:cs="仿宋_GB2312" w:eastAsia="仿宋_GB2312"/>
                      <w:sz w:val="22"/>
                      <w:b/>
                      <w:color w:val="000000"/>
                    </w:rPr>
                    <w:t>说明：标</w:t>
                  </w:r>
                  <w:r>
                    <w:rPr>
                      <w:rFonts w:ascii="仿宋_GB2312" w:hAnsi="仿宋_GB2312" w:cs="仿宋_GB2312" w:eastAsia="仿宋_GB2312"/>
                      <w:sz w:val="22"/>
                      <w:b/>
                      <w:color w:val="000000"/>
                    </w:rPr>
                    <w:t>★条款中技术要求须提供相应证明材料，书面材料无法证明的，以样品为准，证明材料包含但不限于：制造商官方网站截图或产品彩页或</w:t>
                  </w:r>
                  <w:r>
                    <w:rPr>
                      <w:rFonts w:ascii="仿宋_GB2312" w:hAnsi="仿宋_GB2312" w:cs="仿宋_GB2312" w:eastAsia="仿宋_GB2312"/>
                      <w:sz w:val="22"/>
                      <w:b/>
                      <w:color w:val="000000"/>
                    </w:rPr>
                    <w:t>产品说明书</w:t>
                  </w:r>
                  <w:r>
                    <w:rPr>
                      <w:rFonts w:ascii="仿宋_GB2312" w:hAnsi="仿宋_GB2312" w:cs="仿宋_GB2312" w:eastAsia="仿宋_GB2312"/>
                      <w:sz w:val="22"/>
                      <w:b/>
                      <w:color w:val="000000"/>
                    </w:rPr>
                    <w:t>或第三方机构检验报告或</w:t>
                  </w:r>
                  <w:r>
                    <w:rPr>
                      <w:rFonts w:ascii="仿宋_GB2312" w:hAnsi="仿宋_GB2312" w:cs="仿宋_GB2312" w:eastAsia="仿宋_GB2312"/>
                      <w:sz w:val="22"/>
                      <w:b/>
                      <w:color w:val="000000"/>
                    </w:rPr>
                    <w:t>认证机构官网认证信息查询截图或认证证书</w:t>
                  </w:r>
                  <w:r>
                    <w:rPr>
                      <w:rFonts w:ascii="仿宋_GB2312" w:hAnsi="仿宋_GB2312" w:cs="仿宋_GB2312" w:eastAsia="仿宋_GB2312"/>
                      <w:sz w:val="22"/>
                      <w:b/>
                      <w:color w:val="000000"/>
                    </w:rPr>
                    <w:t>等，未提供证明材料或证明材料无法支撑的，或响应内容无法满足采购需求的，或样品不满足要求的，该条款按不满足处理。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合同签订后，经采购人通知供货之日起5个日历日内交付完毕。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交付为采购人指定地点，同时供应商应派专人协助采购人将慰问品点对点送至各军休干部指定地点。若有邮寄需要，供应商须提供邮寄服务且须当面签收，邮寄费用包含在响应总报价中，邮寄优先采用京东、顺丰快递。邮寄数量：八一和春节的邮寄数量分别约为150份，具体数量以实际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之日起10个工作日内投标人向采购人提供产品清单、发票等相关资料，待甲方审核确认后，达到付款条件起10个工作日，支付配送本批次金额的100%。（以此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所有产品数量、规格、技术标准及配置等全部按竞争性谈判文件、响应文件及澄清函等进行验收，各项指标均应符合要求。 1.在交货前，供货方应提供有关资料，包括食品生产厂家的食品生产许可证、供货方的营业执照、食品经营许可证（或销售预包装食品经营者备案表）的复印件及食品检测报告（必要时）等。 2.采购方有权对交货货品进行清点，确认货品是否符合“货品名称、数量”的要求，所有货品外包装完好，标明品名、厂名、重量、生产日期、保质期或保存期、执行标准，剩余保质期不少于三分之二。 3.如果被清点的货品不能满足“货品名称、数量和质量等”的要求，采购方可以拒绝接受该货品，直至供应商满足采购人要求，方可通过验收。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供货时剩余质保期≥2/3质保期。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（一）、样品要求： （1）递交份数：所投产品均需提供样品一份，米和油为同一品牌的，只需提供一份。 （2）所提供样品须与响应文件载明的产品型号、规格、技术参数、执行标准完全一致，样品将作为履约验收比对依据。若未按要求提供对应产品样品，视为响应无效； （3）样品递交截止时间：与响应截止时间一致，逾期送达、迟交的样品采购人有权不予接收，由此产生的投标风险由供应商自行承担。 （4）样品递交地点：西安市雁塔区雁翔路111号赛格·中京坊6幢1单元2层； （5）密封要求：样品须密封装箱，外包装清晰标注供应商全称。密封包装须完整无破损、无拆封痕迹，未标注完整信息的样品不予受理。 （6）未成交样品由供应商在规定时限内自行取回，逾期未取视为自动放弃；成交样品留存封存，作为后期供货验收比对基准样品。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3.成交供应商的谈判有效期自动延长至合同终止为止。 (三)、分公司独立参与谈判时，不能使用总公司的资质或业绩；总公司授权分公司或分支机构参与谈判，可以使用总公司的资质或业绩。总公司单独参与谈判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(五)、文件中签名是指：手写签名或加盖签名章（含电子章、印章、签名章），盖章是指加盖单位章（含电子章）。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提供供应商2024或2025年度经审计的财务会计报告或其在响应文件提交截止时间前3个月内其基本户银行出具的资信证明（附基本户存款账户信息）。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(说明：按照电子化全流程要求，投标（响应）文件递交时，投标(响应)文件递交(签到)人应为法定代表人或授权委托人，否则，按无效响应（投标）文件处理)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1.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 2.供应商不得被“信用中国”网站（https://www.creditchina.gov.cn/ ）列入重大税收违法失信主体及严重失信主体名单、“中国执行信息公开网”(http://zxgk.court.gov.cn/shixin/)列入失信被执行人、不得处于“中国政府采购网”(http://www.ccgp.gov.cn/)政府采购严重违法失信行为信息记录中的禁止参加政府采购活动期间。 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供应商须提供《食品经营许可证》或仅销售预包装食品的备案证明资料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只能有一个有效报价，不得提交选择性报价，且报价不超过采购文件中规定的采购预算金额或最高限价或单价限价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响应函 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标的清单 报价表 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标的种类和数量、交货期限、交货地点、质保期、样品要求</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标的清单 报价表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应满足采购文件第三章采购需求中★条款的规定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 （2）供应商提供的《中小企业声明函》或者《残疾人福利性单位声明函》或者监狱企业证明中存在明显错误的，评审小组可以按照采购文件中相关条款的规定，要求供应商作出澄清；经澄清后，仍不符合小微企业条件的，则视为不符合小微企业情形。</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