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50648">
      <w:pPr>
        <w:jc w:val="center"/>
        <w:rPr>
          <w:color w:val="auto"/>
          <w:highlight w:val="none"/>
        </w:rPr>
      </w:pPr>
      <w:bookmarkStart w:id="0" w:name="_GoBack"/>
      <w:r>
        <w:rPr>
          <w:rFonts w:ascii="仿宋_GB2312" w:hAnsi="仿宋_GB2312" w:eastAsia="仿宋_GB2312" w:cs="仿宋_GB2312"/>
          <w:b/>
          <w:color w:val="auto"/>
          <w:sz w:val="36"/>
          <w:highlight w:val="none"/>
        </w:rPr>
        <w:t>拟签订采购合同文本</w:t>
      </w:r>
    </w:p>
    <w:bookmarkEnd w:id="0"/>
    <w:p w14:paraId="4C2C89A1">
      <w:pPr>
        <w:pStyle w:val="3"/>
        <w:spacing w:line="360" w:lineRule="auto"/>
        <w:jc w:val="both"/>
        <w:rPr>
          <w:rFonts w:ascii="黑体" w:eastAsia="黑体"/>
          <w:color w:val="auto"/>
          <w:sz w:val="44"/>
          <w:szCs w:val="44"/>
          <w:highlight w:val="none"/>
        </w:rPr>
      </w:pPr>
    </w:p>
    <w:p w14:paraId="0900D5BF">
      <w:pPr>
        <w:rPr>
          <w:rFonts w:hint="eastAsia" w:ascii="仿宋" w:hAnsi="仿宋" w:eastAsia="仿宋" w:cs="仿宋"/>
          <w:color w:val="auto"/>
          <w:sz w:val="44"/>
          <w:szCs w:val="44"/>
          <w:highlight w:val="none"/>
        </w:rPr>
      </w:pPr>
    </w:p>
    <w:p w14:paraId="61FFDF99">
      <w:pPr>
        <w:pageBreakBefore w:val="0"/>
        <w:kinsoku/>
        <w:wordWrap/>
        <w:overflowPunct/>
        <w:topLinePunct w:val="0"/>
        <w:bidi w:val="0"/>
        <w:spacing w:line="324" w:lineRule="auto"/>
        <w:ind w:left="420" w:leftChars="200"/>
        <w:textAlignment w:val="auto"/>
        <w:rPr>
          <w:rFonts w:hint="eastAsia" w:ascii="仿宋" w:hAnsi="仿宋" w:eastAsia="仿宋" w:cs="仿宋"/>
          <w:i/>
          <w:iCs/>
          <w:color w:val="auto"/>
          <w:sz w:val="21"/>
          <w:szCs w:val="21"/>
          <w:highlight w:val="none"/>
        </w:rPr>
      </w:pPr>
      <w:r>
        <w:rPr>
          <w:rFonts w:hint="eastAsia" w:ascii="仿宋" w:hAnsi="仿宋" w:eastAsia="仿宋" w:cs="仿宋"/>
          <w:color w:val="auto"/>
          <w:kern w:val="0"/>
          <w:sz w:val="21"/>
          <w:szCs w:val="21"/>
          <w:highlight w:val="none"/>
        </w:rPr>
        <w:t>项目名称：</w:t>
      </w:r>
      <w:r>
        <w:rPr>
          <w:rFonts w:hint="eastAsia" w:ascii="仿宋" w:hAnsi="仿宋" w:eastAsia="仿宋" w:cs="仿宋"/>
          <w:color w:val="auto"/>
          <w:sz w:val="21"/>
          <w:szCs w:val="21"/>
          <w:highlight w:val="none"/>
          <w:u w:val="single"/>
        </w:rPr>
        <w:t xml:space="preserve">                  </w:t>
      </w:r>
      <w:r>
        <w:rPr>
          <w:rFonts w:hint="eastAsia" w:ascii="仿宋" w:hAnsi="仿宋" w:eastAsia="仿宋" w:cs="仿宋"/>
          <w:i/>
          <w:iCs/>
          <w:color w:val="auto"/>
          <w:sz w:val="21"/>
          <w:szCs w:val="21"/>
          <w:highlight w:val="none"/>
        </w:rPr>
        <w:t>（分包项目须填写完整的分包号及分包名称）</w:t>
      </w:r>
    </w:p>
    <w:p w14:paraId="7F7FB719">
      <w:pPr>
        <w:pageBreakBefore w:val="0"/>
        <w:kinsoku/>
        <w:wordWrap/>
        <w:overflowPunct/>
        <w:topLinePunct w:val="0"/>
        <w:bidi w:val="0"/>
        <w:spacing w:line="324" w:lineRule="auto"/>
        <w:ind w:left="420" w:left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项目编号：</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637A6C68">
      <w:pPr>
        <w:pageBreakBefore w:val="0"/>
        <w:kinsoku/>
        <w:wordWrap/>
        <w:overflowPunct/>
        <w:topLinePunct w:val="0"/>
        <w:bidi w:val="0"/>
        <w:spacing w:line="324" w:lineRule="auto"/>
        <w:ind w:left="420" w:leftChars="200"/>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合同编号：</w:t>
      </w:r>
      <w:r>
        <w:rPr>
          <w:rFonts w:hint="eastAsia" w:ascii="仿宋" w:hAnsi="仿宋" w:eastAsia="仿宋" w:cs="仿宋"/>
          <w:color w:val="auto"/>
          <w:sz w:val="21"/>
          <w:szCs w:val="21"/>
          <w:highlight w:val="none"/>
          <w:u w:val="single"/>
        </w:rPr>
        <w:t xml:space="preserve">                             </w:t>
      </w:r>
    </w:p>
    <w:p w14:paraId="19958308">
      <w:pPr>
        <w:pageBreakBefore w:val="0"/>
        <w:kinsoku/>
        <w:wordWrap/>
        <w:overflowPunct/>
        <w:topLinePunct w:val="0"/>
        <w:bidi w:val="0"/>
        <w:spacing w:line="324" w:lineRule="auto"/>
        <w:ind w:left="420" w:left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甲方（采购人）：</w:t>
      </w:r>
      <w:r>
        <w:rPr>
          <w:rFonts w:hint="eastAsia" w:ascii="仿宋" w:hAnsi="仿宋" w:eastAsia="仿宋" w:cs="仿宋"/>
          <w:color w:val="auto"/>
          <w:sz w:val="21"/>
          <w:szCs w:val="21"/>
          <w:highlight w:val="none"/>
          <w:u w:val="single"/>
        </w:rPr>
        <w:t xml:space="preserve">                       </w:t>
      </w:r>
    </w:p>
    <w:p w14:paraId="38AFA93C">
      <w:pPr>
        <w:pageBreakBefore w:val="0"/>
        <w:kinsoku/>
        <w:wordWrap/>
        <w:overflowPunct/>
        <w:topLinePunct w:val="0"/>
        <w:bidi w:val="0"/>
        <w:spacing w:line="324" w:lineRule="auto"/>
        <w:ind w:left="420" w:leftChars="200"/>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乙方（中标人）：</w:t>
      </w:r>
      <w:r>
        <w:rPr>
          <w:rFonts w:hint="eastAsia" w:ascii="仿宋" w:hAnsi="仿宋" w:eastAsia="仿宋" w:cs="仿宋"/>
          <w:color w:val="auto"/>
          <w:sz w:val="21"/>
          <w:szCs w:val="21"/>
          <w:highlight w:val="none"/>
          <w:u w:val="single"/>
        </w:rPr>
        <w:t xml:space="preserve">                       </w:t>
      </w:r>
    </w:p>
    <w:p w14:paraId="0160C143">
      <w:pPr>
        <w:pageBreakBefore w:val="0"/>
        <w:kinsoku/>
        <w:wordWrap/>
        <w:overflowPunct/>
        <w:topLinePunct w:val="0"/>
        <w:bidi w:val="0"/>
        <w:spacing w:line="324" w:lineRule="auto"/>
        <w:ind w:left="420" w:leftChars="200"/>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签订时间：</w:t>
      </w:r>
      <w:r>
        <w:rPr>
          <w:rFonts w:hint="eastAsia" w:ascii="仿宋" w:hAnsi="仿宋" w:eastAsia="仿宋" w:cs="仿宋"/>
          <w:color w:val="auto"/>
          <w:sz w:val="21"/>
          <w:szCs w:val="21"/>
          <w:highlight w:val="none"/>
          <w:u w:val="single"/>
        </w:rPr>
        <w:t xml:space="preserve">                             </w:t>
      </w:r>
    </w:p>
    <w:p w14:paraId="03C5D925">
      <w:pPr>
        <w:pageBreakBefore w:val="0"/>
        <w:kinsoku/>
        <w:wordWrap/>
        <w:overflowPunct/>
        <w:topLinePunct w:val="0"/>
        <w:bidi w:val="0"/>
        <w:spacing w:line="324" w:lineRule="auto"/>
        <w:ind w:left="420" w:leftChars="200"/>
        <w:textAlignment w:val="auto"/>
        <w:rPr>
          <w:rFonts w:hint="eastAsia" w:ascii="仿宋" w:hAnsi="仿宋" w:eastAsia="仿宋" w:cs="仿宋"/>
          <w:color w:val="auto"/>
          <w:sz w:val="21"/>
          <w:szCs w:val="21"/>
          <w:highlight w:val="none"/>
          <w:u w:val="single"/>
        </w:rPr>
      </w:pPr>
    </w:p>
    <w:p w14:paraId="30A6ABD9">
      <w:pPr>
        <w:pageBreakBefore w:val="0"/>
        <w:kinsoku/>
        <w:wordWrap/>
        <w:overflowPunct/>
        <w:topLinePunct w:val="0"/>
        <w:bidi w:val="0"/>
        <w:spacing w:line="324" w:lineRule="auto"/>
        <w:ind w:left="420" w:leftChars="200"/>
        <w:textAlignment w:val="auto"/>
        <w:rPr>
          <w:rFonts w:hint="eastAsia" w:ascii="仿宋" w:hAnsi="仿宋" w:eastAsia="仿宋" w:cs="仿宋"/>
          <w:color w:val="auto"/>
          <w:sz w:val="21"/>
          <w:szCs w:val="21"/>
          <w:highlight w:val="none"/>
          <w:u w:val="single"/>
        </w:rPr>
      </w:pPr>
    </w:p>
    <w:p w14:paraId="02152A20">
      <w:pPr>
        <w:pageBreakBefore w:val="0"/>
        <w:kinsoku/>
        <w:wordWrap/>
        <w:overflowPunct/>
        <w:topLinePunct w:val="0"/>
        <w:bidi w:val="0"/>
        <w:spacing w:line="324" w:lineRule="auto"/>
        <w:ind w:left="420" w:leftChars="200"/>
        <w:textAlignment w:val="auto"/>
        <w:rPr>
          <w:rFonts w:hint="eastAsia" w:ascii="仿宋" w:hAnsi="仿宋" w:eastAsia="仿宋" w:cs="仿宋"/>
          <w:color w:val="auto"/>
          <w:sz w:val="21"/>
          <w:szCs w:val="21"/>
          <w:highlight w:val="none"/>
          <w:u w:val="single"/>
        </w:rPr>
      </w:pPr>
    </w:p>
    <w:p w14:paraId="0A71B420">
      <w:pPr>
        <w:pageBreakBefore w:val="0"/>
        <w:kinsoku/>
        <w:wordWrap/>
        <w:overflowPunct/>
        <w:topLinePunct w:val="0"/>
        <w:bidi w:val="0"/>
        <w:spacing w:line="324" w:lineRule="auto"/>
        <w:ind w:left="420" w:leftChars="200"/>
        <w:jc w:val="center"/>
        <w:textAlignment w:val="auto"/>
        <w:rPr>
          <w:b/>
          <w:color w:val="auto"/>
          <w:sz w:val="21"/>
          <w:szCs w:val="21"/>
          <w:highlight w:val="none"/>
        </w:rPr>
      </w:pPr>
      <w:r>
        <w:rPr>
          <w:rFonts w:hint="eastAsia" w:ascii="仿宋" w:hAnsi="仿宋" w:eastAsia="仿宋" w:cs="仿宋"/>
          <w:color w:val="auto"/>
          <w:sz w:val="21"/>
          <w:szCs w:val="21"/>
          <w:highlight w:val="none"/>
          <w:u w:val="single"/>
        </w:rPr>
        <w:br w:type="page"/>
      </w:r>
      <w:r>
        <w:rPr>
          <w:rFonts w:hint="eastAsia"/>
          <w:b/>
          <w:color w:val="auto"/>
          <w:sz w:val="21"/>
          <w:szCs w:val="21"/>
          <w:highlight w:val="none"/>
        </w:rPr>
        <w:t>使 用 说 明</w:t>
      </w:r>
    </w:p>
    <w:p w14:paraId="757A22A9">
      <w:pPr>
        <w:pStyle w:val="2"/>
        <w:rPr>
          <w:color w:val="auto"/>
          <w:highlight w:val="none"/>
        </w:rPr>
      </w:pPr>
    </w:p>
    <w:p w14:paraId="28EE84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1.本合同标准文本适用于购买现成货物的采购项目，不包括需要供应商定制开发、创新研发的货物采购项目。</w:t>
      </w:r>
    </w:p>
    <w:p w14:paraId="5BCBAE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2.本合同标准文本为政府采购货物买卖合同编制提供参考，可以结合采购项目具体情况，对文本作必要的调整修订后使用。</w:t>
      </w:r>
    </w:p>
    <w:p w14:paraId="458DF4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3.本合同标准文本各条款中，如涉及填写多家供应商、制造商，多种采购标的、分包主要内容等信息的，可根据采购项目具体情况添加信息项。</w:t>
      </w:r>
    </w:p>
    <w:p w14:paraId="0E8E6E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p>
    <w:p w14:paraId="4C48F546">
      <w:pPr>
        <w:rPr>
          <w:rFonts w:hint="eastAsia" w:ascii="宋体" w:hAnsi="宋体"/>
          <w:b/>
          <w:color w:val="auto"/>
          <w:szCs w:val="21"/>
          <w:highlight w:val="none"/>
        </w:rPr>
      </w:pPr>
      <w:r>
        <w:rPr>
          <w:rFonts w:hint="eastAsia" w:ascii="宋体" w:hAnsi="宋体"/>
          <w:b/>
          <w:color w:val="auto"/>
          <w:szCs w:val="21"/>
          <w:highlight w:val="none"/>
        </w:rPr>
        <w:br w:type="page"/>
      </w:r>
    </w:p>
    <w:p w14:paraId="4FE8AE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第一节 政府采购合同协议书</w:t>
      </w:r>
    </w:p>
    <w:p w14:paraId="6D577E3B">
      <w:pPr>
        <w:keepNext w:val="0"/>
        <w:keepLines w:val="0"/>
        <w:pageBreakBefore w:val="0"/>
        <w:kinsoku/>
        <w:wordWrap/>
        <w:overflowPunct/>
        <w:topLinePunct w:val="0"/>
        <w:bidi w:val="0"/>
        <w:adjustRightInd w:val="0"/>
        <w:snapToGrid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甲甲方（全称）：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（采购人</w:t>
      </w:r>
      <w:r>
        <w:rPr>
          <w:rFonts w:hint="eastAsia" w:ascii="仿宋" w:hAnsi="仿宋" w:eastAsia="仿宋" w:cs="仿宋"/>
          <w:color w:val="000000" w:themeColor="text1"/>
          <w:sz w:val="21"/>
          <w:szCs w:val="21"/>
          <w:highlight w:val="none"/>
          <w:lang w:eastAsia="zh-CN"/>
          <w14:textFill>
            <w14:solidFill>
              <w14:schemeClr w14:val="tx1"/>
            </w14:solidFill>
          </w14:textFill>
        </w:rPr>
        <w:t>、受采购人委托签订合同的单位</w:t>
      </w:r>
      <w:r>
        <w:rPr>
          <w:rFonts w:hint="eastAsia" w:ascii="仿宋" w:hAnsi="仿宋" w:eastAsia="仿宋" w:cs="仿宋"/>
          <w:color w:val="000000" w:themeColor="text1"/>
          <w:sz w:val="21"/>
          <w:szCs w:val="21"/>
          <w:highlight w:val="none"/>
          <w14:textFill>
            <w14:solidFill>
              <w14:schemeClr w14:val="tx1"/>
            </w14:solidFill>
          </w14:textFill>
        </w:rPr>
        <w:t>或采购文件约定的合同甲方）</w:t>
      </w:r>
    </w:p>
    <w:p w14:paraId="3C178FAE">
      <w:pPr>
        <w:keepNext w:val="0"/>
        <w:keepLines w:val="0"/>
        <w:pageBreakBefore w:val="0"/>
        <w:kinsoku/>
        <w:wordWrap/>
        <w:overflowPunct/>
        <w:topLinePunct w:val="0"/>
        <w:bidi w:val="0"/>
        <w:adjustRightInd w:val="0"/>
        <w:snapToGrid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乙方（全称）：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成交供应商</w:t>
      </w:r>
      <w:r>
        <w:rPr>
          <w:rFonts w:hint="eastAsia" w:ascii="仿宋" w:hAnsi="仿宋" w:eastAsia="仿宋" w:cs="仿宋"/>
          <w:color w:val="000000" w:themeColor="text1"/>
          <w:sz w:val="21"/>
          <w:szCs w:val="21"/>
          <w:highlight w:val="none"/>
          <w14:textFill>
            <w14:solidFill>
              <w14:schemeClr w14:val="tx1"/>
            </w14:solidFill>
          </w14:textFill>
        </w:rPr>
        <w:t>）</w:t>
      </w:r>
    </w:p>
    <w:p w14:paraId="4FA4BD5D">
      <w:pPr>
        <w:pStyle w:val="4"/>
        <w:keepNext w:val="0"/>
        <w:keepLines w:val="0"/>
        <w:pageBreakBefore w:val="0"/>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依据《中华人民共和国民法典</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中华人民共和国政府采购法》等有关的法律法规，以及</w:t>
      </w:r>
      <w:r>
        <w:rPr>
          <w:rFonts w:hint="eastAsia" w:ascii="仿宋" w:hAnsi="仿宋" w:eastAsia="仿宋" w:cs="仿宋"/>
          <w:i w:val="0"/>
          <w:iCs w:val="0"/>
          <w:color w:val="000000" w:themeColor="text1"/>
          <w:sz w:val="21"/>
          <w:szCs w:val="21"/>
          <w:highlight w:val="none"/>
          <w:u w:val="none"/>
          <w:lang w:eastAsia="zh-CN"/>
          <w14:textFill>
            <w14:solidFill>
              <w14:schemeClr w14:val="tx1"/>
            </w14:solidFill>
          </w14:textFill>
        </w:rPr>
        <w:t>本采购项目</w:t>
      </w:r>
      <w:r>
        <w:rPr>
          <w:rFonts w:hint="eastAsia" w:ascii="仿宋" w:hAnsi="仿宋" w:eastAsia="仿宋" w:cs="仿宋"/>
          <w:color w:val="000000" w:themeColor="text1"/>
          <w:sz w:val="21"/>
          <w:szCs w:val="21"/>
          <w:highlight w:val="none"/>
          <w14:textFill>
            <w14:solidFill>
              <w14:schemeClr w14:val="tx1"/>
            </w14:solidFill>
          </w14:textFill>
        </w:rPr>
        <w:t>的采购文件</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乙方的《</w:t>
      </w:r>
      <w:r>
        <w:rPr>
          <w:rFonts w:hint="eastAsia" w:ascii="仿宋" w:hAnsi="仿宋" w:eastAsia="仿宋" w:cs="仿宋"/>
          <w:color w:val="000000" w:themeColor="text1"/>
          <w:sz w:val="21"/>
          <w:szCs w:val="21"/>
          <w:highlight w:val="none"/>
          <w:lang w:eastAsia="zh-CN"/>
          <w14:textFill>
            <w14:solidFill>
              <w14:schemeClr w14:val="tx1"/>
            </w14:solidFill>
          </w14:textFill>
        </w:rPr>
        <w:t>响应文件</w:t>
      </w:r>
      <w:r>
        <w:rPr>
          <w:rFonts w:hint="eastAsia" w:ascii="仿宋" w:hAnsi="仿宋" w:eastAsia="仿宋" w:cs="仿宋"/>
          <w:color w:val="000000" w:themeColor="text1"/>
          <w:sz w:val="21"/>
          <w:szCs w:val="21"/>
          <w:highlight w:val="none"/>
          <w14:textFill>
            <w14:solidFill>
              <w14:schemeClr w14:val="tx1"/>
            </w14:solidFill>
          </w14:textFill>
        </w:rPr>
        <w:t xml:space="preserve">》及《中标通知书》，甲乙双方同意签订本合同。具体情况及要求如下：     </w:t>
      </w:r>
    </w:p>
    <w:p w14:paraId="560BA935">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1.</w:t>
      </w:r>
      <w:r>
        <w:rPr>
          <w:rFonts w:hint="eastAsia" w:ascii="仿宋" w:hAnsi="仿宋" w:eastAsia="仿宋" w:cs="仿宋"/>
          <w:b/>
          <w:color w:val="000000" w:themeColor="text1"/>
          <w:sz w:val="21"/>
          <w:szCs w:val="21"/>
          <w:highlight w:val="none"/>
          <w14:textFill>
            <w14:solidFill>
              <w14:schemeClr w14:val="tx1"/>
            </w14:solidFill>
          </w14:textFill>
        </w:rPr>
        <w:t>项目信息</w:t>
      </w:r>
    </w:p>
    <w:p w14:paraId="4BF89AA3">
      <w:pPr>
        <w:pStyle w:val="4"/>
        <w:keepNext w:val="0"/>
        <w:keepLines w:val="0"/>
        <w:pageBreakBefore w:val="0"/>
        <w:numPr>
          <w:ilvl w:val="0"/>
          <w:numId w:val="1"/>
        </w:numPr>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采购项目名称：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w:t>
      </w:r>
    </w:p>
    <w:p w14:paraId="289D4FA0">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采购</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w:t>
      </w:r>
    </w:p>
    <w:p w14:paraId="2715481D">
      <w:pPr>
        <w:pStyle w:val="4"/>
        <w:keepNext w:val="0"/>
        <w:keepLines w:val="0"/>
        <w:pageBreakBefore w:val="0"/>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（2）采购计划编号：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73013B3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（3）项目内容：</w:t>
      </w:r>
    </w:p>
    <w:p w14:paraId="4B569C94">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采购标的及</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数量</w:t>
      </w:r>
      <w:r>
        <w:rPr>
          <w:rFonts w:hint="eastAsia" w:ascii="仿宋" w:hAnsi="仿宋" w:eastAsia="仿宋" w:cs="仿宋"/>
          <w:color w:val="000000" w:themeColor="text1"/>
          <w:sz w:val="21"/>
          <w:szCs w:val="21"/>
          <w:highlight w:val="none"/>
          <w:lang w:val="en-US" w:eastAsia="zh-CN"/>
          <w14:textFill>
            <w14:solidFill>
              <w14:schemeClr w14:val="tx1"/>
            </w14:solidFill>
          </w14:textFill>
        </w:rPr>
        <w:t>（台/套</w:t>
      </w:r>
      <w:r>
        <w:rPr>
          <w:rFonts w:hint="eastAsia" w:ascii="仿宋" w:hAnsi="仿宋" w:eastAsia="仿宋" w:cs="仿宋"/>
          <w:color w:val="000000" w:themeColor="text1"/>
          <w:sz w:val="21"/>
          <w:szCs w:val="21"/>
          <w:highlight w:val="none"/>
          <w:lang w:val="en" w:eastAsia="zh-CN"/>
          <w14:textFill>
            <w14:solidFill>
              <w14:schemeClr w14:val="tx1"/>
            </w14:solidFill>
          </w14:textFill>
        </w:rPr>
        <w:t>/个/架/组等</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3E17162A">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规格型号：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p>
    <w:p w14:paraId="75DB62D0">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采购标的的技术要求、商务要求具体见附件。</w:t>
      </w:r>
    </w:p>
    <w:p w14:paraId="608FD289">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①涉及信息类产品，请填写该产品关键部件的品牌、型号：</w:t>
      </w:r>
    </w:p>
    <w:p w14:paraId="00BEF5A1">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标的名称：</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p>
    <w:p w14:paraId="6FC02397">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p w14:paraId="3AD9ED9B">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p w14:paraId="4849C26C">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72E7B98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（注：关键部件是指财政部会同有关部门发布的政府采购需求标准规定的需要通过国家有关部门指定的测评机构开展的安全可靠测评的软硬件，如CPU芯片、操作系统、数据库等。）</w:t>
      </w:r>
    </w:p>
    <w:p w14:paraId="089FC354">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②涉及车辆采购，请填写是否属于新能源汽车：</w:t>
      </w:r>
    </w:p>
    <w:p w14:paraId="1D006B6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，《政府采购品目</w:t>
      </w:r>
      <w:r>
        <w:rPr>
          <w:rFonts w:hint="eastAsia" w:ascii="仿宋" w:hAnsi="仿宋" w:eastAsia="仿宋" w:cs="仿宋"/>
          <w:color w:val="000000" w:themeColor="text1"/>
          <w:sz w:val="21"/>
          <w:szCs w:val="21"/>
          <w:highlight w:val="none"/>
          <w:lang w:val="en-US" w:eastAsia="zh-CN"/>
          <w14:textFill>
            <w14:solidFill>
              <w14:schemeClr w14:val="tx1"/>
            </w14:solidFill>
          </w14:textFill>
        </w:rPr>
        <w:t>分类</w:t>
      </w:r>
      <w:r>
        <w:rPr>
          <w:rFonts w:hint="eastAsia" w:ascii="仿宋" w:hAnsi="仿宋" w:eastAsia="仿宋" w:cs="仿宋"/>
          <w:iCs w:val="0"/>
          <w:color w:val="000000" w:themeColor="text1"/>
          <w:sz w:val="21"/>
          <w:szCs w:val="21"/>
          <w:highlight w:val="none"/>
          <w:lang w:eastAsia="zh-CN"/>
          <w14:textFill>
            <w14:solidFill>
              <w14:schemeClr w14:val="tx1"/>
            </w14:solidFill>
          </w14:textFill>
        </w:rPr>
        <w:t>目录》底级品目名称</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数量：</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金额：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p>
    <w:p w14:paraId="142C5D81">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否</w:t>
      </w:r>
    </w:p>
    <w:p w14:paraId="5F5C1B7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iCs w:val="0"/>
          <w:color w:val="000000" w:themeColor="text1"/>
          <w:sz w:val="21"/>
          <w:szCs w:val="21"/>
          <w:highlight w:val="none"/>
          <w:lang w:val="en" w:eastAsia="zh-CN"/>
          <w14:textFill>
            <w14:solidFill>
              <w14:schemeClr w14:val="tx1"/>
            </w14:solidFill>
          </w14:textFill>
        </w:rPr>
        <w:t>4</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）政府采购组织形式：</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政府集中采购</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部门集中采购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分散采购</w:t>
      </w:r>
    </w:p>
    <w:p w14:paraId="34FEBD9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iCs w:val="0"/>
          <w:color w:val="000000" w:themeColor="text1"/>
          <w:sz w:val="21"/>
          <w:szCs w:val="21"/>
          <w:highlight w:val="none"/>
          <w:lang w:val="en" w:eastAsia="zh-CN"/>
          <w14:textFill>
            <w14:solidFill>
              <w14:schemeClr w14:val="tx1"/>
            </w14:solidFill>
          </w14:textFill>
        </w:rPr>
        <w:t>5</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）政府采购方式：</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公开招标</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邀请招标</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竞争性谈判</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竞争性磋商</w:t>
      </w:r>
    </w:p>
    <w:p w14:paraId="1A7F9C03">
      <w:pPr>
        <w:pStyle w:val="8"/>
        <w:keepNext w:val="0"/>
        <w:keepLines w:val="0"/>
        <w:pageBreakBefore w:val="0"/>
        <w:numPr>
          <w:ilvl w:val="0"/>
          <w:numId w:val="0"/>
        </w:numPr>
        <w:kinsoku/>
        <w:wordWrap/>
        <w:overflowPunct/>
        <w:topLinePunct w:val="0"/>
        <w:bidi w:val="0"/>
        <w:adjustRightInd w:val="0"/>
        <w:snapToGrid w:val="0"/>
        <w:spacing w:line="300" w:lineRule="auto"/>
        <w:ind w:left="0" w:firstLine="420" w:firstLineChars="0"/>
        <w:textAlignment w:val="auto"/>
        <w:rPr>
          <w:rFonts w:hint="eastAsia" w:ascii="仿宋" w:hAnsi="仿宋" w:eastAsia="仿宋" w:cs="仿宋"/>
          <w:iCs w:val="0"/>
          <w:color w:val="000000" w:themeColor="text1"/>
          <w:sz w:val="21"/>
          <w:szCs w:val="21"/>
          <w:highlight w:val="none"/>
          <w:u w:val="single"/>
          <w:lang w:val="en-US" w:eastAsia="zh-CN"/>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询价</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单一来源</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框架协议</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其他：</w:t>
      </w:r>
      <w:r>
        <w:rPr>
          <w:rFonts w:hint="eastAsia" w:ascii="仿宋" w:hAnsi="仿宋" w:eastAsia="仿宋" w:cs="仿宋"/>
          <w:iCs w:val="0"/>
          <w:color w:val="000000" w:themeColor="text1"/>
          <w:sz w:val="21"/>
          <w:szCs w:val="21"/>
          <w:highlight w:val="none"/>
          <w:u w:val="single"/>
          <w:lang w:val="en-US" w:eastAsia="zh-CN"/>
          <w14:textFill>
            <w14:solidFill>
              <w14:schemeClr w14:val="tx1"/>
            </w14:solidFill>
          </w14:textFill>
        </w:rPr>
        <w:t xml:space="preserve">          </w:t>
      </w:r>
    </w:p>
    <w:p w14:paraId="6EB409A3">
      <w:pPr>
        <w:pStyle w:val="8"/>
        <w:keepNext w:val="0"/>
        <w:keepLines w:val="0"/>
        <w:pageBreakBefore w:val="0"/>
        <w:numPr>
          <w:ilvl w:val="0"/>
          <w:numId w:val="0"/>
        </w:numPr>
        <w:kinsoku/>
        <w:wordWrap/>
        <w:overflowPunct/>
        <w:topLinePunct w:val="0"/>
        <w:bidi w:val="0"/>
        <w:adjustRightInd w:val="0"/>
        <w:snapToGrid w:val="0"/>
        <w:spacing w:line="300" w:lineRule="auto"/>
        <w:ind w:left="0" w:firstLine="420" w:firstLineChars="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u w:val="none"/>
          <w:lang w:val="en-US" w:eastAsia="zh-CN"/>
          <w14:textFill>
            <w14:solidFill>
              <w14:schemeClr w14:val="tx1"/>
            </w14:solidFill>
          </w14:textFill>
        </w:rPr>
        <w:t>（注：在框架协议采购的第二阶段，可选择使用该合同文本）</w:t>
      </w:r>
    </w:p>
    <w:p w14:paraId="5E17D24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val="en" w:eastAsia="zh-CN"/>
          <w14:textFill>
            <w14:solidFill>
              <w14:schemeClr w14:val="tx1"/>
            </w14:solidFill>
          </w14:textFill>
        </w:rPr>
        <w:t>6</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中标（成交）采购标的制造商是否为中小企业：</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sym w:font="Wingdings" w:char="00A8"/>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 xml:space="preserve">是      </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sym w:font="Wingdings" w:char="00A8"/>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否</w:t>
      </w:r>
    </w:p>
    <w:p w14:paraId="050D42DD">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w w:val="100"/>
          <w:sz w:val="21"/>
          <w:szCs w:val="21"/>
          <w:highlight w:val="none"/>
          <w:lang w:val="en-US" w:eastAsia="zh-CN"/>
          <w14:textFill>
            <w14:solidFill>
              <w14:schemeClr w14:val="tx1"/>
            </w14:solidFill>
          </w14:textFill>
        </w:rPr>
        <w:t>本合同</w:t>
      </w:r>
      <w:r>
        <w:rPr>
          <w:rFonts w:hint="eastAsia" w:ascii="仿宋" w:hAnsi="仿宋" w:eastAsia="仿宋" w:cs="仿宋"/>
          <w:color w:val="000000" w:themeColor="text1"/>
          <w:w w:val="100"/>
          <w:sz w:val="21"/>
          <w:szCs w:val="21"/>
          <w:highlight w:val="none"/>
          <w14:textFill>
            <w14:solidFill>
              <w14:schemeClr w14:val="tx1"/>
            </w14:solidFill>
          </w14:textFill>
        </w:rPr>
        <w:t>是否</w:t>
      </w:r>
      <w:r>
        <w:rPr>
          <w:rFonts w:hint="eastAsia" w:ascii="仿宋" w:hAnsi="仿宋" w:eastAsia="仿宋" w:cs="仿宋"/>
          <w:color w:val="000000" w:themeColor="text1"/>
          <w:w w:val="100"/>
          <w:sz w:val="21"/>
          <w:szCs w:val="21"/>
          <w:highlight w:val="none"/>
          <w:lang w:eastAsia="zh-CN"/>
          <w14:textFill>
            <w14:solidFill>
              <w14:schemeClr w14:val="tx1"/>
            </w14:solidFill>
          </w14:textFill>
        </w:rPr>
        <w:t>为专门面向</w:t>
      </w:r>
      <w:r>
        <w:rPr>
          <w:rFonts w:hint="eastAsia" w:ascii="仿宋" w:hAnsi="仿宋" w:eastAsia="仿宋" w:cs="仿宋"/>
          <w:color w:val="000000" w:themeColor="text1"/>
          <w:w w:val="100"/>
          <w:sz w:val="21"/>
          <w:szCs w:val="21"/>
          <w:highlight w:val="none"/>
          <w14:textFill>
            <w14:solidFill>
              <w14:schemeClr w14:val="tx1"/>
            </w14:solidFill>
          </w14:textFill>
        </w:rPr>
        <w:t>中小企业</w:t>
      </w:r>
      <w:r>
        <w:rPr>
          <w:rFonts w:hint="eastAsia" w:ascii="仿宋" w:hAnsi="仿宋" w:eastAsia="仿宋" w:cs="仿宋"/>
          <w:color w:val="000000" w:themeColor="text1"/>
          <w:w w:val="100"/>
          <w:sz w:val="21"/>
          <w:szCs w:val="21"/>
          <w:highlight w:val="none"/>
          <w:lang w:eastAsia="zh-CN"/>
          <w14:textFill>
            <w14:solidFill>
              <w14:schemeClr w14:val="tx1"/>
            </w14:solidFill>
          </w14:textFill>
        </w:rPr>
        <w:t>的采</w:t>
      </w:r>
      <w:r>
        <w:rPr>
          <w:rFonts w:hint="eastAsia" w:ascii="仿宋" w:hAnsi="仿宋" w:eastAsia="仿宋" w:cs="仿宋"/>
          <w:color w:val="000000" w:themeColor="text1"/>
          <w:w w:val="100"/>
          <w:sz w:val="21"/>
          <w:szCs w:val="21"/>
          <w:highlight w:val="none"/>
          <w:shd w:val="clear" w:color="auto" w:fill="auto"/>
          <w:lang w:eastAsia="zh-CN"/>
          <w14:textFill>
            <w14:solidFill>
              <w14:schemeClr w14:val="tx1"/>
            </w14:solidFill>
          </w14:textFill>
        </w:rPr>
        <w:t>购</w:t>
      </w:r>
      <w:r>
        <w:rPr>
          <w:rFonts w:hint="eastAsia" w:ascii="仿宋" w:hAnsi="仿宋" w:eastAsia="仿宋" w:cs="仿宋"/>
          <w:color w:val="000000" w:themeColor="text1"/>
          <w:w w:val="100"/>
          <w:sz w:val="21"/>
          <w:szCs w:val="21"/>
          <w:highlight w:val="none"/>
          <w:shd w:val="clear" w:color="auto" w:fill="auto"/>
          <w14:textFill>
            <w14:solidFill>
              <w14:schemeClr w14:val="tx1"/>
            </w14:solidFill>
          </w14:textFill>
        </w:rPr>
        <w:t>合同</w:t>
      </w:r>
      <w:r>
        <w:rPr>
          <w:rFonts w:hint="eastAsia" w:ascii="仿宋" w:hAnsi="仿宋" w:eastAsia="仿宋" w:cs="仿宋"/>
          <w:color w:val="000000" w:themeColor="text1"/>
          <w:w w:val="100"/>
          <w:sz w:val="21"/>
          <w:szCs w:val="21"/>
          <w:highlight w:val="none"/>
          <w:shd w:val="clear" w:color="auto" w:fill="auto"/>
          <w:lang w:eastAsia="zh-CN"/>
          <w14:textFill>
            <w14:solidFill>
              <w14:schemeClr w14:val="tx1"/>
            </w14:solidFill>
          </w14:textFill>
        </w:rPr>
        <w:t>（中小企业预留合同）</w:t>
      </w:r>
      <w:r>
        <w:rPr>
          <w:rFonts w:hint="eastAsia" w:ascii="仿宋" w:hAnsi="仿宋" w:eastAsia="仿宋" w:cs="仿宋"/>
          <w:color w:val="000000" w:themeColor="text1"/>
          <w:sz w:val="21"/>
          <w:szCs w:val="21"/>
          <w:highlight w:val="none"/>
          <w:shd w:val="clear" w:color="auto" w:fill="auto"/>
          <w14:textFill>
            <w14:solidFill>
              <w14:schemeClr w14:val="tx1"/>
            </w14:solidFill>
          </w14:textFill>
        </w:rPr>
        <w:t>：</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61F0E2E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若本项目不专门面向中小企业采购，是否给予小微企业评审优惠：</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239EEC6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中标（成交）采购标的制造商是否为残疾人福利性单位：</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是   </w:t>
      </w:r>
      <w:r>
        <w:rPr>
          <w:rFonts w:hint="eastAsia" w:ascii="仿宋" w:hAnsi="仿宋" w:eastAsia="仿宋" w:cs="仿宋"/>
          <w:color w:val="000000" w:themeColor="text1"/>
          <w:sz w:val="21"/>
          <w:szCs w:val="21"/>
          <w:highlight w:val="none"/>
          <w:lang w:val="en-US" w:eastAsia="zh-CN"/>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112404AE">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中标（成交）采购标的制造商是否为监狱企业：</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64893852">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）合同是否分包：</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2E4810BF">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分包主要内容：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716C76E">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w:t>
      </w:r>
      <w:r>
        <w:rPr>
          <w:rFonts w:hint="eastAsia" w:ascii="仿宋" w:hAnsi="仿宋" w:eastAsia="仿宋" w:cs="仿宋"/>
          <w:color w:val="000000" w:themeColor="text1"/>
          <w:sz w:val="21"/>
          <w:szCs w:val="21"/>
          <w:highlight w:val="none"/>
          <w:lang w:val="en-US" w:eastAsia="zh-CN"/>
          <w14:textFill>
            <w14:solidFill>
              <w14:schemeClr w14:val="tx1"/>
            </w14:solidFill>
          </w14:textFill>
        </w:rPr>
        <w:t>供应商</w:t>
      </w:r>
      <w:r>
        <w:rPr>
          <w:rFonts w:hint="eastAsia" w:ascii="仿宋" w:hAnsi="仿宋" w:eastAsia="仿宋" w:cs="仿宋"/>
          <w:color w:val="000000" w:themeColor="text1"/>
          <w:sz w:val="21"/>
          <w:szCs w:val="21"/>
          <w:highlight w:val="none"/>
          <w:lang w:eastAsia="zh-CN"/>
          <w14:textFill>
            <w14:solidFill>
              <w14:schemeClr w14:val="tx1"/>
            </w14:solidFill>
          </w14:textFill>
        </w:rPr>
        <w:t>/制造商</w:t>
      </w:r>
      <w:r>
        <w:rPr>
          <w:rFonts w:hint="eastAsia" w:ascii="仿宋" w:hAnsi="仿宋" w:eastAsia="仿宋" w:cs="仿宋"/>
          <w:color w:val="000000" w:themeColor="text1"/>
          <w:sz w:val="21"/>
          <w:szCs w:val="21"/>
          <w:highlight w:val="none"/>
          <w14:textFill>
            <w14:solidFill>
              <w14:schemeClr w14:val="tx1"/>
            </w14:solidFill>
          </w14:textFill>
        </w:rPr>
        <w:t>名称</w:t>
      </w:r>
      <w:r>
        <w:rPr>
          <w:rFonts w:hint="eastAsia" w:ascii="仿宋" w:hAnsi="仿宋" w:eastAsia="仿宋" w:cs="仿宋"/>
          <w:color w:val="000000" w:themeColor="text1"/>
          <w:sz w:val="21"/>
          <w:szCs w:val="21"/>
          <w:highlight w:val="none"/>
          <w:lang w:eastAsia="zh-CN"/>
          <w14:textFill>
            <w14:solidFill>
              <w14:schemeClr w14:val="tx1"/>
            </w14:solidFill>
          </w14:textFill>
        </w:rPr>
        <w:t>（如供应商和制造商不同，请分别填写）</w:t>
      </w:r>
      <w:r>
        <w:rPr>
          <w:rFonts w:hint="eastAsia" w:ascii="仿宋" w:hAnsi="仿宋" w:eastAsia="仿宋" w:cs="仿宋"/>
          <w:color w:val="000000" w:themeColor="text1"/>
          <w:sz w:val="21"/>
          <w:szCs w:val="21"/>
          <w:highlight w:val="none"/>
          <w14:textFill>
            <w14:solidFill>
              <w14:schemeClr w14:val="tx1"/>
            </w14:solidFill>
          </w14:textFill>
        </w:rPr>
        <w:t>：</w:t>
      </w:r>
    </w:p>
    <w:p w14:paraId="5ED4AAF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5412D0F3">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分包供应商</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制造商</w:t>
      </w:r>
      <w:r>
        <w:rPr>
          <w:rFonts w:hint="eastAsia" w:ascii="仿宋" w:hAnsi="仿宋" w:eastAsia="仿宋" w:cs="仿宋"/>
          <w:color w:val="000000" w:themeColor="text1"/>
          <w:sz w:val="21"/>
          <w:szCs w:val="21"/>
          <w:highlight w:val="none"/>
          <w14:textFill>
            <w14:solidFill>
              <w14:schemeClr w14:val="tx1"/>
            </w14:solidFill>
          </w14:textFill>
        </w:rPr>
        <w:t>类型</w:t>
      </w:r>
      <w:r>
        <w:rPr>
          <w:rFonts w:hint="eastAsia" w:ascii="仿宋" w:hAnsi="仿宋" w:eastAsia="仿宋" w:cs="仿宋"/>
          <w:color w:val="000000" w:themeColor="text1"/>
          <w:sz w:val="21"/>
          <w:szCs w:val="21"/>
          <w:highlight w:val="none"/>
          <w:lang w:eastAsia="zh-CN"/>
          <w14:textFill>
            <w14:solidFill>
              <w14:schemeClr w14:val="tx1"/>
            </w14:solidFill>
          </w14:textFill>
        </w:rPr>
        <w:t>（如果供应商和制造商不同，只填写制造商类型）</w:t>
      </w:r>
      <w:r>
        <w:rPr>
          <w:rFonts w:hint="eastAsia" w:ascii="仿宋" w:hAnsi="仿宋" w:eastAsia="仿宋" w:cs="仿宋"/>
          <w:color w:val="000000" w:themeColor="text1"/>
          <w:sz w:val="21"/>
          <w:szCs w:val="21"/>
          <w:highlight w:val="none"/>
          <w14:textFill>
            <w14:solidFill>
              <w14:schemeClr w14:val="tx1"/>
            </w14:solidFill>
          </w14:textFill>
        </w:rPr>
        <w:t>：</w:t>
      </w:r>
    </w:p>
    <w:p w14:paraId="6792BD3C">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大型企业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中型企业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小微型企业</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2A39D3A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残疾人福利性单位</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监狱</w:t>
      </w:r>
      <w:r>
        <w:rPr>
          <w:rFonts w:hint="eastAsia" w:ascii="仿宋" w:hAnsi="仿宋" w:eastAsia="仿宋" w:cs="仿宋"/>
          <w:iCs/>
          <w:color w:val="000000" w:themeColor="text1"/>
          <w:sz w:val="21"/>
          <w:szCs w:val="21"/>
          <w:highlight w:val="none"/>
          <w14:textFill>
            <w14:solidFill>
              <w14:schemeClr w14:val="tx1"/>
            </w14:solidFill>
          </w14:textFill>
        </w:rPr>
        <w:t>企业</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其他</w:t>
      </w:r>
    </w:p>
    <w:p w14:paraId="7BFD091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none"/>
          <w:lang w:val="en" w:eastAsia="zh-CN"/>
          <w14:textFill>
            <w14:solidFill>
              <w14:schemeClr w14:val="tx1"/>
            </w14:solidFill>
          </w14:textFill>
        </w:rPr>
        <w:t>8</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）中标（</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成交</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）供应商是否为外商投资企业：</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5153AC45">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外商投资企业类型：</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全部由外国投资者投资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val="en-US" w:eastAsia="zh-CN"/>
          <w14:textFill>
            <w14:solidFill>
              <w14:schemeClr w14:val="tx1"/>
            </w14:solidFill>
          </w14:textFill>
        </w:rPr>
        <w:t>部分由外国投资者投资</w:t>
      </w:r>
    </w:p>
    <w:p w14:paraId="75BCF94B">
      <w:pPr>
        <w:keepNext w:val="0"/>
        <w:keepLines w:val="0"/>
        <w:pageBreakBefore w:val="0"/>
        <w:numPr>
          <w:ilvl w:val="0"/>
          <w:numId w:val="0"/>
        </w:numPr>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b w:val="0"/>
          <w:bCs w:val="0"/>
          <w:color w:val="000000" w:themeColor="text1"/>
          <w:sz w:val="21"/>
          <w:szCs w:val="21"/>
          <w:highlight w:val="none"/>
          <w:u w:val="none"/>
          <w:lang w:val="en" w:eastAsia="zh-CN"/>
          <w14:textFill>
            <w14:solidFill>
              <w14:schemeClr w14:val="tx1"/>
            </w14:solidFill>
          </w14:textFill>
        </w:rPr>
        <w:t>9</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）是否涉及进口产品：</w:t>
      </w:r>
    </w:p>
    <w:p w14:paraId="50756ED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，《政府采购品目分类目录》底级品目名称</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金额：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2513A53B">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国别：</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规格型号：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t xml:space="preserve">      </w:t>
      </w:r>
    </w:p>
    <w:p w14:paraId="174A1D76">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否</w:t>
      </w:r>
    </w:p>
    <w:p w14:paraId="1D23F22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（1</w:t>
      </w:r>
      <w:r>
        <w:rPr>
          <w:rFonts w:hint="eastAsia" w:ascii="仿宋" w:hAnsi="仿宋" w:eastAsia="仿宋" w:cs="仿宋"/>
          <w:b w:val="0"/>
          <w:bCs w:val="0"/>
          <w:color w:val="000000" w:themeColor="text1"/>
          <w:sz w:val="21"/>
          <w:szCs w:val="21"/>
          <w:highlight w:val="none"/>
          <w:u w:val="none"/>
          <w:lang w:val="en" w:eastAsia="zh-CN"/>
          <w14:textFill>
            <w14:solidFill>
              <w14:schemeClr w14:val="tx1"/>
            </w14:solidFill>
          </w14:textFill>
        </w:rPr>
        <w:t>0</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是否</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涉及节能产品：</w:t>
      </w:r>
    </w:p>
    <w:p w14:paraId="6E0F9EBF">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，《节能产品政府采购品目清单》的底级品目名称：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771231AB">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12822FC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p>
    <w:p w14:paraId="5790CD6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是否涉及环境标志产品：</w:t>
      </w:r>
    </w:p>
    <w:p w14:paraId="5015E4F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w:t>
      </w:r>
      <w:r>
        <w:rPr>
          <w:rFonts w:hint="eastAsia" w:ascii="仿宋" w:hAnsi="仿宋" w:eastAsia="仿宋" w:cs="仿宋"/>
          <w:iCs/>
          <w:color w:val="000000" w:themeColor="text1"/>
          <w:sz w:val="21"/>
          <w:szCs w:val="21"/>
          <w:highlight w:val="none"/>
          <w:lang w:eastAsia="zh-CN"/>
          <w14:textFill>
            <w14:solidFill>
              <w14:schemeClr w14:val="tx1"/>
            </w14:solidFill>
          </w14:textFill>
        </w:rPr>
        <w:t>环境</w:t>
      </w:r>
      <w:r>
        <w:rPr>
          <w:rFonts w:hint="eastAsia" w:ascii="仿宋" w:hAnsi="仿宋" w:eastAsia="仿宋" w:cs="仿宋"/>
          <w:iCs w:val="0"/>
          <w:color w:val="000000" w:themeColor="text1"/>
          <w:sz w:val="21"/>
          <w:szCs w:val="21"/>
          <w:highlight w:val="none"/>
          <w:lang w:eastAsia="zh-CN"/>
          <w14:textFill>
            <w14:solidFill>
              <w14:schemeClr w14:val="tx1"/>
            </w14:solidFill>
          </w14:textFill>
        </w:rPr>
        <w:t>标志产品政府采购品目清单》的底级品目名称：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6901E787">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7CFA1492">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p>
    <w:p w14:paraId="777A3367">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kern w:val="2"/>
          <w:sz w:val="21"/>
          <w:szCs w:val="21"/>
          <w:highlight w:val="none"/>
          <w:u w:val="none"/>
          <w:lang w:val="en-US" w:eastAsia="zh-CN"/>
          <w14:textFill>
            <w14:solidFill>
              <w14:schemeClr w14:val="tx1"/>
            </w14:solidFill>
          </w14:textFill>
        </w:rPr>
        <w:t>是否涉及绿色产品：</w:t>
      </w:r>
      <w:r>
        <w:rPr>
          <w:rFonts w:hint="eastAsia" w:ascii="仿宋" w:hAnsi="仿宋" w:eastAsia="仿宋" w:cs="仿宋"/>
          <w:iCs w:val="0"/>
          <w:color w:val="000000" w:themeColor="text1"/>
          <w:kern w:val="2"/>
          <w:sz w:val="21"/>
          <w:szCs w:val="21"/>
          <w:highlight w:val="none"/>
          <w:u w:val="none"/>
          <w:lang w:val="en-US" w:eastAsia="zh-CN"/>
          <w14:textFill>
            <w14:solidFill>
              <w14:schemeClr w14:val="tx1"/>
            </w14:solidFill>
          </w14:textFill>
        </w:rPr>
        <w:t xml:space="preserve"> </w:t>
      </w:r>
    </w:p>
    <w:p w14:paraId="2A8CB136">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kern w:val="2"/>
          <w:sz w:val="21"/>
          <w:szCs w:val="21"/>
          <w:highlight w:val="none"/>
          <w:u w:val="none"/>
          <w14:textFill>
            <w14:solidFill>
              <w14:schemeClr w14:val="tx1"/>
            </w14:solidFill>
          </w14:textFill>
        </w:rPr>
        <w:sym w:font="Wingdings" w:char="00A8"/>
      </w:r>
      <w:r>
        <w:rPr>
          <w:rFonts w:hint="eastAsia" w:ascii="仿宋" w:hAnsi="仿宋" w:eastAsia="仿宋" w:cs="仿宋"/>
          <w:iCs w:val="0"/>
          <w:color w:val="000000" w:themeColor="text1"/>
          <w:kern w:val="2"/>
          <w:sz w:val="21"/>
          <w:szCs w:val="21"/>
          <w:highlight w:val="none"/>
          <w:u w:val="none"/>
          <w14:textFill>
            <w14:solidFill>
              <w14:schemeClr w14:val="tx1"/>
            </w14:solidFill>
          </w14:textFill>
        </w:rPr>
        <w:t>是</w:t>
      </w:r>
      <w:r>
        <w:rPr>
          <w:rFonts w:hint="eastAsia" w:ascii="仿宋" w:hAnsi="仿宋" w:eastAsia="仿宋" w:cs="仿宋"/>
          <w:iCs w:val="0"/>
          <w:color w:val="000000" w:themeColor="text1"/>
          <w:kern w:val="2"/>
          <w:sz w:val="21"/>
          <w:szCs w:val="21"/>
          <w:highlight w:val="none"/>
          <w:u w:val="none"/>
          <w:lang w:eastAsia="zh-CN"/>
          <w14:textFill>
            <w14:solidFill>
              <w14:schemeClr w14:val="tx1"/>
            </w14:solidFill>
          </w14:textFill>
        </w:rPr>
        <w:t>，绿色产品政府采购相关政策确定的底级品目名称：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20E22BD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3B9F6B94">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kern w:val="2"/>
          <w:sz w:val="21"/>
          <w:szCs w:val="21"/>
          <w:highlight w:val="none"/>
          <w:u w:val="none"/>
          <w14:textFill>
            <w14:solidFill>
              <w14:schemeClr w14:val="tx1"/>
            </w14:solidFill>
          </w14:textFill>
        </w:rPr>
        <w:sym w:font="Wingdings" w:char="00A8"/>
      </w:r>
      <w:r>
        <w:rPr>
          <w:rFonts w:hint="eastAsia" w:ascii="仿宋" w:hAnsi="仿宋" w:eastAsia="仿宋" w:cs="仿宋"/>
          <w:iCs w:val="0"/>
          <w:color w:val="000000" w:themeColor="text1"/>
          <w:kern w:val="2"/>
          <w:sz w:val="21"/>
          <w:szCs w:val="21"/>
          <w:highlight w:val="none"/>
          <w:u w:val="none"/>
          <w14:textFill>
            <w14:solidFill>
              <w14:schemeClr w14:val="tx1"/>
            </w14:solidFill>
          </w14:textFill>
        </w:rPr>
        <w:t>否</w:t>
      </w:r>
    </w:p>
    <w:p w14:paraId="584199CD">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1"/>
          <w:szCs w:val="21"/>
          <w:highlight w:val="none"/>
          <w:lang w:val="en" w:eastAsia="zh-CN"/>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）涉及商品包装和</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快递</w:t>
      </w:r>
      <w:r>
        <w:rPr>
          <w:rFonts w:hint="eastAsia" w:ascii="仿宋" w:hAnsi="仿宋" w:eastAsia="仿宋" w:cs="仿宋"/>
          <w:color w:val="000000" w:themeColor="text1"/>
          <w:sz w:val="21"/>
          <w:szCs w:val="21"/>
          <w:highlight w:val="none"/>
          <w:lang w:val="en-US" w:eastAsia="zh-CN"/>
          <w14:textFill>
            <w14:solidFill>
              <w14:schemeClr w14:val="tx1"/>
            </w14:solidFill>
          </w14:textFill>
        </w:rPr>
        <w:t>包装的，是否参考</w:t>
      </w:r>
      <w:r>
        <w:rPr>
          <w:rFonts w:hint="eastAsia" w:ascii="仿宋" w:hAnsi="仿宋" w:eastAsia="仿宋" w:cs="仿宋"/>
          <w:color w:val="000000" w:themeColor="text1"/>
          <w:sz w:val="21"/>
          <w:szCs w:val="21"/>
          <w:highlight w:val="none"/>
          <w14:textFill>
            <w14:solidFill>
              <w14:schemeClr w14:val="tx1"/>
            </w14:solidFill>
          </w14:textFill>
        </w:rPr>
        <w:t>《商品包装政府采购需求标准（试行）</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快递包装政府采购需求标准（试行）》</w:t>
      </w:r>
      <w:r>
        <w:rPr>
          <w:rFonts w:hint="eastAsia" w:ascii="仿宋" w:hAnsi="仿宋" w:eastAsia="仿宋" w:cs="仿宋"/>
          <w:color w:val="000000" w:themeColor="text1"/>
          <w:sz w:val="21"/>
          <w:szCs w:val="21"/>
          <w:highlight w:val="none"/>
          <w:lang w:eastAsia="zh-CN"/>
          <w14:textFill>
            <w14:solidFill>
              <w14:schemeClr w14:val="tx1"/>
            </w14:solidFill>
          </w14:textFill>
        </w:rPr>
        <w:t>明确产品及相关快递服务的具体包装要求：</w:t>
      </w:r>
    </w:p>
    <w:p w14:paraId="19B13110">
      <w:pPr>
        <w:keepNext w:val="0"/>
        <w:keepLines w:val="0"/>
        <w:pageBreakBefore w:val="0"/>
        <w:numPr>
          <w:ilvl w:val="0"/>
          <w:numId w:val="0"/>
        </w:numPr>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 xml:space="preserve">是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不涉及</w:t>
      </w:r>
    </w:p>
    <w:p w14:paraId="213EA44D">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2.</w:t>
      </w:r>
      <w:r>
        <w:rPr>
          <w:rFonts w:hint="eastAsia" w:ascii="仿宋" w:hAnsi="仿宋" w:eastAsia="仿宋" w:cs="仿宋"/>
          <w:b/>
          <w:color w:val="000000" w:themeColor="text1"/>
          <w:sz w:val="21"/>
          <w:szCs w:val="21"/>
          <w:highlight w:val="none"/>
          <w14:textFill>
            <w14:solidFill>
              <w14:schemeClr w14:val="tx1"/>
            </w14:solidFill>
          </w14:textFill>
        </w:rPr>
        <w:t>合同金额</w:t>
      </w:r>
    </w:p>
    <w:p w14:paraId="1517E53E">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（1）合同金额小写：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大写：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FFC06B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分包金额</w:t>
      </w:r>
      <w:r>
        <w:rPr>
          <w:rFonts w:hint="eastAsia" w:ascii="仿宋" w:hAnsi="仿宋" w:eastAsia="仿宋" w:cs="仿宋"/>
          <w:color w:val="000000" w:themeColor="text1"/>
          <w:sz w:val="21"/>
          <w:szCs w:val="21"/>
          <w:highlight w:val="none"/>
          <w:lang w:eastAsia="zh-CN"/>
          <w14:textFill>
            <w14:solidFill>
              <w14:schemeClr w14:val="tx1"/>
            </w14:solidFill>
          </w14:textFill>
        </w:rPr>
        <w:t>（如有）</w:t>
      </w:r>
      <w:r>
        <w:rPr>
          <w:rFonts w:hint="eastAsia" w:ascii="仿宋" w:hAnsi="仿宋" w:eastAsia="仿宋" w:cs="仿宋"/>
          <w:color w:val="000000" w:themeColor="text1"/>
          <w:sz w:val="21"/>
          <w:szCs w:val="21"/>
          <w:highlight w:val="none"/>
          <w14:textFill>
            <w14:solidFill>
              <w14:schemeClr w14:val="tx1"/>
            </w14:solidFill>
          </w14:textFill>
        </w:rPr>
        <w:t>小写：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大写：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05F3E0D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（注：固定单价合同应填写单价和最高限价）</w:t>
      </w:r>
    </w:p>
    <w:p w14:paraId="08413CEA">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合同</w:t>
      </w:r>
      <w:r>
        <w:rPr>
          <w:rFonts w:hint="eastAsia" w:ascii="仿宋" w:hAnsi="仿宋" w:eastAsia="仿宋" w:cs="仿宋"/>
          <w:color w:val="000000" w:themeColor="text1"/>
          <w:sz w:val="21"/>
          <w:szCs w:val="21"/>
          <w:highlight w:val="none"/>
          <w:lang w:val="en-US" w:eastAsia="zh-CN"/>
          <w14:textFill>
            <w14:solidFill>
              <w14:schemeClr w14:val="tx1"/>
            </w14:solidFill>
          </w14:textFill>
        </w:rPr>
        <w:t>定价</w:t>
      </w:r>
      <w:r>
        <w:rPr>
          <w:rFonts w:hint="eastAsia" w:ascii="仿宋" w:hAnsi="仿宋" w:eastAsia="仿宋" w:cs="仿宋"/>
          <w:color w:val="000000" w:themeColor="text1"/>
          <w:sz w:val="21"/>
          <w:szCs w:val="21"/>
          <w:highlight w:val="none"/>
          <w14:textFill>
            <w14:solidFill>
              <w14:schemeClr w14:val="tx1"/>
            </w14:solidFill>
          </w14:textFill>
        </w:rPr>
        <w:t>方式</w:t>
      </w:r>
      <w:r>
        <w:rPr>
          <w:rFonts w:hint="eastAsia" w:ascii="仿宋" w:hAnsi="仿宋" w:eastAsia="仿宋" w:cs="仿宋"/>
          <w:color w:val="000000" w:themeColor="text1"/>
          <w:sz w:val="21"/>
          <w:szCs w:val="21"/>
          <w:highlight w:val="none"/>
          <w:lang w:eastAsia="zh-CN"/>
          <w14:textFill>
            <w14:solidFill>
              <w14:schemeClr w14:val="tx1"/>
            </w14:solidFill>
          </w14:textFill>
        </w:rPr>
        <w:t>（采用组合定价方式的，可以勾选多项）</w:t>
      </w:r>
      <w:r>
        <w:rPr>
          <w:rFonts w:hint="eastAsia" w:ascii="仿宋" w:hAnsi="仿宋" w:eastAsia="仿宋" w:cs="仿宋"/>
          <w:color w:val="000000" w:themeColor="text1"/>
          <w:sz w:val="21"/>
          <w:szCs w:val="21"/>
          <w:highlight w:val="none"/>
          <w14:textFill>
            <w14:solidFill>
              <w14:schemeClr w14:val="tx1"/>
            </w14:solidFill>
          </w14:textFill>
        </w:rPr>
        <w:t>：</w:t>
      </w:r>
    </w:p>
    <w:p w14:paraId="5F0A8E4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固定总价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固定单价</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固定费率</w:t>
      </w:r>
      <w:r>
        <w:rPr>
          <w:rFonts w:hint="eastAsia" w:ascii="仿宋" w:hAnsi="仿宋" w:eastAsia="仿宋" w:cs="仿宋"/>
          <w:iCs/>
          <w:color w:val="000000" w:themeColor="text1"/>
          <w:sz w:val="21"/>
          <w:szCs w:val="21"/>
          <w:highlight w:val="none"/>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成本补偿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绩效激励</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其他</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5009D434">
      <w:pPr>
        <w:pStyle w:val="9"/>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）付款方式（按项目实际勾选填写）：</w:t>
      </w:r>
    </w:p>
    <w:p w14:paraId="00F76EB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全额付款：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明确</w:t>
      </w:r>
      <w:r>
        <w:rPr>
          <w:rFonts w:hint="eastAsia" w:ascii="仿宋" w:hAnsi="仿宋" w:eastAsia="仿宋" w:cs="仿宋"/>
          <w:color w:val="000000" w:themeColor="text1"/>
          <w:sz w:val="21"/>
          <w:szCs w:val="21"/>
          <w:highlight w:val="none"/>
          <w:u w:val="single"/>
          <w14:textFill>
            <w14:solidFill>
              <w14:schemeClr w14:val="tx1"/>
            </w14:solidFill>
          </w14:textFill>
        </w:rPr>
        <w:t>一次性支付合同款项</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的条件</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43B1F7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分期付款：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（应明确分期支付合同款项的各期比例和支付条件</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，各期支付条件应与分期履约验收情况挂钩</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其中涉及预付款的</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（应明确预付款的支付比例和支付条件） </w:t>
      </w:r>
    </w:p>
    <w:p w14:paraId="0CE2819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成本补偿：</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（应明确按照成本补偿方式的支付方式和支付条件）   </w:t>
      </w:r>
    </w:p>
    <w:p w14:paraId="104EB93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绩效激励：</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（应明确按照绩效激励方式的支付方式和支付条件）   </w:t>
      </w:r>
    </w:p>
    <w:p w14:paraId="67C26731">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bCs w:val="0"/>
          <w:color w:val="000000" w:themeColor="text1"/>
          <w:sz w:val="21"/>
          <w:szCs w:val="21"/>
          <w:highlight w:val="none"/>
          <w:u w:val="single"/>
          <w14:textFill>
            <w14:solidFill>
              <w14:schemeClr w14:val="tx1"/>
            </w14:solidFill>
          </w14:textFill>
        </w:rPr>
      </w:pPr>
      <w:r>
        <w:rPr>
          <w:rFonts w:hint="eastAsia" w:ascii="仿宋" w:hAnsi="仿宋" w:eastAsia="仿宋" w:cs="仿宋"/>
          <w:b/>
          <w:bCs w:val="0"/>
          <w:color w:val="000000" w:themeColor="text1"/>
          <w:sz w:val="21"/>
          <w:szCs w:val="21"/>
          <w:highlight w:val="none"/>
          <w:lang w:val="en-US" w:eastAsia="zh-CN"/>
          <w14:textFill>
            <w14:solidFill>
              <w14:schemeClr w14:val="tx1"/>
            </w14:solidFill>
          </w14:textFill>
        </w:rPr>
        <w:t>3.</w:t>
      </w:r>
      <w:r>
        <w:rPr>
          <w:rFonts w:hint="eastAsia" w:ascii="仿宋" w:hAnsi="仿宋" w:eastAsia="仿宋" w:cs="仿宋"/>
          <w:b/>
          <w:bCs w:val="0"/>
          <w:color w:val="000000" w:themeColor="text1"/>
          <w:sz w:val="21"/>
          <w:szCs w:val="21"/>
          <w:highlight w:val="none"/>
          <w14:textFill>
            <w14:solidFill>
              <w14:schemeClr w14:val="tx1"/>
            </w14:solidFill>
          </w14:textFill>
        </w:rPr>
        <w:t>合同履行</w:t>
      </w:r>
    </w:p>
    <w:p w14:paraId="7BD2F95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（1）起始日期：</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日，完成日期：</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w:t>
      </w:r>
    </w:p>
    <w:p w14:paraId="2E94871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履约</w:t>
      </w:r>
      <w:r>
        <w:rPr>
          <w:rFonts w:hint="eastAsia" w:ascii="仿宋" w:hAnsi="仿宋" w:eastAsia="仿宋" w:cs="仿宋"/>
          <w:color w:val="000000" w:themeColor="text1"/>
          <w:sz w:val="21"/>
          <w:szCs w:val="21"/>
          <w:highlight w:val="none"/>
          <w14:textFill>
            <w14:solidFill>
              <w14:schemeClr w14:val="tx1"/>
            </w14:solidFill>
          </w14:textFill>
        </w:rPr>
        <w:t>地点</w:t>
      </w:r>
      <w:r>
        <w:rPr>
          <w:rFonts w:hint="eastAsia" w:ascii="仿宋" w:hAnsi="仿宋" w:eastAsia="仿宋" w:cs="仿宋"/>
          <w:b w:val="0"/>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F3EC09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（3）履约担保：</w:t>
      </w:r>
      <w:r>
        <w:rPr>
          <w:rFonts w:hint="eastAsia" w:ascii="仿宋" w:hAnsi="仿宋" w:eastAsia="仿宋" w:cs="仿宋"/>
          <w:color w:val="000000" w:themeColor="text1"/>
          <w:sz w:val="21"/>
          <w:szCs w:val="21"/>
          <w:highlight w:val="none"/>
          <w:lang w:val="en-US" w:eastAsia="zh-CN"/>
          <w14:textFill>
            <w14:solidFill>
              <w14:schemeClr w14:val="tx1"/>
            </w14:solidFill>
          </w14:textFill>
        </w:rPr>
        <w:t>是否收取履约保证金：</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eastAsia="zh-CN"/>
          <w14:textFill>
            <w14:solidFill>
              <w14:schemeClr w14:val="tx1"/>
            </w14:solidFill>
          </w14:textFill>
        </w:rPr>
        <w:t>是</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eastAsia="zh-CN"/>
          <w14:textFill>
            <w14:solidFill>
              <w14:schemeClr w14:val="tx1"/>
            </w14:solidFill>
          </w14:textFill>
        </w:rPr>
        <w:t>否</w:t>
      </w:r>
    </w:p>
    <w:p w14:paraId="2DD08A19">
      <w:pPr>
        <w:pStyle w:val="8"/>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收取履约保证金形式：</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71CA90F4">
      <w:pPr>
        <w:pStyle w:val="8"/>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收取履约保证金金额：</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6317AA08">
      <w:pPr>
        <w:keepNext w:val="0"/>
        <w:keepLines w:val="0"/>
        <w:pageBreakBefore w:val="0"/>
        <w:kinsoku/>
        <w:wordWrap/>
        <w:overflowPunct/>
        <w:topLinePunct w:val="0"/>
        <w:bidi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u w:val="none"/>
          <w:lang w:val="en-US" w:eastAsia="zh-CN"/>
          <w14:textFill>
            <w14:solidFill>
              <w14:schemeClr w14:val="tx1"/>
            </w14:solidFill>
          </w14:textFill>
        </w:rPr>
        <w:t>履约担保期限</w:t>
      </w: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59BED18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（4）分期履行要求：</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2767549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（5）</w:t>
      </w:r>
      <w:r>
        <w:rPr>
          <w:rFonts w:hint="eastAsia" w:ascii="仿宋" w:hAnsi="仿宋" w:eastAsia="仿宋" w:cs="仿宋"/>
          <w:bCs/>
          <w:color w:val="000000" w:themeColor="text1"/>
          <w:sz w:val="21"/>
          <w:szCs w:val="21"/>
          <w:highlight w:val="none"/>
          <w:lang w:eastAsia="zh-CN"/>
          <w14:textFill>
            <w14:solidFill>
              <w14:schemeClr w14:val="tx1"/>
            </w14:solidFill>
          </w14:textFill>
        </w:rPr>
        <w:t>风险处置措施和替代方案</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5CC8C95">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4.</w:t>
      </w:r>
      <w:r>
        <w:rPr>
          <w:rFonts w:hint="eastAsia" w:ascii="仿宋" w:hAnsi="仿宋" w:eastAsia="仿宋" w:cs="仿宋"/>
          <w:b/>
          <w:color w:val="000000" w:themeColor="text1"/>
          <w:sz w:val="21"/>
          <w:szCs w:val="21"/>
          <w:highlight w:val="none"/>
          <w14:textFill>
            <w14:solidFill>
              <w14:schemeClr w14:val="tx1"/>
            </w14:solidFill>
          </w14:textFill>
        </w:rPr>
        <w:t>合同验收</w:t>
      </w:r>
    </w:p>
    <w:p w14:paraId="11C423C1">
      <w:pPr>
        <w:keepNext w:val="0"/>
        <w:keepLines w:val="0"/>
        <w:pageBreakBefore w:val="0"/>
        <w:numPr>
          <w:ilvl w:val="0"/>
          <w:numId w:val="2"/>
        </w:numPr>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验收组织方式：</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自行组织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委托第三方组织</w:t>
      </w:r>
    </w:p>
    <w:p w14:paraId="3D86A05E">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验收主体：</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7E0C866F">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是否邀请本项目的其他供应商</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2A229A49">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是否邀请专家</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5E78B209">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是否邀请服务对象</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01737EC">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是否邀请第三方检测机构</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DB77DBE">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lang w:eastAsia="zh-CN"/>
          <w14:textFill>
            <w14:solidFill>
              <w14:schemeClr w14:val="tx1"/>
            </w14:solidFill>
          </w14:textFill>
        </w:rPr>
        <w:t>是否进行抽查检测：</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是</w:t>
      </w:r>
      <w:r>
        <w:rPr>
          <w:rFonts w:hint="eastAsia" w:ascii="仿宋" w:hAnsi="仿宋" w:eastAsia="仿宋" w:cs="仿宋"/>
          <w:bCs/>
          <w:color w:val="000000" w:themeColor="text1"/>
          <w:sz w:val="21"/>
          <w:szCs w:val="21"/>
          <w:highlight w:val="none"/>
          <w:lang w:eastAsia="zh-CN"/>
          <w14:textFill>
            <w14:solidFill>
              <w14:schemeClr w14:val="tx1"/>
            </w14:solidFill>
          </w14:textFill>
        </w:rPr>
        <w:t>，抽查比例：</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B377F2C">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u w:val="single"/>
          <w:lang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是否存在破坏性检测：</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是</w:t>
      </w:r>
      <w:r>
        <w:rPr>
          <w:rFonts w:hint="eastAsia" w:ascii="仿宋" w:hAnsi="仿宋" w:eastAsia="仿宋" w:cs="仿宋"/>
          <w:bCs/>
          <w:color w:val="000000" w:themeColor="text1"/>
          <w:sz w:val="21"/>
          <w:szCs w:val="21"/>
          <w:highlight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（应明确对被破坏的检测产品的处理方式）</w:t>
      </w:r>
    </w:p>
    <w:p w14:paraId="0A4EFE2D">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51683300">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验收组织的其他事项：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5C123E6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（2）履约验收时间：</w:t>
      </w:r>
      <w:r>
        <w:rPr>
          <w:rFonts w:hint="eastAsia" w:ascii="仿宋" w:hAnsi="仿宋" w:eastAsia="仿宋" w:cs="仿宋"/>
          <w:bCs/>
          <w:color w:val="000000" w:themeColor="text1"/>
          <w:sz w:val="21"/>
          <w:szCs w:val="21"/>
          <w:highlight w:val="none"/>
          <w:u w:val="single"/>
          <w14:textFill>
            <w14:solidFill>
              <w14:schemeClr w14:val="tx1"/>
            </w14:solidFill>
          </w14:textFill>
        </w:rPr>
        <w:t>（计划于何时验收/供应商提出验收申请之日起   日内组织验收）</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p>
    <w:p w14:paraId="30AEB6CC">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（3）履约验收方式：</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一次性验收         </w:t>
      </w:r>
    </w:p>
    <w:p w14:paraId="11B75351">
      <w:pPr>
        <w:keepNext w:val="0"/>
        <w:keepLines w:val="0"/>
        <w:pageBreakBefore w:val="0"/>
        <w:kinsoku/>
        <w:wordWrap/>
        <w:overflowPunct/>
        <w:topLinePunct w:val="0"/>
        <w:bidi w:val="0"/>
        <w:adjustRightInd w:val="0"/>
        <w:snapToGrid w:val="0"/>
        <w:spacing w:line="300" w:lineRule="auto"/>
        <w:ind w:firstLine="0" w:firstLineChars="0"/>
        <w:textAlignment w:val="auto"/>
        <w:rPr>
          <w:rFonts w:hint="eastAsia" w:ascii="仿宋" w:hAnsi="仿宋" w:eastAsia="仿宋" w:cs="仿宋"/>
          <w:bCs/>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分期/分项验收</w:t>
      </w:r>
      <w:r>
        <w:rPr>
          <w:rFonts w:hint="eastAsia" w:ascii="仿宋" w:hAnsi="仿宋" w:eastAsia="仿宋" w:cs="仿宋"/>
          <w:bCs/>
          <w:color w:val="000000" w:themeColor="text1"/>
          <w:sz w:val="21"/>
          <w:szCs w:val="21"/>
          <w:highlight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（应明确分期</w:t>
      </w:r>
      <w:r>
        <w:rPr>
          <w:rFonts w:hint="eastAsia" w:ascii="仿宋" w:hAnsi="仿宋" w:eastAsia="仿宋" w:cs="仿宋"/>
          <w:bCs/>
          <w:color w:val="000000" w:themeColor="text1"/>
          <w:sz w:val="21"/>
          <w:szCs w:val="21"/>
          <w:highlight w:val="none"/>
          <w:u w:val="single"/>
          <w:lang w:val="en" w:eastAsia="zh-CN"/>
          <w14:textFill>
            <w14:solidFill>
              <w14:schemeClr w14:val="tx1"/>
            </w14:solidFill>
          </w14:textFill>
        </w:rPr>
        <w:t>/分项验收的工作安排</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p>
    <w:p w14:paraId="73CC0EDD">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（4）履约验收程序：</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4FD3C10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（5）履约验收的内容：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（应当包括每一项技术和商务要求的履约情况，特别是落实政府采购扶持中小企业，支持绿色发展和乡村振兴等政策情况）</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1F5D3E2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（6）履约验收标准：</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31D3D0A3">
      <w:pPr>
        <w:pStyle w:val="8"/>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none"/>
          <w:lang w:val="en-US" w:eastAsia="zh-CN"/>
          <w14:textFill>
            <w14:solidFill>
              <w14:schemeClr w14:val="tx1"/>
            </w14:solidFill>
          </w14:textFill>
        </w:rPr>
        <w:t>7</w:t>
      </w: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）是否以采购活动中供应商提供的样品作为参考：</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3D8F61C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（8）履约验收其他事项：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i w:val="0"/>
          <w:iCs w:val="0"/>
          <w:color w:val="000000" w:themeColor="text1"/>
          <w:sz w:val="21"/>
          <w:szCs w:val="21"/>
          <w:highlight w:val="none"/>
          <w:u w:val="single"/>
          <w14:textFill>
            <w14:solidFill>
              <w14:schemeClr w14:val="tx1"/>
            </w14:solidFill>
          </w14:textFill>
        </w:rPr>
        <w:t>（产权过户登记等）</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364ECE83">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5.</w:t>
      </w:r>
      <w:r>
        <w:rPr>
          <w:rFonts w:hint="eastAsia" w:ascii="仿宋" w:hAnsi="仿宋" w:eastAsia="仿宋" w:cs="仿宋"/>
          <w:b/>
          <w:color w:val="000000" w:themeColor="text1"/>
          <w:sz w:val="21"/>
          <w:szCs w:val="21"/>
          <w:highlight w:val="none"/>
          <w14:textFill>
            <w14:solidFill>
              <w14:schemeClr w14:val="tx1"/>
            </w14:solidFill>
          </w14:textFill>
        </w:rPr>
        <w:t>组成合同的文件</w:t>
      </w:r>
    </w:p>
    <w:p w14:paraId="01C03F3A">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本协议书与下列文件一起构成合同文件，如下述文件之间有任何抵触、矛盾或歧义，应按以下顺序解释：</w:t>
      </w:r>
    </w:p>
    <w:p w14:paraId="3F6D3E3D">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政府采购</w:t>
      </w:r>
      <w:r>
        <w:rPr>
          <w:rFonts w:hint="eastAsia" w:ascii="仿宋" w:hAnsi="仿宋" w:eastAsia="仿宋" w:cs="仿宋"/>
          <w:color w:val="000000" w:themeColor="text1"/>
          <w:sz w:val="21"/>
          <w:szCs w:val="21"/>
          <w:highlight w:val="none"/>
          <w14:textFill>
            <w14:solidFill>
              <w14:schemeClr w14:val="tx1"/>
            </w14:solidFill>
          </w14:textFill>
        </w:rPr>
        <w:t>合同协议书及其变更、补充</w:t>
      </w:r>
      <w:r>
        <w:rPr>
          <w:rFonts w:hint="eastAsia" w:ascii="仿宋" w:hAnsi="仿宋" w:eastAsia="仿宋" w:cs="仿宋"/>
          <w:color w:val="000000" w:themeColor="text1"/>
          <w:sz w:val="21"/>
          <w:szCs w:val="21"/>
          <w:highlight w:val="none"/>
          <w:lang w:eastAsia="zh-CN"/>
          <w14:textFill>
            <w14:solidFill>
              <w14:schemeClr w14:val="tx1"/>
            </w14:solidFill>
          </w14:textFill>
        </w:rPr>
        <w:t>协议</w:t>
      </w:r>
    </w:p>
    <w:p w14:paraId="11FF624E">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）政府采购合同专用条款</w:t>
      </w:r>
    </w:p>
    <w:p w14:paraId="57DB6CD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）政府采购合同通用条款</w:t>
      </w:r>
    </w:p>
    <w:p w14:paraId="68A6A5B6">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）中标</w:t>
      </w:r>
      <w:r>
        <w:rPr>
          <w:rFonts w:hint="eastAsia" w:ascii="仿宋" w:hAnsi="仿宋" w:eastAsia="仿宋" w:cs="仿宋"/>
          <w:color w:val="000000" w:themeColor="text1"/>
          <w:sz w:val="21"/>
          <w:szCs w:val="21"/>
          <w:highlight w:val="none"/>
          <w:lang w:eastAsia="zh-CN"/>
          <w14:textFill>
            <w14:solidFill>
              <w14:schemeClr w14:val="tx1"/>
            </w14:solidFill>
          </w14:textFill>
        </w:rPr>
        <w:t>（成交）</w:t>
      </w:r>
      <w:r>
        <w:rPr>
          <w:rFonts w:hint="eastAsia" w:ascii="仿宋" w:hAnsi="仿宋" w:eastAsia="仿宋" w:cs="仿宋"/>
          <w:color w:val="000000" w:themeColor="text1"/>
          <w:sz w:val="21"/>
          <w:szCs w:val="21"/>
          <w:highlight w:val="none"/>
          <w14:textFill>
            <w14:solidFill>
              <w14:schemeClr w14:val="tx1"/>
            </w14:solidFill>
          </w14:textFill>
        </w:rPr>
        <w:t>通知书</w:t>
      </w:r>
    </w:p>
    <w:p w14:paraId="269F259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）投标（响应）文件</w:t>
      </w:r>
    </w:p>
    <w:p w14:paraId="4498636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（6）采购文件</w:t>
      </w:r>
    </w:p>
    <w:p w14:paraId="37F2033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（7）有关技术文件，图纸</w:t>
      </w:r>
    </w:p>
    <w:p w14:paraId="4ABB27DB">
      <w:pPr>
        <w:pStyle w:val="8"/>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kern w:val="2"/>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6CF6B7FB">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6.</w:t>
      </w:r>
      <w:r>
        <w:rPr>
          <w:rFonts w:hint="eastAsia" w:ascii="仿宋" w:hAnsi="仿宋" w:eastAsia="仿宋" w:cs="仿宋"/>
          <w:b/>
          <w:color w:val="000000" w:themeColor="text1"/>
          <w:sz w:val="21"/>
          <w:szCs w:val="21"/>
          <w:highlight w:val="none"/>
          <w14:textFill>
            <w14:solidFill>
              <w14:schemeClr w14:val="tx1"/>
            </w14:solidFill>
          </w14:textFill>
        </w:rPr>
        <w:t>合同生效</w:t>
      </w:r>
    </w:p>
    <w:p w14:paraId="654C186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本合同自</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生效。</w:t>
      </w:r>
    </w:p>
    <w:p w14:paraId="0FD3C5D7">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7.</w:t>
      </w:r>
      <w:r>
        <w:rPr>
          <w:rFonts w:hint="eastAsia" w:ascii="仿宋" w:hAnsi="仿宋" w:eastAsia="仿宋" w:cs="仿宋"/>
          <w:b/>
          <w:color w:val="000000" w:themeColor="text1"/>
          <w:sz w:val="21"/>
          <w:szCs w:val="21"/>
          <w:highlight w:val="none"/>
          <w14:textFill>
            <w14:solidFill>
              <w14:schemeClr w14:val="tx1"/>
            </w14:solidFill>
          </w14:textFill>
        </w:rPr>
        <w:t>合同份数</w:t>
      </w:r>
    </w:p>
    <w:p w14:paraId="676B6C6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本合同一式</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w:t>
      </w:r>
      <w:r>
        <w:rPr>
          <w:rFonts w:hint="eastAsia" w:ascii="仿宋" w:hAnsi="仿宋" w:eastAsia="仿宋" w:cs="仿宋"/>
          <w:color w:val="000000" w:themeColor="text1"/>
          <w:sz w:val="21"/>
          <w:szCs w:val="21"/>
          <w:highlight w:val="none"/>
          <w:lang w:eastAsia="zh-CN"/>
          <w14:textFill>
            <w14:solidFill>
              <w14:schemeClr w14:val="tx1"/>
            </w14:solidFill>
          </w14:textFill>
        </w:rPr>
        <w:t>甲方</w:t>
      </w:r>
      <w:r>
        <w:rPr>
          <w:rFonts w:hint="eastAsia" w:ascii="仿宋" w:hAnsi="仿宋" w:eastAsia="仿宋" w:cs="仿宋"/>
          <w:color w:val="000000" w:themeColor="text1"/>
          <w:sz w:val="21"/>
          <w:szCs w:val="21"/>
          <w:highlight w:val="none"/>
          <w14:textFill>
            <w14:solidFill>
              <w14:schemeClr w14:val="tx1"/>
            </w14:solidFill>
          </w14:textFill>
        </w:rPr>
        <w:t>执</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w:t>
      </w:r>
      <w:r>
        <w:rPr>
          <w:rFonts w:hint="eastAsia" w:ascii="仿宋" w:hAnsi="仿宋" w:eastAsia="仿宋" w:cs="仿宋"/>
          <w:color w:val="000000" w:themeColor="text1"/>
          <w:sz w:val="21"/>
          <w:szCs w:val="21"/>
          <w:highlight w:val="none"/>
          <w:lang w:eastAsia="zh-CN"/>
          <w14:textFill>
            <w14:solidFill>
              <w14:schemeClr w14:val="tx1"/>
            </w14:solidFill>
          </w14:textFill>
        </w:rPr>
        <w:t>乙方</w:t>
      </w:r>
      <w:r>
        <w:rPr>
          <w:rFonts w:hint="eastAsia" w:ascii="仿宋" w:hAnsi="仿宋" w:eastAsia="仿宋" w:cs="仿宋"/>
          <w:color w:val="000000" w:themeColor="text1"/>
          <w:sz w:val="21"/>
          <w:szCs w:val="21"/>
          <w:highlight w:val="none"/>
          <w14:textFill>
            <w14:solidFill>
              <w14:schemeClr w14:val="tx1"/>
            </w14:solidFill>
          </w14:textFill>
        </w:rPr>
        <w:t>执</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份，均具有同等法律效力。</w:t>
      </w:r>
    </w:p>
    <w:p w14:paraId="100CAD2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合同订立时间：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w:t>
      </w:r>
    </w:p>
    <w:p w14:paraId="4290727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合同订立地点：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45699DC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附件：具体标</w:t>
      </w:r>
      <w:r>
        <w:rPr>
          <w:rFonts w:hint="eastAsia" w:ascii="仿宋" w:hAnsi="仿宋" w:eastAsia="仿宋" w:cs="仿宋"/>
          <w:color w:val="000000" w:themeColor="text1"/>
          <w:sz w:val="21"/>
          <w:szCs w:val="21"/>
          <w:highlight w:val="none"/>
          <w:lang w:eastAsia="zh-CN"/>
          <w14:textFill>
            <w14:solidFill>
              <w14:schemeClr w14:val="tx1"/>
            </w14:solidFill>
          </w14:textFill>
        </w:rPr>
        <w:t>的及其</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技术要求和商务要求</w:t>
      </w:r>
      <w:r>
        <w:rPr>
          <w:rFonts w:hint="eastAsia" w:ascii="仿宋" w:hAnsi="仿宋" w:eastAsia="仿宋" w:cs="仿宋"/>
          <w:color w:val="000000" w:themeColor="text1"/>
          <w:sz w:val="21"/>
          <w:szCs w:val="21"/>
          <w:highlight w:val="none"/>
          <w14:textFill>
            <w14:solidFill>
              <w14:schemeClr w14:val="tx1"/>
            </w14:solidFill>
          </w14:textFill>
        </w:rPr>
        <w:t>、联合协议、分包</w:t>
      </w:r>
      <w:r>
        <w:rPr>
          <w:rFonts w:hint="eastAsia" w:ascii="仿宋" w:hAnsi="仿宋" w:eastAsia="仿宋" w:cs="仿宋"/>
          <w:color w:val="000000" w:themeColor="text1"/>
          <w:sz w:val="21"/>
          <w:szCs w:val="21"/>
          <w:highlight w:val="none"/>
          <w:lang w:eastAsia="zh-CN"/>
          <w14:textFill>
            <w14:solidFill>
              <w14:schemeClr w14:val="tx1"/>
            </w14:solidFill>
          </w14:textFill>
        </w:rPr>
        <w:t>意向</w:t>
      </w:r>
      <w:r>
        <w:rPr>
          <w:rFonts w:hint="eastAsia" w:ascii="仿宋" w:hAnsi="仿宋" w:eastAsia="仿宋" w:cs="仿宋"/>
          <w:color w:val="000000" w:themeColor="text1"/>
          <w:sz w:val="21"/>
          <w:szCs w:val="21"/>
          <w:highlight w:val="none"/>
          <w14:textFill>
            <w14:solidFill>
              <w14:schemeClr w14:val="tx1"/>
            </w14:solidFill>
          </w14:textFill>
        </w:rPr>
        <w:t>协议等。</w:t>
      </w:r>
    </w:p>
    <w:p w14:paraId="22B02992">
      <w:pPr>
        <w:pStyle w:val="2"/>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p>
    <w:tbl>
      <w:tblPr>
        <w:tblStyle w:val="6"/>
        <w:tblW w:w="4927" w:type="pct"/>
        <w:tblInd w:w="11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7ADA0D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5B424CD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4C5EEBE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w:t>
            </w:r>
          </w:p>
        </w:tc>
      </w:tr>
      <w:tr w14:paraId="6F1EFA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6787F9D">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33A4568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6DFD47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单位名称（公章或合同章）</w:t>
            </w:r>
          </w:p>
        </w:tc>
        <w:tc>
          <w:tcPr>
            <w:tcW w:w="1259" w:type="pct"/>
            <w:tcBorders>
              <w:top w:val="single" w:color="auto" w:sz="2" w:space="0"/>
              <w:left w:val="single" w:color="auto" w:sz="2" w:space="0"/>
              <w:bottom w:val="single" w:color="auto" w:sz="2" w:space="0"/>
            </w:tcBorders>
            <w:vAlign w:val="center"/>
          </w:tcPr>
          <w:p w14:paraId="4538FA9D">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6A80516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3418457F">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法定代表人</w:t>
            </w:r>
          </w:p>
          <w:p w14:paraId="63D10077">
            <w:pPr>
              <w:adjustRightInd w:val="0"/>
              <w:snapToGrid w:val="0"/>
              <w:spacing w:line="300" w:lineRule="exact"/>
              <w:ind w:firstLine="100" w:firstLineChars="48"/>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23C4B1C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right w:val="single" w:color="auto" w:sz="2" w:space="0"/>
            </w:tcBorders>
            <w:vAlign w:val="center"/>
          </w:tcPr>
          <w:p w14:paraId="7AAEEE1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法定代表人</w:t>
            </w:r>
          </w:p>
          <w:p w14:paraId="2985D0A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或其委托代理人（签章）</w:t>
            </w:r>
          </w:p>
        </w:tc>
        <w:tc>
          <w:tcPr>
            <w:tcW w:w="1259" w:type="pct"/>
            <w:tcBorders>
              <w:top w:val="single" w:color="auto" w:sz="2" w:space="0"/>
              <w:left w:val="single" w:color="auto" w:sz="2" w:space="0"/>
              <w:bottom w:val="single" w:color="auto" w:sz="2" w:space="0"/>
            </w:tcBorders>
            <w:vAlign w:val="center"/>
          </w:tcPr>
          <w:p w14:paraId="5D78D1C8">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r>
      <w:tr w14:paraId="3E20EE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4F8F356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vMerge w:val="continue"/>
            <w:tcBorders>
              <w:left w:val="single" w:color="auto" w:sz="2" w:space="0"/>
              <w:bottom w:val="single" w:color="auto" w:sz="2" w:space="0"/>
              <w:right w:val="single" w:color="auto" w:sz="2" w:space="0"/>
            </w:tcBorders>
            <w:vAlign w:val="center"/>
          </w:tcPr>
          <w:p w14:paraId="03D405D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1D2BF2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拥有者性别</w:t>
            </w:r>
          </w:p>
        </w:tc>
        <w:tc>
          <w:tcPr>
            <w:tcW w:w="1259" w:type="pct"/>
            <w:tcBorders>
              <w:top w:val="single" w:color="auto" w:sz="2" w:space="0"/>
              <w:left w:val="single" w:color="auto" w:sz="2" w:space="0"/>
              <w:bottom w:val="single" w:color="auto" w:sz="2" w:space="0"/>
            </w:tcBorders>
            <w:vAlign w:val="center"/>
          </w:tcPr>
          <w:p w14:paraId="248A1D7A">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329A59A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153B5C2">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5B4DEA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8288DB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住  所</w:t>
            </w:r>
          </w:p>
        </w:tc>
        <w:tc>
          <w:tcPr>
            <w:tcW w:w="1259" w:type="pct"/>
            <w:tcBorders>
              <w:top w:val="single" w:color="auto" w:sz="2" w:space="0"/>
              <w:left w:val="single" w:color="auto" w:sz="2" w:space="0"/>
              <w:bottom w:val="single" w:color="auto" w:sz="2" w:space="0"/>
            </w:tcBorders>
            <w:vAlign w:val="center"/>
          </w:tcPr>
          <w:p w14:paraId="6293045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8A871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34403A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7372692">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90C8D1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 系 人</w:t>
            </w:r>
          </w:p>
        </w:tc>
        <w:tc>
          <w:tcPr>
            <w:tcW w:w="1259" w:type="pct"/>
            <w:tcBorders>
              <w:top w:val="single" w:color="auto" w:sz="2" w:space="0"/>
              <w:left w:val="single" w:color="auto" w:sz="2" w:space="0"/>
              <w:bottom w:val="single" w:color="auto" w:sz="2" w:space="0"/>
            </w:tcBorders>
            <w:vAlign w:val="center"/>
          </w:tcPr>
          <w:p w14:paraId="75AF082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0B93E0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F230B4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E9A14E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2B58715">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p>
        </w:tc>
        <w:tc>
          <w:tcPr>
            <w:tcW w:w="1259" w:type="pct"/>
            <w:tcBorders>
              <w:top w:val="single" w:color="auto" w:sz="2" w:space="0"/>
              <w:left w:val="single" w:color="auto" w:sz="2" w:space="0"/>
              <w:bottom w:val="single" w:color="auto" w:sz="2" w:space="0"/>
            </w:tcBorders>
            <w:vAlign w:val="center"/>
          </w:tcPr>
          <w:p w14:paraId="4F2C260A">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64A9B0F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582666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B490F6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FEC265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通信地址</w:t>
            </w:r>
          </w:p>
        </w:tc>
        <w:tc>
          <w:tcPr>
            <w:tcW w:w="1259" w:type="pct"/>
            <w:tcBorders>
              <w:top w:val="single" w:color="auto" w:sz="2" w:space="0"/>
              <w:left w:val="single" w:color="auto" w:sz="2" w:space="0"/>
              <w:bottom w:val="single" w:color="auto" w:sz="2" w:space="0"/>
            </w:tcBorders>
            <w:vAlign w:val="center"/>
          </w:tcPr>
          <w:p w14:paraId="2A1F70C4">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1948ECC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687B88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E4B7FE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B82B2E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邮政编码</w:t>
            </w:r>
          </w:p>
        </w:tc>
        <w:tc>
          <w:tcPr>
            <w:tcW w:w="1259" w:type="pct"/>
            <w:tcBorders>
              <w:top w:val="single" w:color="auto" w:sz="2" w:space="0"/>
              <w:left w:val="single" w:color="auto" w:sz="2" w:space="0"/>
              <w:bottom w:val="single" w:color="auto" w:sz="2" w:space="0"/>
            </w:tcBorders>
            <w:vAlign w:val="center"/>
          </w:tcPr>
          <w:p w14:paraId="1BFA75DE">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1F504E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967CA8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8EFD18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08E55C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电子邮箱</w:t>
            </w:r>
          </w:p>
        </w:tc>
        <w:tc>
          <w:tcPr>
            <w:tcW w:w="1259" w:type="pct"/>
            <w:tcBorders>
              <w:top w:val="single" w:color="auto" w:sz="2" w:space="0"/>
              <w:left w:val="single" w:color="auto" w:sz="2" w:space="0"/>
              <w:bottom w:val="single" w:color="auto" w:sz="2" w:space="0"/>
            </w:tcBorders>
            <w:vAlign w:val="center"/>
          </w:tcPr>
          <w:p w14:paraId="49C6371F">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E95A71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C20F79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49C80B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36E6E6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统一社会信用代码</w:t>
            </w:r>
          </w:p>
        </w:tc>
        <w:tc>
          <w:tcPr>
            <w:tcW w:w="1259" w:type="pct"/>
            <w:tcBorders>
              <w:top w:val="single" w:color="auto" w:sz="2" w:space="0"/>
              <w:left w:val="single" w:color="auto" w:sz="2" w:space="0"/>
              <w:bottom w:val="single" w:color="auto" w:sz="2" w:space="0"/>
            </w:tcBorders>
            <w:vAlign w:val="center"/>
          </w:tcPr>
          <w:p w14:paraId="558CD21D">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66259A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0CE37C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1E2667E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B3DD5F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开户名称</w:t>
            </w:r>
          </w:p>
        </w:tc>
        <w:tc>
          <w:tcPr>
            <w:tcW w:w="1259" w:type="pct"/>
            <w:tcBorders>
              <w:top w:val="single" w:color="auto" w:sz="2" w:space="0"/>
              <w:left w:val="single" w:color="auto" w:sz="2" w:space="0"/>
              <w:bottom w:val="single" w:color="auto" w:sz="2" w:space="0"/>
            </w:tcBorders>
            <w:vAlign w:val="center"/>
          </w:tcPr>
          <w:p w14:paraId="3BE80B43">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269F7B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DA9A8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024F3D7A">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E855B2F">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开户银行</w:t>
            </w:r>
          </w:p>
        </w:tc>
        <w:tc>
          <w:tcPr>
            <w:tcW w:w="1259" w:type="pct"/>
            <w:tcBorders>
              <w:top w:val="single" w:color="auto" w:sz="2" w:space="0"/>
              <w:left w:val="single" w:color="auto" w:sz="2" w:space="0"/>
              <w:bottom w:val="single" w:color="auto" w:sz="2" w:space="0"/>
            </w:tcBorders>
            <w:vAlign w:val="center"/>
          </w:tcPr>
          <w:p w14:paraId="3AC40B6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0470E33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E7338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26C834B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70B017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银行账号</w:t>
            </w:r>
          </w:p>
        </w:tc>
        <w:tc>
          <w:tcPr>
            <w:tcW w:w="1259" w:type="pct"/>
            <w:tcBorders>
              <w:top w:val="single" w:color="auto" w:sz="2" w:space="0"/>
              <w:left w:val="single" w:color="auto" w:sz="2" w:space="0"/>
              <w:bottom w:val="single" w:color="auto" w:sz="2" w:space="0"/>
            </w:tcBorders>
            <w:vAlign w:val="center"/>
          </w:tcPr>
          <w:p w14:paraId="69FCA551">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50208C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9DDE77B">
            <w:pPr>
              <w:pStyle w:val="4"/>
              <w:adjustRightInd w:val="0"/>
              <w:snapToGrid w:val="0"/>
              <w:spacing w:before="156" w:beforeLines="50" w:line="360" w:lineRule="auto"/>
              <w:ind w:firstLine="210"/>
              <w:jc w:val="left"/>
              <w:rPr>
                <w:rFonts w:hint="eastAsia" w:ascii="仿宋" w:hAnsi="仿宋" w:eastAsia="仿宋" w:cs="仿宋"/>
                <w:color w:val="000000" w:themeColor="text1"/>
                <w:spacing w:val="20"/>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注：涉及联合体或其他合同主体的信息应按上表格式加列。</w:t>
            </w:r>
          </w:p>
        </w:tc>
      </w:tr>
    </w:tbl>
    <w:p w14:paraId="51577C5B">
      <w:pPr>
        <w:pStyle w:val="5"/>
        <w:ind w:firstLine="210"/>
        <w:rPr>
          <w:rFonts w:hint="eastAsia" w:ascii="仿宋" w:hAnsi="仿宋" w:eastAsia="仿宋" w:cs="仿宋"/>
          <w:color w:val="000000" w:themeColor="text1"/>
          <w:sz w:val="21"/>
          <w:szCs w:val="21"/>
          <w:highlight w:val="none"/>
          <w14:textFill>
            <w14:solidFill>
              <w14:schemeClr w14:val="tx1"/>
            </w14:solidFill>
          </w14:textFill>
        </w:rPr>
      </w:pPr>
    </w:p>
    <w:p w14:paraId="2CB832B9">
      <w:pPr>
        <w:pStyle w:val="5"/>
        <w:ind w:firstLine="210"/>
        <w:rPr>
          <w:rFonts w:hint="eastAsia" w:ascii="仿宋" w:hAnsi="仿宋" w:eastAsia="仿宋" w:cs="仿宋"/>
          <w:color w:val="000000" w:themeColor="text1"/>
          <w:sz w:val="21"/>
          <w:szCs w:val="21"/>
          <w:highlight w:val="none"/>
          <w14:textFill>
            <w14:solidFill>
              <w14:schemeClr w14:val="tx1"/>
            </w14:solidFill>
          </w14:textFill>
        </w:rPr>
      </w:pPr>
    </w:p>
    <w:p w14:paraId="265947CE">
      <w:pPr>
        <w:pStyle w:val="5"/>
        <w:ind w:firstLine="210"/>
        <w:rPr>
          <w:rFonts w:hint="eastAsia" w:ascii="仿宋" w:hAnsi="仿宋" w:eastAsia="仿宋" w:cs="仿宋"/>
          <w:color w:val="000000" w:themeColor="text1"/>
          <w:sz w:val="21"/>
          <w:szCs w:val="21"/>
          <w:highlight w:val="none"/>
          <w14:textFill>
            <w14:solidFill>
              <w14:schemeClr w14:val="tx1"/>
            </w14:solidFill>
          </w14:textFill>
        </w:rPr>
      </w:pPr>
    </w:p>
    <w:p w14:paraId="0F30E4C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第二节 政府采购合同通用条款</w:t>
      </w:r>
    </w:p>
    <w:p w14:paraId="33FE9068">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 定义</w:t>
      </w:r>
    </w:p>
    <w:p w14:paraId="319CB03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1.1合同当事人</w:t>
      </w:r>
    </w:p>
    <w:p w14:paraId="63E6074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（1）采购人（以下称甲方）是指使用财政性资金，通过政府采购方式向</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购买货物及其相关服务的国家机关、事业单位、团体组织。</w:t>
      </w:r>
    </w:p>
    <w:p w14:paraId="73B38E6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（以下称乙方）是指参加政府采购活动并且中标（成交），向采购人提供合同约定的货物及其相关服务的法人、非法人组织或者自然人。</w:t>
      </w:r>
    </w:p>
    <w:p w14:paraId="4696525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（3）其他合同主体是指除采购人和</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以外，依法参与合同缔结或履行，享有权利、承担义务的合同当事人。</w:t>
      </w:r>
    </w:p>
    <w:p w14:paraId="2097EE4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1.2本合同下列术语应解释为：</w:t>
      </w:r>
    </w:p>
    <w:p w14:paraId="5B66C89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（1）“合同”系指合同当事人意思表示达成一致的任何协议，包括签署的政府采购合同协议书及其变更、补充协议，政府采购合同专用条款，政府采购合同通用条款，中标（成交）通知书，投标（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）文件，采购文件，有关技术文件和图纸，以及国家法律、行政法规和规章制度规定或合同约定的作为合同组成部分的其他文件。</w:t>
      </w:r>
    </w:p>
    <w:p w14:paraId="6A3BE11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（2）“合同价款”系指根据本合同规定乙方在全面履行合同义务后甲方应支付给乙方的价款。</w:t>
      </w:r>
    </w:p>
    <w:p w14:paraId="1BFC0B3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（3）“货物”系指乙方根据本合同规定须向甲方提供的各种形态和种类的物品，包括原材料、设备、产品（包括软件）及相关的其备品备件、工具、手册及其他技术资料和材料等。</w:t>
      </w:r>
    </w:p>
    <w:p w14:paraId="2FF2B1A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25C77E9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（5）“分包”系指中标（成交）</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按采购文件、投标（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）文件的规定，根据分包意向协议，将中标（成交）项目中的部分履约内容，分给具有相应资质条件的</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履行合同的行为。</w:t>
      </w:r>
    </w:p>
    <w:p w14:paraId="552AD8D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（6）“联合体”系指由两个以上的自然人、法人或者非法人组织组成，以一个</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14:paraId="0589DC6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（7）其他术语解释，见【政府采购合同专用条款】。</w:t>
      </w:r>
    </w:p>
    <w:p w14:paraId="7D0DC177">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 合同标的及金额</w:t>
      </w:r>
    </w:p>
    <w:p w14:paraId="7B36E49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 合同标的及金额应与中标（成交）结果一致。乙方为履行本合同而发生的所有费用均应包含在合同价款中，甲方不再另行支付其他任何费用。</w:t>
      </w:r>
    </w:p>
    <w:p w14:paraId="2C3B5570">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3. 履行合同的时间、地点和方式</w:t>
      </w:r>
    </w:p>
    <w:p w14:paraId="46A06AB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3.1 乙方应当在约定的时间、地点，按照约定方式履行合同。</w:t>
      </w:r>
    </w:p>
    <w:p w14:paraId="1A655902">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4. 甲方的权利和义务</w:t>
      </w:r>
    </w:p>
    <w:p w14:paraId="75F98B1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678B604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55E53F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4.3 甲方有权要求乙方对缺陷部分予以修复，并按合同约定享有货物保修及其他合同约定的权利。</w:t>
      </w:r>
    </w:p>
    <w:p w14:paraId="52BF6C0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4.4 甲方应当按照合同约定及时对交付的货物进行验收，未在【政府采购合同专用条款】约定的期限内对乙方履约提出任何异议或者向乙方作出任何说明的，视为验收通过。</w:t>
      </w:r>
    </w:p>
    <w:p w14:paraId="071F68D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4.5 甲方应当根据合同约定及时向乙方支付合同价款，不得以内部人员变更、履行内部付款流程等为由，拒绝或迟延支付。</w:t>
      </w:r>
    </w:p>
    <w:p w14:paraId="0DCDC2F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4.6 国家法律法规规定及【政府采购合同专用条款】约定应由甲方承担的其他义务和责任。</w:t>
      </w:r>
    </w:p>
    <w:p w14:paraId="154030F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5. 乙方的权利和义务</w:t>
      </w:r>
    </w:p>
    <w:p w14:paraId="5A4A304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5.1 签署合同后，乙方应确定项目负责人（或项目联系人），负责与本合同有关的事务。</w:t>
      </w:r>
    </w:p>
    <w:p w14:paraId="6147F27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AAD336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5.3乙方有权根据合同约定向甲方收取合同价款。</w:t>
      </w:r>
    </w:p>
    <w:p w14:paraId="21D8BE7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5.4国家法律法规规定及【政府采购合同专用条款】约定应由乙方承担的其他义务和责任。</w:t>
      </w:r>
    </w:p>
    <w:p w14:paraId="715770B6">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6. 合同履行</w:t>
      </w:r>
    </w:p>
    <w:p w14:paraId="38690E2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6.1 甲乙双方应当按照【政府采购合同专用条款】约定顺序履行合同义务；如果没有先后顺序的，应当同时履行。</w:t>
      </w:r>
    </w:p>
    <w:p w14:paraId="79E138C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6101A8C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7. 货物包装、运输、保险和交付要求</w:t>
      </w:r>
    </w:p>
    <w:p w14:paraId="0036E71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3CD3E01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7.2 除【政府采购合同专用条款】另有约定外，乙方负责办理将货物运抵本合同规定的交货地点，并装卸、交付至甲方的一切运输事项，相关费用应包含在合同价款中。</w:t>
      </w:r>
    </w:p>
    <w:p w14:paraId="07D3734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7.3 货物保险要求按【政府采购合同专用条款】规定执行。</w:t>
      </w:r>
    </w:p>
    <w:p w14:paraId="6898172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7.4 除采购活动对商品包装、快递包装达成具体约定外，乙方提供产品及相关快递服务涉及到具体包装要求的，应</w:t>
      </w:r>
      <w:r>
        <w:rPr>
          <w:rFonts w:hint="eastAsia" w:ascii="仿宋" w:hAnsi="仿宋" w:eastAsia="仿宋" w:cs="仿宋"/>
          <w:color w:val="000000" w:themeColor="text1"/>
          <w:sz w:val="21"/>
          <w:szCs w:val="21"/>
          <w:highlight w:val="none"/>
          <w:lang w:val="en-US" w:eastAsia="zh-CN"/>
          <w14:textFill>
            <w14:solidFill>
              <w14:schemeClr w14:val="tx1"/>
            </w14:solidFill>
          </w14:textFill>
        </w:rPr>
        <w:t>大于</w:t>
      </w:r>
      <w:r>
        <w:rPr>
          <w:rFonts w:hint="eastAsia" w:ascii="仿宋" w:hAnsi="仿宋" w:eastAsia="仿宋" w:cs="仿宋"/>
          <w:color w:val="000000" w:themeColor="text1"/>
          <w:sz w:val="21"/>
          <w:szCs w:val="21"/>
          <w:highlight w:val="none"/>
          <w14:textFill>
            <w14:solidFill>
              <w14:schemeClr w14:val="tx1"/>
            </w14:solidFill>
          </w14:textFill>
        </w:rPr>
        <w:t>《商品包装政府采购需求标准（试行）》《快递包装政府采购需求标准（试行）》标准，并作为履约验收的内容，必要时甲方可以要求乙方在履约验收环节出具检测报告。</w:t>
      </w:r>
    </w:p>
    <w:p w14:paraId="6EE5112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7.5 乙方在运输到达之前应提前通知甲方，并提示货物运输装卸的注意事项，甲方配合乙方做好货物的接收工作。</w:t>
      </w:r>
    </w:p>
    <w:p w14:paraId="5A28930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7.6 如因包装、运输问题导致货物损毁、丢失或者品质下降，甲方有权要求降价、换货、拒收部分或整批货物，由此产生的费用和损失，均由乙方承担。</w:t>
      </w:r>
    </w:p>
    <w:p w14:paraId="5ED3743E">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8. 质量标准和保证</w:t>
      </w:r>
    </w:p>
    <w:p w14:paraId="6FFE01C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8.1 质量标准</w:t>
      </w:r>
    </w:p>
    <w:p w14:paraId="62A25BD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579B3FA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（2）采用中华人民共和国法定计量单位。</w:t>
      </w:r>
    </w:p>
    <w:p w14:paraId="7397B29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（3）乙方所提供的货物应符合国家有关安全、环保、卫生的规定。</w:t>
      </w:r>
    </w:p>
    <w:p w14:paraId="6ED87EF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（4）乙方应向甲方提交所提供货物的技术文件，包括相应的中文技术文件，如：产品目录、图纸、操作手册、使用说明、维护手册或服务指南等。上述文件应包装好随货物一同发运。</w:t>
      </w:r>
    </w:p>
    <w:p w14:paraId="304DA21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8.2 保证</w:t>
      </w:r>
    </w:p>
    <w:p w14:paraId="07F2215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381BC09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（2）在质量保证期内所发现的缺陷，甲方应尽快以书面形式通知乙方。</w:t>
      </w:r>
    </w:p>
    <w:p w14:paraId="5A5B0B6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（3）乙方收到通知后，应在【政府采购合同专用条款】规定的</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时间内以合理的速度免费维修或更换有缺陷的货物或部件。</w:t>
      </w:r>
    </w:p>
    <w:p w14:paraId="6E52206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（4）在质量保证期内，如果货物的质量或规格与合同不符，或证实货物是有缺陷的，包括潜在的缺陷或使用不符合要求的材料等，甲方可以根据本合同第15.1条规定以书面形式追究乙方的违约责任。</w:t>
      </w:r>
    </w:p>
    <w:p w14:paraId="56F8BA9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（5）乙方在约定的时间内未能弥补缺陷，甲方可采取必要的补救措施，但其风险和费用将由乙方承担，甲方根据合同约定对乙方行使的其他权利不受影响。</w:t>
      </w:r>
    </w:p>
    <w:p w14:paraId="290660B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9. 权利瑕疵担保</w:t>
      </w:r>
    </w:p>
    <w:p w14:paraId="0EAC702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9.1 乙方保证对其出售的货物享有合法的权利。</w:t>
      </w:r>
    </w:p>
    <w:p w14:paraId="255536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9.2 乙方保证在交付的货物上不存在抵押权等担保物权。</w:t>
      </w:r>
    </w:p>
    <w:p w14:paraId="7FCB6EF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9.3 如甲方使用上述货物构成对第三人侵权的，则由乙方承担全部责任。</w:t>
      </w:r>
    </w:p>
    <w:p w14:paraId="32FFA7C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10. 知识产权保护</w:t>
      </w:r>
    </w:p>
    <w:p w14:paraId="7C055DE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33EC62E4">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11. 保密义务</w:t>
      </w:r>
    </w:p>
    <w:p w14:paraId="66F4D72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29EB4721">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12. 合同价款支付</w:t>
      </w:r>
    </w:p>
    <w:p w14:paraId="64E34CF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12.1 合同价款支付按照国库集中支付制度及财政管理相关规定执行。</w:t>
      </w:r>
    </w:p>
    <w:p w14:paraId="521867D5">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4ED7BE4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13. 履约保证金</w:t>
      </w:r>
    </w:p>
    <w:p w14:paraId="7BEACC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13.1 乙方应当以支票、汇票、本票或者金融机构、担保机构出具的保函等非现金形式提交。</w:t>
      </w:r>
    </w:p>
    <w:p w14:paraId="11F85F3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113E63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13.3 甲方在项目通过验收后按照【政府采购合同专用条款】规定的时间内将履约保证金退还乙方；逾期退还的，乙方可要求甲方支付违约金，违约金按照【政府采购合同专用条款】规定支付。</w:t>
      </w:r>
    </w:p>
    <w:p w14:paraId="145DE8B1">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14. 售后服务</w:t>
      </w:r>
    </w:p>
    <w:p w14:paraId="51949F8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14.1 除项目不涉及或采购活动中明确约定无须承担外，乙方还应提供下列服务：</w:t>
      </w:r>
    </w:p>
    <w:p w14:paraId="1E26202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（1）货物的现场移动、安装、调试、启动监督及技术支持；</w:t>
      </w:r>
    </w:p>
    <w:p w14:paraId="7783F51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（2）提供货物组装和维修所需的专用工具和辅助材料；</w:t>
      </w:r>
    </w:p>
    <w:p w14:paraId="5FD8BA9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（3）在【政府采购合同专用条款】约定的期限内对所有的货物实施运行监督、维修，但前提条件是该服务并不能免除乙方在质量保证期内所承担的义务；</w:t>
      </w:r>
    </w:p>
    <w:p w14:paraId="61CD12A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（4）在制造商所在地或指定现场就货物的安装、启动、运营、维护、废弃处置等对甲方操作人员进行培训；</w:t>
      </w:r>
    </w:p>
    <w:p w14:paraId="2BD9DCC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（5）依照法律、行政法规的规定或者按照【政府采购合同专用条款】约定，货物在有效使用年限届满后应予回收的，乙方负有自行或者委托第三人对货物予以回收的义务；</w:t>
      </w:r>
    </w:p>
    <w:p w14:paraId="50F1F40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（6）【政府采购合同专用条款】规定由乙方提供的其他服务。</w:t>
      </w:r>
    </w:p>
    <w:p w14:paraId="0225C8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14.2 乙方提供的售后服务的费用已包含在合同价款中，甲方不再另行支付。</w:t>
      </w:r>
    </w:p>
    <w:p w14:paraId="60ADC498">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15. 违约责任</w:t>
      </w:r>
    </w:p>
    <w:p w14:paraId="20F51DF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15.1质量瑕疵的违约责任</w:t>
      </w:r>
    </w:p>
    <w:p w14:paraId="2967F12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乙方提供的产品不符合合同约定的质量标准或存在产品质量缺陷，甲方有权要求乙方根据【政府采购合同专用条款】要求及时修理、重作、更换，并承担由此给甲方造成的损失。</w:t>
      </w:r>
    </w:p>
    <w:p w14:paraId="1116D85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15.2 迟延交货的违约责任</w:t>
      </w:r>
    </w:p>
    <w:p w14:paraId="27EE2C1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922FD9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008CB5F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15.3 迟延支付的违约责任</w:t>
      </w:r>
    </w:p>
    <w:p w14:paraId="350590E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甲方存在迟延支付乙方合同款项的，应当承担【政府采购合同专用条款】规定的逾期付款利息。</w:t>
      </w:r>
    </w:p>
    <w:p w14:paraId="5978C6B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15.4其他违约责任根据项目实际需要按【政府采购合同专用条款】规定执行。</w:t>
      </w:r>
    </w:p>
    <w:p w14:paraId="6C84517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16. 合同变更、中止与终止</w:t>
      </w:r>
    </w:p>
    <w:p w14:paraId="7A83F75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16.1合同的变更</w:t>
      </w:r>
    </w:p>
    <w:p w14:paraId="344F12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政府采购合同履行中，在不改变合同其他条款的前提下，甲方可以在合同价款10%的范围内追加与合同标的相同的货物，并就此与乙方协商一致后签订补充协议。</w:t>
      </w:r>
    </w:p>
    <w:p w14:paraId="176E86D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16.2合同的中止</w:t>
      </w:r>
    </w:p>
    <w:p w14:paraId="07B40E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（1）合同履行过程中因</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就采购文件、采购过程或结果提起投诉的，甲方认为有必要的，可以中止合同的履行。</w:t>
      </w:r>
    </w:p>
    <w:p w14:paraId="59E671E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63BA51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（3）乙方分立、合并或者变更住所的，应当及时以书面形式告知甲方。乙方没有及时告知甲方，致使合同履行发生困难的，甲方可以中止合同履行并要求乙方承担由此给甲方造成的损失。</w:t>
      </w:r>
    </w:p>
    <w:p w14:paraId="724FAB95">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（4）甲方不得以行政区划调整、政府换届、机构或者职能调整以及相关责任人更替为由中止合同。</w:t>
      </w:r>
    </w:p>
    <w:p w14:paraId="491DEEA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16.3合同的终止</w:t>
      </w:r>
    </w:p>
    <w:p w14:paraId="11C77FC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（1）合同因有效期限届满而终止；</w:t>
      </w:r>
    </w:p>
    <w:p w14:paraId="573C273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（2）乙方未按合同约定履行，构成根本性违约的，甲方有权终止合同，并追究乙方的违约责任。</w:t>
      </w:r>
    </w:p>
    <w:p w14:paraId="1FBD662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16.4 涉及国家利益、社会公共利益的情形</w:t>
      </w:r>
    </w:p>
    <w:p w14:paraId="58DEF97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政府采购合同继续履行将损害国家利益和社会公共利益的，双方当事人应当变更、中止或者终止合同。有过错的一方应当承担赔偿责任，双方都有过错的，各自承担相应的责任。</w:t>
      </w:r>
    </w:p>
    <w:p w14:paraId="377B954B">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17. 合同分包</w:t>
      </w:r>
    </w:p>
    <w:p w14:paraId="637E796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17.1 乙方不得将合同转包给其他</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。涉及合同分包的，乙方应根据采购文件和投标（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）文件规定进行合同分包。</w:t>
      </w:r>
    </w:p>
    <w:p w14:paraId="033B77E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17.2 乙方执行政府采购政策向中小企业依法分包的，乙方应当按采购文件和投标（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）文件签订分包意向协议，分包意向协议属于本合同组成部分。</w:t>
      </w:r>
    </w:p>
    <w:p w14:paraId="4ADC764F">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18. 不可抗力</w:t>
      </w:r>
    </w:p>
    <w:p w14:paraId="2056459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18.1 不可抗力是指合同双方不能预见、不能避免且不能克服的客观情况。</w:t>
      </w:r>
    </w:p>
    <w:p w14:paraId="149C230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18.2 任何一方对由于不可抗力造成的部分或全部不能履行合同不承担违约责任。但迟延履行后发生不可抗力的，不能免除责任。</w:t>
      </w:r>
    </w:p>
    <w:p w14:paraId="1A4858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4BC1089">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19. 解决争议的方法</w:t>
      </w:r>
    </w:p>
    <w:p w14:paraId="261E18F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19.1 因本合同及合同有关事项发生的争议，由甲乙双方友好协商解决。协商不成时，可以向有关组织申请调解。合同一方或双方不愿调解或调解不成的，可以通过仲裁或诉讼的方式解决争议。</w:t>
      </w:r>
    </w:p>
    <w:p w14:paraId="0A108B5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70D46D0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19.3 如甲乙双方有争议的事项不影响合同其他部分的履行，在争议解决期间，合同其他部分应当继续履行。</w:t>
      </w:r>
    </w:p>
    <w:p w14:paraId="765D0BE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20. 政府采购政策</w:t>
      </w:r>
    </w:p>
    <w:p w14:paraId="7BD12EF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20.1 本合同应当按照规定执行政府采购政策。</w:t>
      </w:r>
    </w:p>
    <w:p w14:paraId="690DC8D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1546A7E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5AF8147">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21. 法律适用</w:t>
      </w:r>
    </w:p>
    <w:p w14:paraId="2A5F27F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21.1 本合同的订立、生效、解释、履行及与本合同有关的争议解决，均适用法律、行政法规。</w:t>
      </w:r>
    </w:p>
    <w:p w14:paraId="6952C4A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21.2 本合同条款与法律、行政法规的强制性规定不一致的，双方当事人</w:t>
      </w:r>
      <w:r>
        <w:rPr>
          <w:rFonts w:hint="eastAsia" w:ascii="仿宋" w:hAnsi="仿宋" w:eastAsia="仿宋" w:cs="仿宋"/>
          <w:color w:val="000000" w:themeColor="text1"/>
          <w:sz w:val="21"/>
          <w:szCs w:val="21"/>
          <w:highlight w:val="none"/>
          <w:lang w:eastAsia="zh-CN"/>
          <w14:textFill>
            <w14:solidFill>
              <w14:schemeClr w14:val="tx1"/>
            </w14:solidFill>
          </w14:textFill>
        </w:rPr>
        <w:t>应当</w:t>
      </w:r>
      <w:r>
        <w:rPr>
          <w:rFonts w:hint="eastAsia" w:ascii="仿宋" w:hAnsi="仿宋" w:eastAsia="仿宋" w:cs="仿宋"/>
          <w:color w:val="000000" w:themeColor="text1"/>
          <w:sz w:val="21"/>
          <w:szCs w:val="21"/>
          <w:highlight w:val="none"/>
          <w14:textFill>
            <w14:solidFill>
              <w14:schemeClr w14:val="tx1"/>
            </w14:solidFill>
          </w14:textFill>
        </w:rPr>
        <w:t>按照法律、行政法规的强制性规定修改本合同的相关条款。</w:t>
      </w:r>
    </w:p>
    <w:p w14:paraId="5A73EDA0">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22. 通知</w:t>
      </w:r>
    </w:p>
    <w:p w14:paraId="3949166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22.1 本合同任何一方向对方发出的通知、信件、数据电文等，应当发送至本合同第一部分《政府采购合同协议书》所约定的通讯地址、联系人、联系电话或电子邮箱。</w:t>
      </w:r>
    </w:p>
    <w:p w14:paraId="21110E6F">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22.2 一方当事人变更名称、住所、联系人、联系电话或电子邮箱等信息的，应当在变更后3日内及时书面通知对方，对方实际收到变更通知前的送达仍为有效送达。</w:t>
      </w:r>
    </w:p>
    <w:p w14:paraId="2DAAFF05">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22.3本合同一方给另一方的通知均应采用书面形式，传真或快递送到本合同中规定的对方的地址和办理签收手续。</w:t>
      </w:r>
    </w:p>
    <w:p w14:paraId="09EFB0B1">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22.4通知以送达之日或通知书中规定的生效之日起生效，两者中以较迟之日为准。</w:t>
      </w:r>
    </w:p>
    <w:p w14:paraId="61ED430A">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23. 合同未尽事项</w:t>
      </w:r>
    </w:p>
    <w:p w14:paraId="3016BF4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23.1合同未尽事项见【政府采购合同专用条款】。</w:t>
      </w:r>
    </w:p>
    <w:p w14:paraId="245DFFA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23.2 合同附件与合同正文具有同等的法律效力。</w:t>
      </w:r>
    </w:p>
    <w:p w14:paraId="187BD36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第三节 政府采购</w:t>
      </w:r>
      <w:r>
        <w:rPr>
          <w:rFonts w:hint="eastAsia" w:ascii="宋体" w:hAnsi="宋体"/>
          <w:b/>
          <w:color w:val="000000" w:themeColor="text1"/>
          <w:szCs w:val="21"/>
          <w:highlight w:val="none"/>
          <w:lang w:eastAsia="zh-CN"/>
          <w14:textFill>
            <w14:solidFill>
              <w14:schemeClr w14:val="tx1"/>
            </w14:solidFill>
          </w14:textFill>
        </w:rPr>
        <w:t>合同</w:t>
      </w:r>
      <w:r>
        <w:rPr>
          <w:rFonts w:hint="eastAsia" w:ascii="宋体" w:hAnsi="宋体"/>
          <w:b/>
          <w:color w:val="000000" w:themeColor="text1"/>
          <w:szCs w:val="21"/>
          <w:highlight w:val="none"/>
          <w14:textFill>
            <w14:solidFill>
              <w14:schemeClr w14:val="tx1"/>
            </w14:solidFill>
          </w14:textFill>
        </w:rPr>
        <w:t>专用条款</w:t>
      </w:r>
    </w:p>
    <w:tbl>
      <w:tblPr>
        <w:tblStyle w:val="6"/>
        <w:tblW w:w="947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8"/>
        <w:gridCol w:w="2055"/>
        <w:gridCol w:w="5809"/>
      </w:tblGrid>
      <w:tr w14:paraId="26C8EE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CAD52A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5AF57B7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第1.2（</w:t>
            </w:r>
            <w:r>
              <w:rPr>
                <w:rFonts w:hint="eastAsia" w:ascii="仿宋" w:hAnsi="仿宋" w:eastAsia="仿宋" w:cs="仿宋"/>
                <w:color w:val="FF0000"/>
                <w:sz w:val="21"/>
                <w:szCs w:val="21"/>
                <w:highlight w:val="none"/>
                <w:lang w:val="en-US" w:eastAsia="zh-CN"/>
              </w:rPr>
              <w:t>6</w:t>
            </w:r>
            <w:r>
              <w:rPr>
                <w:rFonts w:hint="eastAsia" w:ascii="仿宋" w:hAnsi="仿宋" w:eastAsia="仿宋" w:cs="仿宋"/>
                <w:color w:val="FF0000"/>
                <w:sz w:val="21"/>
                <w:szCs w:val="21"/>
                <w:highlight w:val="none"/>
              </w:rPr>
              <w:t>）项</w:t>
            </w:r>
          </w:p>
        </w:tc>
        <w:tc>
          <w:tcPr>
            <w:tcW w:w="2055" w:type="dxa"/>
            <w:vAlign w:val="center"/>
          </w:tcPr>
          <w:p w14:paraId="3D5BB67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联合体具体要求</w:t>
            </w:r>
          </w:p>
        </w:tc>
        <w:tc>
          <w:tcPr>
            <w:tcW w:w="5809" w:type="dxa"/>
            <w:vAlign w:val="center"/>
          </w:tcPr>
          <w:p w14:paraId="244B6004">
            <w:pPr>
              <w:adjustRightInd w:val="0"/>
              <w:snapToGrid w:val="0"/>
              <w:jc w:val="left"/>
              <w:rPr>
                <w:rFonts w:hint="eastAsia" w:ascii="仿宋" w:hAnsi="仿宋" w:eastAsia="仿宋" w:cs="仿宋"/>
                <w:color w:val="FF0000"/>
                <w:sz w:val="21"/>
                <w:szCs w:val="21"/>
                <w:highlight w:val="none"/>
                <w:lang w:val="en-US" w:eastAsia="zh-CN"/>
              </w:rPr>
            </w:pPr>
            <w:r>
              <w:rPr>
                <w:rFonts w:hint="eastAsia" w:ascii="仿宋" w:hAnsi="仿宋" w:eastAsia="仿宋" w:cs="仿宋"/>
                <w:color w:val="FF0000"/>
                <w:sz w:val="21"/>
                <w:szCs w:val="21"/>
                <w:highlight w:val="none"/>
                <w:lang w:val="en-US" w:eastAsia="zh-CN"/>
              </w:rPr>
              <w:t>/</w:t>
            </w:r>
          </w:p>
        </w:tc>
      </w:tr>
      <w:tr w14:paraId="30C185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8" w:type="dxa"/>
            <w:vAlign w:val="center"/>
          </w:tcPr>
          <w:p w14:paraId="47D10D0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4055897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第1.2（</w:t>
            </w:r>
            <w:r>
              <w:rPr>
                <w:rFonts w:hint="eastAsia" w:ascii="仿宋" w:hAnsi="仿宋" w:eastAsia="仿宋" w:cs="仿宋"/>
                <w:color w:val="FF0000"/>
                <w:sz w:val="21"/>
                <w:szCs w:val="21"/>
                <w:highlight w:val="none"/>
                <w:lang w:val="en-US" w:eastAsia="zh-CN"/>
              </w:rPr>
              <w:t>7</w:t>
            </w:r>
            <w:r>
              <w:rPr>
                <w:rFonts w:hint="eastAsia" w:ascii="仿宋" w:hAnsi="仿宋" w:eastAsia="仿宋" w:cs="仿宋"/>
                <w:color w:val="FF0000"/>
                <w:sz w:val="21"/>
                <w:szCs w:val="21"/>
                <w:highlight w:val="none"/>
              </w:rPr>
              <w:t>）项</w:t>
            </w:r>
          </w:p>
        </w:tc>
        <w:tc>
          <w:tcPr>
            <w:tcW w:w="2055" w:type="dxa"/>
            <w:vAlign w:val="center"/>
          </w:tcPr>
          <w:p w14:paraId="0651449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其他术语解释</w:t>
            </w:r>
          </w:p>
        </w:tc>
        <w:tc>
          <w:tcPr>
            <w:tcW w:w="5809" w:type="dxa"/>
            <w:vAlign w:val="center"/>
          </w:tcPr>
          <w:p w14:paraId="297156C4">
            <w:pPr>
              <w:adjustRightInd w:val="0"/>
              <w:snapToGrid w:val="0"/>
              <w:jc w:val="left"/>
              <w:rPr>
                <w:rFonts w:hint="eastAsia" w:ascii="仿宋" w:hAnsi="仿宋" w:eastAsia="仿宋" w:cs="仿宋"/>
                <w:color w:val="FF0000"/>
                <w:sz w:val="21"/>
                <w:szCs w:val="21"/>
                <w:highlight w:val="none"/>
              </w:rPr>
            </w:pPr>
          </w:p>
        </w:tc>
      </w:tr>
      <w:tr w14:paraId="544914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16D50EF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02EB126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第</w:t>
            </w:r>
            <w:r>
              <w:rPr>
                <w:rFonts w:hint="eastAsia" w:ascii="仿宋" w:hAnsi="仿宋" w:eastAsia="仿宋" w:cs="仿宋"/>
                <w:color w:val="FF0000"/>
                <w:sz w:val="21"/>
                <w:szCs w:val="21"/>
                <w:highlight w:val="none"/>
                <w:lang w:val="en-US" w:eastAsia="zh-CN"/>
              </w:rPr>
              <w:t>4.4款</w:t>
            </w:r>
          </w:p>
        </w:tc>
        <w:tc>
          <w:tcPr>
            <w:tcW w:w="2055" w:type="dxa"/>
            <w:vAlign w:val="center"/>
          </w:tcPr>
          <w:p w14:paraId="6E6150CA">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履约验收中甲方提出异议或作出说明的期限</w:t>
            </w:r>
          </w:p>
        </w:tc>
        <w:tc>
          <w:tcPr>
            <w:tcW w:w="5809" w:type="dxa"/>
            <w:vAlign w:val="center"/>
          </w:tcPr>
          <w:p w14:paraId="160894BA">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验收后</w:t>
            </w:r>
            <w:r>
              <w:rPr>
                <w:rFonts w:hint="eastAsia" w:ascii="仿宋" w:hAnsi="仿宋" w:eastAsia="仿宋" w:cs="仿宋"/>
                <w:color w:val="FF0000"/>
                <w:sz w:val="21"/>
                <w:szCs w:val="21"/>
                <w:highlight w:val="none"/>
                <w:lang w:val="en-US" w:eastAsia="zh-CN"/>
              </w:rPr>
              <w:t>7</w:t>
            </w:r>
            <w:r>
              <w:rPr>
                <w:rFonts w:hint="eastAsia" w:ascii="仿宋" w:hAnsi="仿宋" w:eastAsia="仿宋" w:cs="仿宋"/>
                <w:color w:val="FF0000"/>
                <w:sz w:val="21"/>
                <w:szCs w:val="21"/>
                <w:highlight w:val="none"/>
              </w:rPr>
              <w:t>日内</w:t>
            </w:r>
          </w:p>
        </w:tc>
      </w:tr>
      <w:tr w14:paraId="195BFD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2C48755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54BFB26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第</w:t>
            </w:r>
            <w:r>
              <w:rPr>
                <w:rFonts w:hint="eastAsia" w:ascii="仿宋" w:hAnsi="仿宋" w:eastAsia="仿宋" w:cs="仿宋"/>
                <w:color w:val="FF0000"/>
                <w:sz w:val="21"/>
                <w:szCs w:val="21"/>
                <w:highlight w:val="none"/>
                <w:lang w:val="en-US" w:eastAsia="zh-CN"/>
              </w:rPr>
              <w:t>4.6款</w:t>
            </w:r>
          </w:p>
        </w:tc>
        <w:tc>
          <w:tcPr>
            <w:tcW w:w="2055" w:type="dxa"/>
            <w:vAlign w:val="center"/>
          </w:tcPr>
          <w:p w14:paraId="44E260A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约定甲方承担的其他义务和责任</w:t>
            </w:r>
          </w:p>
        </w:tc>
        <w:tc>
          <w:tcPr>
            <w:tcW w:w="5809" w:type="dxa"/>
            <w:vAlign w:val="center"/>
          </w:tcPr>
          <w:p w14:paraId="135C040C">
            <w:pPr>
              <w:adjustRightInd w:val="0"/>
              <w:snapToGrid w:val="0"/>
              <w:jc w:val="left"/>
              <w:rPr>
                <w:rFonts w:hint="eastAsia" w:ascii="仿宋" w:hAnsi="仿宋" w:eastAsia="仿宋" w:cs="仿宋"/>
                <w:color w:val="FF0000"/>
                <w:sz w:val="21"/>
                <w:szCs w:val="21"/>
                <w:highlight w:val="none"/>
              </w:rPr>
            </w:pPr>
          </w:p>
        </w:tc>
      </w:tr>
      <w:tr w14:paraId="2815FC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BDB084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lang w:eastAsia="zh-CN"/>
              </w:rPr>
            </w:pPr>
            <w:r>
              <w:rPr>
                <w:rFonts w:hint="eastAsia" w:ascii="仿宋" w:hAnsi="仿宋" w:eastAsia="仿宋" w:cs="仿宋"/>
                <w:color w:val="FF0000"/>
                <w:sz w:val="21"/>
                <w:szCs w:val="21"/>
                <w:highlight w:val="none"/>
                <w:lang w:eastAsia="zh-CN"/>
              </w:rPr>
              <w:t>第二节</w:t>
            </w:r>
          </w:p>
          <w:p w14:paraId="7E8142AD">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第</w:t>
            </w:r>
            <w:r>
              <w:rPr>
                <w:rFonts w:hint="eastAsia" w:ascii="仿宋" w:hAnsi="仿宋" w:eastAsia="仿宋" w:cs="仿宋"/>
                <w:color w:val="FF0000"/>
                <w:sz w:val="21"/>
                <w:szCs w:val="21"/>
                <w:highlight w:val="none"/>
                <w:lang w:val="en-US" w:eastAsia="zh-CN"/>
              </w:rPr>
              <w:t>5.4款</w:t>
            </w:r>
          </w:p>
        </w:tc>
        <w:tc>
          <w:tcPr>
            <w:tcW w:w="2055" w:type="dxa"/>
            <w:vAlign w:val="center"/>
          </w:tcPr>
          <w:p w14:paraId="287F1008">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约定乙方承担的其他义务和责任</w:t>
            </w:r>
          </w:p>
        </w:tc>
        <w:tc>
          <w:tcPr>
            <w:tcW w:w="5809" w:type="dxa"/>
            <w:vAlign w:val="center"/>
          </w:tcPr>
          <w:p w14:paraId="2419F197">
            <w:pPr>
              <w:adjustRightInd w:val="0"/>
              <w:snapToGrid w:val="0"/>
              <w:jc w:val="left"/>
              <w:rPr>
                <w:rFonts w:hint="eastAsia" w:ascii="仿宋" w:hAnsi="仿宋" w:eastAsia="仿宋" w:cs="仿宋"/>
                <w:color w:val="FF0000"/>
                <w:sz w:val="21"/>
                <w:szCs w:val="21"/>
                <w:highlight w:val="none"/>
              </w:rPr>
            </w:pPr>
          </w:p>
        </w:tc>
      </w:tr>
      <w:tr w14:paraId="575E04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C86784A">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lang w:eastAsia="zh-CN"/>
              </w:rPr>
            </w:pPr>
            <w:r>
              <w:rPr>
                <w:rFonts w:hint="eastAsia" w:ascii="仿宋" w:hAnsi="仿宋" w:eastAsia="仿宋" w:cs="仿宋"/>
                <w:color w:val="FF0000"/>
                <w:sz w:val="21"/>
                <w:szCs w:val="21"/>
                <w:highlight w:val="none"/>
                <w:lang w:eastAsia="zh-CN"/>
              </w:rPr>
              <w:t>第二节</w:t>
            </w:r>
          </w:p>
          <w:p w14:paraId="026A246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第</w:t>
            </w:r>
            <w:r>
              <w:rPr>
                <w:rFonts w:hint="eastAsia" w:ascii="仿宋" w:hAnsi="仿宋" w:eastAsia="仿宋" w:cs="仿宋"/>
                <w:color w:val="FF0000"/>
                <w:sz w:val="21"/>
                <w:szCs w:val="21"/>
                <w:highlight w:val="none"/>
                <w:lang w:val="en-US" w:eastAsia="zh-CN"/>
              </w:rPr>
              <w:t>6.1款</w:t>
            </w:r>
          </w:p>
        </w:tc>
        <w:tc>
          <w:tcPr>
            <w:tcW w:w="2055" w:type="dxa"/>
            <w:vAlign w:val="center"/>
          </w:tcPr>
          <w:p w14:paraId="742D0A77">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履行合同义务的顺序</w:t>
            </w:r>
          </w:p>
        </w:tc>
        <w:tc>
          <w:tcPr>
            <w:tcW w:w="5809" w:type="dxa"/>
            <w:vAlign w:val="center"/>
          </w:tcPr>
          <w:p w14:paraId="40982F33">
            <w:pPr>
              <w:adjustRightInd w:val="0"/>
              <w:snapToGrid w:val="0"/>
              <w:jc w:val="left"/>
              <w:rPr>
                <w:rFonts w:hint="eastAsia" w:ascii="仿宋" w:hAnsi="仿宋" w:eastAsia="仿宋" w:cs="仿宋"/>
                <w:color w:val="FF0000"/>
                <w:sz w:val="21"/>
                <w:szCs w:val="21"/>
                <w:highlight w:val="none"/>
              </w:rPr>
            </w:pPr>
          </w:p>
        </w:tc>
      </w:tr>
      <w:tr w14:paraId="162F27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restart"/>
            <w:vAlign w:val="center"/>
          </w:tcPr>
          <w:p w14:paraId="25C5219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718D98F7">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w:t>
            </w:r>
            <w:r>
              <w:rPr>
                <w:rFonts w:hint="eastAsia" w:ascii="仿宋" w:hAnsi="仿宋" w:eastAsia="仿宋" w:cs="仿宋"/>
                <w:color w:val="FF0000"/>
                <w:sz w:val="21"/>
                <w:szCs w:val="21"/>
                <w:highlight w:val="none"/>
                <w:lang w:val="en-US" w:eastAsia="zh-CN"/>
              </w:rPr>
              <w:t>7</w:t>
            </w:r>
            <w:r>
              <w:rPr>
                <w:rFonts w:hint="eastAsia" w:ascii="仿宋" w:hAnsi="仿宋" w:eastAsia="仿宋" w:cs="仿宋"/>
                <w:color w:val="FF0000"/>
                <w:sz w:val="21"/>
                <w:szCs w:val="21"/>
                <w:highlight w:val="none"/>
              </w:rPr>
              <w:t>.1</w:t>
            </w:r>
            <w:r>
              <w:rPr>
                <w:rFonts w:hint="eastAsia" w:ascii="仿宋" w:hAnsi="仿宋" w:eastAsia="仿宋" w:cs="仿宋"/>
                <w:color w:val="FF0000"/>
                <w:sz w:val="21"/>
                <w:szCs w:val="21"/>
                <w:highlight w:val="none"/>
                <w:lang w:val="en-US" w:eastAsia="zh-CN"/>
              </w:rPr>
              <w:t>款</w:t>
            </w:r>
          </w:p>
        </w:tc>
        <w:tc>
          <w:tcPr>
            <w:tcW w:w="2055" w:type="dxa"/>
            <w:vAlign w:val="center"/>
          </w:tcPr>
          <w:p w14:paraId="08806846">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包装</w:t>
            </w:r>
            <w:r>
              <w:rPr>
                <w:rFonts w:hint="eastAsia" w:ascii="仿宋" w:hAnsi="仿宋" w:eastAsia="仿宋" w:cs="仿宋"/>
                <w:color w:val="FF0000"/>
                <w:sz w:val="21"/>
                <w:szCs w:val="21"/>
                <w:highlight w:val="none"/>
                <w:lang w:eastAsia="zh-CN"/>
              </w:rPr>
              <w:t>特殊要求</w:t>
            </w:r>
          </w:p>
        </w:tc>
        <w:tc>
          <w:tcPr>
            <w:tcW w:w="5809" w:type="dxa"/>
            <w:vAlign w:val="center"/>
          </w:tcPr>
          <w:p w14:paraId="56C0A639">
            <w:pPr>
              <w:rPr>
                <w:rFonts w:hint="eastAsia" w:ascii="仿宋" w:hAnsi="仿宋" w:eastAsia="仿宋" w:cs="仿宋"/>
                <w:color w:val="FF0000"/>
                <w:sz w:val="21"/>
                <w:szCs w:val="21"/>
                <w:highlight w:val="none"/>
                <w:lang w:val="en-US" w:eastAsia="zh-CN"/>
              </w:rPr>
            </w:pPr>
            <w:r>
              <w:rPr>
                <w:rFonts w:hint="eastAsia" w:ascii="仿宋" w:hAnsi="仿宋" w:eastAsia="仿宋" w:cs="仿宋"/>
                <w:color w:val="FF0000"/>
                <w:sz w:val="21"/>
                <w:szCs w:val="21"/>
                <w:highlight w:val="none"/>
                <w:lang w:val="en-US" w:eastAsia="zh-CN"/>
              </w:rPr>
              <w:t xml:space="preserve"> </w:t>
            </w:r>
          </w:p>
        </w:tc>
      </w:tr>
      <w:tr w14:paraId="72B9C9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continue"/>
            <w:vAlign w:val="center"/>
          </w:tcPr>
          <w:p w14:paraId="42231E7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p>
        </w:tc>
        <w:tc>
          <w:tcPr>
            <w:tcW w:w="2055" w:type="dxa"/>
            <w:vAlign w:val="center"/>
          </w:tcPr>
          <w:p w14:paraId="2C685311">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指定现场</w:t>
            </w:r>
          </w:p>
        </w:tc>
        <w:tc>
          <w:tcPr>
            <w:tcW w:w="5809" w:type="dxa"/>
            <w:vAlign w:val="center"/>
          </w:tcPr>
          <w:p w14:paraId="6C05A39B">
            <w:pPr>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现场交付为采购人指定地点，同时供应商应派专人协助采购人将慰问品点对点送至各军休干部指定地点。若有邮寄需要，供应商须提供邮寄服务且须当面签收，邮寄费用包含在响应总报价中，邮寄优先采用京东、顺丰快递。邮寄数量：八一和春节分别约为150份，具体数量以实际为准。</w:t>
            </w:r>
          </w:p>
        </w:tc>
      </w:tr>
      <w:tr w14:paraId="3941A9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48" w:hRule="atLeast"/>
          <w:jc w:val="center"/>
        </w:trPr>
        <w:tc>
          <w:tcPr>
            <w:tcW w:w="1608" w:type="dxa"/>
            <w:vAlign w:val="center"/>
          </w:tcPr>
          <w:p w14:paraId="43FF85BD">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33713E18">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w:t>
            </w:r>
            <w:r>
              <w:rPr>
                <w:rFonts w:hint="eastAsia" w:ascii="仿宋" w:hAnsi="仿宋" w:eastAsia="仿宋" w:cs="仿宋"/>
                <w:color w:val="FF0000"/>
                <w:sz w:val="21"/>
                <w:szCs w:val="21"/>
                <w:highlight w:val="none"/>
                <w:lang w:val="en-US" w:eastAsia="zh-CN"/>
              </w:rPr>
              <w:t>7</w:t>
            </w:r>
            <w:r>
              <w:rPr>
                <w:rFonts w:hint="eastAsia" w:ascii="仿宋" w:hAnsi="仿宋" w:eastAsia="仿宋" w:cs="仿宋"/>
                <w:color w:val="FF0000"/>
                <w:sz w:val="21"/>
                <w:szCs w:val="21"/>
                <w:highlight w:val="none"/>
              </w:rPr>
              <w:t>.2</w:t>
            </w:r>
            <w:r>
              <w:rPr>
                <w:rFonts w:hint="eastAsia" w:ascii="仿宋" w:hAnsi="仿宋" w:eastAsia="仿宋" w:cs="仿宋"/>
                <w:color w:val="FF0000"/>
                <w:sz w:val="21"/>
                <w:szCs w:val="21"/>
                <w:highlight w:val="none"/>
                <w:lang w:val="en-US" w:eastAsia="zh-CN"/>
              </w:rPr>
              <w:t>款</w:t>
            </w:r>
          </w:p>
        </w:tc>
        <w:tc>
          <w:tcPr>
            <w:tcW w:w="2055" w:type="dxa"/>
            <w:vAlign w:val="center"/>
          </w:tcPr>
          <w:p w14:paraId="389E52B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运输特殊要求</w:t>
            </w:r>
          </w:p>
        </w:tc>
        <w:tc>
          <w:tcPr>
            <w:tcW w:w="5809" w:type="dxa"/>
            <w:vAlign w:val="center"/>
          </w:tcPr>
          <w:p w14:paraId="0EB849D9">
            <w:pPr>
              <w:tabs>
                <w:tab w:val="left" w:pos="312"/>
              </w:tabs>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产品运输采用符合卫生标准的外包装和运载工具。运输工具应清洁卫生无污染。选择风险小、运费低和运距短的运输路线。运杂费包含在总价内，采购人不再额外支付，包括从制造商到交付的包装、装载、运输、卸载至采购人指定地点等费用。</w:t>
            </w:r>
          </w:p>
        </w:tc>
      </w:tr>
      <w:tr w14:paraId="2B53C4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Align w:val="center"/>
          </w:tcPr>
          <w:p w14:paraId="79A3C35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58D754E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w:t>
            </w:r>
            <w:r>
              <w:rPr>
                <w:rFonts w:hint="eastAsia" w:ascii="仿宋" w:hAnsi="仿宋" w:eastAsia="仿宋" w:cs="仿宋"/>
                <w:color w:val="FF0000"/>
                <w:sz w:val="21"/>
                <w:szCs w:val="21"/>
                <w:highlight w:val="none"/>
                <w:lang w:val="en-US" w:eastAsia="zh-CN"/>
              </w:rPr>
              <w:t>7</w:t>
            </w:r>
            <w:r>
              <w:rPr>
                <w:rFonts w:hint="eastAsia" w:ascii="仿宋" w:hAnsi="仿宋" w:eastAsia="仿宋" w:cs="仿宋"/>
                <w:color w:val="FF0000"/>
                <w:sz w:val="21"/>
                <w:szCs w:val="21"/>
                <w:highlight w:val="none"/>
              </w:rPr>
              <w:t>.3</w:t>
            </w:r>
            <w:r>
              <w:rPr>
                <w:rFonts w:hint="eastAsia" w:ascii="仿宋" w:hAnsi="仿宋" w:eastAsia="仿宋" w:cs="仿宋"/>
                <w:color w:val="FF0000"/>
                <w:sz w:val="21"/>
                <w:szCs w:val="21"/>
                <w:highlight w:val="none"/>
                <w:lang w:val="en-US" w:eastAsia="zh-CN"/>
              </w:rPr>
              <w:t>款</w:t>
            </w:r>
          </w:p>
        </w:tc>
        <w:tc>
          <w:tcPr>
            <w:tcW w:w="2055" w:type="dxa"/>
            <w:vAlign w:val="center"/>
          </w:tcPr>
          <w:p w14:paraId="13423C1C">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保险要求</w:t>
            </w:r>
          </w:p>
        </w:tc>
        <w:tc>
          <w:tcPr>
            <w:tcW w:w="5809" w:type="dxa"/>
            <w:vAlign w:val="center"/>
          </w:tcPr>
          <w:p w14:paraId="2D757BBD">
            <w:pPr>
              <w:tabs>
                <w:tab w:val="left" w:pos="312"/>
              </w:tabs>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有关运输和保险的一切费用由乙方承担</w:t>
            </w:r>
          </w:p>
        </w:tc>
      </w:tr>
      <w:tr w14:paraId="06ABA5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8" w:hRule="atLeast"/>
          <w:jc w:val="center"/>
        </w:trPr>
        <w:tc>
          <w:tcPr>
            <w:tcW w:w="1608" w:type="dxa"/>
            <w:vAlign w:val="center"/>
          </w:tcPr>
          <w:p w14:paraId="10A7C51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45618D77">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w:t>
            </w:r>
            <w:r>
              <w:rPr>
                <w:rFonts w:hint="eastAsia" w:ascii="仿宋" w:hAnsi="仿宋" w:eastAsia="仿宋" w:cs="仿宋"/>
                <w:color w:val="FF0000"/>
                <w:sz w:val="21"/>
                <w:szCs w:val="21"/>
                <w:highlight w:val="none"/>
                <w:lang w:val="en-US" w:eastAsia="zh-CN"/>
              </w:rPr>
              <w:t>8</w:t>
            </w:r>
            <w:r>
              <w:rPr>
                <w:rFonts w:hint="eastAsia" w:ascii="仿宋" w:hAnsi="仿宋" w:eastAsia="仿宋" w:cs="仿宋"/>
                <w:color w:val="FF0000"/>
                <w:sz w:val="21"/>
                <w:szCs w:val="21"/>
                <w:highlight w:val="none"/>
              </w:rPr>
              <w:t>.2（1）项</w:t>
            </w:r>
          </w:p>
        </w:tc>
        <w:tc>
          <w:tcPr>
            <w:tcW w:w="2055" w:type="dxa"/>
            <w:vAlign w:val="center"/>
          </w:tcPr>
          <w:p w14:paraId="2D035D06">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质量保证期</w:t>
            </w:r>
          </w:p>
        </w:tc>
        <w:tc>
          <w:tcPr>
            <w:tcW w:w="5809" w:type="dxa"/>
            <w:vAlign w:val="center"/>
          </w:tcPr>
          <w:p w14:paraId="31EEDDF3">
            <w:pPr>
              <w:autoSpaceDE w:val="0"/>
              <w:autoSpaceDN w:val="0"/>
              <w:adjustRightInd w:val="0"/>
              <w:snapToGrid w:val="0"/>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供货时剩余质保期≥2/3质保期。</w:t>
            </w:r>
          </w:p>
        </w:tc>
      </w:tr>
      <w:tr w14:paraId="6CF0B3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A0EB43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02283BF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w:t>
            </w:r>
            <w:r>
              <w:rPr>
                <w:rFonts w:hint="eastAsia" w:ascii="仿宋" w:hAnsi="仿宋" w:eastAsia="仿宋" w:cs="仿宋"/>
                <w:color w:val="FF0000"/>
                <w:sz w:val="21"/>
                <w:szCs w:val="21"/>
                <w:highlight w:val="none"/>
                <w:lang w:val="en-US" w:eastAsia="zh-CN"/>
              </w:rPr>
              <w:t>8</w:t>
            </w:r>
            <w:r>
              <w:rPr>
                <w:rFonts w:hint="eastAsia" w:ascii="仿宋" w:hAnsi="仿宋" w:eastAsia="仿宋" w:cs="仿宋"/>
                <w:color w:val="FF0000"/>
                <w:sz w:val="21"/>
                <w:szCs w:val="21"/>
                <w:highlight w:val="none"/>
              </w:rPr>
              <w:t>.2（3）项</w:t>
            </w:r>
          </w:p>
        </w:tc>
        <w:tc>
          <w:tcPr>
            <w:tcW w:w="2055" w:type="dxa"/>
            <w:vAlign w:val="center"/>
          </w:tcPr>
          <w:p w14:paraId="1ABA53AE">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货物质量缺陷</w:t>
            </w:r>
            <w:r>
              <w:rPr>
                <w:rFonts w:hint="eastAsia" w:ascii="仿宋" w:hAnsi="仿宋" w:eastAsia="仿宋" w:cs="仿宋"/>
                <w:color w:val="FF0000"/>
                <w:sz w:val="21"/>
                <w:szCs w:val="21"/>
                <w:highlight w:val="none"/>
              </w:rPr>
              <w:t>响应时间</w:t>
            </w:r>
          </w:p>
        </w:tc>
        <w:tc>
          <w:tcPr>
            <w:tcW w:w="5809" w:type="dxa"/>
            <w:vAlign w:val="center"/>
          </w:tcPr>
          <w:p w14:paraId="6AE38A2A">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发现质量缺陷24小时内做出响应并提供解决方案</w:t>
            </w:r>
          </w:p>
        </w:tc>
      </w:tr>
      <w:tr w14:paraId="3AD8F3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70143F8">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lang w:val="en-US" w:eastAsia="zh-CN"/>
              </w:rPr>
            </w:pPr>
            <w:r>
              <w:rPr>
                <w:rFonts w:hint="eastAsia" w:ascii="仿宋" w:hAnsi="仿宋" w:eastAsia="仿宋" w:cs="仿宋"/>
                <w:color w:val="FF0000"/>
                <w:sz w:val="21"/>
                <w:szCs w:val="21"/>
                <w:highlight w:val="none"/>
                <w:lang w:val="en-US" w:eastAsia="zh-CN"/>
              </w:rPr>
              <w:t>第二节</w:t>
            </w:r>
          </w:p>
          <w:p w14:paraId="45599437">
            <w:pPr>
              <w:pStyle w:val="8"/>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val="en-US" w:eastAsia="zh-CN"/>
              </w:rPr>
              <w:t>第11.1款</w:t>
            </w:r>
          </w:p>
        </w:tc>
        <w:tc>
          <w:tcPr>
            <w:tcW w:w="2055" w:type="dxa"/>
            <w:vAlign w:val="center"/>
          </w:tcPr>
          <w:p w14:paraId="31DB2F56">
            <w:pPr>
              <w:keepNext w:val="0"/>
              <w:keepLines w:val="0"/>
              <w:pageBreakBefore w:val="0"/>
              <w:kinsoku/>
              <w:wordWrap/>
              <w:overflowPunct/>
              <w:topLinePunct w:val="0"/>
              <w:bidi w:val="0"/>
              <w:adjustRightInd w:val="0"/>
              <w:snapToGrid w:val="0"/>
              <w:spacing w:line="324" w:lineRule="auto"/>
              <w:ind w:firstLine="0" w:firstLineChars="0"/>
              <w:jc w:val="both"/>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val="en-US" w:eastAsia="zh-CN"/>
              </w:rPr>
              <w:t>其他应当保密的信息</w:t>
            </w:r>
          </w:p>
        </w:tc>
        <w:tc>
          <w:tcPr>
            <w:tcW w:w="5809" w:type="dxa"/>
            <w:vAlign w:val="center"/>
          </w:tcPr>
          <w:p w14:paraId="637D199A">
            <w:pPr>
              <w:adjustRightInd w:val="0"/>
              <w:snapToGrid w:val="0"/>
              <w:jc w:val="left"/>
              <w:rPr>
                <w:rFonts w:hint="eastAsia" w:ascii="仿宋" w:hAnsi="仿宋" w:eastAsia="仿宋" w:cs="仿宋"/>
                <w:color w:val="FF0000"/>
                <w:sz w:val="21"/>
                <w:szCs w:val="21"/>
                <w:highlight w:val="none"/>
              </w:rPr>
            </w:pPr>
          </w:p>
        </w:tc>
      </w:tr>
      <w:tr w14:paraId="629F6C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8" w:type="dxa"/>
            <w:vAlign w:val="center"/>
          </w:tcPr>
          <w:p w14:paraId="75559BD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2E41D1C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第1</w:t>
            </w:r>
            <w:r>
              <w:rPr>
                <w:rFonts w:hint="eastAsia" w:ascii="仿宋" w:hAnsi="仿宋" w:eastAsia="仿宋" w:cs="仿宋"/>
                <w:color w:val="FF0000"/>
                <w:sz w:val="21"/>
                <w:szCs w:val="21"/>
                <w:highlight w:val="none"/>
                <w:lang w:val="en-US" w:eastAsia="zh-CN"/>
              </w:rPr>
              <w:t>2</w:t>
            </w:r>
            <w:r>
              <w:rPr>
                <w:rFonts w:hint="eastAsia" w:ascii="仿宋" w:hAnsi="仿宋" w:eastAsia="仿宋" w:cs="仿宋"/>
                <w:color w:val="FF0000"/>
                <w:sz w:val="21"/>
                <w:szCs w:val="21"/>
                <w:highlight w:val="none"/>
              </w:rPr>
              <w:t>.2款</w:t>
            </w:r>
          </w:p>
        </w:tc>
        <w:tc>
          <w:tcPr>
            <w:tcW w:w="2055" w:type="dxa"/>
            <w:vAlign w:val="center"/>
          </w:tcPr>
          <w:p w14:paraId="468B1DEC">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合同价款支付</w:t>
            </w:r>
            <w:r>
              <w:rPr>
                <w:rFonts w:hint="eastAsia" w:ascii="仿宋" w:hAnsi="仿宋" w:eastAsia="仿宋" w:cs="仿宋"/>
                <w:color w:val="FF0000"/>
                <w:sz w:val="21"/>
                <w:szCs w:val="21"/>
                <w:highlight w:val="none"/>
                <w:lang w:eastAsia="zh-CN"/>
              </w:rPr>
              <w:t>时间</w:t>
            </w:r>
          </w:p>
        </w:tc>
        <w:tc>
          <w:tcPr>
            <w:tcW w:w="5809" w:type="dxa"/>
            <w:vAlign w:val="center"/>
          </w:tcPr>
          <w:p w14:paraId="7445C3EA">
            <w:pPr>
              <w:adjustRightInd w:val="0"/>
              <w:snapToGrid w:val="0"/>
              <w:jc w:val="left"/>
              <w:rPr>
                <w:rFonts w:hint="eastAsia" w:ascii="仿宋" w:hAnsi="仿宋" w:eastAsia="仿宋" w:cs="仿宋"/>
                <w:color w:val="FF0000"/>
                <w:sz w:val="21"/>
                <w:szCs w:val="21"/>
                <w:highlight w:val="none"/>
                <w:lang w:eastAsia="zh-CN"/>
              </w:rPr>
            </w:pPr>
            <w:r>
              <w:rPr>
                <w:rFonts w:hint="eastAsia" w:ascii="仿宋" w:hAnsi="仿宋" w:eastAsia="仿宋" w:cs="仿宋"/>
                <w:color w:val="FF0000"/>
                <w:sz w:val="21"/>
                <w:szCs w:val="21"/>
                <w:highlight w:val="none"/>
              </w:rPr>
              <w:t>（1）合同签订之日起10个工作日内投标人向采购人提供产品清单、发票等相关资料，待甲方审核确认后，达到付款条件起10个工作日，支付配送本批次金额的100%</w:t>
            </w:r>
            <w:r>
              <w:rPr>
                <w:rFonts w:hint="eastAsia" w:ascii="仿宋" w:hAnsi="仿宋" w:eastAsia="仿宋" w:cs="仿宋"/>
                <w:color w:val="FF0000"/>
                <w:sz w:val="21"/>
                <w:szCs w:val="21"/>
                <w:highlight w:val="none"/>
                <w:lang w:eastAsia="zh-CN"/>
              </w:rPr>
              <w:t>。</w:t>
            </w:r>
          </w:p>
          <w:p w14:paraId="020179A6">
            <w:pPr>
              <w:pStyle w:val="2"/>
              <w:rPr>
                <w:rFonts w:hint="eastAsia" w:ascii="仿宋" w:hAnsi="仿宋" w:eastAsia="仿宋" w:cs="仿宋"/>
                <w:b/>
                <w:color w:val="FF0000"/>
                <w:sz w:val="21"/>
                <w:szCs w:val="21"/>
                <w:highlight w:val="none"/>
                <w:lang w:eastAsia="zh-CN"/>
              </w:rPr>
            </w:pPr>
            <w:r>
              <w:rPr>
                <w:rFonts w:hint="eastAsia" w:ascii="仿宋" w:hAnsi="仿宋" w:eastAsia="仿宋" w:cs="仿宋"/>
                <w:color w:val="FF0000"/>
                <w:sz w:val="21"/>
                <w:szCs w:val="21"/>
                <w:highlight w:val="none"/>
              </w:rPr>
              <w:t>（2）付款前乙方应开具与付款金额一致的正式发票给甲方，甲方收到发票后以转账形式支付乙方费用，否则，甲方有权拒绝付款且不承担任何违约责任，且乙方不得以此为由停止履行本合同项下的任意义务</w:t>
            </w:r>
            <w:r>
              <w:rPr>
                <w:rFonts w:hint="eastAsia" w:ascii="仿宋" w:hAnsi="仿宋" w:eastAsia="仿宋" w:cs="仿宋"/>
                <w:color w:val="FF0000"/>
                <w:sz w:val="21"/>
                <w:szCs w:val="21"/>
                <w:highlight w:val="none"/>
                <w:lang w:eastAsia="zh-CN"/>
              </w:rPr>
              <w:t>。</w:t>
            </w:r>
          </w:p>
        </w:tc>
      </w:tr>
      <w:tr w14:paraId="6A15F6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1608" w:type="dxa"/>
            <w:vAlign w:val="center"/>
          </w:tcPr>
          <w:p w14:paraId="2B09282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295BC52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w:t>
            </w:r>
            <w:r>
              <w:rPr>
                <w:rFonts w:hint="eastAsia" w:ascii="仿宋" w:hAnsi="仿宋" w:eastAsia="仿宋" w:cs="仿宋"/>
                <w:color w:val="FF0000"/>
                <w:sz w:val="21"/>
                <w:szCs w:val="21"/>
                <w:highlight w:val="none"/>
                <w:lang w:val="en-US" w:eastAsia="zh-CN"/>
              </w:rPr>
              <w:t>13.2</w:t>
            </w:r>
            <w:r>
              <w:rPr>
                <w:rFonts w:hint="eastAsia" w:ascii="仿宋" w:hAnsi="仿宋" w:eastAsia="仿宋" w:cs="仿宋"/>
                <w:color w:val="FF0000"/>
                <w:sz w:val="21"/>
                <w:szCs w:val="21"/>
                <w:highlight w:val="none"/>
              </w:rPr>
              <w:t>款</w:t>
            </w:r>
          </w:p>
        </w:tc>
        <w:tc>
          <w:tcPr>
            <w:tcW w:w="2055" w:type="dxa"/>
            <w:vAlign w:val="center"/>
          </w:tcPr>
          <w:p w14:paraId="2F79FA7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val="en-US" w:eastAsia="zh-CN"/>
              </w:rPr>
              <w:t>履约保证金不予退还的情形</w:t>
            </w:r>
          </w:p>
        </w:tc>
        <w:tc>
          <w:tcPr>
            <w:tcW w:w="5809" w:type="dxa"/>
            <w:vAlign w:val="center"/>
          </w:tcPr>
          <w:p w14:paraId="7023E463">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w:t>
            </w:r>
          </w:p>
        </w:tc>
      </w:tr>
      <w:tr w14:paraId="2D1625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329DB7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402CD10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w:t>
            </w:r>
            <w:r>
              <w:rPr>
                <w:rFonts w:hint="eastAsia" w:ascii="仿宋" w:hAnsi="仿宋" w:eastAsia="仿宋" w:cs="仿宋"/>
                <w:color w:val="FF0000"/>
                <w:sz w:val="21"/>
                <w:szCs w:val="21"/>
                <w:highlight w:val="none"/>
                <w:lang w:val="en-US" w:eastAsia="zh-CN"/>
              </w:rPr>
              <w:t>13.3</w:t>
            </w:r>
            <w:r>
              <w:rPr>
                <w:rFonts w:hint="eastAsia" w:ascii="仿宋" w:hAnsi="仿宋" w:eastAsia="仿宋" w:cs="仿宋"/>
                <w:color w:val="FF0000"/>
                <w:sz w:val="21"/>
                <w:szCs w:val="21"/>
                <w:highlight w:val="none"/>
              </w:rPr>
              <w:t>款</w:t>
            </w:r>
          </w:p>
        </w:tc>
        <w:tc>
          <w:tcPr>
            <w:tcW w:w="2055" w:type="dxa"/>
            <w:vAlign w:val="center"/>
          </w:tcPr>
          <w:p w14:paraId="37EDC38B">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履约保证金退还时间及</w:t>
            </w:r>
            <w:r>
              <w:rPr>
                <w:rFonts w:hint="eastAsia" w:ascii="仿宋" w:hAnsi="仿宋" w:eastAsia="仿宋" w:cs="仿宋"/>
                <w:color w:val="FF0000"/>
                <w:sz w:val="21"/>
                <w:szCs w:val="21"/>
                <w:highlight w:val="none"/>
                <w:lang w:eastAsia="zh-CN"/>
              </w:rPr>
              <w:t>逾期退还的</w:t>
            </w:r>
            <w:r>
              <w:rPr>
                <w:rFonts w:hint="eastAsia" w:ascii="仿宋" w:hAnsi="仿宋" w:eastAsia="仿宋" w:cs="仿宋"/>
                <w:color w:val="FF0000"/>
                <w:sz w:val="21"/>
                <w:szCs w:val="21"/>
                <w:highlight w:val="none"/>
              </w:rPr>
              <w:t>违约金</w:t>
            </w:r>
          </w:p>
        </w:tc>
        <w:tc>
          <w:tcPr>
            <w:tcW w:w="5809" w:type="dxa"/>
            <w:vAlign w:val="center"/>
          </w:tcPr>
          <w:p w14:paraId="77813C95">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w:t>
            </w:r>
          </w:p>
        </w:tc>
      </w:tr>
      <w:tr w14:paraId="6B2030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608" w:type="dxa"/>
            <w:vAlign w:val="center"/>
          </w:tcPr>
          <w:p w14:paraId="489880C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35146AC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第1</w:t>
            </w:r>
            <w:r>
              <w:rPr>
                <w:rFonts w:hint="eastAsia" w:ascii="仿宋" w:hAnsi="仿宋" w:eastAsia="仿宋" w:cs="仿宋"/>
                <w:color w:val="FF0000"/>
                <w:sz w:val="21"/>
                <w:szCs w:val="21"/>
                <w:highlight w:val="none"/>
                <w:lang w:val="en-US" w:eastAsia="zh-CN"/>
              </w:rPr>
              <w:t>4</w:t>
            </w:r>
            <w:r>
              <w:rPr>
                <w:rFonts w:hint="eastAsia" w:ascii="仿宋" w:hAnsi="仿宋" w:eastAsia="仿宋" w:cs="仿宋"/>
                <w:color w:val="FF0000"/>
                <w:sz w:val="21"/>
                <w:szCs w:val="21"/>
                <w:highlight w:val="none"/>
              </w:rPr>
              <w:t>.1（</w:t>
            </w:r>
            <w:r>
              <w:rPr>
                <w:rFonts w:hint="eastAsia" w:ascii="仿宋" w:hAnsi="仿宋" w:eastAsia="仿宋" w:cs="仿宋"/>
                <w:color w:val="FF0000"/>
                <w:sz w:val="21"/>
                <w:szCs w:val="21"/>
                <w:highlight w:val="none"/>
                <w:lang w:val="en-US" w:eastAsia="zh-CN"/>
              </w:rPr>
              <w:t>3</w:t>
            </w:r>
            <w:r>
              <w:rPr>
                <w:rFonts w:hint="eastAsia" w:ascii="仿宋" w:hAnsi="仿宋" w:eastAsia="仿宋" w:cs="仿宋"/>
                <w:color w:val="FF0000"/>
                <w:sz w:val="21"/>
                <w:szCs w:val="21"/>
                <w:highlight w:val="none"/>
              </w:rPr>
              <w:t>）项</w:t>
            </w:r>
          </w:p>
        </w:tc>
        <w:tc>
          <w:tcPr>
            <w:tcW w:w="2055" w:type="dxa"/>
            <w:vAlign w:val="center"/>
          </w:tcPr>
          <w:p w14:paraId="7093BBB1">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val="en-US" w:eastAsia="zh-CN"/>
              </w:rPr>
              <w:t>运行监督、维修期限</w:t>
            </w:r>
          </w:p>
        </w:tc>
        <w:tc>
          <w:tcPr>
            <w:tcW w:w="5809" w:type="dxa"/>
            <w:vAlign w:val="center"/>
          </w:tcPr>
          <w:p w14:paraId="5BB9477F">
            <w:pPr>
              <w:adjustRightInd w:val="0"/>
              <w:snapToGrid w:val="0"/>
              <w:jc w:val="left"/>
              <w:rPr>
                <w:rFonts w:hint="eastAsia" w:ascii="仿宋" w:hAnsi="仿宋" w:eastAsia="仿宋" w:cs="仿宋"/>
                <w:color w:val="FF0000"/>
                <w:sz w:val="21"/>
                <w:szCs w:val="21"/>
                <w:highlight w:val="none"/>
              </w:rPr>
            </w:pPr>
          </w:p>
        </w:tc>
      </w:tr>
      <w:tr w14:paraId="5DD06D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608" w:type="dxa"/>
            <w:vAlign w:val="center"/>
          </w:tcPr>
          <w:p w14:paraId="7D55CED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7A1F9CF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第1</w:t>
            </w:r>
            <w:r>
              <w:rPr>
                <w:rFonts w:hint="eastAsia" w:ascii="仿宋" w:hAnsi="仿宋" w:eastAsia="仿宋" w:cs="仿宋"/>
                <w:color w:val="FF0000"/>
                <w:sz w:val="21"/>
                <w:szCs w:val="21"/>
                <w:highlight w:val="none"/>
                <w:lang w:val="en-US" w:eastAsia="zh-CN"/>
              </w:rPr>
              <w:t>4</w:t>
            </w:r>
            <w:r>
              <w:rPr>
                <w:rFonts w:hint="eastAsia" w:ascii="仿宋" w:hAnsi="仿宋" w:eastAsia="仿宋" w:cs="仿宋"/>
                <w:color w:val="FF0000"/>
                <w:sz w:val="21"/>
                <w:szCs w:val="21"/>
                <w:highlight w:val="none"/>
              </w:rPr>
              <w:t>.1（</w:t>
            </w:r>
            <w:r>
              <w:rPr>
                <w:rFonts w:hint="eastAsia" w:ascii="仿宋" w:hAnsi="仿宋" w:eastAsia="仿宋" w:cs="仿宋"/>
                <w:color w:val="FF0000"/>
                <w:sz w:val="21"/>
                <w:szCs w:val="21"/>
                <w:highlight w:val="none"/>
                <w:lang w:val="en-US" w:eastAsia="zh-CN"/>
              </w:rPr>
              <w:t>5</w:t>
            </w:r>
            <w:r>
              <w:rPr>
                <w:rFonts w:hint="eastAsia" w:ascii="仿宋" w:hAnsi="仿宋" w:eastAsia="仿宋" w:cs="仿宋"/>
                <w:color w:val="FF0000"/>
                <w:sz w:val="21"/>
                <w:szCs w:val="21"/>
                <w:highlight w:val="none"/>
              </w:rPr>
              <w:t>）项</w:t>
            </w:r>
          </w:p>
        </w:tc>
        <w:tc>
          <w:tcPr>
            <w:tcW w:w="2055" w:type="dxa"/>
            <w:vAlign w:val="center"/>
          </w:tcPr>
          <w:p w14:paraId="726BAD88">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val="en-US" w:eastAsia="zh-CN"/>
              </w:rPr>
              <w:t>货物回收的约定</w:t>
            </w:r>
          </w:p>
        </w:tc>
        <w:tc>
          <w:tcPr>
            <w:tcW w:w="5809" w:type="dxa"/>
            <w:vAlign w:val="center"/>
          </w:tcPr>
          <w:p w14:paraId="5E7064FA">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发现质量缺陷对应货物回收并重新发货</w:t>
            </w:r>
          </w:p>
        </w:tc>
      </w:tr>
      <w:tr w14:paraId="0A165F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608" w:type="dxa"/>
            <w:vAlign w:val="center"/>
          </w:tcPr>
          <w:p w14:paraId="10F2661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5F7F123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第1</w:t>
            </w:r>
            <w:r>
              <w:rPr>
                <w:rFonts w:hint="eastAsia" w:ascii="仿宋" w:hAnsi="仿宋" w:eastAsia="仿宋" w:cs="仿宋"/>
                <w:color w:val="FF0000"/>
                <w:sz w:val="21"/>
                <w:szCs w:val="21"/>
                <w:highlight w:val="none"/>
                <w:lang w:val="en-US" w:eastAsia="zh-CN"/>
              </w:rPr>
              <w:t>4</w:t>
            </w:r>
            <w:r>
              <w:rPr>
                <w:rFonts w:hint="eastAsia" w:ascii="仿宋" w:hAnsi="仿宋" w:eastAsia="仿宋" w:cs="仿宋"/>
                <w:color w:val="FF0000"/>
                <w:sz w:val="21"/>
                <w:szCs w:val="21"/>
                <w:highlight w:val="none"/>
              </w:rPr>
              <w:t>.1（</w:t>
            </w:r>
            <w:r>
              <w:rPr>
                <w:rFonts w:hint="eastAsia" w:ascii="仿宋" w:hAnsi="仿宋" w:eastAsia="仿宋" w:cs="仿宋"/>
                <w:color w:val="FF0000"/>
                <w:sz w:val="21"/>
                <w:szCs w:val="21"/>
                <w:highlight w:val="none"/>
                <w:lang w:val="en-US" w:eastAsia="zh-CN"/>
              </w:rPr>
              <w:t>6</w:t>
            </w:r>
            <w:r>
              <w:rPr>
                <w:rFonts w:hint="eastAsia" w:ascii="仿宋" w:hAnsi="仿宋" w:eastAsia="仿宋" w:cs="仿宋"/>
                <w:color w:val="FF0000"/>
                <w:sz w:val="21"/>
                <w:szCs w:val="21"/>
                <w:highlight w:val="none"/>
              </w:rPr>
              <w:t>）项</w:t>
            </w:r>
          </w:p>
        </w:tc>
        <w:tc>
          <w:tcPr>
            <w:tcW w:w="2055" w:type="dxa"/>
            <w:vAlign w:val="center"/>
          </w:tcPr>
          <w:p w14:paraId="5F292DFC">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乙方提供的其他服务</w:t>
            </w:r>
          </w:p>
        </w:tc>
        <w:tc>
          <w:tcPr>
            <w:tcW w:w="5809" w:type="dxa"/>
            <w:vAlign w:val="center"/>
          </w:tcPr>
          <w:p w14:paraId="351975F0">
            <w:pPr>
              <w:adjustRightInd w:val="0"/>
              <w:snapToGrid w:val="0"/>
              <w:jc w:val="left"/>
              <w:rPr>
                <w:rFonts w:hint="eastAsia" w:ascii="仿宋" w:hAnsi="仿宋" w:eastAsia="仿宋" w:cs="仿宋"/>
                <w:color w:val="FF0000"/>
                <w:sz w:val="21"/>
                <w:szCs w:val="21"/>
                <w:highlight w:val="none"/>
              </w:rPr>
            </w:pPr>
          </w:p>
        </w:tc>
      </w:tr>
      <w:tr w14:paraId="45A7A1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608" w:type="dxa"/>
            <w:vAlign w:val="center"/>
          </w:tcPr>
          <w:p w14:paraId="1E35DF3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4C64FB8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第1</w:t>
            </w:r>
            <w:r>
              <w:rPr>
                <w:rFonts w:hint="eastAsia" w:ascii="仿宋" w:hAnsi="仿宋" w:eastAsia="仿宋" w:cs="仿宋"/>
                <w:color w:val="FF0000"/>
                <w:sz w:val="21"/>
                <w:szCs w:val="21"/>
                <w:highlight w:val="none"/>
                <w:lang w:val="en-US" w:eastAsia="zh-CN"/>
              </w:rPr>
              <w:t>5</w:t>
            </w:r>
            <w:r>
              <w:rPr>
                <w:rFonts w:hint="eastAsia" w:ascii="仿宋" w:hAnsi="仿宋" w:eastAsia="仿宋" w:cs="仿宋"/>
                <w:color w:val="FF0000"/>
                <w:sz w:val="21"/>
                <w:szCs w:val="21"/>
                <w:highlight w:val="none"/>
              </w:rPr>
              <w:t>.</w:t>
            </w:r>
            <w:r>
              <w:rPr>
                <w:rFonts w:hint="eastAsia" w:ascii="仿宋" w:hAnsi="仿宋" w:eastAsia="仿宋" w:cs="仿宋"/>
                <w:color w:val="FF0000"/>
                <w:sz w:val="21"/>
                <w:szCs w:val="21"/>
                <w:highlight w:val="none"/>
                <w:lang w:val="en-US" w:eastAsia="zh-CN"/>
              </w:rPr>
              <w:t>1款</w:t>
            </w:r>
          </w:p>
        </w:tc>
        <w:tc>
          <w:tcPr>
            <w:tcW w:w="2055" w:type="dxa"/>
            <w:vAlign w:val="center"/>
          </w:tcPr>
          <w:p w14:paraId="2C94CFC1">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eastAsia="zh-CN"/>
              </w:rPr>
              <w:t>修理、重做、更换相关具体规定</w:t>
            </w:r>
          </w:p>
        </w:tc>
        <w:tc>
          <w:tcPr>
            <w:tcW w:w="5809" w:type="dxa"/>
            <w:vAlign w:val="center"/>
          </w:tcPr>
          <w:p w14:paraId="47BBA5F5">
            <w:pPr>
              <w:adjustRightInd w:val="0"/>
              <w:snapToGrid w:val="0"/>
              <w:jc w:val="left"/>
              <w:rPr>
                <w:rFonts w:hint="eastAsia" w:ascii="仿宋" w:hAnsi="仿宋" w:eastAsia="仿宋" w:cs="仿宋"/>
                <w:color w:val="FF0000"/>
                <w:sz w:val="21"/>
                <w:szCs w:val="21"/>
                <w:highlight w:val="none"/>
              </w:rPr>
            </w:pPr>
          </w:p>
        </w:tc>
      </w:tr>
      <w:tr w14:paraId="5E682B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63BE7D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1F93CDA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第1</w:t>
            </w:r>
            <w:r>
              <w:rPr>
                <w:rFonts w:hint="eastAsia" w:ascii="仿宋" w:hAnsi="仿宋" w:eastAsia="仿宋" w:cs="仿宋"/>
                <w:color w:val="FF0000"/>
                <w:sz w:val="21"/>
                <w:szCs w:val="21"/>
                <w:highlight w:val="none"/>
                <w:lang w:val="en-US" w:eastAsia="zh-CN"/>
              </w:rPr>
              <w:t>5</w:t>
            </w:r>
            <w:r>
              <w:rPr>
                <w:rFonts w:hint="eastAsia" w:ascii="仿宋" w:hAnsi="仿宋" w:eastAsia="仿宋" w:cs="仿宋"/>
                <w:color w:val="FF0000"/>
                <w:sz w:val="21"/>
                <w:szCs w:val="21"/>
                <w:highlight w:val="none"/>
              </w:rPr>
              <w:t>.2（2）项</w:t>
            </w:r>
          </w:p>
        </w:tc>
        <w:tc>
          <w:tcPr>
            <w:tcW w:w="2055" w:type="dxa"/>
            <w:vAlign w:val="center"/>
          </w:tcPr>
          <w:p w14:paraId="1BBF3C5E">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迟延交货赔偿费</w:t>
            </w:r>
          </w:p>
        </w:tc>
        <w:tc>
          <w:tcPr>
            <w:tcW w:w="5809" w:type="dxa"/>
            <w:vAlign w:val="center"/>
          </w:tcPr>
          <w:p w14:paraId="299D426C">
            <w:pPr>
              <w:adjustRightInd w:val="0"/>
              <w:snapToGrid w:val="0"/>
              <w:jc w:val="left"/>
              <w:rPr>
                <w:rFonts w:hint="eastAsia" w:ascii="仿宋" w:hAnsi="仿宋" w:eastAsia="仿宋" w:cs="仿宋"/>
                <w:color w:val="FF0000"/>
                <w:sz w:val="21"/>
                <w:szCs w:val="21"/>
                <w:highlight w:val="none"/>
                <w:lang w:val="en-US" w:eastAsia="zh-CN"/>
              </w:rPr>
            </w:pPr>
            <w:r>
              <w:rPr>
                <w:rFonts w:hint="eastAsia" w:ascii="仿宋" w:hAnsi="仿宋" w:eastAsia="仿宋" w:cs="仿宋"/>
                <w:color w:val="FF0000"/>
                <w:sz w:val="21"/>
                <w:szCs w:val="21"/>
                <w:highlight w:val="none"/>
              </w:rPr>
              <w:t>乙方逾期交货的，每逾期一日按合同价款的</w:t>
            </w:r>
            <w:r>
              <w:rPr>
                <w:rFonts w:hint="eastAsia" w:ascii="仿宋" w:hAnsi="仿宋" w:eastAsia="仿宋" w:cs="仿宋"/>
                <w:color w:val="FF0000"/>
                <w:sz w:val="21"/>
                <w:szCs w:val="21"/>
                <w:highlight w:val="none"/>
                <w:u w:val="single"/>
              </w:rPr>
              <w:t xml:space="preserve"> 3 </w:t>
            </w:r>
            <w:r>
              <w:rPr>
                <w:rFonts w:hint="eastAsia" w:ascii="仿宋" w:hAnsi="仿宋" w:eastAsia="仿宋" w:cs="仿宋"/>
                <w:color w:val="FF0000"/>
                <w:sz w:val="21"/>
                <w:szCs w:val="21"/>
                <w:highlight w:val="none"/>
              </w:rPr>
              <w:t>‰向甲方支付违约金。逾期达</w:t>
            </w:r>
            <w:r>
              <w:rPr>
                <w:rFonts w:hint="eastAsia" w:ascii="仿宋" w:hAnsi="仿宋" w:eastAsia="仿宋" w:cs="仿宋"/>
                <w:color w:val="FF0000"/>
                <w:sz w:val="21"/>
                <w:szCs w:val="21"/>
                <w:highlight w:val="none"/>
                <w:u w:val="single"/>
              </w:rPr>
              <w:t xml:space="preserve"> 5 </w:t>
            </w:r>
            <w:r>
              <w:rPr>
                <w:rFonts w:hint="eastAsia" w:ascii="仿宋" w:hAnsi="仿宋" w:eastAsia="仿宋" w:cs="仿宋"/>
                <w:color w:val="FF0000"/>
                <w:sz w:val="21"/>
                <w:szCs w:val="21"/>
                <w:highlight w:val="none"/>
              </w:rPr>
              <w:t>日，甲方有权解除合同，乙方应按合同的价款的</w:t>
            </w:r>
            <w:r>
              <w:rPr>
                <w:rFonts w:hint="eastAsia" w:ascii="仿宋" w:hAnsi="仿宋" w:eastAsia="仿宋" w:cs="仿宋"/>
                <w:color w:val="FF0000"/>
                <w:sz w:val="21"/>
                <w:szCs w:val="21"/>
                <w:highlight w:val="none"/>
                <w:u w:val="single"/>
              </w:rPr>
              <w:t xml:space="preserve"> 10 </w:t>
            </w:r>
            <w:r>
              <w:rPr>
                <w:rFonts w:hint="eastAsia" w:ascii="仿宋" w:hAnsi="仿宋" w:eastAsia="仿宋" w:cs="仿宋"/>
                <w:color w:val="FF0000"/>
                <w:sz w:val="21"/>
                <w:szCs w:val="21"/>
                <w:highlight w:val="none"/>
              </w:rPr>
              <w:t>%向甲方支付违约金，并赔偿由此给甲方造成的相关经济损失。</w:t>
            </w:r>
          </w:p>
        </w:tc>
      </w:tr>
      <w:tr w14:paraId="44E244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1608" w:type="dxa"/>
            <w:vAlign w:val="center"/>
          </w:tcPr>
          <w:p w14:paraId="5D99805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3A790BF8">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第1</w:t>
            </w:r>
            <w:r>
              <w:rPr>
                <w:rFonts w:hint="eastAsia" w:ascii="仿宋" w:hAnsi="仿宋" w:eastAsia="仿宋" w:cs="仿宋"/>
                <w:color w:val="FF0000"/>
                <w:sz w:val="21"/>
                <w:szCs w:val="21"/>
                <w:highlight w:val="none"/>
                <w:lang w:val="en-US" w:eastAsia="zh-CN"/>
              </w:rPr>
              <w:t>5</w:t>
            </w:r>
            <w:r>
              <w:rPr>
                <w:rFonts w:hint="eastAsia" w:ascii="仿宋" w:hAnsi="仿宋" w:eastAsia="仿宋" w:cs="仿宋"/>
                <w:color w:val="FF0000"/>
                <w:sz w:val="21"/>
                <w:szCs w:val="21"/>
                <w:highlight w:val="none"/>
              </w:rPr>
              <w:t>.</w:t>
            </w:r>
            <w:r>
              <w:rPr>
                <w:rFonts w:hint="eastAsia" w:ascii="仿宋" w:hAnsi="仿宋" w:eastAsia="仿宋" w:cs="仿宋"/>
                <w:color w:val="FF0000"/>
                <w:sz w:val="21"/>
                <w:szCs w:val="21"/>
                <w:highlight w:val="none"/>
                <w:lang w:val="en-US" w:eastAsia="zh-CN"/>
              </w:rPr>
              <w:t>3款</w:t>
            </w:r>
          </w:p>
        </w:tc>
        <w:tc>
          <w:tcPr>
            <w:tcW w:w="2055" w:type="dxa"/>
            <w:vAlign w:val="center"/>
          </w:tcPr>
          <w:p w14:paraId="77E0F1A2">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逾期付款利息</w:t>
            </w:r>
          </w:p>
        </w:tc>
        <w:tc>
          <w:tcPr>
            <w:tcW w:w="5809" w:type="dxa"/>
            <w:vAlign w:val="center"/>
          </w:tcPr>
          <w:p w14:paraId="4A42FCA4">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因甲方所付款</w:t>
            </w:r>
            <w:r>
              <w:rPr>
                <w:rFonts w:hint="eastAsia" w:ascii="仿宋" w:hAnsi="仿宋" w:eastAsia="仿宋" w:cs="仿宋"/>
                <w:color w:val="FF0000"/>
                <w:sz w:val="21"/>
                <w:szCs w:val="21"/>
                <w:highlight w:val="none"/>
                <w:lang w:val="en-US" w:eastAsia="zh-CN"/>
              </w:rPr>
              <w:t>项</w:t>
            </w:r>
            <w:r>
              <w:rPr>
                <w:rFonts w:hint="eastAsia" w:ascii="仿宋" w:hAnsi="仿宋" w:eastAsia="仿宋" w:cs="仿宋"/>
                <w:color w:val="FF0000"/>
                <w:sz w:val="21"/>
                <w:szCs w:val="21"/>
                <w:highlight w:val="none"/>
              </w:rPr>
              <w:t>均需审批，本合同履行期间，非因甲方故意拖延付款申请流程造成的逾期付款的，乙方对此予以谅解不</w:t>
            </w:r>
            <w:r>
              <w:rPr>
                <w:rFonts w:hint="eastAsia" w:ascii="仿宋" w:hAnsi="仿宋" w:eastAsia="仿宋" w:cs="仿宋"/>
                <w:color w:val="FF0000"/>
                <w:sz w:val="21"/>
                <w:szCs w:val="21"/>
                <w:highlight w:val="none"/>
                <w:lang w:val="en-US" w:eastAsia="zh-CN"/>
              </w:rPr>
              <w:t>予以</w:t>
            </w:r>
            <w:r>
              <w:rPr>
                <w:rFonts w:hint="eastAsia" w:ascii="仿宋" w:hAnsi="仿宋" w:eastAsia="仿宋" w:cs="仿宋"/>
                <w:color w:val="FF0000"/>
                <w:sz w:val="21"/>
                <w:szCs w:val="21"/>
                <w:highlight w:val="none"/>
              </w:rPr>
              <w:t>追究甲方的逾期付款责任</w:t>
            </w:r>
            <w:r>
              <w:rPr>
                <w:rFonts w:hint="eastAsia" w:ascii="仿宋" w:hAnsi="仿宋" w:eastAsia="仿宋" w:cs="仿宋"/>
                <w:color w:val="FF0000"/>
                <w:sz w:val="21"/>
                <w:szCs w:val="21"/>
                <w:highlight w:val="none"/>
              </w:rPr>
              <w:t>。</w:t>
            </w:r>
          </w:p>
        </w:tc>
      </w:tr>
      <w:tr w14:paraId="16EE9E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4" w:hRule="atLeast"/>
          <w:jc w:val="center"/>
        </w:trPr>
        <w:tc>
          <w:tcPr>
            <w:tcW w:w="1608" w:type="dxa"/>
            <w:tcBorders>
              <w:bottom w:val="single" w:color="auto" w:sz="2" w:space="0"/>
              <w:right w:val="single" w:color="auto" w:sz="2" w:space="0"/>
            </w:tcBorders>
            <w:vAlign w:val="center"/>
          </w:tcPr>
          <w:p w14:paraId="4212508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5BAF646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第1</w:t>
            </w:r>
            <w:r>
              <w:rPr>
                <w:rFonts w:hint="eastAsia" w:ascii="仿宋" w:hAnsi="仿宋" w:eastAsia="仿宋" w:cs="仿宋"/>
                <w:color w:val="FF0000"/>
                <w:sz w:val="21"/>
                <w:szCs w:val="21"/>
                <w:highlight w:val="none"/>
                <w:lang w:val="en-US" w:eastAsia="zh-CN"/>
              </w:rPr>
              <w:t>5</w:t>
            </w:r>
            <w:r>
              <w:rPr>
                <w:rFonts w:hint="eastAsia" w:ascii="仿宋" w:hAnsi="仿宋" w:eastAsia="仿宋" w:cs="仿宋"/>
                <w:color w:val="FF0000"/>
                <w:sz w:val="21"/>
                <w:szCs w:val="21"/>
                <w:highlight w:val="none"/>
              </w:rPr>
              <w:t>.4</w:t>
            </w:r>
            <w:r>
              <w:rPr>
                <w:rFonts w:hint="eastAsia" w:ascii="仿宋" w:hAnsi="仿宋" w:eastAsia="仿宋" w:cs="仿宋"/>
                <w:color w:val="FF0000"/>
                <w:sz w:val="21"/>
                <w:szCs w:val="21"/>
                <w:highlight w:val="none"/>
                <w:lang w:val="en-US" w:eastAsia="zh-CN"/>
              </w:rPr>
              <w:t>款</w:t>
            </w:r>
          </w:p>
        </w:tc>
        <w:tc>
          <w:tcPr>
            <w:tcW w:w="2055" w:type="dxa"/>
            <w:tcBorders>
              <w:left w:val="single" w:color="auto" w:sz="2" w:space="0"/>
              <w:bottom w:val="single" w:color="auto" w:sz="2" w:space="0"/>
              <w:right w:val="single" w:color="auto" w:sz="2" w:space="0"/>
            </w:tcBorders>
            <w:vAlign w:val="center"/>
          </w:tcPr>
          <w:p w14:paraId="1AEAAFF6">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其他违约责任</w:t>
            </w:r>
          </w:p>
        </w:tc>
        <w:tc>
          <w:tcPr>
            <w:tcW w:w="5809" w:type="dxa"/>
            <w:tcBorders>
              <w:left w:val="single" w:color="auto" w:sz="2" w:space="0"/>
              <w:bottom w:val="single" w:color="auto" w:sz="2" w:space="0"/>
            </w:tcBorders>
            <w:vAlign w:val="center"/>
          </w:tcPr>
          <w:p w14:paraId="46D2930F">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1.乙方违约责任</w:t>
            </w:r>
          </w:p>
          <w:p w14:paraId="114C4D58">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（1）如乙方不能交付货物，乙方应向甲方支付合同总价5％的违约金；</w:t>
            </w:r>
          </w:p>
          <w:p w14:paraId="5040A75F">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（2）乙方逾期交付货物的，每逾期1天，乙方向甲方偿付逾期交货部分货款总额的3‰的违约金。如乙方逾期交货达10天，甲方有权解除合同，解除合同的通知自到达乙方时生效；</w:t>
            </w:r>
          </w:p>
          <w:p w14:paraId="02262AD3">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（3）乙方所交付的货物品种、规格不符合合同规定的，甲方有权拒收。甲方拒收的，乙方应向甲方支付合同总价3 %的违约金；</w:t>
            </w:r>
          </w:p>
          <w:p w14:paraId="752BFB9F">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（4）乙方未按合同要求提供所需服务、货物质量不能满足甲方要求、服务程序不符合相关国家或行业规定，甲方有权终止合同和对中标单位违约行为进行追究，同时按有关规定进行相应的处罚。</w:t>
            </w:r>
          </w:p>
          <w:p w14:paraId="7558494E">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5）在乙方承诺的或国家规定的质量保证期内（取两者中最长的期限），如经乙方两次更换，货物仍不能达到合同约定的质量标准，甲方有权退货，乙方应退回全部货款，并按第（3）款处理，同时，乙方还须赔偿甲方因此遭受的损失；</w:t>
            </w:r>
          </w:p>
          <w:p w14:paraId="109D9269">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（6）乙方未按本合同约定履行自身应尽义务的，应向甲方承担违约责任，按合同总价款的5%向甲方支付违约金；该违约金的支付不影响乙方应承担的其他违约责任；</w:t>
            </w:r>
          </w:p>
          <w:p w14:paraId="2413ED26">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（7）乙方未按本合同的规定和“服务承诺”提供伴随服务/售后服务的，应按合同总价款的 5 %向甲方承担违约责任；</w:t>
            </w:r>
          </w:p>
          <w:p w14:paraId="6A8E5B3A">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281F0078">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（9）乙方偿付的违约金不足以弥补甲方损失的，还应按甲方损失尚未弥补的部分，支付赔偿金给甲方。</w:t>
            </w:r>
          </w:p>
        </w:tc>
      </w:tr>
      <w:tr w14:paraId="14229D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87" w:hRule="atLeast"/>
          <w:jc w:val="center"/>
        </w:trPr>
        <w:tc>
          <w:tcPr>
            <w:tcW w:w="1608" w:type="dxa"/>
            <w:tcBorders>
              <w:top w:val="single" w:color="auto" w:sz="2" w:space="0"/>
              <w:right w:val="single" w:color="auto" w:sz="2" w:space="0"/>
            </w:tcBorders>
            <w:vAlign w:val="center"/>
          </w:tcPr>
          <w:p w14:paraId="26D29A1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734CA25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w:t>
            </w:r>
            <w:r>
              <w:rPr>
                <w:rFonts w:hint="eastAsia" w:ascii="仿宋" w:hAnsi="仿宋" w:eastAsia="仿宋" w:cs="仿宋"/>
                <w:color w:val="FF0000"/>
                <w:sz w:val="21"/>
                <w:szCs w:val="21"/>
                <w:highlight w:val="none"/>
                <w:lang w:val="en-US" w:eastAsia="zh-CN"/>
              </w:rPr>
              <w:t>19</w:t>
            </w:r>
            <w:r>
              <w:rPr>
                <w:rFonts w:hint="eastAsia" w:ascii="仿宋" w:hAnsi="仿宋" w:eastAsia="仿宋" w:cs="仿宋"/>
                <w:color w:val="FF0000"/>
                <w:sz w:val="21"/>
                <w:szCs w:val="21"/>
                <w:highlight w:val="none"/>
              </w:rPr>
              <w:t>.2</w:t>
            </w:r>
            <w:r>
              <w:rPr>
                <w:rFonts w:hint="eastAsia" w:ascii="仿宋" w:hAnsi="仿宋" w:eastAsia="仿宋" w:cs="仿宋"/>
                <w:color w:val="FF0000"/>
                <w:sz w:val="21"/>
                <w:szCs w:val="21"/>
                <w:highlight w:val="none"/>
                <w:lang w:val="en-US" w:eastAsia="zh-CN"/>
              </w:rPr>
              <w:t>款</w:t>
            </w:r>
          </w:p>
        </w:tc>
        <w:tc>
          <w:tcPr>
            <w:tcW w:w="2055" w:type="dxa"/>
            <w:tcBorders>
              <w:top w:val="single" w:color="auto" w:sz="2" w:space="0"/>
              <w:left w:val="single" w:color="auto" w:sz="2" w:space="0"/>
              <w:right w:val="single" w:color="auto" w:sz="2" w:space="0"/>
            </w:tcBorders>
            <w:vAlign w:val="center"/>
          </w:tcPr>
          <w:p w14:paraId="42D26B9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val="en-US" w:eastAsia="zh-CN"/>
              </w:rPr>
              <w:t>解决争议的方法</w:t>
            </w:r>
          </w:p>
        </w:tc>
        <w:tc>
          <w:tcPr>
            <w:tcW w:w="5809" w:type="dxa"/>
            <w:tcBorders>
              <w:top w:val="single" w:color="auto" w:sz="2" w:space="0"/>
              <w:left w:val="single" w:color="auto" w:sz="2" w:space="0"/>
            </w:tcBorders>
            <w:vAlign w:val="center"/>
          </w:tcPr>
          <w:p w14:paraId="242C913F">
            <w:pPr>
              <w:autoSpaceDE w:val="0"/>
              <w:autoSpaceDN w:val="0"/>
              <w:adjustRightInd w:val="0"/>
              <w:snapToGrid w:val="0"/>
              <w:spacing w:line="400" w:lineRule="exact"/>
              <w:jc w:val="left"/>
              <w:rPr>
                <w:rFonts w:hint="eastAsia" w:ascii="仿宋" w:hAnsi="仿宋" w:eastAsia="仿宋" w:cs="仿宋"/>
                <w:iCs/>
                <w:color w:val="FF0000"/>
                <w:sz w:val="21"/>
                <w:szCs w:val="21"/>
                <w:highlight w:val="none"/>
              </w:rPr>
            </w:pPr>
            <w:r>
              <w:rPr>
                <w:rFonts w:hint="eastAsia" w:ascii="仿宋" w:hAnsi="仿宋" w:eastAsia="仿宋" w:cs="仿宋"/>
                <w:iCs/>
                <w:color w:val="FF0000"/>
                <w:sz w:val="21"/>
                <w:szCs w:val="21"/>
                <w:highlight w:val="none"/>
              </w:rPr>
              <w:t>因本合同及合同有关事项发生的争议，按下列第</w:t>
            </w:r>
            <w:r>
              <w:rPr>
                <w:rFonts w:hint="eastAsia" w:ascii="仿宋" w:hAnsi="仿宋" w:eastAsia="仿宋" w:cs="仿宋"/>
                <w:iCs/>
                <w:color w:val="FF0000"/>
                <w:sz w:val="21"/>
                <w:szCs w:val="21"/>
                <w:highlight w:val="none"/>
                <w:u w:val="single"/>
                <w:lang w:val="en-US" w:eastAsia="zh-CN"/>
              </w:rPr>
              <w:t xml:space="preserve">  </w:t>
            </w:r>
            <w:r>
              <w:rPr>
                <w:rFonts w:hint="eastAsia" w:ascii="仿宋" w:hAnsi="仿宋" w:eastAsia="仿宋" w:cs="仿宋"/>
                <w:iCs/>
                <w:color w:val="FF0000"/>
                <w:sz w:val="21"/>
                <w:szCs w:val="21"/>
                <w:highlight w:val="none"/>
              </w:rPr>
              <w:t>种方式解决：（1）向</w:t>
            </w:r>
            <w:r>
              <w:rPr>
                <w:rFonts w:hint="eastAsia" w:ascii="仿宋" w:hAnsi="仿宋" w:eastAsia="仿宋" w:cs="仿宋"/>
                <w:iCs/>
                <w:color w:val="FF0000"/>
                <w:sz w:val="21"/>
                <w:szCs w:val="21"/>
                <w:highlight w:val="none"/>
                <w:u w:val="single"/>
              </w:rPr>
              <w:t xml:space="preserve"> 西安 </w:t>
            </w:r>
            <w:r>
              <w:rPr>
                <w:rFonts w:hint="eastAsia" w:ascii="仿宋" w:hAnsi="仿宋" w:eastAsia="仿宋" w:cs="仿宋"/>
                <w:iCs/>
                <w:color w:val="FF0000"/>
                <w:sz w:val="21"/>
                <w:szCs w:val="21"/>
                <w:highlight w:val="none"/>
              </w:rPr>
              <w:t>仲裁委员会申请仲裁；（2）向</w:t>
            </w:r>
            <w:r>
              <w:rPr>
                <w:rFonts w:hint="eastAsia" w:ascii="仿宋" w:hAnsi="仿宋" w:eastAsia="仿宋" w:cs="仿宋"/>
                <w:iCs/>
                <w:color w:val="FF0000"/>
                <w:sz w:val="21"/>
                <w:szCs w:val="21"/>
                <w:highlight w:val="none"/>
                <w:u w:val="single"/>
              </w:rPr>
              <w:t xml:space="preserve"> 甲方所在地 </w:t>
            </w:r>
            <w:r>
              <w:rPr>
                <w:rFonts w:hint="eastAsia" w:ascii="仿宋" w:hAnsi="仿宋" w:eastAsia="仿宋" w:cs="仿宋"/>
                <w:iCs/>
                <w:color w:val="FF0000"/>
                <w:sz w:val="21"/>
                <w:szCs w:val="21"/>
                <w:highlight w:val="none"/>
              </w:rPr>
              <w:t>人民法院起诉。</w:t>
            </w:r>
          </w:p>
        </w:tc>
      </w:tr>
      <w:tr w14:paraId="7BAF96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9" w:hRule="atLeast"/>
          <w:jc w:val="center"/>
        </w:trPr>
        <w:tc>
          <w:tcPr>
            <w:tcW w:w="1608" w:type="dxa"/>
            <w:vAlign w:val="center"/>
          </w:tcPr>
          <w:p w14:paraId="22FACF8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第二节</w:t>
            </w:r>
          </w:p>
          <w:p w14:paraId="50CD139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第2</w:t>
            </w:r>
            <w:r>
              <w:rPr>
                <w:rFonts w:hint="eastAsia" w:ascii="仿宋" w:hAnsi="仿宋" w:eastAsia="仿宋" w:cs="仿宋"/>
                <w:color w:val="FF0000"/>
                <w:sz w:val="21"/>
                <w:szCs w:val="21"/>
                <w:highlight w:val="none"/>
                <w:lang w:val="en-US" w:eastAsia="zh-CN"/>
              </w:rPr>
              <w:t>3.1</w:t>
            </w:r>
            <w:r>
              <w:rPr>
                <w:rFonts w:hint="eastAsia" w:ascii="仿宋" w:hAnsi="仿宋" w:eastAsia="仿宋" w:cs="仿宋"/>
                <w:color w:val="FF0000"/>
                <w:sz w:val="21"/>
                <w:szCs w:val="21"/>
                <w:highlight w:val="none"/>
                <w:lang w:eastAsia="zh-CN"/>
              </w:rPr>
              <w:t>款</w:t>
            </w:r>
          </w:p>
        </w:tc>
        <w:tc>
          <w:tcPr>
            <w:tcW w:w="2055" w:type="dxa"/>
            <w:vAlign w:val="center"/>
          </w:tcPr>
          <w:p w14:paraId="2FC815C4">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FF0000"/>
                <w:sz w:val="21"/>
                <w:szCs w:val="21"/>
                <w:highlight w:val="none"/>
              </w:rPr>
            </w:pPr>
            <w:r>
              <w:rPr>
                <w:rFonts w:hint="eastAsia" w:ascii="仿宋" w:hAnsi="仿宋" w:eastAsia="仿宋" w:cs="仿宋"/>
                <w:bCs/>
                <w:color w:val="FF0000"/>
                <w:sz w:val="21"/>
                <w:szCs w:val="21"/>
                <w:highlight w:val="none"/>
                <w:lang w:eastAsia="zh-CN"/>
              </w:rPr>
              <w:t>其他专用条款</w:t>
            </w:r>
          </w:p>
        </w:tc>
        <w:tc>
          <w:tcPr>
            <w:tcW w:w="5809" w:type="dxa"/>
            <w:vAlign w:val="center"/>
          </w:tcPr>
          <w:p w14:paraId="20013214">
            <w:pPr>
              <w:adjustRightInd w:val="0"/>
              <w:snapToGrid w:val="0"/>
              <w:ind w:firstLine="420" w:firstLineChars="20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所有产品数量、规格、技术标准及配置等全部按竞争性谈判文件、响应文件及澄清函等进行验收，各项指标均应符合要求。</w:t>
            </w:r>
          </w:p>
          <w:p w14:paraId="279BF236">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1.在交货前，供货方应提供有关资料，包括食品生产厂家的食品生产许可证、供货方的营业执照、食品经营许可证（或销售预包装食品经营者备案表）的复印件及食品检测报告（必要时）等。</w:t>
            </w:r>
          </w:p>
          <w:p w14:paraId="24D93E4B">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2.采购方有权对交货货品进行清点，确认货品是否符合“货品名称、数量”的要求，所有货品外包装完好，标明品名、厂名、重量、生产日期、保质期或保存期、执行标准，剩余保质期不少于三分之二。</w:t>
            </w:r>
          </w:p>
          <w:p w14:paraId="58FCAA5A">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3.如果被清点的货品不能满足“货品名称、数量和质量等”的要求，采购方可以拒绝接受该货品，直至供应商满足采购人要求，方可通过验收。</w:t>
            </w:r>
          </w:p>
          <w:p w14:paraId="14433C74">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val="en-US" w:eastAsia="zh-CN"/>
              </w:rPr>
              <w:t>4</w:t>
            </w:r>
            <w:r>
              <w:rPr>
                <w:rFonts w:hint="eastAsia" w:ascii="仿宋" w:hAnsi="仿宋" w:eastAsia="仿宋" w:cs="仿宋"/>
                <w:color w:val="FF0000"/>
                <w:sz w:val="21"/>
                <w:szCs w:val="21"/>
                <w:highlight w:val="none"/>
              </w:rPr>
              <w:t>.货物验收依据：</w:t>
            </w:r>
          </w:p>
          <w:p w14:paraId="0165E6B3">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（1）</w:t>
            </w:r>
            <w:r>
              <w:rPr>
                <w:rFonts w:hint="eastAsia" w:ascii="仿宋" w:hAnsi="仿宋" w:eastAsia="仿宋" w:cs="仿宋"/>
                <w:color w:val="FF0000"/>
                <w:sz w:val="21"/>
                <w:szCs w:val="21"/>
                <w:highlight w:val="none"/>
                <w:lang w:val="en-US" w:eastAsia="zh-CN"/>
              </w:rPr>
              <w:t>采购文件</w:t>
            </w:r>
            <w:r>
              <w:rPr>
                <w:rFonts w:hint="eastAsia" w:ascii="仿宋" w:hAnsi="仿宋" w:eastAsia="仿宋" w:cs="仿宋"/>
                <w:color w:val="FF0000"/>
                <w:sz w:val="21"/>
                <w:szCs w:val="21"/>
                <w:highlight w:val="none"/>
              </w:rPr>
              <w:t>；</w:t>
            </w:r>
          </w:p>
          <w:p w14:paraId="15210A85">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（2）</w:t>
            </w:r>
            <w:r>
              <w:rPr>
                <w:rFonts w:hint="eastAsia" w:ascii="仿宋" w:hAnsi="仿宋" w:eastAsia="仿宋" w:cs="仿宋"/>
                <w:color w:val="FF0000"/>
                <w:sz w:val="21"/>
                <w:szCs w:val="21"/>
                <w:highlight w:val="none"/>
                <w:lang w:val="en-US" w:eastAsia="zh-CN"/>
              </w:rPr>
              <w:t>响应文件</w:t>
            </w:r>
            <w:r>
              <w:rPr>
                <w:rFonts w:hint="eastAsia" w:ascii="仿宋" w:hAnsi="仿宋" w:eastAsia="仿宋" w:cs="仿宋"/>
                <w:color w:val="FF0000"/>
                <w:sz w:val="21"/>
                <w:szCs w:val="21"/>
                <w:highlight w:val="none"/>
              </w:rPr>
              <w:t>；</w:t>
            </w:r>
          </w:p>
          <w:p w14:paraId="1E8C7C95">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（3）采购合同及补充协议；</w:t>
            </w:r>
          </w:p>
          <w:p w14:paraId="223FD4C0">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（4）质检部门抽样检查货物（产品）合格的检测报告。</w:t>
            </w:r>
          </w:p>
          <w:p w14:paraId="5606A259">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val="en-US" w:eastAsia="zh-CN"/>
              </w:rPr>
              <w:t>5</w:t>
            </w:r>
            <w:r>
              <w:rPr>
                <w:rFonts w:hint="eastAsia" w:ascii="仿宋" w:hAnsi="仿宋" w:eastAsia="仿宋" w:cs="仿宋"/>
                <w:color w:val="FF0000"/>
                <w:sz w:val="21"/>
                <w:szCs w:val="21"/>
                <w:highlight w:val="none"/>
              </w:rPr>
              <w:t>.货物验收时发现问题的处理办法：</w:t>
            </w:r>
          </w:p>
          <w:p w14:paraId="7B740080">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（1）乙方提供不符合</w:t>
            </w:r>
            <w:r>
              <w:rPr>
                <w:rFonts w:hint="eastAsia" w:ascii="仿宋" w:hAnsi="仿宋" w:eastAsia="仿宋" w:cs="仿宋"/>
                <w:color w:val="FF0000"/>
                <w:sz w:val="21"/>
                <w:szCs w:val="21"/>
                <w:highlight w:val="none"/>
                <w:lang w:val="en-US" w:eastAsia="zh-CN"/>
              </w:rPr>
              <w:t>采购文件</w:t>
            </w:r>
            <w:r>
              <w:rPr>
                <w:rFonts w:hint="eastAsia" w:ascii="仿宋" w:hAnsi="仿宋" w:eastAsia="仿宋" w:cs="仿宋"/>
                <w:color w:val="FF0000"/>
                <w:sz w:val="21"/>
                <w:szCs w:val="21"/>
                <w:highlight w:val="none"/>
              </w:rPr>
              <w:t>和本合同规定的货物（产品），甲方有权拒绝接受；</w:t>
            </w:r>
          </w:p>
          <w:p w14:paraId="2BBBE483">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（2）如发现所交付的货物有短装、次品、损坏或</w:t>
            </w:r>
            <w:r>
              <w:rPr>
                <w:rFonts w:hint="eastAsia" w:ascii="仿宋" w:hAnsi="仿宋" w:eastAsia="仿宋" w:cs="仿宋"/>
                <w:color w:val="FF0000"/>
                <w:sz w:val="21"/>
                <w:szCs w:val="21"/>
                <w:highlight w:val="none"/>
                <w:lang w:eastAsia="zh-CN"/>
              </w:rPr>
              <w:t>其他不</w:t>
            </w:r>
            <w:r>
              <w:rPr>
                <w:rFonts w:hint="eastAsia" w:ascii="仿宋" w:hAnsi="仿宋" w:eastAsia="仿宋" w:cs="仿宋"/>
                <w:color w:val="FF0000"/>
                <w:sz w:val="21"/>
                <w:szCs w:val="21"/>
                <w:highlight w:val="none"/>
              </w:rPr>
              <w:t>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1005724">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（3）如货物经乙方</w:t>
            </w:r>
            <w:r>
              <w:rPr>
                <w:rFonts w:hint="eastAsia" w:ascii="仿宋" w:hAnsi="仿宋" w:eastAsia="仿宋" w:cs="仿宋"/>
                <w:color w:val="FF0000"/>
                <w:sz w:val="21"/>
                <w:szCs w:val="21"/>
                <w:highlight w:val="none"/>
                <w:u w:val="single"/>
              </w:rPr>
              <w:t xml:space="preserve">   </w:t>
            </w:r>
            <w:r>
              <w:rPr>
                <w:rFonts w:hint="eastAsia" w:ascii="仿宋" w:hAnsi="仿宋" w:eastAsia="仿宋" w:cs="仿宋"/>
                <w:color w:val="FF0000"/>
                <w:sz w:val="21"/>
                <w:szCs w:val="21"/>
                <w:highlight w:val="none"/>
              </w:rPr>
              <w:t>次维修仍不能达到合同约定的质量标准，甲方有权退货，并视作乙方不能交付货物而须支付违约赔偿金给甲方，甲方还可依法追究乙方的违约责任； </w:t>
            </w:r>
          </w:p>
          <w:p w14:paraId="322A59B2">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（4）货物安装完成后</w:t>
            </w:r>
            <w:r>
              <w:rPr>
                <w:rFonts w:hint="eastAsia" w:ascii="仿宋" w:hAnsi="仿宋" w:eastAsia="仿宋" w:cs="仿宋"/>
                <w:color w:val="FF0000"/>
                <w:sz w:val="21"/>
                <w:szCs w:val="21"/>
                <w:highlight w:val="none"/>
                <w:u w:val="single"/>
              </w:rPr>
              <w:t xml:space="preserve">  </w:t>
            </w:r>
            <w:r>
              <w:rPr>
                <w:rFonts w:hint="eastAsia" w:ascii="仿宋" w:hAnsi="仿宋" w:eastAsia="仿宋" w:cs="仿宋"/>
                <w:color w:val="FF0000"/>
                <w:sz w:val="21"/>
                <w:szCs w:val="21"/>
                <w:highlight w:val="none"/>
              </w:rPr>
              <w:t>日内，甲方无故不进行验收工作并已使用货物的，视同已安装调试完成并验收合格；</w:t>
            </w:r>
          </w:p>
          <w:p w14:paraId="37A5BB26">
            <w:pPr>
              <w:adjustRightInd w:val="0"/>
              <w:snapToGrid w:val="0"/>
              <w:jc w:val="left"/>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（5）乙方不能完整交付货物及本条第一款规定的单证和工具的，必须负责补齐，否则视为未按合同约定交货；</w:t>
            </w:r>
          </w:p>
          <w:p w14:paraId="4FD8812F">
            <w:pPr>
              <w:adjustRightInd w:val="0"/>
              <w:snapToGrid w:val="0"/>
              <w:jc w:val="left"/>
              <w:rPr>
                <w:rFonts w:hint="eastAsia" w:ascii="仿宋" w:hAnsi="仿宋" w:eastAsia="仿宋" w:cs="仿宋"/>
                <w:color w:val="FF0000"/>
                <w:sz w:val="21"/>
                <w:szCs w:val="21"/>
                <w:highlight w:val="none"/>
                <w:lang w:val="en-US" w:eastAsia="zh-CN"/>
              </w:rPr>
            </w:pPr>
            <w:r>
              <w:rPr>
                <w:rFonts w:hint="eastAsia" w:ascii="仿宋" w:hAnsi="仿宋" w:eastAsia="仿宋" w:cs="仿宋"/>
                <w:color w:val="FF0000"/>
                <w:sz w:val="21"/>
                <w:szCs w:val="21"/>
                <w:highlight w:val="none"/>
              </w:rPr>
              <w:t>（6）超出合理磅差的处理方法：</w:t>
            </w:r>
            <w:r>
              <w:rPr>
                <w:rFonts w:hint="eastAsia" w:ascii="仿宋" w:hAnsi="仿宋" w:eastAsia="仿宋" w:cs="仿宋"/>
                <w:color w:val="FF0000"/>
                <w:sz w:val="21"/>
                <w:szCs w:val="21"/>
                <w:highlight w:val="none"/>
                <w:u w:val="single"/>
              </w:rPr>
              <w:t xml:space="preserve">          </w:t>
            </w:r>
            <w:r>
              <w:rPr>
                <w:rFonts w:hint="eastAsia" w:ascii="仿宋" w:hAnsi="仿宋" w:eastAsia="仿宋" w:cs="仿宋"/>
                <w:color w:val="FF0000"/>
                <w:sz w:val="21"/>
                <w:szCs w:val="21"/>
                <w:highlight w:val="none"/>
              </w:rPr>
              <w:t xml:space="preserve"> 。</w:t>
            </w:r>
          </w:p>
        </w:tc>
      </w:tr>
    </w:tbl>
    <w:p w14:paraId="0C3A8AF2">
      <w:pPr>
        <w:pStyle w:val="10"/>
        <w:rPr>
          <w:rFonts w:hint="eastAsia"/>
          <w:highlight w:val="none"/>
          <w:lang w:val="en-US" w:eastAsia="zh-Hans"/>
        </w:rPr>
      </w:pPr>
    </w:p>
    <w:p w14:paraId="57A8BD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0000000000000000000"/>
    <w:charset w:val="86"/>
    <w:family w:val="auto"/>
    <w:pitch w:val="default"/>
    <w:sig w:usb0="00000000" w:usb1="00000000" w:usb2="00000010" w:usb3="00000000" w:csb0="000400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7C3F8"/>
    <w:multiLevelType w:val="singleLevel"/>
    <w:tmpl w:val="CFE7C3F8"/>
    <w:lvl w:ilvl="0" w:tentative="0">
      <w:start w:val="1"/>
      <w:numFmt w:val="decimal"/>
      <w:suff w:val="nothing"/>
      <w:lvlText w:val="（%1）"/>
      <w:lvlJc w:val="left"/>
    </w:lvl>
  </w:abstractNum>
  <w:abstractNum w:abstractNumId="1">
    <w:nsid w:val="FFEFC674"/>
    <w:multiLevelType w:val="singleLevel"/>
    <w:tmpl w:val="FFEFC67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50DA7"/>
    <w:rsid w:val="46D5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szCs w:val="24"/>
    </w:rPr>
  </w:style>
  <w:style w:type="paragraph" w:styleId="3">
    <w:name w:val="Normal Indent"/>
    <w:basedOn w:val="1"/>
    <w:qFormat/>
    <w:uiPriority w:val="0"/>
    <w:pPr>
      <w:ind w:firstLine="420"/>
    </w:pPr>
    <w:rPr>
      <w:rFonts w:ascii="Times New Roman" w:hAnsi="Times New Roman"/>
      <w:szCs w:val="20"/>
    </w:rPr>
  </w:style>
  <w:style w:type="paragraph" w:styleId="4">
    <w:name w:val="Body Text Indent"/>
    <w:basedOn w:val="1"/>
    <w:qFormat/>
    <w:uiPriority w:val="0"/>
    <w:pPr>
      <w:spacing w:after="120"/>
      <w:ind w:left="200" w:leftChars="200"/>
    </w:pPr>
  </w:style>
  <w:style w:type="paragraph" w:styleId="5">
    <w:name w:val="Body Text First Indent"/>
    <w:basedOn w:val="2"/>
    <w:qFormat/>
    <w:uiPriority w:val="0"/>
    <w:pPr>
      <w:ind w:firstLine="100" w:firstLineChars="100"/>
    </w:p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9">
    <w:name w:val="列出段落1"/>
    <w:basedOn w:val="1"/>
    <w:qFormat/>
    <w:uiPriority w:val="0"/>
    <w:pPr>
      <w:ind w:firstLine="420" w:firstLineChars="200"/>
    </w:pPr>
    <w:rPr>
      <w:rFonts w:ascii="Times New Roman" w:hAnsi="Times New Roman"/>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2026-07-26T05:58:00Z</dcterms:created>
  <dc:creator>代理袁</dc:creator>
  <cp:lastModifiedBy>代理袁</cp:lastModifiedBy>
  <dcterms:modified xsi:type="dcterms:W3CDTF">2026-07-26T05:59:17Z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5D06B7B7813B4C269BD1419A7E0A2493_11</vt:lpwstr>
  </property>
  <property fmtid="{D5CDD505-2E9C-101B-9397-08002B2CF9AE}" pid="4" name="KSOTemplateDocerSaveRecord">
    <vt:lpwstr>eyJoZGlkIjoiYzVkNjMxYzYyYmRhYTdlNTBmYmExMDdlMzBiZWQ2ZmUiLCJ1c2VySWQiOiIyMjY0NTY0NzgifQ==</vt:lpwstr>
  </property>
</Properties>
</file>