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版本号：HTTZB-2026-01420260527001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机关食堂主副食材配送项目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HTTZB-2026-014</w:t>
      </w:r>
      <w:r>
        <w:br/>
      </w:r>
      <w:r>
        <w:br/>
      </w:r>
      <w:r>
        <w:br/>
      </w:r>
    </w:p>
    <w:p>
      <w:pPr>
        <w:pStyle w:val="null3"/>
        <w:jc w:val="center"/>
        <w:outlineLvl w:val="2"/>
      </w:pPr>
      <w:r>
        <w:rPr>
          <w:rFonts w:ascii="仿宋_GB2312" w:hAnsi="仿宋_GB2312" w:cs="仿宋_GB2312" w:eastAsia="仿宋_GB2312"/>
          <w:sz w:val="28"/>
          <w:b/>
        </w:rPr>
        <w:t>西安市长安区五台街道办事处</w:t>
      </w:r>
    </w:p>
    <w:p>
      <w:pPr>
        <w:pStyle w:val="null3"/>
        <w:jc w:val="center"/>
        <w:outlineLvl w:val="2"/>
      </w:pPr>
      <w:r>
        <w:rPr>
          <w:rFonts w:ascii="仿宋_GB2312" w:hAnsi="仿宋_GB2312" w:cs="仿宋_GB2312" w:eastAsia="仿宋_GB2312"/>
          <w:sz w:val="28"/>
          <w:b/>
        </w:rPr>
        <w:t>西安市长安区恒泰通招标代理有限公司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西安市长安区恒泰通招标代理有限公司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西安市长安区五台街道办事处</w:t>
      </w:r>
      <w:r>
        <w:rPr>
          <w:rFonts w:ascii="仿宋_GB2312" w:hAnsi="仿宋_GB2312" w:cs="仿宋_GB2312" w:eastAsia="仿宋_GB2312"/>
        </w:rPr>
        <w:t>委托，拟对</w:t>
      </w:r>
      <w:r>
        <w:rPr>
          <w:rFonts w:ascii="仿宋_GB2312" w:hAnsi="仿宋_GB2312" w:cs="仿宋_GB2312" w:eastAsia="仿宋_GB2312"/>
        </w:rPr>
        <w:t>机关食堂主副食材配送项目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HTTZB-2026-014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机关食堂主副食材配送项目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为五台街道办事处机关食堂主副食材配送服务，解决机关食堂的日常需求。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采购包1（机关食堂主副食材配送项目）：属于专门面向中小企业采购。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供应商提供经会计师事务所审计的2024年度或2025年度的财务审计报告(包括审计报告、资产负债表、利润表、现金流量表、所有者权益变动表及其附注，财务审计报告须真实有效并符合《关于加强审计报告查验工作的通知》（财会[2023]15号）文件的要求，报告需在注册会计师行业统一监管平台报备、赋码)或其磋商前六个月内银行出具的资信证明及基本账户信息（加盖公章）；</w:t>
      </w:r>
    </w:p>
    <w:p>
      <w:pPr>
        <w:pStyle w:val="null3"/>
      </w:pPr>
      <w:r>
        <w:rPr>
          <w:rFonts w:ascii="仿宋_GB2312" w:hAnsi="仿宋_GB2312" w:cs="仿宋_GB2312" w:eastAsia="仿宋_GB2312"/>
        </w:rPr>
        <w:t>3、税收缴纳证明：提供2025年4月以来至少一个月纳税证明或完税证明（包含增值税或企业所得税至少一种），纳税证明或完税证明上应有代收机构或税务机关的公章或业务专用章；依法免税的或者依法不需缴税的供应商应提供相关文件证明；</w:t>
      </w:r>
    </w:p>
    <w:p>
      <w:pPr>
        <w:pStyle w:val="null3"/>
      </w:pPr>
      <w:r>
        <w:rPr>
          <w:rFonts w:ascii="仿宋_GB2312" w:hAnsi="仿宋_GB2312" w:cs="仿宋_GB2312" w:eastAsia="仿宋_GB2312"/>
        </w:rPr>
        <w:t>4、社会保障资金缴纳证明：提供2025年4月以来至少一个月的社会保障资金的证明缴纳证明（社会保障资金缴存单据或社保机构开具的社会保险参保缴费情况证明等)，依法不需要缴纳社会保障资金的投标人应提供相关证明文件；</w:t>
      </w:r>
    </w:p>
    <w:p>
      <w:pPr>
        <w:pStyle w:val="null3"/>
      </w:pPr>
      <w:r>
        <w:rPr>
          <w:rFonts w:ascii="仿宋_GB2312" w:hAnsi="仿宋_GB2312" w:cs="仿宋_GB2312" w:eastAsia="仿宋_GB2312"/>
        </w:rPr>
        <w:t>5、授权书被授权人身份证明：法定代表人授权代表参加磋商的，须出具法定代表人授权书及授权代表身份证（法定代表人直接参加磋商的，须出具法定代表人身份证）；供应商为自然人的提供身份证；</w:t>
      </w:r>
    </w:p>
    <w:p>
      <w:pPr>
        <w:pStyle w:val="null3"/>
      </w:pPr>
      <w:r>
        <w:rPr>
          <w:rFonts w:ascii="仿宋_GB2312" w:hAnsi="仿宋_GB2312" w:cs="仿宋_GB2312" w:eastAsia="仿宋_GB2312"/>
        </w:rPr>
        <w:t>6、专业能力声明：提供具有履行本合同所必需的设备和专业技术能力的书面声明；</w:t>
      </w:r>
    </w:p>
    <w:p>
      <w:pPr>
        <w:pStyle w:val="null3"/>
      </w:pPr>
      <w:r>
        <w:rPr>
          <w:rFonts w:ascii="仿宋_GB2312" w:hAnsi="仿宋_GB2312" w:cs="仿宋_GB2312" w:eastAsia="仿宋_GB2312"/>
        </w:rPr>
        <w:t>7、信用承诺：参加采购活动前三年内，在经营活动中没有重大违法记录，无因重大质量问题受到行政处罚，无围标串标、弄虚作假的不良行为记录；</w:t>
      </w:r>
    </w:p>
    <w:p>
      <w:pPr>
        <w:pStyle w:val="null3"/>
      </w:pPr>
      <w:r>
        <w:rPr>
          <w:rFonts w:ascii="仿宋_GB2312" w:hAnsi="仿宋_GB2312" w:cs="仿宋_GB2312" w:eastAsia="仿宋_GB2312"/>
        </w:rPr>
        <w:t>8、信用查询：本项目提交响应文件截止时间前供应商未被“中国执行信息公开网”网站（http://zxgk.court.gov.cn/）列入失信被执行人名单，未被“信用中国”网站（www.creditchina.gov.cn）列为重大税收违法失信主体和安全生产严重失信主体名单，未被“中国政府采购网”（http://www.ccgp.gov.cn/）列入政府采购严重违法失信行为记录名单，未被“国家企业信用信息公示系统”（www.gsxt.gov.cn）列入严重违法失信企业名单（以现场查询为准）。</w:t>
      </w:r>
    </w:p>
    <w:p>
      <w:pPr>
        <w:pStyle w:val="null3"/>
      </w:pPr>
      <w:r>
        <w:rPr>
          <w:rFonts w:ascii="仿宋_GB2312" w:hAnsi="仿宋_GB2312" w:cs="仿宋_GB2312" w:eastAsia="仿宋_GB2312"/>
        </w:rPr>
        <w:t>9、企业资质：代理商参与本项目的须提供《食品经营许可证》；生产厂商参与本项目的须提供《食品经营许可证》和《食品生产许可证》；</w:t>
      </w:r>
    </w:p>
    <w:p>
      <w:pPr>
        <w:pStyle w:val="null3"/>
      </w:pPr>
      <w:r>
        <w:rPr>
          <w:rFonts w:ascii="仿宋_GB2312" w:hAnsi="仿宋_GB2312" w:cs="仿宋_GB2312" w:eastAsia="仿宋_GB2312"/>
        </w:rPr>
        <w:t>10、控股管理关系：供应商单位负责人为同一人或者存在直接控股、管理关系的不同供应商，不得参加同一标段或不划分标段的同一项目的采购活动；</w:t>
      </w:r>
    </w:p>
    <w:p>
      <w:pPr>
        <w:pStyle w:val="null3"/>
      </w:pPr>
      <w:r>
        <w:rPr>
          <w:rFonts w:ascii="仿宋_GB2312" w:hAnsi="仿宋_GB2312" w:cs="仿宋_GB2312" w:eastAsia="仿宋_GB2312"/>
        </w:rPr>
        <w:t>11、其他承诺：近三年内无重大食品安全事故及不良市场行为记录。(提供声明函)</w:t>
      </w:r>
    </w:p>
    <w:p>
      <w:pPr>
        <w:pStyle w:val="null3"/>
      </w:pPr>
      <w:r>
        <w:rPr>
          <w:rFonts w:ascii="仿宋_GB2312" w:hAnsi="仿宋_GB2312" w:cs="仿宋_GB2312" w:eastAsia="仿宋_GB2312"/>
        </w:rPr>
        <w:t>12、非联合体：本项目不接受联合体磋商，提供《非联合体不分包投标声明》；</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西安市长安区五台街道办事处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陕西省西安市长安区五台街道留村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18392491238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西安市长安区恒泰通招标代理有限公司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陕西省西安市长安区陕西省西安市长安区韦曲街办府东一路崔家营公园管理用房办公楼105室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王小娟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18299987631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1、代理服务费收费标准：代理服务费参照发改价格〔2015〕299号及行业惯例按费率进行收费； 2、若单个项目按照此标准计算代理服务费不足4000元，项目按固定总价包干4000元（含税）收取； 3、中标单位在领取成交通知书、相应合法票据前一次性全额付清。 招标代理服务费交纳信息（请备注项目名称） 户名：西安市长安区恒泰通招标代理有限公司 开户行：中国农业银行股份有限公司西安长安区大学城支行 账号：26156701040014859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西安市长安区五台街道办事处</w:t>
      </w:r>
      <w:r>
        <w:rPr>
          <w:rFonts w:ascii="仿宋_GB2312" w:hAnsi="仿宋_GB2312" w:cs="仿宋_GB2312" w:eastAsia="仿宋_GB2312"/>
        </w:rPr>
        <w:t>和</w:t>
      </w:r>
      <w:r>
        <w:rPr>
          <w:rFonts w:ascii="仿宋_GB2312" w:hAnsi="仿宋_GB2312" w:cs="仿宋_GB2312" w:eastAsia="仿宋_GB2312"/>
        </w:rPr>
        <w:t>西安市长安区恒泰通招标代理有限公司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西安市长安区五台街道办事处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西安市长安区恒泰通招标代理有限公司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西安市长安区五台街道办事处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西安市长安区恒泰通招标代理有限公司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西安市长安区恒泰通招标代理有限公司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西安市长安区恒泰通招标代理有限公司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西安市长安区恒泰通招标代理有限公司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联系人：王小娟</w:t>
      </w:r>
    </w:p>
    <w:p>
      <w:pPr>
        <w:pStyle w:val="null3"/>
      </w:pPr>
      <w:r>
        <w:rPr>
          <w:rFonts w:ascii="仿宋_GB2312" w:hAnsi="仿宋_GB2312" w:cs="仿宋_GB2312" w:eastAsia="仿宋_GB2312"/>
        </w:rPr>
        <w:t>联系电话：18299987631</w:t>
      </w:r>
    </w:p>
    <w:p>
      <w:pPr>
        <w:pStyle w:val="null3"/>
      </w:pPr>
      <w:r>
        <w:rPr>
          <w:rFonts w:ascii="仿宋_GB2312" w:hAnsi="仿宋_GB2312" w:cs="仿宋_GB2312" w:eastAsia="仿宋_GB2312"/>
        </w:rPr>
        <w:t>地址：西安市长安区府东一路崔家营公园管理用房办公楼三楼</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为五台街道办事处机关食堂主副食材配送服务，解决机关食堂的日常需求。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机关食堂主副食材配送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标的名称：机关食堂主副食材配送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为五台街道办事处机关食堂主副食材配送服务，解决机关食堂的日常需求。</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1、大米：须符合GB1354标准，拥有食品生产许可证，水分含量在12°以下，无掺杂、无沙石，碎米少，无黄粒米。</w:t>
            </w:r>
          </w:p>
          <w:p>
            <w:pPr>
              <w:pStyle w:val="null3"/>
            </w:pPr>
            <w:r>
              <w:rPr>
                <w:rFonts w:ascii="仿宋_GB2312" w:hAnsi="仿宋_GB2312" w:cs="仿宋_GB2312" w:eastAsia="仿宋_GB2312"/>
              </w:rPr>
              <w:t>2、食用油：须符合GB1536标准，拥有食品生产许可证，质量等级一级；有合格检疫报告，外观的色泽、透明度、气味滋味等无异常；定型包装。</w:t>
            </w:r>
          </w:p>
          <w:p>
            <w:pPr>
              <w:pStyle w:val="null3"/>
            </w:pPr>
            <w:r>
              <w:rPr>
                <w:rFonts w:ascii="仿宋_GB2312" w:hAnsi="仿宋_GB2312" w:cs="仿宋_GB2312" w:eastAsia="仿宋_GB2312"/>
              </w:rPr>
              <w:t>3、面粉：高筋面粉达到GB8607国家标准，质量等级一级；低筋面粉达到Q/JHMF01标准，质量等级一级；色泽正常，干爽无异味；包装袋上有注册商标及QS标注，有检验合格证、生产日期和保质期。</w:t>
            </w:r>
          </w:p>
          <w:p>
            <w:pPr>
              <w:pStyle w:val="null3"/>
            </w:pPr>
            <w:r>
              <w:rPr>
                <w:rFonts w:ascii="仿宋_GB2312" w:hAnsi="仿宋_GB2312" w:cs="仿宋_GB2312" w:eastAsia="仿宋_GB2312"/>
              </w:rPr>
              <w:t>4、蔬菜类：须符合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pPr>
            <w:r>
              <w:rPr>
                <w:rFonts w:ascii="仿宋_GB2312" w:hAnsi="仿宋_GB2312" w:cs="仿宋_GB2312" w:eastAsia="仿宋_GB2312"/>
              </w:rPr>
              <w:t>5、肉类、冷冻产品：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p>
            <w:pPr>
              <w:pStyle w:val="null3"/>
            </w:pPr>
            <w:r>
              <w:rPr>
                <w:rFonts w:ascii="仿宋_GB2312" w:hAnsi="仿宋_GB2312" w:cs="仿宋_GB2312" w:eastAsia="仿宋_GB2312"/>
              </w:rPr>
              <w:t>6、蛋类：鲜新、大小均匀、无破损、色泽光滑，须出具加盖地方政府监督所检疫章的动物防疫条件合格证明。</w:t>
            </w:r>
          </w:p>
          <w:p>
            <w:pPr>
              <w:pStyle w:val="null3"/>
            </w:pPr>
            <w:r>
              <w:rPr>
                <w:rFonts w:ascii="仿宋_GB2312" w:hAnsi="仿宋_GB2312" w:cs="仿宋_GB2312" w:eastAsia="仿宋_GB2312"/>
              </w:rPr>
              <w:t>7、豆制品、乳制品及其他半成品：豆制品须保证食材干净、不含非食品用化学物质、按统一标准加工、码放整齐、无须二次处理可以直接进行熟加工，送货当日时间不得超过保质期的1/3时长。</w:t>
            </w:r>
          </w:p>
          <w:p>
            <w:pPr>
              <w:pStyle w:val="null3"/>
            </w:pPr>
            <w:r>
              <w:rPr>
                <w:rFonts w:ascii="仿宋_GB2312" w:hAnsi="仿宋_GB2312" w:cs="仿宋_GB2312" w:eastAsia="仿宋_GB2312"/>
              </w:rPr>
              <w:t>8、水产品：鱼类要求体表光滑无病灶，有鲜鱼鳞片完整，无鳞鱼无浑浊粘液，肉质干燥，紧密，呈白色或淡黄色眼球外突饱满透明，鳃丝清晰鲜红或暗红，保持活体状态固有本色，无异味，鱼类肌肉紧密有弹性，内脏清晰可辨无腐烂。</w:t>
            </w:r>
          </w:p>
          <w:p>
            <w:pPr>
              <w:pStyle w:val="null3"/>
            </w:pPr>
            <w:r>
              <w:rPr>
                <w:rFonts w:ascii="仿宋_GB2312" w:hAnsi="仿宋_GB2312" w:cs="仿宋_GB2312" w:eastAsia="仿宋_GB2312"/>
              </w:rPr>
              <w:t>9、水果：时令各类水果，无虫、无杂质，须48小时内采摘供应，原水果须保证果面干净、无明显泥土、码放整齐、无破损、大小基本统一、不得过熟或欠熟。</w:t>
            </w:r>
          </w:p>
          <w:p>
            <w:pPr>
              <w:pStyle w:val="null3"/>
            </w:pPr>
            <w:r>
              <w:rPr>
                <w:rFonts w:ascii="仿宋_GB2312" w:hAnsi="仿宋_GB2312" w:cs="仿宋_GB2312" w:eastAsia="仿宋_GB2312"/>
              </w:rPr>
              <w:t>10、杂粮及调味品：产品须品质好，无霉变、无杂质，定型包装调味品必须具有食品生产许可证，色泽正常，具有该品种固有的香味，滋味无异味，油酱均匀的酱体或无结块的粉状固体，封口平整，外包装无污物、无泄漏，无胀袋或胖听或鼓盖现象，无变质发霉现象。</w:t>
            </w:r>
          </w:p>
          <w:p>
            <w:pPr>
              <w:pStyle w:val="null3"/>
            </w:pPr>
            <w:r>
              <w:rPr>
                <w:rFonts w:ascii="仿宋_GB2312" w:hAnsi="仿宋_GB2312" w:cs="仿宋_GB2312" w:eastAsia="仿宋_GB2312"/>
              </w:rPr>
              <w:t>以上产品须按照满足人体均衡营养摄入的食材配送标准来制定详细、具体、合理的食材配送计划。</w:t>
            </w:r>
          </w:p>
          <w:p>
            <w:pPr>
              <w:pStyle w:val="null3"/>
            </w:pPr>
            <w:r>
              <w:rPr>
                <w:rFonts w:ascii="仿宋_GB2312" w:hAnsi="仿宋_GB2312" w:cs="仿宋_GB2312" w:eastAsia="仿宋_GB2312"/>
                <w:b/>
              </w:rPr>
              <w:t>三、服务要求</w:t>
            </w:r>
          </w:p>
          <w:p>
            <w:pPr>
              <w:pStyle w:val="null3"/>
            </w:pPr>
            <w:r>
              <w:rPr>
                <w:rFonts w:ascii="仿宋_GB2312" w:hAnsi="仿宋_GB2312" w:cs="仿宋_GB2312" w:eastAsia="仿宋_GB2312"/>
              </w:rPr>
              <w:t>1、配送要求：</w:t>
            </w:r>
          </w:p>
          <w:p>
            <w:pPr>
              <w:pStyle w:val="null3"/>
            </w:pPr>
            <w:r>
              <w:rPr>
                <w:rFonts w:ascii="仿宋_GB2312" w:hAnsi="仿宋_GB2312" w:cs="仿宋_GB2312" w:eastAsia="仿宋_GB2312"/>
              </w:rPr>
              <w:t>（</w:t>
            </w:r>
            <w:r>
              <w:rPr>
                <w:rFonts w:ascii="仿宋_GB2312" w:hAnsi="仿宋_GB2312" w:cs="仿宋_GB2312" w:eastAsia="仿宋_GB2312"/>
              </w:rPr>
              <w:t>1）供应商须根据食堂要求提供的所有食材的具体品类、规格来供应产品，保质保量，准时准点满足食堂需求；</w:t>
            </w:r>
          </w:p>
          <w:p>
            <w:pPr>
              <w:pStyle w:val="null3"/>
            </w:pPr>
            <w:r>
              <w:rPr>
                <w:rFonts w:ascii="仿宋_GB2312" w:hAnsi="仿宋_GB2312" w:cs="仿宋_GB2312" w:eastAsia="仿宋_GB2312"/>
              </w:rPr>
              <w:t>（</w:t>
            </w:r>
            <w:r>
              <w:rPr>
                <w:rFonts w:ascii="仿宋_GB2312" w:hAnsi="仿宋_GB2312" w:cs="仿宋_GB2312" w:eastAsia="仿宋_GB2312"/>
              </w:rPr>
              <w:t>2）供应商自备送货车（冷藏或恒温），安排专人及时供货，装卸费、送货费用及运输安全由供应商承担；</w:t>
            </w:r>
          </w:p>
          <w:p>
            <w:pPr>
              <w:pStyle w:val="null3"/>
            </w:pPr>
            <w:r>
              <w:rPr>
                <w:rFonts w:ascii="仿宋_GB2312" w:hAnsi="仿宋_GB2312" w:cs="仿宋_GB2312" w:eastAsia="仿宋_GB2312"/>
              </w:rPr>
              <w:t>（</w:t>
            </w:r>
            <w:r>
              <w:rPr>
                <w:rFonts w:ascii="仿宋_GB2312" w:hAnsi="仿宋_GB2312" w:cs="仿宋_GB2312" w:eastAsia="仿宋_GB2312"/>
              </w:rPr>
              <w:t>3）米、面、油主食类、调味品、杂粮等食材根据食堂需求用量及库存条件，原则上每周送货1次或2次；</w:t>
            </w:r>
          </w:p>
          <w:p>
            <w:pPr>
              <w:pStyle w:val="null3"/>
            </w:pPr>
            <w:r>
              <w:rPr>
                <w:rFonts w:ascii="仿宋_GB2312" w:hAnsi="仿宋_GB2312" w:cs="仿宋_GB2312" w:eastAsia="仿宋_GB2312"/>
              </w:rPr>
              <w:t>（</w:t>
            </w:r>
            <w:r>
              <w:rPr>
                <w:rFonts w:ascii="仿宋_GB2312" w:hAnsi="仿宋_GB2312" w:cs="仿宋_GB2312" w:eastAsia="仿宋_GB2312"/>
              </w:rPr>
              <w:t>4）特殊情况下，食堂需要的小批量的急用物资，供应商应予以满足解决；</w:t>
            </w:r>
          </w:p>
          <w:p>
            <w:pPr>
              <w:pStyle w:val="null3"/>
            </w:pPr>
            <w:r>
              <w:rPr>
                <w:rFonts w:ascii="仿宋_GB2312" w:hAnsi="仿宋_GB2312" w:cs="仿宋_GB2312" w:eastAsia="仿宋_GB2312"/>
              </w:rPr>
              <w:t>（</w:t>
            </w:r>
            <w:r>
              <w:rPr>
                <w:rFonts w:ascii="仿宋_GB2312" w:hAnsi="仿宋_GB2312" w:cs="仿宋_GB2312" w:eastAsia="仿宋_GB2312"/>
              </w:rPr>
              <w:t>5）所有食材供应商必须按照采购人要求的种类、规格进行供货，满足采购人使用需求。所有食材配送服务均以采购人通知为准，采购人有权根据实际需求量随时调整采购计划及供货时间段。</w:t>
            </w:r>
          </w:p>
          <w:p>
            <w:pPr>
              <w:pStyle w:val="null3"/>
            </w:pPr>
            <w:r>
              <w:rPr>
                <w:rFonts w:ascii="仿宋_GB2312" w:hAnsi="仿宋_GB2312" w:cs="仿宋_GB2312" w:eastAsia="仿宋_GB2312"/>
              </w:rPr>
              <w:t>2、通用要求：所有食材必须符合国家现行食品安全标准及相关法律法规要求，严禁提供过期、变质、掺假、假冒伪劣、来源不明或不符合食品安全标准的食材。</w:t>
            </w:r>
          </w:p>
          <w:p>
            <w:pPr>
              <w:pStyle w:val="null3"/>
            </w:pPr>
            <w:r>
              <w:rPr>
                <w:rFonts w:ascii="仿宋_GB2312" w:hAnsi="仿宋_GB2312" w:cs="仿宋_GB2312" w:eastAsia="仿宋_GB2312"/>
              </w:rPr>
              <w:t>禁止供应食材：野生动物及其制品、未经检疫或检疫不合格的肉类、病死或死因不明的禽畜、非食用物质或滥用食品添加剂的食品等。</w:t>
            </w:r>
          </w:p>
          <w:p>
            <w:pPr>
              <w:pStyle w:val="null3"/>
            </w:pPr>
            <w:r>
              <w:rPr>
                <w:rFonts w:ascii="仿宋_GB2312" w:hAnsi="仿宋_GB2312" w:cs="仿宋_GB2312" w:eastAsia="仿宋_GB2312"/>
              </w:rPr>
              <w:t>3、从业人员健康：所有接触食材的从业人员必须持有有效的健康证明，并定期进行健康检查。并提供承诺书（加盖公章）。</w:t>
            </w:r>
          </w:p>
          <w:p>
            <w:pPr>
              <w:pStyle w:val="null3"/>
            </w:pPr>
            <w:r>
              <w:rPr>
                <w:rFonts w:ascii="仿宋_GB2312" w:hAnsi="仿宋_GB2312" w:cs="仿宋_GB2312" w:eastAsia="仿宋_GB2312"/>
                <w:sz w:val="21"/>
              </w:rPr>
              <w:t>4、其他要求：供应商应按照食堂要求的配送清单按照规定时间将所需产品送至采购人指定地点，如采购人遇到紧急情况需要加班的，供应商应保证加班期间食材的供应。</w:t>
            </w:r>
          </w:p>
          <w:p>
            <w:pPr>
              <w:pStyle w:val="null3"/>
            </w:pPr>
            <w:r>
              <w:rPr>
                <w:rFonts w:ascii="仿宋_GB2312" w:hAnsi="仿宋_GB2312" w:cs="仿宋_GB2312" w:eastAsia="仿宋_GB2312"/>
              </w:rPr>
              <w:t>★四、报价要求</w:t>
            </w:r>
          </w:p>
          <w:p>
            <w:pPr>
              <w:pStyle w:val="null3"/>
            </w:pPr>
            <w:r>
              <w:rPr>
                <w:rFonts w:ascii="仿宋_GB2312" w:hAnsi="仿宋_GB2312" w:cs="仿宋_GB2312" w:eastAsia="仿宋_GB2312"/>
                <w:sz w:val="21"/>
              </w:rPr>
              <w:t>供应商报价为折扣报价，最高不得高于</w:t>
            </w:r>
            <w:r>
              <w:rPr>
                <w:rFonts w:ascii="仿宋_GB2312" w:hAnsi="仿宋_GB2312" w:cs="仿宋_GB2312" w:eastAsia="仿宋_GB2312"/>
                <w:sz w:val="21"/>
              </w:rPr>
              <w:t>100%。如：供应商报价为98%，即结算价格以采购人和成交供应商双方共同在本区域内“农贸批发市场”和“大型生活超市”两处询价的平均值作为价格基数*98%*供货数量。所有食材报价费率均需相同，不得出现不同食材不同报价费率的情况。</w:t>
            </w:r>
          </w:p>
          <w:p>
            <w:pPr>
              <w:pStyle w:val="null3"/>
            </w:pPr>
            <w:r>
              <w:rPr>
                <w:rFonts w:ascii="仿宋_GB2312" w:hAnsi="仿宋_GB2312" w:cs="仿宋_GB2312" w:eastAsia="仿宋_GB2312"/>
              </w:rPr>
              <w:t>五、商务要求（如服务期限、款项结算等</w:t>
            </w:r>
            <w:r>
              <w:rPr>
                <w:rFonts w:ascii="仿宋_GB2312" w:hAnsi="仿宋_GB2312" w:cs="仿宋_GB2312" w:eastAsia="仿宋_GB2312"/>
              </w:rPr>
              <w:t>）</w:t>
            </w:r>
          </w:p>
          <w:p>
            <w:pPr>
              <w:pStyle w:val="null3"/>
            </w:pPr>
            <w:r>
              <w:rPr>
                <w:rFonts w:ascii="仿宋_GB2312" w:hAnsi="仿宋_GB2312" w:cs="仿宋_GB2312" w:eastAsia="仿宋_GB2312"/>
              </w:rPr>
              <w:t>1、服务期限：自合同签订之日起1年。</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3、服务范围：西安市长安区五台街道办事处机关食堂主副食材配送服务</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1、、质量验收标准或规范：</w:t>
            </w:r>
          </w:p>
          <w:p>
            <w:pPr>
              <w:pStyle w:val="null3"/>
            </w:pPr>
            <w:r>
              <w:rPr>
                <w:rFonts w:ascii="仿宋_GB2312" w:hAnsi="仿宋_GB2312" w:cs="仿宋_GB2312" w:eastAsia="仿宋_GB2312"/>
              </w:rPr>
              <w:t>保管员、采购员负责入库食品检验，当班厨师长配合质量验收，验收标准如下：</w:t>
            </w:r>
          </w:p>
          <w:p>
            <w:pPr>
              <w:pStyle w:val="null3"/>
            </w:pPr>
            <w:r>
              <w:rPr>
                <w:rFonts w:ascii="仿宋_GB2312" w:hAnsi="仿宋_GB2312" w:cs="仿宋_GB2312" w:eastAsia="仿宋_GB2312"/>
              </w:rPr>
              <w:t>（</w:t>
            </w: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pPr>
            <w:r>
              <w:rPr>
                <w:rFonts w:ascii="仿宋_GB2312" w:hAnsi="仿宋_GB2312" w:cs="仿宋_GB2312" w:eastAsia="仿宋_GB2312"/>
              </w:rPr>
              <w:t>（</w:t>
            </w:r>
            <w:r>
              <w:rPr>
                <w:rFonts w:ascii="仿宋_GB2312" w:hAnsi="仿宋_GB2312" w:cs="仿宋_GB2312" w:eastAsia="仿宋_GB2312"/>
              </w:rPr>
              <w:t>2）主要食材中的定型包装食品，如米面油类应提供批次产品卫生主管部门的检验报告；</w:t>
            </w:r>
          </w:p>
          <w:p>
            <w:pPr>
              <w:pStyle w:val="null3"/>
            </w:pPr>
            <w:r>
              <w:rPr>
                <w:rFonts w:ascii="仿宋_GB2312" w:hAnsi="仿宋_GB2312" w:cs="仿宋_GB2312" w:eastAsia="仿宋_GB2312"/>
              </w:rPr>
              <w:t>（</w:t>
            </w:r>
            <w:r>
              <w:rPr>
                <w:rFonts w:ascii="仿宋_GB2312" w:hAnsi="仿宋_GB2312" w:cs="仿宋_GB2312" w:eastAsia="仿宋_GB2312"/>
              </w:rPr>
              <w:t>3）包装污秽不洁、严重破损、运输工具不洁等造成污染的产品不得验收入库；</w:t>
            </w:r>
          </w:p>
          <w:p>
            <w:pPr>
              <w:pStyle w:val="null3"/>
            </w:pPr>
            <w:r>
              <w:rPr>
                <w:rFonts w:ascii="仿宋_GB2312" w:hAnsi="仿宋_GB2312" w:cs="仿宋_GB2312" w:eastAsia="仿宋_GB2312"/>
              </w:rPr>
              <w:t>（</w:t>
            </w:r>
            <w:r>
              <w:rPr>
                <w:rFonts w:ascii="仿宋_GB2312" w:hAnsi="仿宋_GB2312" w:cs="仿宋_GB2312" w:eastAsia="仿宋_GB2312"/>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pPr>
            <w:r>
              <w:rPr>
                <w:rFonts w:ascii="仿宋_GB2312" w:hAnsi="仿宋_GB2312" w:cs="仿宋_GB2312" w:eastAsia="仿宋_GB2312"/>
              </w:rPr>
              <w:t>（</w:t>
            </w:r>
            <w:r>
              <w:rPr>
                <w:rFonts w:ascii="仿宋_GB2312" w:hAnsi="仿宋_GB2312" w:cs="仿宋_GB2312" w:eastAsia="仿宋_GB2312"/>
              </w:rPr>
              <w:t>5）食堂采购员、库管员和当班厨师共同对所购食品原辅料的质量、数量进行核对验收，验收合格的及时入库，不合格产品应及时退回供应商，同时做好验收记录。食堂管理员不定时抽查；</w:t>
            </w:r>
          </w:p>
          <w:p>
            <w:pPr>
              <w:pStyle w:val="null3"/>
            </w:pPr>
            <w:r>
              <w:rPr>
                <w:rFonts w:ascii="仿宋_GB2312" w:hAnsi="仿宋_GB2312" w:cs="仿宋_GB2312" w:eastAsia="仿宋_GB2312"/>
              </w:rPr>
              <w:t>（</w:t>
            </w:r>
            <w:r>
              <w:rPr>
                <w:rFonts w:ascii="仿宋_GB2312" w:hAnsi="仿宋_GB2312" w:cs="仿宋_GB2312" w:eastAsia="仿宋_GB2312"/>
              </w:rPr>
              <w:t>6）食材购回后，保管员和厨师共同验收，并在《原料购进验收单》上签字确认；</w:t>
            </w:r>
          </w:p>
          <w:p>
            <w:pPr>
              <w:pStyle w:val="null3"/>
            </w:pPr>
            <w:r>
              <w:rPr>
                <w:rFonts w:ascii="仿宋_GB2312" w:hAnsi="仿宋_GB2312" w:cs="仿宋_GB2312" w:eastAsia="仿宋_GB2312"/>
              </w:rPr>
              <w:t>（</w:t>
            </w:r>
            <w:r>
              <w:rPr>
                <w:rFonts w:ascii="仿宋_GB2312" w:hAnsi="仿宋_GB2312" w:cs="仿宋_GB2312" w:eastAsia="仿宋_GB2312"/>
              </w:rPr>
              <w:t>7）入库时，保管员要清点入库物品的数量、规格，做到数量、规格、品种准确无误，入库时按不同的材质、规格、功能和要求，分类、分别储存，做到账物相符。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其他，按月据实结算，每月1日至5日递交上月结算数据，结算价格以采购人和成交供应商双方共同在本区域内“农贸批发市场”和“大型生活超市”两处询价的平均值作为价格基数*投标人食材费率*供货数量。 供应商在款项结算前，应向采购人开具相应金额的发票，采购人在收到发票后，达到付款条件起15个工作日内，支付合同总金额的100.0%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支付约定中支付合同总金额的100%指当月据实结算的100%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经会计师事务所审计的2024年度或2025年度的财务审计报告(包括审计报告、资产负债表、利润表、现金流量表、所有者权益变动表及其附注，财务审计报告须真实有效并符合《关于加强审计报告查验工作的通知》（财会[2023]15号）文件的要求，报告需在注册会计师行业统一监管平台报备、赋码)或其磋商前六个月内银行出具的资信证明及基本账户信息（加盖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以来至少一个月纳税证明或完税证明（包含增值税或企业所得税至少一种），纳税证明或完税证明上应有代收机构或税务机关的公章或业务专用章；依法免税的或者依法不需缴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提供2025年4月以来至少一个月的社会保障资金的证明缴纳证明（社会保障资金缴存单据或社保机构开具的社会保险参保缴费情况证明等)，依法不需要缴纳社会保障资金的投标人应提供相关证明文件；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授权书被授权人身份证明</w:t>
            </w:r>
          </w:p>
        </w:tc>
        <w:tc>
          <w:tcPr>
            <w:tcW w:type="dxa" w:w="3322"/>
          </w:tcPr>
          <w:p>
            <w:pPr>
              <w:pStyle w:val="null3"/>
            </w:pPr>
            <w:r>
              <w:rPr>
                <w:rFonts w:ascii="仿宋_GB2312" w:hAnsi="仿宋_GB2312" w:cs="仿宋_GB2312" w:eastAsia="仿宋_GB2312"/>
              </w:rPr>
              <w:t>法定代表人授权代表参加磋商的，须出具法定代表人授权书及授权代表身份证（法定代表人直接参加磋商的，须出具法定代表人身份证）；供应商为自然人的提供身份证；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专业能力声明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参加采购活动前三年内，在经营活动中没有重大违法记录，无因重大质量问题受到行政处罚，无围标串标、弄虚作假的不良行为记录；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本项目提交响应文件截止时间前供应商未被“中国执行信息公开网”网站（http://zxgk.court.gov.cn/）列入失信被执行人名单，未被“信用中国”网站（www.creditchina.gov.cn）列为重大税收违法失信主体和安全生产严重失信主体名单，未被“中国政府采购网”（http://www.ccgp.gov.cn/）列入政府采购严重违法失信行为记录名单，未被“国家企业信用信息公示系统”（www.gsxt.gov.cn）列入严重违法失信企业名单（以现场查询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代理商参与本项目的须提供《食品经营许可证》；生产厂商参与本项目的须提供《食品经营许可证》和《食品生产许可证》；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供应商单位负责人为同一人或者存在直接控股、管理关系的不同供应商，不得参加同一标段或不划分标段的同一项目的采购活动；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近三年内无重大食品安全事故及不良市场行为记录。(提供声明函)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签章或盖章符合竞争性磋商文件要求，实质性内容无遗漏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服务内容及商务条款应答表.docx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供应商资格证明文件.docx 响应函 服务方案.docx 监狱企业的证明文件 服务内容及商务条款应答表.docx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评审内容：①项目组成人员（供应商须提供人员身份证、有效的健康证并定期进行健康检查）；②项目组织计划；③项目岗位职责。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2分，①～⑤项合计得10分。内容①～⑤项任意一项缺项扣2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供应商提供提供2023年4月1日以来同类项目的完整的合同复印件。每提供1分业绩，得2.5分，满分5分。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报价为费率报价，最高不得高于100%。如：供应商报价为98%，即结算价格以采购人和成交供应商双方共同在本区域内“农贸批发市场”和“大型生活超市”两处询价的平均值作为价格基数*98%*供货数量。所有食材报价费率均需相同，不得出现不同食材不同报价费率的情况。</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详见附件：服务内容及商务条款应答表.docx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