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BB18F7">
      <w:pPr>
        <w:pStyle w:val="2"/>
        <w:keepNext w:val="0"/>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360" w:lineRule="auto"/>
        <w:jc w:val="center"/>
        <w:textAlignment w:val="auto"/>
        <w:rPr>
          <w:rFonts w:hint="eastAsia" w:ascii="仿宋" w:eastAsia="仿宋" w:cs="仿宋"/>
          <w:sz w:val="36"/>
          <w:szCs w:val="36"/>
          <w:lang w:bidi="ar-SA"/>
        </w:rPr>
      </w:pPr>
      <w:r>
        <w:rPr>
          <w:rFonts w:hint="eastAsia" w:ascii="仿宋" w:eastAsia="仿宋" w:cs="仿宋"/>
          <w:sz w:val="36"/>
          <w:szCs w:val="36"/>
          <w:lang w:bidi="ar-SA"/>
        </w:rPr>
        <w:t>合同格式及主要条款</w:t>
      </w:r>
    </w:p>
    <w:p w14:paraId="5599A687">
      <w:pPr>
        <w:keepNext w:val="0"/>
        <w:keepLines w:val="0"/>
        <w:pageBreakBefore w:val="0"/>
        <w:widowControl w:val="0"/>
        <w:kinsoku/>
        <w:wordWrap/>
        <w:overflowPunct/>
        <w:topLinePunct w:val="0"/>
        <w:autoSpaceDE/>
        <w:autoSpaceDN/>
        <w:bidi w:val="0"/>
        <w:adjustRightInd/>
        <w:spacing w:beforeAutospacing="0" w:afterAutospacing="0" w:line="360" w:lineRule="auto"/>
        <w:jc w:val="center"/>
        <w:textAlignment w:val="auto"/>
        <w:rPr>
          <w:rFonts w:hint="eastAsia" w:ascii="仿宋" w:eastAsia="仿宋" w:cs="仿宋"/>
          <w:b/>
          <w:bCs/>
          <w:sz w:val="28"/>
          <w:szCs w:val="28"/>
          <w:lang w:bidi="ar-SA"/>
        </w:rPr>
      </w:pPr>
      <w:r>
        <w:rPr>
          <w:rFonts w:hint="eastAsia" w:ascii="仿宋" w:eastAsia="仿宋" w:cs="仿宋"/>
          <w:b/>
          <w:bCs/>
          <w:sz w:val="28"/>
          <w:szCs w:val="28"/>
          <w:lang w:bidi="ar-SA"/>
        </w:rPr>
        <w:t>（参考格式）</w:t>
      </w:r>
    </w:p>
    <w:p w14:paraId="0DCFB55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甲 方：</w:t>
      </w:r>
    </w:p>
    <w:p w14:paraId="028A98C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乙 方:</w:t>
      </w:r>
    </w:p>
    <w:p w14:paraId="3415D83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依据《中华人民共和国民法典》</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《中华人民共和国政府采购法》以及招标文件、投标文件、成交通知书，经甲、乙双方协商，鉴证方确认，达成如下条款。</w:t>
      </w:r>
    </w:p>
    <w:p w14:paraId="2E5550C4">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 xml:space="preserve">第一条 </w:t>
      </w:r>
      <w:r>
        <w:rPr>
          <w:rFonts w:hint="eastAsia" w:ascii="仿宋" w:hAnsi="仿宋" w:eastAsia="仿宋" w:cs="仿宋"/>
          <w:b/>
          <w:bCs/>
          <w:color w:val="000000"/>
          <w:sz w:val="24"/>
          <w:szCs w:val="24"/>
          <w:lang w:val="en-US" w:eastAsia="zh-CN"/>
        </w:rPr>
        <w:t xml:space="preserve">  </w:t>
      </w:r>
      <w:r>
        <w:rPr>
          <w:rFonts w:hint="eastAsia" w:ascii="仿宋" w:hAnsi="仿宋" w:eastAsia="仿宋" w:cs="仿宋"/>
          <w:b/>
          <w:bCs/>
          <w:color w:val="000000"/>
          <w:sz w:val="24"/>
          <w:szCs w:val="24"/>
        </w:rPr>
        <w:t>工程概况</w:t>
      </w:r>
    </w:p>
    <w:p w14:paraId="52C6862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1-1、工程名称:</w:t>
      </w:r>
    </w:p>
    <w:p w14:paraId="72CDEBC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1-2、工程地点:</w:t>
      </w:r>
    </w:p>
    <w:p w14:paraId="27DB5ED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1-3、承包范围:</w:t>
      </w:r>
    </w:p>
    <w:p w14:paraId="4C9785F6">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rPr>
        <w:t>1-4、承包方式:</w:t>
      </w:r>
    </w:p>
    <w:p w14:paraId="63C3CF6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1-5、工 期:</w:t>
      </w:r>
    </w:p>
    <w:p w14:paraId="65CD3EB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1-6、开工日期:    年   月   日</w:t>
      </w:r>
    </w:p>
    <w:p w14:paraId="6BD3B8F0">
      <w:pPr>
        <w:keepNext w:val="0"/>
        <w:keepLines w:val="0"/>
        <w:pageBreakBefore w:val="0"/>
        <w:widowControl w:val="0"/>
        <w:kinsoku/>
        <w:wordWrap/>
        <w:overflowPunct/>
        <w:topLinePunct w:val="0"/>
        <w:autoSpaceDE/>
        <w:autoSpaceDN/>
        <w:bidi w:val="0"/>
        <w:adjustRightInd/>
        <w:snapToGrid/>
        <w:spacing w:line="360" w:lineRule="auto"/>
        <w:ind w:left="0" w:firstLine="1200" w:firstLineChars="5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竣工日期:  年   月   日</w:t>
      </w:r>
    </w:p>
    <w:p w14:paraId="3F1F2C4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rPr>
        <w:t>1-7、工程质量:符合国家及行业验收合格标准</w:t>
      </w:r>
    </w:p>
    <w:p w14:paraId="6C9D0C5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1-8、合同价款:人民币大写   万元整   小写(    元)</w:t>
      </w:r>
    </w:p>
    <w:p w14:paraId="2A523934">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default" w:ascii="仿宋" w:hAnsi="仿宋" w:eastAsia="仿宋" w:cs="仿宋"/>
          <w:b/>
          <w:bCs/>
          <w:color w:val="000000"/>
          <w:sz w:val="24"/>
          <w:szCs w:val="24"/>
          <w:lang w:val="en-US" w:eastAsia="zh-CN"/>
        </w:rPr>
      </w:pPr>
      <w:r>
        <w:rPr>
          <w:rFonts w:hint="eastAsia" w:ascii="仿宋" w:hAnsi="仿宋" w:eastAsia="仿宋" w:cs="仿宋"/>
          <w:b/>
          <w:bCs/>
          <w:color w:val="000000"/>
          <w:sz w:val="24"/>
          <w:szCs w:val="24"/>
        </w:rPr>
        <w:t>第二条   甲方工作</w:t>
      </w:r>
      <w:r>
        <w:rPr>
          <w:rFonts w:hint="eastAsia" w:ascii="仿宋" w:hAnsi="仿宋" w:eastAsia="仿宋" w:cs="仿宋"/>
          <w:b/>
          <w:bCs/>
          <w:color w:val="000000"/>
          <w:sz w:val="24"/>
          <w:szCs w:val="24"/>
          <w:u w:val="single"/>
        </w:rPr>
        <w:t xml:space="preserve"> </w:t>
      </w:r>
      <w:r>
        <w:rPr>
          <w:rFonts w:hint="eastAsia" w:ascii="仿宋" w:hAnsi="仿宋" w:eastAsia="仿宋" w:cs="仿宋"/>
          <w:b/>
          <w:bCs/>
          <w:color w:val="000000"/>
          <w:sz w:val="24"/>
          <w:szCs w:val="24"/>
          <w:u w:val="single"/>
          <w:lang w:val="en-US" w:eastAsia="zh-CN"/>
        </w:rPr>
        <w:t xml:space="preserve">                                </w:t>
      </w:r>
    </w:p>
    <w:p w14:paraId="7281DF96">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第三条   乙方工作</w:t>
      </w:r>
      <w:r>
        <w:rPr>
          <w:rFonts w:hint="eastAsia" w:ascii="仿宋" w:hAnsi="仿宋" w:eastAsia="仿宋" w:cs="仿宋"/>
          <w:b/>
          <w:bCs/>
          <w:color w:val="000000"/>
          <w:sz w:val="24"/>
          <w:szCs w:val="24"/>
          <w:u w:val="single"/>
        </w:rPr>
        <w:t xml:space="preserve"> </w:t>
      </w:r>
      <w:r>
        <w:rPr>
          <w:rFonts w:hint="eastAsia" w:ascii="仿宋" w:hAnsi="仿宋" w:eastAsia="仿宋" w:cs="仿宋"/>
          <w:b/>
          <w:bCs/>
          <w:color w:val="000000"/>
          <w:sz w:val="24"/>
          <w:szCs w:val="24"/>
          <w:u w:val="single"/>
          <w:lang w:val="en-US" w:eastAsia="zh-CN"/>
        </w:rPr>
        <w:t xml:space="preserve">                                </w:t>
      </w:r>
    </w:p>
    <w:p w14:paraId="20EE57A6">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第四条  关于工期的约定</w:t>
      </w:r>
    </w:p>
    <w:p w14:paraId="69DF095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4-1、乙方必须严格按照工期约定完工，不得推迟。</w:t>
      </w:r>
    </w:p>
    <w:p w14:paraId="30F387A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4-2、甲方要求比合同约定的工期提前竣工时，经分析新工期要求合理，乙方应予执行。</w:t>
      </w:r>
    </w:p>
    <w:p w14:paraId="683F32C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4-3、因甲方未按约定完成工作而影响进度，工期顺延。</w:t>
      </w:r>
    </w:p>
    <w:p w14:paraId="3059018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4-4、因乙方责任，不能按期开工或中途无故停工，影响工期，工期不顺延。</w:t>
      </w:r>
    </w:p>
    <w:p w14:paraId="24850B0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4-5、非乙方原因造成的停电、停水及不可抗力因素，导致停工8小时以上(一周内累计计算)，工期相应顺延。</w:t>
      </w:r>
    </w:p>
    <w:p w14:paraId="16FA48A5">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第五条  关于工程质量及验收的规定</w:t>
      </w:r>
    </w:p>
    <w:p w14:paraId="480AE8F9">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5-</w:t>
      </w:r>
      <w:r>
        <w:rPr>
          <w:rFonts w:hint="eastAsia" w:ascii="仿宋" w:hAnsi="仿宋" w:eastAsia="仿宋" w:cs="仿宋"/>
          <w:color w:val="000000"/>
          <w:sz w:val="24"/>
          <w:szCs w:val="24"/>
          <w:lang w:val="en-US" w:eastAsia="zh-CN"/>
        </w:rPr>
        <w:t>1</w:t>
      </w:r>
      <w:r>
        <w:rPr>
          <w:rFonts w:hint="eastAsia" w:ascii="仿宋" w:hAnsi="仿宋" w:eastAsia="仿宋" w:cs="仿宋"/>
          <w:color w:val="000000"/>
          <w:sz w:val="24"/>
          <w:szCs w:val="24"/>
        </w:rPr>
        <w:t>、本工程质量应达到国家质量评定优良标准。</w:t>
      </w:r>
    </w:p>
    <w:p w14:paraId="2FB44EE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5-</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、由于乙方原因造成质量事故，其返工费用由乙方承担，工期不顺延。</w:t>
      </w:r>
    </w:p>
    <w:p w14:paraId="53CB33F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5-</w:t>
      </w: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、工程竣工后，乙方应通知甲方验收，甲方自接到验收通知</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日内组织验收，并办理验收、移交手续。如甲方在规定时间内未能组织验收，须及时通知乙方，另定验收日期。若另定日期验收合格甲方承认竣工日期;若验收不合格，其竣工日期为验收合格之日。看管费用和相关费用由乙方承担。</w:t>
      </w:r>
    </w:p>
    <w:p w14:paraId="6ACEF65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5-</w:t>
      </w:r>
      <w:r>
        <w:rPr>
          <w:rFonts w:hint="eastAsia" w:ascii="仿宋" w:hAnsi="仿宋" w:eastAsia="仿宋" w:cs="仿宋"/>
          <w:color w:val="000000"/>
          <w:sz w:val="24"/>
          <w:szCs w:val="24"/>
          <w:lang w:val="en-US" w:eastAsia="zh-CN"/>
        </w:rPr>
        <w:t>4</w:t>
      </w:r>
      <w:r>
        <w:rPr>
          <w:rFonts w:hint="eastAsia" w:ascii="仿宋" w:hAnsi="仿宋" w:eastAsia="仿宋" w:cs="仿宋"/>
          <w:color w:val="000000"/>
          <w:sz w:val="24"/>
          <w:szCs w:val="24"/>
        </w:rPr>
        <w:t>、完工验收</w:t>
      </w:r>
    </w:p>
    <w:p w14:paraId="3A4CCA8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1、乙方完工后，进行自检，达到国家消防规范验收合格标准后，准备验收文件，并书面通知甲方。</w:t>
      </w:r>
    </w:p>
    <w:p w14:paraId="7A332988">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2、甲方先组织验收，甲方确认成交供应商的自检内容后，由甲方负责委托第三方检测单位检测，检测单位出具的检测合格报告作为项目被最终认可的唯一依据。</w:t>
      </w:r>
    </w:p>
    <w:p w14:paraId="116393A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5-</w:t>
      </w:r>
      <w:r>
        <w:rPr>
          <w:rFonts w:hint="eastAsia" w:ascii="仿宋" w:hAnsi="仿宋" w:eastAsia="仿宋" w:cs="仿宋"/>
          <w:color w:val="000000"/>
          <w:sz w:val="24"/>
          <w:szCs w:val="24"/>
          <w:lang w:val="en-US" w:eastAsia="zh-CN"/>
        </w:rPr>
        <w:t>5</w:t>
      </w:r>
      <w:r>
        <w:rPr>
          <w:rFonts w:hint="eastAsia" w:ascii="仿宋" w:hAnsi="仿宋" w:eastAsia="仿宋" w:cs="仿宋"/>
          <w:color w:val="000000"/>
          <w:sz w:val="24"/>
          <w:szCs w:val="24"/>
        </w:rPr>
        <w:t>、验收依据:</w:t>
      </w:r>
    </w:p>
    <w:p w14:paraId="0623B12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1、施工合同。</w:t>
      </w:r>
    </w:p>
    <w:p w14:paraId="32C2132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2、本项目磋商文件、补充通知、响应文件、澄清函等。</w:t>
      </w:r>
    </w:p>
    <w:p w14:paraId="1F41CA4D">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3、国家相关的标准和规范。</w:t>
      </w:r>
    </w:p>
    <w:p w14:paraId="55AC0F4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5-</w:t>
      </w:r>
      <w:r>
        <w:rPr>
          <w:rFonts w:hint="eastAsia" w:ascii="仿宋" w:hAnsi="仿宋" w:eastAsia="仿宋" w:cs="仿宋"/>
          <w:color w:val="000000"/>
          <w:sz w:val="24"/>
          <w:szCs w:val="24"/>
          <w:lang w:val="en-US" w:eastAsia="zh-CN"/>
        </w:rPr>
        <w:t>6</w:t>
      </w:r>
      <w:r>
        <w:rPr>
          <w:rFonts w:hint="eastAsia" w:ascii="仿宋" w:hAnsi="仿宋" w:eastAsia="仿宋" w:cs="仿宋"/>
          <w:color w:val="000000"/>
          <w:sz w:val="24"/>
          <w:szCs w:val="24"/>
        </w:rPr>
        <w:t>、工程验收合格后，甲、乙双方应尽快办理移交。不论什么原因，乙方无留滞权。</w:t>
      </w:r>
    </w:p>
    <w:p w14:paraId="35B9022A">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rPr>
        <w:t>第六</w:t>
      </w:r>
      <w:r>
        <w:rPr>
          <w:rFonts w:hint="eastAsia" w:ascii="仿宋" w:hAnsi="仿宋" w:eastAsia="仿宋" w:cs="仿宋"/>
          <w:b/>
          <w:bCs/>
          <w:color w:val="000000"/>
          <w:sz w:val="24"/>
          <w:szCs w:val="24"/>
          <w:highlight w:val="none"/>
        </w:rPr>
        <w:t>条  款项支付</w:t>
      </w:r>
    </w:p>
    <w:p w14:paraId="2EC22EC5">
      <w:pPr>
        <w:pStyle w:val="21"/>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rPr>
        <w:t>6-1、合同款的支付:</w:t>
      </w:r>
      <w:r>
        <w:rPr>
          <w:rFonts w:hint="eastAsia" w:ascii="仿宋" w:hAnsi="仿宋" w:eastAsia="仿宋" w:cs="仿宋"/>
          <w:color w:val="000000"/>
          <w:sz w:val="24"/>
          <w:szCs w:val="24"/>
          <w:highlight w:val="none"/>
          <w:u w:val="single"/>
          <w:lang w:val="en-US" w:eastAsia="zh-CN"/>
        </w:rPr>
        <w:t xml:space="preserve">                   </w:t>
      </w:r>
    </w:p>
    <w:p w14:paraId="4FCD99AC">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6-2、支付方式:</w:t>
      </w:r>
      <w:r>
        <w:rPr>
          <w:rFonts w:hint="eastAsia" w:ascii="仿宋" w:hAnsi="仿宋" w:eastAsia="仿宋" w:cs="仿宋"/>
          <w:color w:val="000000"/>
          <w:sz w:val="24"/>
          <w:szCs w:val="24"/>
          <w:highlight w:val="none"/>
          <w:u w:val="single"/>
          <w:lang w:val="en-US" w:eastAsia="zh-CN"/>
        </w:rPr>
        <w:t xml:space="preserve">                   </w:t>
      </w:r>
    </w:p>
    <w:p w14:paraId="50E8A23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6-3、结算方式:</w:t>
      </w:r>
      <w:r>
        <w:rPr>
          <w:rFonts w:hint="eastAsia" w:ascii="仿宋" w:hAnsi="仿宋" w:eastAsia="仿宋" w:cs="仿宋"/>
          <w:color w:val="000000"/>
          <w:sz w:val="24"/>
          <w:szCs w:val="24"/>
          <w:highlight w:val="none"/>
          <w:u w:val="single"/>
          <w:lang w:val="en-US" w:eastAsia="zh-CN"/>
        </w:rPr>
        <w:t xml:space="preserve">                   </w:t>
      </w:r>
    </w:p>
    <w:p w14:paraId="74C84038">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第七条  关于材料供应的约定</w:t>
      </w:r>
    </w:p>
    <w:p w14:paraId="78637D3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7-1、乙方采购的材料、设备，应符合设计要求和国家规范，严格按照谈判时所明确的品牌、规格、型号、产地组织采购。组织采购的材料如不符合质量要求或规格有差异，应禁止使用。若已使用，对工程造成的损失由乙方负责。施工中，需要复检的材料，应由国家授权的检测机构进行复检，其结果应加盖检测单位红章。</w:t>
      </w:r>
    </w:p>
    <w:p w14:paraId="0BE66FF0">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7-2、凡乙方购进的施工材料，使用前必须经过甲方验收认可后方可使用，否则甲方拒绝施工验收。</w:t>
      </w:r>
    </w:p>
    <w:p w14:paraId="75B80A69">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第八条  有关安全生产和防火的约定</w:t>
      </w:r>
    </w:p>
    <w:p w14:paraId="7D84D2D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8-1、甲方提供的施工图纸和做法说明，应符合设计规范。</w:t>
      </w:r>
    </w:p>
    <w:p w14:paraId="374329C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8-2、乙方在施工期间应严格遵守相关的法规、规范。</w:t>
      </w:r>
    </w:p>
    <w:p w14:paraId="09878AE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8-3、由于乙方在施工过程中未按甲方图纸中做法说明，违反有关安全规程、消防条例，导致发生安全或火灾事故，乙方应承担由此产生的一切经济损失。</w:t>
      </w:r>
    </w:p>
    <w:p w14:paraId="062A237D">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第九条  违约责任</w:t>
      </w:r>
    </w:p>
    <w:p w14:paraId="40025024">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9-1、乙方应妥善保护甲方提供的设备和工程成品，如造成损失，应照价赔偿。</w:t>
      </w:r>
    </w:p>
    <w:p w14:paraId="638DB0CF">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9-2、未经甲方同意，乙方擅自同意拆改原有建筑物结构或设备管线，由此发生的损失或事故(包括罚款)，由乙方负责并承担损失。</w:t>
      </w:r>
    </w:p>
    <w:p w14:paraId="210A149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9-3、因一方原因，合同无法继续履行时，应通知对方，办理合同终止协议，并由责任方赔偿对方由此造成的经济损失。</w:t>
      </w:r>
    </w:p>
    <w:p w14:paraId="6DD4C89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9-4、未按合同要求施工或工程质量达不到国家标准要求，由乙方负责整改，并承担相关费用，由此引起一切经济损失及政治影响由乙方承担。甲方应当将乙方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48AF190E">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9-5、按《政府采购法》、《民法典》中的相关条款执行。</w:t>
      </w:r>
    </w:p>
    <w:p w14:paraId="3D0C2097">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第十条   争议或纠纷处理</w:t>
      </w:r>
    </w:p>
    <w:p w14:paraId="3A69962A">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10-1、在不影响工程进度的前提下，双方协商解决或请有关部门进行调解。</w:t>
      </w:r>
    </w:p>
    <w:p w14:paraId="69461457">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10-2、协商、调解不成时按下列第(一)种方式解决</w:t>
      </w:r>
    </w:p>
    <w:p w14:paraId="574F5CAB">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(一)提交西安仲裁委员会仲裁;</w:t>
      </w:r>
    </w:p>
    <w:p w14:paraId="33CA80B2">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(二)依法向甲方所在地人民法院起诉。</w:t>
      </w:r>
    </w:p>
    <w:p w14:paraId="129F09CD">
      <w:pPr>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bCs/>
          <w:color w:val="000000"/>
          <w:sz w:val="24"/>
          <w:szCs w:val="24"/>
        </w:rPr>
      </w:pPr>
      <w:r>
        <w:rPr>
          <w:rFonts w:hint="eastAsia" w:ascii="仿宋" w:hAnsi="仿宋" w:eastAsia="仿宋" w:cs="仿宋"/>
          <w:b/>
          <w:bCs/>
          <w:color w:val="000000"/>
          <w:sz w:val="24"/>
          <w:szCs w:val="24"/>
        </w:rPr>
        <w:t>第十一条   质保与保修</w:t>
      </w:r>
    </w:p>
    <w:p w14:paraId="36D9E0B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11-1、质保期按照国家规定及乙方投标承诺为准。质保起始日从甲方代表在最终验收合格记录上签字之日起算。</w:t>
      </w:r>
    </w:p>
    <w:p w14:paraId="5BB0A793">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11-2、质保期按照有关国家建设施工要求及规定，质保和保修期限为</w:t>
      </w:r>
      <w:r>
        <w:rPr>
          <w:rFonts w:hint="eastAsia" w:ascii="仿宋" w:hAnsi="仿宋" w:eastAsia="仿宋" w:cs="仿宋"/>
          <w:color w:val="000000"/>
          <w:sz w:val="24"/>
          <w:szCs w:val="24"/>
          <w:u w:val="single"/>
          <w:lang w:val="en-US" w:eastAsia="zh-CN"/>
        </w:rPr>
        <w:t xml:space="preserve">   </w:t>
      </w:r>
      <w:r>
        <w:rPr>
          <w:rFonts w:hint="eastAsia" w:ascii="仿宋" w:hAnsi="仿宋" w:eastAsia="仿宋" w:cs="仿宋"/>
          <w:color w:val="000000"/>
          <w:sz w:val="24"/>
          <w:szCs w:val="24"/>
        </w:rPr>
        <w:t>年。</w:t>
      </w:r>
    </w:p>
    <w:p w14:paraId="4CFA79D1">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11-3、对项目工期、质量、安全、后期管护等有详细的措施，和明确具体的承诺。</w:t>
      </w:r>
    </w:p>
    <w:p w14:paraId="3F6209C5">
      <w:pPr>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11-4、用于本工程的所有材料，必须符合设计要求及国家有关规定，并有出厂合格证。</w:t>
      </w:r>
    </w:p>
    <w:p w14:paraId="64D2985A">
      <w:pPr>
        <w:pStyle w:val="8"/>
        <w:keepNext w:val="0"/>
        <w:keepLines w:val="0"/>
        <w:pageBreakBefore w:val="0"/>
        <w:widowControl w:val="0"/>
        <w:kinsoku/>
        <w:wordWrap/>
        <w:overflowPunct/>
        <w:topLinePunct w:val="0"/>
        <w:autoSpaceDE/>
        <w:autoSpaceDN/>
        <w:bidi w:val="0"/>
        <w:adjustRightInd/>
        <w:snapToGrid/>
        <w:spacing w:line="360" w:lineRule="auto"/>
        <w:ind w:left="0" w:firstLine="480" w:firstLineChars="200"/>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11-5、整个工程符合国家有关规范，确保工程质量合格。</w:t>
      </w:r>
    </w:p>
    <w:p w14:paraId="587B441B">
      <w:pPr>
        <w:pStyle w:val="8"/>
        <w:keepNext w:val="0"/>
        <w:keepLines w:val="0"/>
        <w:pageBreakBefore w:val="0"/>
        <w:widowControl w:val="0"/>
        <w:kinsoku/>
        <w:wordWrap/>
        <w:overflowPunct/>
        <w:topLinePunct w:val="0"/>
        <w:autoSpaceDE/>
        <w:autoSpaceDN/>
        <w:bidi w:val="0"/>
        <w:adjustRightInd/>
        <w:snapToGrid/>
        <w:spacing w:line="360" w:lineRule="auto"/>
        <w:ind w:left="0" w:firstLine="482" w:firstLineChars="200"/>
        <w:textAlignment w:val="auto"/>
        <w:rPr>
          <w:rFonts w:hint="eastAsia" w:ascii="仿宋" w:hAnsi="仿宋" w:eastAsia="仿宋" w:cs="仿宋"/>
          <w:b w:val="0"/>
          <w:bCs/>
          <w:sz w:val="24"/>
          <w:szCs w:val="24"/>
          <w:lang w:val="en-US" w:eastAsia="zh-CN"/>
        </w:rPr>
      </w:pPr>
      <w:r>
        <w:rPr>
          <w:rFonts w:hint="eastAsia" w:ascii="仿宋" w:hAnsi="仿宋" w:eastAsia="仿宋" w:cs="仿宋"/>
          <w:b/>
          <w:bCs/>
          <w:color w:val="000000"/>
          <w:sz w:val="24"/>
          <w:szCs w:val="24"/>
        </w:rPr>
        <w:t>第十二条    附则</w:t>
      </w:r>
      <w:r>
        <w:rPr>
          <w:rFonts w:hint="eastAsia" w:ascii="仿宋" w:hAnsi="仿宋" w:eastAsia="仿宋" w:cs="仿宋"/>
          <w:b/>
          <w:bCs/>
          <w:color w:val="000000"/>
          <w:sz w:val="24"/>
          <w:szCs w:val="24"/>
          <w:lang w:val="en-US" w:eastAsia="zh-CN"/>
        </w:rPr>
        <w:t xml:space="preserve"> （略）</w:t>
      </w:r>
    </w:p>
    <w:p w14:paraId="775480C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color w:val="auto"/>
          <w:sz w:val="24"/>
          <w:szCs w:val="24"/>
        </w:rPr>
      </w:pPr>
    </w:p>
    <w:p w14:paraId="34A35A3A">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color w:val="auto"/>
          <w:sz w:val="24"/>
          <w:szCs w:val="24"/>
        </w:rPr>
      </w:pPr>
    </w:p>
    <w:p w14:paraId="49FE223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color w:val="auto"/>
          <w:sz w:val="24"/>
          <w:szCs w:val="24"/>
        </w:rPr>
      </w:pPr>
    </w:p>
    <w:p w14:paraId="4A726E51">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甲方(公章)：                          乙方(公章)：</w:t>
      </w:r>
    </w:p>
    <w:p w14:paraId="22A2A235">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both"/>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法定(授权)代表人：                    法定(授权)代表人：</w:t>
      </w:r>
    </w:p>
    <w:p w14:paraId="66B8E624">
      <w:pPr>
        <w:pStyle w:val="21"/>
        <w:rPr>
          <w:rFonts w:hint="eastAsia"/>
          <w:lang w:val="en-US" w:eastAsia="zh-Hans"/>
        </w:rPr>
      </w:pPr>
      <w:r>
        <w:rPr>
          <w:rFonts w:hint="eastAsia" w:ascii="仿宋" w:hAnsi="仿宋" w:eastAsia="仿宋" w:cs="仿宋"/>
          <w:color w:val="auto"/>
          <w:sz w:val="24"/>
          <w:szCs w:val="24"/>
        </w:rPr>
        <w:t xml:space="preserve">签约日期：   年  月  日          </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 xml:space="preserve">   签约日期：  年    月    日</w:t>
      </w:r>
    </w:p>
    <w:p w14:paraId="5208AF0B">
      <w:bookmarkStart w:id="0" w:name="_GoBack"/>
      <w:bookmarkEnd w:id="0"/>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B7386">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00B6F19">
                          <w:pPr>
                            <w:pStyle w:val="9"/>
                            <w:rPr>
                              <w:rStyle w:val="18"/>
                            </w:rPr>
                          </w:pPr>
                          <w:r>
                            <w:fldChar w:fldCharType="begin"/>
                          </w:r>
                          <w:r>
                            <w:rPr>
                              <w:rStyle w:val="18"/>
                            </w:rPr>
                            <w:instrText xml:space="preserve">PAGE  </w:instrText>
                          </w:r>
                          <w:r>
                            <w:fldChar w:fldCharType="separate"/>
                          </w:r>
                          <w:r>
                            <w:rPr>
                              <w:rStyle w:val="18"/>
                            </w:rPr>
                            <w:t>2</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OqXm5zwAAAAUBAAAPAAAAAAAA&#10;AAEAIAAAACIAAABkcnMvZG93bnJldi54bWxQSwECFAAUAAAACACHTuJAO2jeE+IBAADMAwAADgAA&#10;AAAAAAABACAAAAAeAQAAZHJzL2Uyb0RvYy54bWxQSwUGAAAAAAYABgBZAQAAcgUAAAAA&#10;">
              <v:fill on="f" focussize="0,0"/>
              <v:stroke on="f"/>
              <v:imagedata o:title=""/>
              <o:lock v:ext="edit" aspectratio="f"/>
              <v:textbox inset="0mm,0mm,0mm,0mm" style="mso-fit-shape-to-text:t;">
                <w:txbxContent>
                  <w:p w14:paraId="400B6F19">
                    <w:pPr>
                      <w:pStyle w:val="9"/>
                      <w:rPr>
                        <w:rStyle w:val="18"/>
                      </w:rPr>
                    </w:pPr>
                    <w:r>
                      <w:fldChar w:fldCharType="begin"/>
                    </w:r>
                    <w:r>
                      <w:rPr>
                        <w:rStyle w:val="18"/>
                      </w:rPr>
                      <w:instrText xml:space="preserve">PAGE  </w:instrText>
                    </w:r>
                    <w:r>
                      <w:fldChar w:fldCharType="separate"/>
                    </w:r>
                    <w:r>
                      <w:rPr>
                        <w:rStyle w:val="18"/>
                      </w:rP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22ECB">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NjOGNmNzJiNWQzZTcyM2ZhNDFhYWFkOGIxNDM3ZWMifQ=="/>
  </w:docVars>
  <w:rsids>
    <w:rsidRoot w:val="2E0D30F9"/>
    <w:rsid w:val="01930166"/>
    <w:rsid w:val="0220332B"/>
    <w:rsid w:val="02203B3A"/>
    <w:rsid w:val="03CF0385"/>
    <w:rsid w:val="057228FE"/>
    <w:rsid w:val="06FF01C2"/>
    <w:rsid w:val="08F301FA"/>
    <w:rsid w:val="0B6E78AB"/>
    <w:rsid w:val="0C2E5F74"/>
    <w:rsid w:val="0C48085D"/>
    <w:rsid w:val="0CA936EB"/>
    <w:rsid w:val="0D093B48"/>
    <w:rsid w:val="0DF90060"/>
    <w:rsid w:val="105B7504"/>
    <w:rsid w:val="12DC7A01"/>
    <w:rsid w:val="13A24BFC"/>
    <w:rsid w:val="13D84811"/>
    <w:rsid w:val="14C72A25"/>
    <w:rsid w:val="14F7697C"/>
    <w:rsid w:val="16C5146E"/>
    <w:rsid w:val="18B708FC"/>
    <w:rsid w:val="1CA10ABE"/>
    <w:rsid w:val="1FDF698A"/>
    <w:rsid w:val="237A5348"/>
    <w:rsid w:val="23D26F32"/>
    <w:rsid w:val="24542B6A"/>
    <w:rsid w:val="24D10F97"/>
    <w:rsid w:val="28EC3ECC"/>
    <w:rsid w:val="29E928DF"/>
    <w:rsid w:val="2A1D4C7F"/>
    <w:rsid w:val="2B8D373E"/>
    <w:rsid w:val="2C210A56"/>
    <w:rsid w:val="2E0D30F9"/>
    <w:rsid w:val="2E5D564A"/>
    <w:rsid w:val="2FA430AD"/>
    <w:rsid w:val="3005726F"/>
    <w:rsid w:val="307A6987"/>
    <w:rsid w:val="32285C55"/>
    <w:rsid w:val="33A65CE5"/>
    <w:rsid w:val="34B306BA"/>
    <w:rsid w:val="359D0A22"/>
    <w:rsid w:val="36AF4EB1"/>
    <w:rsid w:val="392065A2"/>
    <w:rsid w:val="3A3556CD"/>
    <w:rsid w:val="3BE253E0"/>
    <w:rsid w:val="3D441187"/>
    <w:rsid w:val="3D5D7415"/>
    <w:rsid w:val="3E11603B"/>
    <w:rsid w:val="3EAF6266"/>
    <w:rsid w:val="3EB6596D"/>
    <w:rsid w:val="3F23468E"/>
    <w:rsid w:val="42B75819"/>
    <w:rsid w:val="49C973F4"/>
    <w:rsid w:val="4B52419D"/>
    <w:rsid w:val="4D7560B4"/>
    <w:rsid w:val="4EDB446A"/>
    <w:rsid w:val="51600E2A"/>
    <w:rsid w:val="51FD2B1C"/>
    <w:rsid w:val="52705CA9"/>
    <w:rsid w:val="54330A77"/>
    <w:rsid w:val="543310A7"/>
    <w:rsid w:val="5459401C"/>
    <w:rsid w:val="54AD0949"/>
    <w:rsid w:val="54B61A61"/>
    <w:rsid w:val="54CD3DD1"/>
    <w:rsid w:val="57A31A70"/>
    <w:rsid w:val="595F2829"/>
    <w:rsid w:val="5ADF1BC9"/>
    <w:rsid w:val="5CF90968"/>
    <w:rsid w:val="5DA86032"/>
    <w:rsid w:val="602F47E9"/>
    <w:rsid w:val="608A1A1F"/>
    <w:rsid w:val="62DB7BED"/>
    <w:rsid w:val="6415009F"/>
    <w:rsid w:val="64500CB8"/>
    <w:rsid w:val="6632293D"/>
    <w:rsid w:val="67B43A07"/>
    <w:rsid w:val="68E5638C"/>
    <w:rsid w:val="6B0F5943"/>
    <w:rsid w:val="6BCC7390"/>
    <w:rsid w:val="6EC17444"/>
    <w:rsid w:val="6F0D04C1"/>
    <w:rsid w:val="6F651FD5"/>
    <w:rsid w:val="70324EB8"/>
    <w:rsid w:val="70671D7D"/>
    <w:rsid w:val="707F0E75"/>
    <w:rsid w:val="71816E6E"/>
    <w:rsid w:val="73D03795"/>
    <w:rsid w:val="74463A57"/>
    <w:rsid w:val="77336515"/>
    <w:rsid w:val="78204F93"/>
    <w:rsid w:val="78DA7590"/>
    <w:rsid w:val="7AE007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paragraph" w:styleId="3">
    <w:name w:val="heading 4"/>
    <w:basedOn w:val="1"/>
    <w:next w:val="1"/>
    <w:qFormat/>
    <w:uiPriority w:val="0"/>
    <w:pPr>
      <w:keepNext/>
      <w:keepLines/>
      <w:spacing w:line="374" w:lineRule="auto"/>
      <w:outlineLvl w:val="3"/>
    </w:pPr>
    <w:rPr>
      <w:rFonts w:ascii="Arial" w:hAnsi="Arial" w:eastAsia="黑体"/>
      <w:b/>
      <w:bCs/>
      <w:sz w:val="28"/>
      <w:szCs w:val="28"/>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4">
    <w:name w:val="toa heading"/>
    <w:basedOn w:val="1"/>
    <w:next w:val="1"/>
    <w:qFormat/>
    <w:uiPriority w:val="0"/>
    <w:pPr>
      <w:spacing w:before="120"/>
    </w:pPr>
    <w:rPr>
      <w:rFonts w:ascii="Arial" w:hAnsi="Arial"/>
    </w:rPr>
  </w:style>
  <w:style w:type="paragraph" w:styleId="5">
    <w:name w:val="annotation text"/>
    <w:basedOn w:val="1"/>
    <w:qFormat/>
    <w:uiPriority w:val="99"/>
    <w:pPr>
      <w:jc w:val="left"/>
    </w:pPr>
    <w:rPr>
      <w:rFonts w:ascii="宋体" w:hAnsi="Calibri"/>
      <w:kern w:val="0"/>
      <w:sz w:val="22"/>
    </w:rPr>
  </w:style>
  <w:style w:type="paragraph" w:styleId="6">
    <w:name w:val="Body Text"/>
    <w:basedOn w:val="1"/>
    <w:qFormat/>
    <w:uiPriority w:val="99"/>
    <w:rPr>
      <w:rFonts w:ascii="Calibri" w:hAnsi="Calibri"/>
      <w:kern w:val="0"/>
      <w:sz w:val="20"/>
      <w:szCs w:val="20"/>
    </w:rPr>
  </w:style>
  <w:style w:type="paragraph" w:styleId="7">
    <w:name w:val="Body Text Indent"/>
    <w:basedOn w:val="1"/>
    <w:qFormat/>
    <w:uiPriority w:val="99"/>
    <w:pPr>
      <w:ind w:left="420" w:leftChars="200"/>
    </w:pPr>
    <w:rPr>
      <w:rFonts w:ascii="Calibri" w:hAnsi="Calibri"/>
      <w:kern w:val="0"/>
      <w:sz w:val="20"/>
      <w:szCs w:val="20"/>
    </w:rPr>
  </w:style>
  <w:style w:type="paragraph" w:styleId="8">
    <w:name w:val="Plain Text"/>
    <w:basedOn w:val="1"/>
    <w:qFormat/>
    <w:uiPriority w:val="99"/>
    <w:pPr>
      <w:spacing w:line="324" w:lineRule="auto"/>
    </w:pPr>
    <w:rPr>
      <w:rFonts w:ascii="宋体" w:hAnsi="Courier New"/>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4"/>
    <w:next w:val="4"/>
    <w:qFormat/>
    <w:uiPriority w:val="39"/>
  </w:style>
  <w:style w:type="paragraph" w:styleId="12">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3">
    <w:name w:val="Body Text First Indent"/>
    <w:basedOn w:val="6"/>
    <w:unhideWhenUsed/>
    <w:qFormat/>
    <w:uiPriority w:val="99"/>
    <w:pPr>
      <w:ind w:firstLine="420" w:firstLineChars="100"/>
    </w:pPr>
    <w:rPr>
      <w:rFonts w:ascii="宋体" w:hAnsi="Times New Roman" w:eastAsia="宋体" w:cs="Times New Roman"/>
    </w:rPr>
  </w:style>
  <w:style w:type="paragraph" w:styleId="14">
    <w:name w:val="Body Text First Indent 2"/>
    <w:basedOn w:val="7"/>
    <w:unhideWhenUsed/>
    <w:qFormat/>
    <w:uiPriority w:val="0"/>
    <w:pPr>
      <w:ind w:firstLine="420" w:firstLineChars="200"/>
    </w:pPr>
    <w:rPr>
      <w:szCs w:val="20"/>
    </w:rPr>
  </w:style>
  <w:style w:type="table" w:styleId="16">
    <w:name w:val="Table Grid"/>
    <w:basedOn w:val="1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8">
    <w:name w:val="page number"/>
    <w:qFormat/>
    <w:uiPriority w:val="0"/>
    <w:rPr>
      <w:rFonts w:cs="Times New Roman"/>
    </w:rPr>
  </w:style>
  <w:style w:type="paragraph" w:styleId="19">
    <w:name w:val="List Paragraph"/>
    <w:basedOn w:val="1"/>
    <w:qFormat/>
    <w:uiPriority w:val="34"/>
    <w:pPr>
      <w:ind w:firstLine="420" w:firstLineChars="200"/>
    </w:pPr>
  </w:style>
  <w:style w:type="paragraph" w:customStyle="1" w:styleId="20">
    <w:name w:val="普通(网站)1"/>
    <w:basedOn w:val="1"/>
    <w:qFormat/>
    <w:uiPriority w:val="0"/>
    <w:pPr>
      <w:widowControl/>
      <w:spacing w:before="100" w:beforeAutospacing="1" w:after="100" w:afterAutospacing="1" w:line="360" w:lineRule="auto"/>
      <w:ind w:firstLine="200" w:firstLineChars="200"/>
      <w:jc w:val="left"/>
    </w:pPr>
    <w:rPr>
      <w:rFonts w:ascii="宋体"/>
      <w:kern w:val="0"/>
      <w:sz w:val="24"/>
      <w:szCs w:val="20"/>
    </w:rPr>
  </w:style>
  <w:style w:type="paragraph" w:customStyle="1" w:styleId="2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713</Words>
  <Characters>769</Characters>
  <Lines>0</Lines>
  <Paragraphs>0</Paragraphs>
  <TotalTime>0</TotalTime>
  <ScaleCrop>false</ScaleCrop>
  <LinksUpToDate>false</LinksUpToDate>
  <CharactersWithSpaces>864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2024-07-18T03:23:00Z</dcterms:created>
  <dc:creator>成说</dc:creator>
  <cp:lastModifiedBy>中技</cp:lastModifiedBy>
  <dcterms:modified xsi:type="dcterms:W3CDTF">2026-06-05T02:35:32Z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667C8B5A34CD4E64BC309FA23DFC0F76_13</vt:lpwstr>
  </property>
  <property fmtid="{D5CDD505-2E9C-101B-9397-08002B2CF9AE}" pid="4" name="KSOTemplateDocerSaveRecord">
    <vt:lpwstr>eyJoZGlkIjoiYjY1OWZmN2YwYjlkNTNiNTA5NjRhNGNmYzlmZmM3MzciLCJ1c2VySWQiOiI0MzQ4NTIyNDMifQ==</vt:lpwstr>
  </property>
</Properties>
</file>