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版本号：SXZCZB2026-ZCCS-064320260709001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2026年西安市学前教育师资队伍市级引领分类培训项目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SXZCZB2026-ZCCS-0643</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2026年西安市学前教育师资队伍市级引领分类培训项目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2026年西安市学前教育师资队伍市级引领分类培训项目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2026年西安市学前教育师资队伍市级引领分类培训项目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2、法定代表人委托书：授权代表参加磋商的，提供法定代表人授权书（附法定代表人、被授权人身份证复印件）；法定代表人直接参加磋商的，须提供法定代表人身份证明及身份证复印件）；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4、税收缴纳证明：提供磋商响应文件截止日前近1年内任意一个月的纳税证明或完税证明（任意税种），依法免税的单位应提供相关证明材料；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5、社会保障资金缴纳证明：提供磋商响应文件截止日前近1年内任意一个月的社会保障资金缴存单据或社保机构开具的社会保险参保缴费情况证明，依法不需要缴纳社会保障资金的单位应提供相关证明材料；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029-67096621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乙方参照国家计委关于印发《采购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2026年西安市学前教育师资队伍市级引领分类培训项目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690,000.00</w:t>
      </w:r>
    </w:p>
    <w:p>
      <w:pPr>
        <w:pStyle w:val="null3"/>
      </w:pPr>
      <w:r>
        <w:rPr>
          <w:rFonts w:ascii="仿宋_GB2312" w:hAnsi="仿宋_GB2312" w:cs="仿宋_GB2312" w:eastAsia="仿宋_GB2312"/>
        </w:rPr>
        <w:t>采购包最高限价（元）: 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2026年西安市学前教育师资队伍市级引领分类培训项目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标的名称：2026年西安市学前教育师资队伍市级引领分类培训项目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0"/>
              </w:rPr>
              <w:t>一、项目实施背景和依据</w:t>
            </w:r>
          </w:p>
          <w:p>
            <w:pPr>
              <w:pStyle w:val="null3"/>
              <w:ind w:firstLine="480"/>
            </w:pPr>
            <w:r>
              <w:rPr>
                <w:rFonts w:ascii="仿宋_GB2312" w:hAnsi="仿宋_GB2312" w:cs="仿宋_GB2312" w:eastAsia="仿宋_GB2312"/>
                <w:sz w:val="20"/>
              </w:rPr>
              <w:t>为深入贯彻落实《中共中央国务院关于学前教育深化改革规范发展的若干意见》《中华人民共和国学前教育法》以及西安市推动公办幼儿园扩容提质、普惠性民办幼儿园规范提升实施方案等文件精神和要求，在加强师资队伍建设上持续发力，结合我市学前教育师资队伍建设实际，制定分层分类培训计划，计划开展覆盖幼儿园园长、骨干教师、保育员、学前教育中层管理人员及教研员的学前教育师资队伍市级引领分类培训项目，引领全市师资队伍综合素质提升。</w:t>
            </w:r>
          </w:p>
          <w:p>
            <w:pPr>
              <w:pStyle w:val="null3"/>
              <w:ind w:firstLine="480"/>
            </w:pPr>
            <w:r>
              <w:rPr>
                <w:rFonts w:ascii="仿宋_GB2312" w:hAnsi="仿宋_GB2312" w:cs="仿宋_GB2312" w:eastAsia="仿宋_GB2312"/>
                <w:sz w:val="20"/>
              </w:rPr>
              <w:t>二、项目经费预算</w:t>
            </w:r>
          </w:p>
          <w:p>
            <w:pPr>
              <w:pStyle w:val="null3"/>
              <w:ind w:firstLine="480"/>
            </w:pPr>
            <w:r>
              <w:rPr>
                <w:rFonts w:ascii="仿宋_GB2312" w:hAnsi="仿宋_GB2312" w:cs="仿宋_GB2312" w:eastAsia="仿宋_GB2312"/>
                <w:sz w:val="20"/>
              </w:rPr>
              <w:t>2026</w:t>
            </w:r>
            <w:r>
              <w:rPr>
                <w:rFonts w:ascii="仿宋_GB2312" w:hAnsi="仿宋_GB2312" w:cs="仿宋_GB2312" w:eastAsia="仿宋_GB2312"/>
                <w:sz w:val="20"/>
              </w:rPr>
              <w:t>年西安市学前教育师资队伍市级引领分类培训项目按线下集中、线上网络两类实施培训。</w:t>
            </w:r>
          </w:p>
          <w:p>
            <w:pPr>
              <w:pStyle w:val="null3"/>
              <w:ind w:firstLine="480"/>
            </w:pPr>
            <w:r>
              <w:rPr>
                <w:rFonts w:ascii="仿宋_GB2312" w:hAnsi="仿宋_GB2312" w:cs="仿宋_GB2312" w:eastAsia="仿宋_GB2312"/>
                <w:sz w:val="20"/>
              </w:rPr>
              <w:t>（一）线下集中培训</w:t>
            </w:r>
          </w:p>
          <w:p>
            <w:pPr>
              <w:pStyle w:val="null3"/>
              <w:ind w:firstLine="480"/>
            </w:pPr>
            <w:r>
              <w:rPr>
                <w:rFonts w:ascii="仿宋_GB2312" w:hAnsi="仿宋_GB2312" w:cs="仿宋_GB2312" w:eastAsia="仿宋_GB2312"/>
                <w:sz w:val="20"/>
              </w:rPr>
              <w:t>培训人数：</w:t>
            </w:r>
            <w:r>
              <w:rPr>
                <w:rFonts w:ascii="仿宋_GB2312" w:hAnsi="仿宋_GB2312" w:cs="仿宋_GB2312" w:eastAsia="仿宋_GB2312"/>
                <w:sz w:val="20"/>
              </w:rPr>
              <w:t>370</w:t>
            </w:r>
            <w:r>
              <w:rPr>
                <w:rFonts w:ascii="仿宋_GB2312" w:hAnsi="仿宋_GB2312" w:cs="仿宋_GB2312" w:eastAsia="仿宋_GB2312"/>
                <w:sz w:val="20"/>
              </w:rPr>
              <w:t>人（包含园长</w:t>
            </w:r>
            <w:r>
              <w:rPr>
                <w:rFonts w:ascii="仿宋_GB2312" w:hAnsi="仿宋_GB2312" w:cs="仿宋_GB2312" w:eastAsia="仿宋_GB2312"/>
                <w:sz w:val="20"/>
              </w:rPr>
              <w:t>100</w:t>
            </w:r>
            <w:r>
              <w:rPr>
                <w:rFonts w:ascii="仿宋_GB2312" w:hAnsi="仿宋_GB2312" w:cs="仿宋_GB2312" w:eastAsia="仿宋_GB2312"/>
                <w:sz w:val="20"/>
              </w:rPr>
              <w:t>人、骨干教师</w:t>
            </w:r>
            <w:r>
              <w:rPr>
                <w:rFonts w:ascii="仿宋_GB2312" w:hAnsi="仿宋_GB2312" w:cs="仿宋_GB2312" w:eastAsia="仿宋_GB2312"/>
                <w:sz w:val="20"/>
              </w:rPr>
              <w:t>160</w:t>
            </w:r>
            <w:r>
              <w:rPr>
                <w:rFonts w:ascii="仿宋_GB2312" w:hAnsi="仿宋_GB2312" w:cs="仿宋_GB2312" w:eastAsia="仿宋_GB2312"/>
                <w:sz w:val="20"/>
              </w:rPr>
              <w:t>人、学前教育中层管理人员</w:t>
            </w:r>
            <w:r>
              <w:rPr>
                <w:rFonts w:ascii="仿宋_GB2312" w:hAnsi="仿宋_GB2312" w:cs="仿宋_GB2312" w:eastAsia="仿宋_GB2312"/>
                <w:sz w:val="20"/>
              </w:rPr>
              <w:t>50</w:t>
            </w:r>
            <w:r>
              <w:rPr>
                <w:rFonts w:ascii="仿宋_GB2312" w:hAnsi="仿宋_GB2312" w:cs="仿宋_GB2312" w:eastAsia="仿宋_GB2312"/>
                <w:sz w:val="20"/>
              </w:rPr>
              <w:t>人、学前教育教研员</w:t>
            </w:r>
            <w:r>
              <w:rPr>
                <w:rFonts w:ascii="仿宋_GB2312" w:hAnsi="仿宋_GB2312" w:cs="仿宋_GB2312" w:eastAsia="仿宋_GB2312"/>
                <w:sz w:val="20"/>
              </w:rPr>
              <w:t>60</w:t>
            </w:r>
            <w:r>
              <w:rPr>
                <w:rFonts w:ascii="仿宋_GB2312" w:hAnsi="仿宋_GB2312" w:cs="仿宋_GB2312" w:eastAsia="仿宋_GB2312"/>
                <w:sz w:val="20"/>
              </w:rPr>
              <w:t>人）</w:t>
            </w:r>
          </w:p>
          <w:p>
            <w:pPr>
              <w:pStyle w:val="null3"/>
              <w:ind w:firstLine="480"/>
            </w:pPr>
            <w:r>
              <w:rPr>
                <w:rFonts w:ascii="仿宋_GB2312" w:hAnsi="仿宋_GB2312" w:cs="仿宋_GB2312" w:eastAsia="仿宋_GB2312"/>
                <w:sz w:val="20"/>
              </w:rPr>
              <w:t>培训时长：每类人员</w:t>
            </w:r>
            <w:r>
              <w:rPr>
                <w:rFonts w:ascii="仿宋_GB2312" w:hAnsi="仿宋_GB2312" w:cs="仿宋_GB2312" w:eastAsia="仿宋_GB2312"/>
                <w:sz w:val="20"/>
              </w:rPr>
              <w:t>3</w:t>
            </w:r>
            <w:r>
              <w:rPr>
                <w:rFonts w:ascii="仿宋_GB2312" w:hAnsi="仿宋_GB2312" w:cs="仿宋_GB2312" w:eastAsia="仿宋_GB2312"/>
                <w:sz w:val="20"/>
              </w:rPr>
              <w:t>天</w:t>
            </w:r>
          </w:p>
          <w:p>
            <w:pPr>
              <w:pStyle w:val="null3"/>
              <w:ind w:firstLine="480"/>
            </w:pPr>
            <w:r>
              <w:rPr>
                <w:rFonts w:ascii="仿宋_GB2312" w:hAnsi="仿宋_GB2312" w:cs="仿宋_GB2312" w:eastAsia="仿宋_GB2312"/>
                <w:sz w:val="20"/>
              </w:rPr>
              <w:t>预算金额：</w:t>
            </w:r>
            <w:r>
              <w:rPr>
                <w:rFonts w:ascii="仿宋_GB2312" w:hAnsi="仿宋_GB2312" w:cs="仿宋_GB2312" w:eastAsia="仿宋_GB2312"/>
                <w:sz w:val="20"/>
              </w:rPr>
              <w:t>49</w:t>
            </w:r>
            <w:r>
              <w:rPr>
                <w:rFonts w:ascii="仿宋_GB2312" w:hAnsi="仿宋_GB2312" w:cs="仿宋_GB2312" w:eastAsia="仿宋_GB2312"/>
                <w:sz w:val="20"/>
              </w:rPr>
              <w:t>万元</w:t>
            </w:r>
          </w:p>
          <w:p>
            <w:pPr>
              <w:pStyle w:val="null3"/>
              <w:ind w:firstLine="480"/>
            </w:pPr>
            <w:r>
              <w:rPr>
                <w:rFonts w:ascii="仿宋_GB2312" w:hAnsi="仿宋_GB2312" w:cs="仿宋_GB2312" w:eastAsia="仿宋_GB2312"/>
                <w:sz w:val="20"/>
              </w:rPr>
              <w:t>（二）线上网络培训</w:t>
            </w:r>
          </w:p>
          <w:p>
            <w:pPr>
              <w:pStyle w:val="null3"/>
              <w:ind w:firstLine="480"/>
            </w:pPr>
            <w:r>
              <w:rPr>
                <w:rFonts w:ascii="仿宋_GB2312" w:hAnsi="仿宋_GB2312" w:cs="仿宋_GB2312" w:eastAsia="仿宋_GB2312"/>
                <w:sz w:val="20"/>
              </w:rPr>
              <w:t>培训人数：</w:t>
            </w:r>
            <w:r>
              <w:rPr>
                <w:rFonts w:ascii="仿宋_GB2312" w:hAnsi="仿宋_GB2312" w:cs="仿宋_GB2312" w:eastAsia="仿宋_GB2312"/>
                <w:sz w:val="20"/>
              </w:rPr>
              <w:t>5000</w:t>
            </w:r>
            <w:r>
              <w:rPr>
                <w:rFonts w:ascii="仿宋_GB2312" w:hAnsi="仿宋_GB2312" w:cs="仿宋_GB2312" w:eastAsia="仿宋_GB2312"/>
                <w:sz w:val="20"/>
              </w:rPr>
              <w:t>人（保育员）</w:t>
            </w:r>
          </w:p>
          <w:p>
            <w:pPr>
              <w:pStyle w:val="null3"/>
              <w:ind w:firstLine="480"/>
            </w:pPr>
            <w:r>
              <w:rPr>
                <w:rFonts w:ascii="仿宋_GB2312" w:hAnsi="仿宋_GB2312" w:cs="仿宋_GB2312" w:eastAsia="仿宋_GB2312"/>
                <w:sz w:val="20"/>
              </w:rPr>
              <w:t>培训时长：</w:t>
            </w:r>
            <w:r>
              <w:rPr>
                <w:rFonts w:ascii="仿宋_GB2312" w:hAnsi="仿宋_GB2312" w:cs="仿宋_GB2312" w:eastAsia="仿宋_GB2312"/>
                <w:sz w:val="20"/>
              </w:rPr>
              <w:t>20</w:t>
            </w:r>
            <w:r>
              <w:rPr>
                <w:rFonts w:ascii="仿宋_GB2312" w:hAnsi="仿宋_GB2312" w:cs="仿宋_GB2312" w:eastAsia="仿宋_GB2312"/>
                <w:sz w:val="20"/>
              </w:rPr>
              <w:t>课时</w:t>
            </w:r>
          </w:p>
          <w:p>
            <w:pPr>
              <w:pStyle w:val="null3"/>
              <w:ind w:firstLine="480"/>
            </w:pPr>
            <w:r>
              <w:rPr>
                <w:rFonts w:ascii="仿宋_GB2312" w:hAnsi="仿宋_GB2312" w:cs="仿宋_GB2312" w:eastAsia="仿宋_GB2312"/>
                <w:sz w:val="20"/>
              </w:rPr>
              <w:t>预算金额：</w:t>
            </w:r>
            <w:r>
              <w:rPr>
                <w:rFonts w:ascii="仿宋_GB2312" w:hAnsi="仿宋_GB2312" w:cs="仿宋_GB2312" w:eastAsia="仿宋_GB2312"/>
                <w:sz w:val="20"/>
              </w:rPr>
              <w:t>20</w:t>
            </w:r>
            <w:r>
              <w:rPr>
                <w:rFonts w:ascii="仿宋_GB2312" w:hAnsi="仿宋_GB2312" w:cs="仿宋_GB2312" w:eastAsia="仿宋_GB2312"/>
                <w:sz w:val="20"/>
              </w:rPr>
              <w:t>万元</w:t>
            </w:r>
          </w:p>
          <w:p>
            <w:pPr>
              <w:pStyle w:val="null3"/>
              <w:ind w:firstLine="480"/>
            </w:pPr>
            <w:r>
              <w:rPr>
                <w:rFonts w:ascii="仿宋_GB2312" w:hAnsi="仿宋_GB2312" w:cs="仿宋_GB2312" w:eastAsia="仿宋_GB2312"/>
                <w:sz w:val="20"/>
              </w:rPr>
              <w:t>三、项目需求</w:t>
            </w:r>
          </w:p>
          <w:p>
            <w:pPr>
              <w:pStyle w:val="null3"/>
              <w:ind w:firstLine="480"/>
            </w:pPr>
            <w:r>
              <w:rPr>
                <w:rFonts w:ascii="仿宋_GB2312" w:hAnsi="仿宋_GB2312" w:cs="仿宋_GB2312" w:eastAsia="仿宋_GB2312"/>
                <w:sz w:val="20"/>
              </w:rPr>
              <w:t>（一）项目一：线下集中培训</w:t>
            </w:r>
          </w:p>
          <w:p>
            <w:pPr>
              <w:pStyle w:val="null3"/>
              <w:ind w:firstLine="480"/>
            </w:pPr>
            <w:r>
              <w:rPr>
                <w:rFonts w:ascii="仿宋_GB2312" w:hAnsi="仿宋_GB2312" w:cs="仿宋_GB2312" w:eastAsia="仿宋_GB2312"/>
                <w:sz w:val="20"/>
              </w:rPr>
              <w:t>1.</w:t>
            </w:r>
            <w:r>
              <w:rPr>
                <w:rFonts w:ascii="仿宋_GB2312" w:hAnsi="仿宋_GB2312" w:cs="仿宋_GB2312" w:eastAsia="仿宋_GB2312"/>
                <w:sz w:val="20"/>
              </w:rPr>
              <w:t>培训对象：幼儿园园长、骨干教师、学前教育中层管理人员、教研员</w:t>
            </w:r>
          </w:p>
          <w:p>
            <w:pPr>
              <w:pStyle w:val="null3"/>
              <w:ind w:firstLine="480"/>
            </w:pPr>
            <w:r>
              <w:rPr>
                <w:rFonts w:ascii="仿宋_GB2312" w:hAnsi="仿宋_GB2312" w:cs="仿宋_GB2312" w:eastAsia="仿宋_GB2312"/>
                <w:sz w:val="20"/>
              </w:rPr>
              <w:t>2.</w:t>
            </w:r>
            <w:r>
              <w:rPr>
                <w:rFonts w:ascii="仿宋_GB2312" w:hAnsi="仿宋_GB2312" w:cs="仿宋_GB2312" w:eastAsia="仿宋_GB2312"/>
                <w:sz w:val="20"/>
              </w:rPr>
              <w:t>培训人数：</w:t>
            </w:r>
            <w:r>
              <w:rPr>
                <w:rFonts w:ascii="仿宋_GB2312" w:hAnsi="仿宋_GB2312" w:cs="仿宋_GB2312" w:eastAsia="仿宋_GB2312"/>
                <w:sz w:val="20"/>
              </w:rPr>
              <w:t>370</w:t>
            </w:r>
            <w:r>
              <w:rPr>
                <w:rFonts w:ascii="仿宋_GB2312" w:hAnsi="仿宋_GB2312" w:cs="仿宋_GB2312" w:eastAsia="仿宋_GB2312"/>
                <w:sz w:val="20"/>
              </w:rPr>
              <w:t>人</w:t>
            </w:r>
          </w:p>
          <w:p>
            <w:pPr>
              <w:pStyle w:val="null3"/>
              <w:ind w:firstLine="480"/>
            </w:pPr>
            <w:r>
              <w:rPr>
                <w:rFonts w:ascii="仿宋_GB2312" w:hAnsi="仿宋_GB2312" w:cs="仿宋_GB2312" w:eastAsia="仿宋_GB2312"/>
                <w:sz w:val="20"/>
              </w:rPr>
              <w:t>3.</w:t>
            </w:r>
            <w:r>
              <w:rPr>
                <w:rFonts w:ascii="仿宋_GB2312" w:hAnsi="仿宋_GB2312" w:cs="仿宋_GB2312" w:eastAsia="仿宋_GB2312"/>
                <w:sz w:val="20"/>
              </w:rPr>
              <w:t>培训时长：每类人员</w:t>
            </w:r>
            <w:r>
              <w:rPr>
                <w:rFonts w:ascii="仿宋_GB2312" w:hAnsi="仿宋_GB2312" w:cs="仿宋_GB2312" w:eastAsia="仿宋_GB2312"/>
                <w:sz w:val="20"/>
              </w:rPr>
              <w:t>3</w:t>
            </w:r>
            <w:r>
              <w:rPr>
                <w:rFonts w:ascii="仿宋_GB2312" w:hAnsi="仿宋_GB2312" w:cs="仿宋_GB2312" w:eastAsia="仿宋_GB2312"/>
                <w:sz w:val="20"/>
              </w:rPr>
              <w:t>天</w:t>
            </w:r>
          </w:p>
          <w:p>
            <w:pPr>
              <w:pStyle w:val="null3"/>
              <w:ind w:firstLine="480"/>
            </w:pPr>
            <w:r>
              <w:rPr>
                <w:rFonts w:ascii="仿宋_GB2312" w:hAnsi="仿宋_GB2312" w:cs="仿宋_GB2312" w:eastAsia="仿宋_GB2312"/>
                <w:sz w:val="20"/>
              </w:rPr>
              <w:t>4.</w:t>
            </w:r>
            <w:r>
              <w:rPr>
                <w:rFonts w:ascii="仿宋_GB2312" w:hAnsi="仿宋_GB2312" w:cs="仿宋_GB2312" w:eastAsia="仿宋_GB2312"/>
                <w:sz w:val="20"/>
              </w:rPr>
              <w:t>培训内容：系统学习学前教育政策法规、改革前沿与发展动态，精准把握国家教育方针与行业发展理念；提升园长园所管理、课程建设、队伍引领能力，破解管理与保教难点；强化骨干教师游戏指导、师幼互动、环境创设等核心教学技能；增强中层管理人员行政管理领导力与执行力，优化区域管理模式；提高教研员政策解读、课程开发、教学研究专业能力，引领区域教研提质。</w:t>
            </w:r>
          </w:p>
          <w:p>
            <w:pPr>
              <w:pStyle w:val="null3"/>
              <w:ind w:firstLine="480"/>
            </w:pPr>
            <w:r>
              <w:rPr>
                <w:rFonts w:ascii="仿宋_GB2312" w:hAnsi="仿宋_GB2312" w:cs="仿宋_GB2312" w:eastAsia="仿宋_GB2312"/>
                <w:sz w:val="20"/>
              </w:rPr>
              <w:t>5.</w:t>
            </w:r>
            <w:r>
              <w:rPr>
                <w:rFonts w:ascii="仿宋_GB2312" w:hAnsi="仿宋_GB2312" w:cs="仿宋_GB2312" w:eastAsia="仿宋_GB2312"/>
                <w:sz w:val="20"/>
              </w:rPr>
              <w:t>培训方式：在诊断学员专业发展水平与个性化需求基础上，采用线下集中面授形式，融合专家授课、优秀园长、骨干教师经验分享、教学活动观摩、分组研讨、现场点评等多种方式，理论结合实操，强化知识吸收与技能落地。</w:t>
            </w:r>
          </w:p>
          <w:p>
            <w:pPr>
              <w:pStyle w:val="null3"/>
              <w:ind w:firstLine="480"/>
            </w:pPr>
            <w:r>
              <w:rPr>
                <w:rFonts w:ascii="仿宋_GB2312" w:hAnsi="仿宋_GB2312" w:cs="仿宋_GB2312" w:eastAsia="仿宋_GB2312"/>
                <w:sz w:val="20"/>
              </w:rPr>
              <w:t>（二）项目二：线上网络培训</w:t>
            </w:r>
          </w:p>
          <w:p>
            <w:pPr>
              <w:pStyle w:val="null3"/>
              <w:ind w:firstLine="480"/>
            </w:pPr>
            <w:r>
              <w:rPr>
                <w:rFonts w:ascii="仿宋_GB2312" w:hAnsi="仿宋_GB2312" w:cs="仿宋_GB2312" w:eastAsia="仿宋_GB2312"/>
                <w:sz w:val="20"/>
              </w:rPr>
              <w:t>1.</w:t>
            </w:r>
            <w:r>
              <w:rPr>
                <w:rFonts w:ascii="仿宋_GB2312" w:hAnsi="仿宋_GB2312" w:cs="仿宋_GB2312" w:eastAsia="仿宋_GB2312"/>
                <w:sz w:val="20"/>
              </w:rPr>
              <w:t>培训对象：保育员</w:t>
            </w:r>
          </w:p>
          <w:p>
            <w:pPr>
              <w:pStyle w:val="null3"/>
              <w:ind w:firstLine="480"/>
            </w:pPr>
            <w:r>
              <w:rPr>
                <w:rFonts w:ascii="仿宋_GB2312" w:hAnsi="仿宋_GB2312" w:cs="仿宋_GB2312" w:eastAsia="仿宋_GB2312"/>
                <w:sz w:val="20"/>
              </w:rPr>
              <w:t>2.</w:t>
            </w:r>
            <w:r>
              <w:rPr>
                <w:rFonts w:ascii="仿宋_GB2312" w:hAnsi="仿宋_GB2312" w:cs="仿宋_GB2312" w:eastAsia="仿宋_GB2312"/>
                <w:sz w:val="20"/>
              </w:rPr>
              <w:t>培训人数：</w:t>
            </w:r>
            <w:r>
              <w:rPr>
                <w:rFonts w:ascii="仿宋_GB2312" w:hAnsi="仿宋_GB2312" w:cs="仿宋_GB2312" w:eastAsia="仿宋_GB2312"/>
                <w:sz w:val="20"/>
              </w:rPr>
              <w:t>5000</w:t>
            </w:r>
            <w:r>
              <w:rPr>
                <w:rFonts w:ascii="仿宋_GB2312" w:hAnsi="仿宋_GB2312" w:cs="仿宋_GB2312" w:eastAsia="仿宋_GB2312"/>
                <w:sz w:val="20"/>
              </w:rPr>
              <w:t>人</w:t>
            </w:r>
          </w:p>
          <w:p>
            <w:pPr>
              <w:pStyle w:val="null3"/>
              <w:ind w:firstLine="480"/>
            </w:pPr>
            <w:r>
              <w:rPr>
                <w:rFonts w:ascii="仿宋_GB2312" w:hAnsi="仿宋_GB2312" w:cs="仿宋_GB2312" w:eastAsia="仿宋_GB2312"/>
                <w:sz w:val="20"/>
              </w:rPr>
              <w:t>3.</w:t>
            </w:r>
            <w:r>
              <w:rPr>
                <w:rFonts w:ascii="仿宋_GB2312" w:hAnsi="仿宋_GB2312" w:cs="仿宋_GB2312" w:eastAsia="仿宋_GB2312"/>
                <w:sz w:val="20"/>
              </w:rPr>
              <w:t>培训时长：</w:t>
            </w:r>
            <w:r>
              <w:rPr>
                <w:rFonts w:ascii="仿宋_GB2312" w:hAnsi="仿宋_GB2312" w:cs="仿宋_GB2312" w:eastAsia="仿宋_GB2312"/>
                <w:sz w:val="20"/>
              </w:rPr>
              <w:t>20</w:t>
            </w:r>
            <w:r>
              <w:rPr>
                <w:rFonts w:ascii="仿宋_GB2312" w:hAnsi="仿宋_GB2312" w:cs="仿宋_GB2312" w:eastAsia="仿宋_GB2312"/>
                <w:sz w:val="20"/>
              </w:rPr>
              <w:t>课时</w:t>
            </w:r>
          </w:p>
          <w:p>
            <w:pPr>
              <w:pStyle w:val="null3"/>
              <w:ind w:firstLine="480"/>
            </w:pPr>
            <w:r>
              <w:rPr>
                <w:rFonts w:ascii="仿宋_GB2312" w:hAnsi="仿宋_GB2312" w:cs="仿宋_GB2312" w:eastAsia="仿宋_GB2312"/>
                <w:sz w:val="20"/>
              </w:rPr>
              <w:t>4.</w:t>
            </w:r>
            <w:r>
              <w:rPr>
                <w:rFonts w:ascii="仿宋_GB2312" w:hAnsi="仿宋_GB2312" w:cs="仿宋_GB2312" w:eastAsia="仿宋_GB2312"/>
                <w:sz w:val="20"/>
              </w:rPr>
              <w:t>培训内容：立足幼儿园保育工作职业标准，聚焦保育专业规范、日常操作流程、教学活动辅助、职业素养提升，全面提高保育员科学保教能力，强化专业自信与职业自觉。</w:t>
            </w:r>
          </w:p>
          <w:p>
            <w:pPr>
              <w:pStyle w:val="null3"/>
              <w:ind w:firstLine="480"/>
            </w:pPr>
            <w:r>
              <w:rPr>
                <w:rFonts w:ascii="仿宋_GB2312" w:hAnsi="仿宋_GB2312" w:cs="仿宋_GB2312" w:eastAsia="仿宋_GB2312"/>
                <w:sz w:val="20"/>
              </w:rPr>
              <w:t>5.</w:t>
            </w:r>
            <w:r>
              <w:rPr>
                <w:rFonts w:ascii="仿宋_GB2312" w:hAnsi="仿宋_GB2312" w:cs="仿宋_GB2312" w:eastAsia="仿宋_GB2312"/>
                <w:sz w:val="20"/>
              </w:rPr>
              <w:t>培训方式：采用线上网络培训，依托合规成熟的线上学习平台实施。提供精品网络课程，组建线上研修共同体，组织参训学员登录研修平台进行课程学习，设置开放式主题式线上交流任务，指导学员提炼并上传研修作业成果，并针对性开展线上考核评价。线上网络培训期间，安排专人负责日常管理、问题收集与答疑，全程记录学习数据，严格落实学时、考核管理。</w:t>
            </w:r>
          </w:p>
          <w:p>
            <w:pPr>
              <w:pStyle w:val="null3"/>
              <w:ind w:firstLine="480"/>
            </w:pPr>
            <w:r>
              <w:rPr>
                <w:rFonts w:ascii="仿宋_GB2312" w:hAnsi="仿宋_GB2312" w:cs="仿宋_GB2312" w:eastAsia="仿宋_GB2312"/>
                <w:sz w:val="20"/>
              </w:rPr>
              <w:t>四、服务要求</w:t>
            </w:r>
          </w:p>
          <w:p>
            <w:pPr>
              <w:pStyle w:val="null3"/>
              <w:ind w:firstLine="480"/>
            </w:pPr>
            <w:r>
              <w:rPr>
                <w:rFonts w:ascii="仿宋_GB2312" w:hAnsi="仿宋_GB2312" w:cs="仿宋_GB2312" w:eastAsia="仿宋_GB2312"/>
                <w:sz w:val="20"/>
              </w:rPr>
              <w:t>1.</w:t>
            </w:r>
            <w:r>
              <w:rPr>
                <w:rFonts w:ascii="仿宋_GB2312" w:hAnsi="仿宋_GB2312" w:cs="仿宋_GB2312" w:eastAsia="仿宋_GB2312"/>
                <w:sz w:val="20"/>
              </w:rPr>
              <w:t>具备合规成熟的线上学习平台，邀请符合西安学前发展实际的域内外专家录制课程，根据要求精准提供网络培训课程，做好线上管理；线下培训确定集中培训地点、安排课程、组织交流等，培训地点不得选址经营性场所；</w:t>
            </w:r>
          </w:p>
          <w:p>
            <w:pPr>
              <w:pStyle w:val="null3"/>
              <w:ind w:firstLine="480"/>
            </w:pPr>
            <w:r>
              <w:rPr>
                <w:rFonts w:ascii="仿宋_GB2312" w:hAnsi="仿宋_GB2312" w:cs="仿宋_GB2312" w:eastAsia="仿宋_GB2312"/>
                <w:sz w:val="20"/>
              </w:rPr>
              <w:t>2.</w:t>
            </w:r>
            <w:r>
              <w:rPr>
                <w:rFonts w:ascii="仿宋_GB2312" w:hAnsi="仿宋_GB2312" w:cs="仿宋_GB2312" w:eastAsia="仿宋_GB2312"/>
                <w:sz w:val="20"/>
              </w:rPr>
              <w:t>按幼儿园园长、骨干教师、保育员、学前教育中层管理人员及教研员分层分班差异化组织培训；</w:t>
            </w:r>
          </w:p>
          <w:p>
            <w:pPr>
              <w:pStyle w:val="null3"/>
              <w:ind w:firstLine="480"/>
            </w:pPr>
            <w:r>
              <w:rPr>
                <w:rFonts w:ascii="仿宋_GB2312" w:hAnsi="仿宋_GB2312" w:cs="仿宋_GB2312" w:eastAsia="仿宋_GB2312"/>
                <w:sz w:val="20"/>
              </w:rPr>
              <w:t>3.</w:t>
            </w:r>
            <w:r>
              <w:rPr>
                <w:rFonts w:ascii="仿宋_GB2312" w:hAnsi="仿宋_GB2312" w:cs="仿宋_GB2312" w:eastAsia="仿宋_GB2312"/>
                <w:sz w:val="20"/>
              </w:rPr>
              <w:t>负责培训全流程组织保障，包括筹办开班、结业仪式，负责学员食宿、场地、外出访学车辆保障；设专职班主任执行考勤管理；统筹观摩园所对接、交通、现场组织；落实学员考核评价、结业发证等全流程工作。</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0"/>
              </w:rPr>
              <w:t>.培训结束后整理全部过程资料，编制总结与全套资料汇编并移交归档。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分阶段开展（具体开展时间以甲方要求为准）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其他，培训结束并验收合格后，达到付款条件起10个工作日内，支付合同总金额的100.0%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质量标准：符合国家现行有关质量验收规范“合格”要求。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提供磋商响应文件截止日前近1年内任意一个月的纳税证明或完税证明（任意税种），依法免税的单位应提供相关证明材料；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提供磋商响应文件截止日前近1年内任意一个月的社会保障资金缴存单据或社保机构开具的社会保险参保缴费情况证明，依法不需要缴纳社会保障资金的单位应提供相关证明材料；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4服务要求及商务要求偏离表.docx 6、投标分项报价表.docx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4服务要求及商务要求偏离表.docx 6、投标分项报价表.docx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4服务要求及商务要求偏离表.docx 6、投标分项报价表.docx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①线上培训平台</w:t>
            </w:r>
          </w:p>
        </w:tc>
        <w:tc>
          <w:tcPr>
            <w:tcW w:type="dxa" w:w="2492"/>
          </w:tcPr>
          <w:p>
            <w:pPr>
              <w:pStyle w:val="null3"/>
            </w:pPr>
            <w:r>
              <w:rPr>
                <w:rFonts w:ascii="仿宋_GB2312" w:hAnsi="仿宋_GB2312" w:cs="仿宋_GB2312" w:eastAsia="仿宋_GB2312"/>
              </w:rPr>
              <w:t>1）自有/合作合规备案平台，5项核心功能（课程播放、学时记录、作业上传、线上考核、实时答疑）全部具备，材料齐全得5分； 2）具备合规线上平台，缺失2项及以上核心功能，材料齐全得2分； 3）无合规线上培训平台、无佐证材料得0分。 备注：提供平台功能截图等证明资料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②专家师资</w:t>
            </w:r>
          </w:p>
        </w:tc>
        <w:tc>
          <w:tcPr>
            <w:tcW w:type="dxa" w:w="2492"/>
          </w:tcPr>
          <w:p>
            <w:pPr>
              <w:pStyle w:val="null3"/>
            </w:pPr>
            <w:r>
              <w:rPr>
                <w:rFonts w:ascii="仿宋_GB2312" w:hAnsi="仿宋_GB2312" w:cs="仿宋_GB2312" w:eastAsia="仿宋_GB2312"/>
              </w:rPr>
              <w:t>①学前教育政策法规专家 ②幼儿园园长③学前教育保育与教育方面专家 ④学前行政管理专家 ⑤学前专职教研员 1）五类师资全部配齐，每类均提供完整佐证材料：8 分； 2）配齐3-4类师资，全部材料齐全：5分； 3）配齐1-2类师资，全部材料齐全：2分； 4）师资类型缺失、任意一类无完整佐证材料：0 分； 补充：提供职称或专家聘书（如有）、人员配置清单等证明资料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③线下研修基地</w:t>
            </w:r>
          </w:p>
        </w:tc>
        <w:tc>
          <w:tcPr>
            <w:tcW w:type="dxa" w:w="2492"/>
          </w:tcPr>
          <w:p>
            <w:pPr>
              <w:pStyle w:val="null3"/>
            </w:pPr>
            <w:r>
              <w:rPr>
                <w:rFonts w:ascii="仿宋_GB2312" w:hAnsi="仿宋_GB2312" w:cs="仿宋_GB2312" w:eastAsia="仿宋_GB2312"/>
              </w:rPr>
              <w:t>根据项目服务要求提供教学观摩实践的线下研修基地保障方案，有针对性地安排教学观摩实践的实践基地，进行观摩跟岗研修或知识技能交流。 1.（3 分）评审点：研修基地匹配项目需求，设施先进、专业特色突出 评审依据：基地匹配说明或合作协议或场地设备清单实拍 2.（2 分）评审点：实践流程清晰，观摩交流活动规划合理、易落地 评审依据：研修方案或日程安排或管控细则或往期活动台账影像 3.（2 分）评审点：配齐对应专业导师，全程专业引领与跟踪指导 评审依据：导师名单资质和指导管理制度。</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④线下全流程后勤配套服务</w:t>
            </w:r>
          </w:p>
        </w:tc>
        <w:tc>
          <w:tcPr>
            <w:tcW w:type="dxa" w:w="2492"/>
          </w:tcPr>
          <w:p>
            <w:pPr>
              <w:pStyle w:val="null3"/>
            </w:pPr>
            <w:r>
              <w:rPr>
                <w:rFonts w:ascii="仿宋_GB2312" w:hAnsi="仿宋_GB2312" w:cs="仿宋_GB2312" w:eastAsia="仿宋_GB2312"/>
              </w:rPr>
              <w:t>需完整提供以下 5 项配套服务内容： ①学员统一住宿安排； ②合规安全集体餐饮保障； ③外出观摩专用客运车辆保障； ④专职班主任全程驻班管理； ⑤每日标准化学员考勤台账管理制度。 所需佐证材料： （1）酒店住宿合作意向协议； （2）餐饮服务合作意向协议； （3）合规客运车辆合作意向协议； （4）专职班主任岗位职责 （5）标准化考勤管理制度正式文件。 5 项服务全部齐全，配套文件完整：6 分； 缺失任意 1 项扣 2 分；缺失 2 项及以上，本项直接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⑤履约服务承诺</w:t>
            </w:r>
          </w:p>
        </w:tc>
        <w:tc>
          <w:tcPr>
            <w:tcW w:type="dxa" w:w="2492"/>
          </w:tcPr>
          <w:p>
            <w:pPr>
              <w:pStyle w:val="null3"/>
            </w:pPr>
            <w:r>
              <w:rPr>
                <w:rFonts w:ascii="仿宋_GB2312" w:hAnsi="仿宋_GB2312" w:cs="仿宋_GB2312" w:eastAsia="仿宋_GB2312"/>
              </w:rPr>
              <w:t>投标文件中须附加盖公章的正式服务承诺函，每条对应固定分值，缺承诺、承诺模糊均不得对应分值，逐条计分： ①培训成果资料交付时效承诺（3分） 承诺培训全部结束后7个工作日内，完整提交培训总结、学员考勤、授课课件、活动影像、优秀案例汇编全套纸质+电子档案，得3分；交付时限超过7个工作日0分。 ②应急处置服务承诺（2分） 承诺设立专属应急专班，针对学员突发疾病、教学调整、场地变动、食宿纠纷等问题2小时内到场处置，配备应急医药箱、备用师资、备用教室预案，得2分；无应急处置专班承诺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⑥合理化建议</w:t>
            </w:r>
          </w:p>
        </w:tc>
        <w:tc>
          <w:tcPr>
            <w:tcW w:type="dxa" w:w="2492"/>
          </w:tcPr>
          <w:p>
            <w:pPr>
              <w:pStyle w:val="null3"/>
            </w:pPr>
            <w:r>
              <w:rPr>
                <w:rFonts w:ascii="仿宋_GB2312" w:hAnsi="仿宋_GB2312" w:cs="仿宋_GB2312" w:eastAsia="仿宋_GB2312"/>
              </w:rPr>
              <w:t>针对本项目及采购人实际需求提供详细具体可行的合理化建议，每提供1条可行的建议得2分，最多得4分；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⑦总体服务方案</w:t>
            </w:r>
          </w:p>
        </w:tc>
        <w:tc>
          <w:tcPr>
            <w:tcW w:type="dxa" w:w="2492"/>
          </w:tcPr>
          <w:p>
            <w:pPr>
              <w:pStyle w:val="null3"/>
            </w:pPr>
            <w:r>
              <w:rPr>
                <w:rFonts w:ascii="仿宋_GB2312" w:hAnsi="仿宋_GB2312" w:cs="仿宋_GB2312" w:eastAsia="仿宋_GB2312"/>
              </w:rPr>
              <w:t>一、评审内容： 针对本项目提出适用于本项目的总体服务方案，包括：①课程体系设计方案②分批次实施进度规划③培训场所网络及线上培训故障应急预案 二、评审标准： 1、完整性：方案必须全面，对评审内容中的各项要求有详细描述； 2、可实施性：切合本项目实际情况，提出步骤清晰、合理的方案； 3、针对性：方案能够紧扣项目实际情况，内容科学合理。 三、赋分标准（满分15分） ①课程体系设计方案：每完全满足一个评审标准得 1分，满分3分； ②分批次实施进度规划：每完全满足一个评审标准得 2分，满分6分； ③培训场所网络及线上培训故障应急预案：每完全满足一个评审标准得 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⑧详细服务方案</w:t>
            </w:r>
          </w:p>
        </w:tc>
        <w:tc>
          <w:tcPr>
            <w:tcW w:type="dxa" w:w="2492"/>
          </w:tcPr>
          <w:p>
            <w:pPr>
              <w:pStyle w:val="null3"/>
            </w:pPr>
            <w:r>
              <w:rPr>
                <w:rFonts w:ascii="仿宋_GB2312" w:hAnsi="仿宋_GB2312" w:cs="仿宋_GB2312" w:eastAsia="仿宋_GB2312"/>
              </w:rPr>
              <w:t>一、评审内容： 针对本项目提出适用于本项目的详细服务方案，包括：①学员统一住宿标准、住宿安全管理措施②统一用餐安排、食品安全保障机制③参训人员往返交通统筹、车辆安全保障方案④现场教学点位配套保障方案 二、评审标准： 1、完整性：方案必须全面，对评审内容中的各项要求有详细描述； 2、可实施性：切合本项目实际情况，提出步骤清晰、合理的方案； 3、针对性：方案能够紧扣项目实际情况，内容科学合理。 三、赋分标准（满分12分） ①学员统一住宿标准、住宿安全管理措施：每完全满足一个评审标准得 1分，满分3分； ②统一用餐安排、食品安全保障机制：每完全满足一个评审标准得 1分，满分3分； ③参训人员往返交通统筹、车辆安全保障方案：每完全满足一个评审标准得 1分，满分3分； ④现场教学点位配套保障方案：每完全满足一个评审标准得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⑨项目保障措施</w:t>
            </w:r>
          </w:p>
        </w:tc>
        <w:tc>
          <w:tcPr>
            <w:tcW w:type="dxa" w:w="2492"/>
          </w:tcPr>
          <w:p>
            <w:pPr>
              <w:pStyle w:val="null3"/>
            </w:pPr>
            <w:r>
              <w:rPr>
                <w:rFonts w:ascii="仿宋_GB2312" w:hAnsi="仿宋_GB2312" w:cs="仿宋_GB2312" w:eastAsia="仿宋_GB2312"/>
              </w:rPr>
              <w:t>一、评审内容： 针对本项目提出适用于本项目的项目保障措施，包括：①学员课堂考核、课后测评、学时登记管理细则②全套培训过程资料收集、整理、汇编归档流程③结业证书发放、结业评价管理机制④培训后回访、案例资源库、线上答疑等长效增值服务 二、评审标准： 1、完整性：方案必须全面，对评审内容中的各项要求有详细描述； 2、可实施性：切合本项目实际情况，提出步骤清晰、合理的方案； 三、赋分标准（满分13分） ①学员课堂考核、课后测评、学时登记管理细则：每完全满足一个评审标准得1.5分，满分3分； ②全套培训过程资料收集、整理、汇编归档流程：每完全满足一个评审标准得1.5分，满分3分； ③结业证书发放、结业评价管理机制：每完全满足一个评审标准得2分，满分4分； ④培训后回访、案例资源库、线上答疑等长效增值服务：每完全满足一个评审标准得1.5分，满分3分；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⑩业绩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