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FE609">
      <w:pPr>
        <w:spacing w:line="360" w:lineRule="auto"/>
        <w:jc w:val="center"/>
        <w:rPr>
          <w:rFonts w:hint="eastAsia" w:ascii="宋体" w:hAnsi="宋体" w:cs="宋体"/>
          <w:b/>
          <w:bCs/>
          <w:spacing w:val="26"/>
          <w:sz w:val="44"/>
          <w:szCs w:val="44"/>
          <w:highlight w:val="none"/>
        </w:rPr>
      </w:pPr>
    </w:p>
    <w:p w14:paraId="30F0F948">
      <w:pPr>
        <w:spacing w:line="360" w:lineRule="auto"/>
        <w:jc w:val="center"/>
        <w:rPr>
          <w:rFonts w:hint="eastAsia" w:ascii="宋体" w:hAnsi="宋体" w:cs="宋体"/>
          <w:b/>
          <w:bCs/>
          <w:spacing w:val="26"/>
          <w:sz w:val="44"/>
          <w:szCs w:val="44"/>
          <w:highlight w:val="none"/>
        </w:rPr>
      </w:pPr>
      <w:r>
        <w:rPr>
          <w:rFonts w:hint="eastAsia" w:ascii="仿宋" w:hAnsi="仿宋" w:eastAsia="仿宋" w:cs="仿宋"/>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3822700</wp:posOffset>
                </wp:positionH>
                <wp:positionV relativeFrom="paragraph">
                  <wp:posOffset>71120</wp:posOffset>
                </wp:positionV>
                <wp:extent cx="1828800" cy="297180"/>
                <wp:effectExtent l="4445" t="4445" r="14605" b="2222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228E44EA">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01pt;margin-top:5.6pt;height:23.4pt;width:144pt;z-index:251659264;mso-width-relative:page;mso-height-relative:page;" fillcolor="#FFFFFF" filled="t" stroked="t" coordsize="21600,21600" o:gfxdata="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CBKNX1wAAAAkBAAAPAAAAAAAAAAEAIAAAACIAAABk&#10;cnMvZG93bnJldi54bWxQSwECFAAUAAAACACHTuJAe8p3xEACAACIBAAADgAAAAAAAAABACAAAAAm&#10;AQAAZHJzL2Uyb0RvYy54bWxQSwUGAAAAAAYABgBZAQAA2AUAAAAA&#10;">
                <v:path/>
                <v:fill on="t" focussize="0,0"/>
                <v:stroke joinstyle="miter"/>
                <v:imagedata o:title=""/>
                <o:lock v:ext="edit" aspectratio="f"/>
                <v:textbox>
                  <w:txbxContent>
                    <w:p w14:paraId="228E44EA">
                      <w:pPr>
                        <w:rPr>
                          <w:rFonts w:ascii="宋体" w:hAnsi="宋体"/>
                        </w:rPr>
                      </w:pPr>
                      <w:r>
                        <w:rPr>
                          <w:rFonts w:hint="eastAsia" w:ascii="宋体" w:hAnsi="宋体"/>
                        </w:rPr>
                        <w:t>合同编号：</w:t>
                      </w:r>
                    </w:p>
                  </w:txbxContent>
                </v:textbox>
              </v:rect>
            </w:pict>
          </mc:Fallback>
        </mc:AlternateContent>
      </w:r>
    </w:p>
    <w:p w14:paraId="0C7693D2">
      <w:pPr>
        <w:adjustRightInd w:val="0"/>
        <w:snapToGrid w:val="0"/>
        <w:spacing w:line="360" w:lineRule="auto"/>
        <w:jc w:val="center"/>
        <w:rPr>
          <w:rFonts w:hint="eastAsia" w:ascii="宋体" w:hAnsi="宋体" w:eastAsia="宋体" w:cs="宋体"/>
          <w:b/>
          <w:bCs/>
          <w:spacing w:val="26"/>
          <w:sz w:val="24"/>
          <w:szCs w:val="24"/>
          <w:highlight w:val="none"/>
          <w:lang w:val="en-US" w:eastAsia="zh-CN"/>
        </w:rPr>
      </w:pPr>
    </w:p>
    <w:p w14:paraId="0F4A6B6D">
      <w:pPr>
        <w:ind w:firstLine="1920" w:firstLineChars="800"/>
        <w:rPr>
          <w:rFonts w:hint="eastAsia" w:ascii="宋体" w:hAnsi="宋体" w:eastAsia="宋体" w:cs="宋体"/>
          <w:sz w:val="24"/>
          <w:highlight w:val="none"/>
        </w:rPr>
      </w:pPr>
    </w:p>
    <w:p w14:paraId="036EB5B9">
      <w:pPr>
        <w:rPr>
          <w:rFonts w:hint="eastAsia" w:ascii="宋体" w:hAnsi="宋体" w:eastAsia="宋体" w:cs="宋体"/>
          <w:sz w:val="24"/>
          <w:highlight w:val="none"/>
        </w:rPr>
      </w:pPr>
    </w:p>
    <w:p w14:paraId="5BEE6D35">
      <w:pPr>
        <w:adjustRightInd w:val="0"/>
        <w:snapToGrid w:val="0"/>
        <w:spacing w:line="360" w:lineRule="auto"/>
        <w:jc w:val="center"/>
        <w:rPr>
          <w:rFonts w:hint="eastAsia" w:ascii="宋体" w:hAnsi="宋体" w:eastAsia="宋体" w:cs="宋体"/>
          <w:b/>
          <w:bCs/>
          <w:spacing w:val="26"/>
          <w:sz w:val="44"/>
          <w:szCs w:val="44"/>
          <w:highlight w:val="none"/>
          <w:lang w:val="en-US" w:eastAsia="zh-CN"/>
        </w:rPr>
      </w:pPr>
      <w:r>
        <w:rPr>
          <w:rFonts w:hint="eastAsia" w:ascii="宋体" w:hAnsi="宋体" w:eastAsia="宋体" w:cs="宋体"/>
          <w:b/>
          <w:bCs/>
          <w:spacing w:val="26"/>
          <w:sz w:val="44"/>
          <w:szCs w:val="44"/>
          <w:highlight w:val="none"/>
          <w:lang w:val="en-US" w:eastAsia="zh-CN"/>
        </w:rPr>
        <w:t>陕西省结核病防治院</w:t>
      </w:r>
    </w:p>
    <w:p w14:paraId="4BCC79C6">
      <w:pPr>
        <w:adjustRightInd w:val="0"/>
        <w:snapToGrid w:val="0"/>
        <w:spacing w:line="360" w:lineRule="auto"/>
        <w:jc w:val="center"/>
        <w:rPr>
          <w:rFonts w:hint="eastAsia" w:ascii="宋体" w:hAnsi="宋体" w:eastAsia="宋体" w:cs="宋体"/>
          <w:b/>
          <w:bCs/>
          <w:spacing w:val="26"/>
          <w:sz w:val="44"/>
          <w:szCs w:val="44"/>
          <w:highlight w:val="none"/>
        </w:rPr>
      </w:pPr>
      <w:r>
        <w:rPr>
          <w:rFonts w:hint="eastAsia" w:ascii="宋体" w:hAnsi="宋体" w:eastAsia="宋体" w:cs="宋体"/>
          <w:b/>
          <w:bCs/>
          <w:spacing w:val="26"/>
          <w:sz w:val="44"/>
          <w:szCs w:val="44"/>
          <w:highlight w:val="none"/>
          <w:lang w:eastAsia="zh-CN"/>
        </w:rPr>
        <w:t>外送样本检测服务项目（二次）</w:t>
      </w:r>
    </w:p>
    <w:p w14:paraId="6058228D">
      <w:pPr>
        <w:pStyle w:val="6"/>
        <w:ind w:firstLine="480" w:firstLineChars="200"/>
        <w:rPr>
          <w:rFonts w:hint="eastAsia" w:ascii="宋体" w:hAnsi="宋体" w:eastAsia="宋体" w:cs="宋体"/>
          <w:sz w:val="24"/>
          <w:szCs w:val="24"/>
          <w:highlight w:val="none"/>
          <w:shd w:val="clear" w:color="auto" w:fill="auto"/>
        </w:rPr>
      </w:pPr>
    </w:p>
    <w:p w14:paraId="743EE148">
      <w:pPr>
        <w:pStyle w:val="6"/>
        <w:ind w:firstLine="480" w:firstLineChars="200"/>
        <w:rPr>
          <w:rFonts w:hint="eastAsia" w:ascii="宋体" w:hAnsi="宋体" w:eastAsia="宋体" w:cs="宋体"/>
          <w:sz w:val="24"/>
          <w:szCs w:val="24"/>
          <w:highlight w:val="none"/>
          <w:shd w:val="clear" w:color="auto" w:fill="auto"/>
        </w:rPr>
      </w:pPr>
    </w:p>
    <w:p w14:paraId="327B307B">
      <w:pPr>
        <w:pStyle w:val="6"/>
        <w:ind w:firstLine="480" w:firstLineChars="200"/>
        <w:rPr>
          <w:rFonts w:hint="eastAsia" w:ascii="宋体" w:hAnsi="宋体" w:eastAsia="宋体" w:cs="宋体"/>
          <w:sz w:val="24"/>
          <w:szCs w:val="24"/>
          <w:highlight w:val="none"/>
          <w:shd w:val="clear" w:color="auto" w:fill="auto"/>
        </w:rPr>
      </w:pPr>
    </w:p>
    <w:p w14:paraId="70BFBBAE">
      <w:pPr>
        <w:pStyle w:val="6"/>
        <w:ind w:firstLine="480" w:firstLineChars="200"/>
        <w:rPr>
          <w:rFonts w:hint="eastAsia" w:ascii="宋体" w:hAnsi="宋体" w:eastAsia="宋体" w:cs="宋体"/>
          <w:sz w:val="24"/>
          <w:szCs w:val="24"/>
          <w:highlight w:val="none"/>
          <w:shd w:val="clear" w:color="auto" w:fill="auto"/>
        </w:rPr>
      </w:pPr>
    </w:p>
    <w:p w14:paraId="1D361DE3">
      <w:pPr>
        <w:jc w:val="center"/>
        <w:outlineLvl w:val="9"/>
        <w:rPr>
          <w:rFonts w:hint="eastAsia" w:ascii="宋体" w:hAnsi="宋体" w:eastAsia="宋体" w:cs="宋体"/>
          <w:b/>
          <w:bCs/>
          <w:sz w:val="44"/>
          <w:szCs w:val="44"/>
          <w:highlight w:val="none"/>
          <w:shd w:val="clear" w:color="auto" w:fill="auto"/>
        </w:rPr>
      </w:pPr>
      <w:r>
        <w:rPr>
          <w:rFonts w:hint="eastAsia" w:ascii="宋体" w:hAnsi="宋体" w:eastAsia="宋体" w:cs="宋体"/>
          <w:b/>
          <w:bCs/>
          <w:sz w:val="44"/>
          <w:szCs w:val="44"/>
          <w:highlight w:val="none"/>
          <w:shd w:val="clear" w:color="auto" w:fill="auto"/>
          <w:lang w:val="en-US" w:eastAsia="zh-CN"/>
        </w:rPr>
        <w:t>服务</w:t>
      </w:r>
      <w:r>
        <w:rPr>
          <w:rFonts w:hint="eastAsia" w:ascii="宋体" w:hAnsi="宋体" w:eastAsia="宋体" w:cs="宋体"/>
          <w:b/>
          <w:bCs/>
          <w:sz w:val="44"/>
          <w:szCs w:val="44"/>
          <w:highlight w:val="none"/>
          <w:shd w:val="clear" w:color="auto" w:fill="auto"/>
        </w:rPr>
        <w:t>合同</w:t>
      </w:r>
    </w:p>
    <w:p w14:paraId="7E11E448">
      <w:pPr>
        <w:pStyle w:val="6"/>
        <w:ind w:firstLine="480" w:firstLineChars="200"/>
        <w:rPr>
          <w:rFonts w:hint="eastAsia" w:ascii="宋体" w:hAnsi="宋体" w:eastAsia="宋体" w:cs="宋体"/>
          <w:sz w:val="24"/>
          <w:szCs w:val="24"/>
          <w:highlight w:val="none"/>
          <w:shd w:val="clear" w:color="auto" w:fill="auto"/>
        </w:rPr>
      </w:pPr>
    </w:p>
    <w:p w14:paraId="5278FA4D">
      <w:pPr>
        <w:pStyle w:val="6"/>
        <w:ind w:firstLine="480" w:firstLineChars="200"/>
        <w:rPr>
          <w:rFonts w:hint="eastAsia" w:ascii="宋体" w:hAnsi="宋体" w:eastAsia="宋体" w:cs="宋体"/>
          <w:sz w:val="24"/>
          <w:szCs w:val="24"/>
          <w:highlight w:val="none"/>
          <w:shd w:val="clear" w:color="auto" w:fill="auto"/>
        </w:rPr>
      </w:pPr>
    </w:p>
    <w:p w14:paraId="5F087386">
      <w:pPr>
        <w:pStyle w:val="6"/>
        <w:ind w:firstLine="480" w:firstLineChars="200"/>
        <w:rPr>
          <w:rFonts w:hint="eastAsia" w:ascii="宋体" w:hAnsi="宋体" w:eastAsia="宋体" w:cs="宋体"/>
          <w:sz w:val="24"/>
          <w:szCs w:val="24"/>
          <w:highlight w:val="none"/>
          <w:shd w:val="clear" w:color="auto" w:fill="auto"/>
        </w:rPr>
      </w:pPr>
    </w:p>
    <w:p w14:paraId="3E702D61">
      <w:pPr>
        <w:pStyle w:val="6"/>
        <w:ind w:firstLine="480" w:firstLineChars="200"/>
        <w:rPr>
          <w:rFonts w:hint="eastAsia" w:ascii="宋体" w:hAnsi="宋体" w:eastAsia="宋体" w:cs="宋体"/>
          <w:sz w:val="24"/>
          <w:szCs w:val="24"/>
          <w:highlight w:val="none"/>
          <w:shd w:val="clear" w:color="auto" w:fill="auto"/>
        </w:rPr>
      </w:pPr>
    </w:p>
    <w:p w14:paraId="3C5D9260">
      <w:pPr>
        <w:pStyle w:val="6"/>
        <w:ind w:firstLine="480" w:firstLineChars="200"/>
        <w:rPr>
          <w:rFonts w:hint="eastAsia" w:ascii="宋体" w:hAnsi="宋体" w:eastAsia="宋体" w:cs="宋体"/>
          <w:sz w:val="24"/>
          <w:szCs w:val="24"/>
          <w:highlight w:val="none"/>
          <w:shd w:val="clear" w:color="auto" w:fill="auto"/>
        </w:rPr>
      </w:pPr>
    </w:p>
    <w:p w14:paraId="4379B859">
      <w:pPr>
        <w:pStyle w:val="6"/>
        <w:ind w:firstLine="480" w:firstLineChars="200"/>
        <w:rPr>
          <w:rFonts w:hint="eastAsia" w:ascii="宋体" w:hAnsi="宋体" w:eastAsia="宋体" w:cs="宋体"/>
          <w:sz w:val="24"/>
          <w:szCs w:val="24"/>
          <w:highlight w:val="none"/>
          <w:shd w:val="clear" w:color="auto" w:fill="auto"/>
        </w:rPr>
      </w:pPr>
    </w:p>
    <w:p w14:paraId="0E5DB44F">
      <w:pPr>
        <w:pStyle w:val="6"/>
        <w:ind w:firstLine="480" w:firstLineChars="200"/>
        <w:rPr>
          <w:rFonts w:hint="eastAsia" w:ascii="宋体" w:hAnsi="宋体" w:eastAsia="宋体" w:cs="宋体"/>
          <w:sz w:val="24"/>
          <w:szCs w:val="24"/>
          <w:highlight w:val="none"/>
          <w:shd w:val="clear" w:color="auto" w:fill="auto"/>
        </w:rPr>
      </w:pPr>
    </w:p>
    <w:p w14:paraId="0E98DAA1">
      <w:pPr>
        <w:pStyle w:val="6"/>
        <w:ind w:firstLine="480" w:firstLineChars="200"/>
        <w:jc w:val="center"/>
        <w:rPr>
          <w:rFonts w:hint="eastAsia" w:ascii="宋体" w:hAnsi="宋体" w:eastAsia="宋体" w:cs="宋体"/>
          <w:sz w:val="24"/>
          <w:szCs w:val="24"/>
          <w:highlight w:val="none"/>
          <w:shd w:val="clear" w:color="auto" w:fill="auto"/>
        </w:rPr>
      </w:pPr>
    </w:p>
    <w:p w14:paraId="6AF9D055">
      <w:pPr>
        <w:pStyle w:val="6"/>
        <w:keepNext w:val="0"/>
        <w:keepLines w:val="0"/>
        <w:pageBreakBefore w:val="0"/>
        <w:widowControl w:val="0"/>
        <w:kinsoku/>
        <w:wordWrap/>
        <w:overflowPunct/>
        <w:topLinePunct w:val="0"/>
        <w:autoSpaceDE/>
        <w:autoSpaceDN/>
        <w:bidi w:val="0"/>
        <w:adjustRightInd w:val="0"/>
        <w:snapToGrid w:val="0"/>
        <w:spacing w:line="480" w:lineRule="auto"/>
        <w:ind w:firstLine="3132" w:firstLineChars="1300"/>
        <w:jc w:val="both"/>
        <w:textAlignment w:val="auto"/>
        <w:rPr>
          <w:rFonts w:hint="eastAsia" w:ascii="宋体" w:hAnsi="宋体" w:eastAsia="宋体" w:cs="宋体"/>
          <w:b/>
          <w:bCs/>
          <w:sz w:val="24"/>
          <w:szCs w:val="24"/>
          <w:highlight w:val="none"/>
          <w:shd w:val="clear" w:color="auto" w:fill="auto"/>
        </w:rPr>
      </w:pPr>
      <w:r>
        <w:rPr>
          <w:rFonts w:hint="eastAsia" w:ascii="宋体" w:hAnsi="宋体" w:eastAsia="宋体" w:cs="宋体"/>
          <w:b/>
          <w:bCs/>
          <w:sz w:val="24"/>
          <w:szCs w:val="24"/>
          <w:highlight w:val="none"/>
          <w:shd w:val="clear" w:color="auto" w:fill="auto"/>
        </w:rPr>
        <w:t>合同编号：</w:t>
      </w:r>
      <w:r>
        <w:rPr>
          <w:rFonts w:hint="eastAsia" w:ascii="宋体" w:hAnsi="宋体" w:eastAsia="宋体" w:cs="宋体"/>
          <w:b/>
          <w:bCs/>
          <w:i/>
          <w:iCs/>
          <w:sz w:val="24"/>
          <w:szCs w:val="24"/>
          <w:highlight w:val="none"/>
          <w:u w:val="single"/>
          <w:shd w:val="clear" w:color="auto" w:fill="auto"/>
          <w:lang w:val="en-US" w:eastAsia="zh-CN"/>
        </w:rPr>
        <w:t xml:space="preserve">                    </w:t>
      </w:r>
    </w:p>
    <w:p w14:paraId="3C56FDA2">
      <w:pPr>
        <w:pStyle w:val="6"/>
        <w:keepNext w:val="0"/>
        <w:keepLines w:val="0"/>
        <w:pageBreakBefore w:val="0"/>
        <w:widowControl w:val="0"/>
        <w:kinsoku/>
        <w:wordWrap/>
        <w:overflowPunct/>
        <w:topLinePunct w:val="0"/>
        <w:autoSpaceDE/>
        <w:autoSpaceDN/>
        <w:bidi w:val="0"/>
        <w:adjustRightInd w:val="0"/>
        <w:snapToGrid w:val="0"/>
        <w:spacing w:line="480" w:lineRule="auto"/>
        <w:ind w:firstLine="3132" w:firstLineChars="1300"/>
        <w:jc w:val="left"/>
        <w:textAlignment w:val="auto"/>
        <w:rPr>
          <w:rFonts w:hint="eastAsia" w:ascii="宋体" w:hAnsi="宋体" w:eastAsia="宋体" w:cs="宋体"/>
          <w:b/>
          <w:bCs/>
          <w:sz w:val="24"/>
          <w:szCs w:val="24"/>
          <w:highlight w:val="none"/>
          <w:shd w:val="clear" w:color="auto" w:fill="auto"/>
        </w:rPr>
      </w:pPr>
      <w:r>
        <w:rPr>
          <w:rFonts w:hint="eastAsia" w:ascii="宋体" w:hAnsi="宋体" w:eastAsia="宋体" w:cs="宋体"/>
          <w:b/>
          <w:bCs/>
          <w:sz w:val="24"/>
          <w:szCs w:val="24"/>
          <w:highlight w:val="none"/>
          <w:shd w:val="clear" w:color="auto" w:fill="auto"/>
        </w:rPr>
        <w:t>甲方：</w:t>
      </w:r>
      <w:r>
        <w:rPr>
          <w:rFonts w:hint="eastAsia" w:ascii="宋体" w:hAnsi="宋体" w:eastAsia="宋体" w:cs="宋体"/>
          <w:b/>
          <w:bCs/>
          <w:sz w:val="24"/>
          <w:szCs w:val="24"/>
          <w:highlight w:val="none"/>
          <w:shd w:val="clear" w:color="auto" w:fill="auto"/>
          <w:lang w:val="en-US" w:eastAsia="zh-CN"/>
        </w:rPr>
        <w:t>陕西省结核病防治院</w:t>
      </w:r>
    </w:p>
    <w:p w14:paraId="18A67EAA">
      <w:pPr>
        <w:pStyle w:val="6"/>
        <w:keepNext w:val="0"/>
        <w:keepLines w:val="0"/>
        <w:pageBreakBefore w:val="0"/>
        <w:widowControl w:val="0"/>
        <w:kinsoku/>
        <w:wordWrap/>
        <w:overflowPunct/>
        <w:topLinePunct w:val="0"/>
        <w:autoSpaceDE/>
        <w:autoSpaceDN/>
        <w:bidi w:val="0"/>
        <w:adjustRightInd w:val="0"/>
        <w:snapToGrid w:val="0"/>
        <w:spacing w:line="480" w:lineRule="auto"/>
        <w:ind w:firstLine="3132" w:firstLineChars="1300"/>
        <w:jc w:val="left"/>
        <w:textAlignment w:val="auto"/>
        <w:rPr>
          <w:rFonts w:hint="eastAsia" w:ascii="宋体" w:hAnsi="宋体" w:eastAsia="宋体" w:cs="宋体"/>
          <w:b/>
          <w:bCs/>
          <w:sz w:val="24"/>
          <w:szCs w:val="24"/>
          <w:highlight w:val="none"/>
          <w:shd w:val="clear" w:color="auto" w:fill="auto"/>
        </w:rPr>
      </w:pPr>
      <w:r>
        <w:rPr>
          <w:rFonts w:hint="eastAsia" w:ascii="宋体" w:hAnsi="宋体" w:eastAsia="宋体" w:cs="宋体"/>
          <w:b/>
          <w:bCs/>
          <w:sz w:val="24"/>
          <w:szCs w:val="24"/>
          <w:highlight w:val="none"/>
          <w:shd w:val="clear" w:color="auto" w:fill="auto"/>
        </w:rPr>
        <w:t>乙方：</w:t>
      </w:r>
      <w:r>
        <w:rPr>
          <w:rFonts w:hint="eastAsia" w:ascii="宋体" w:hAnsi="宋体" w:eastAsia="宋体" w:cs="宋体"/>
          <w:b/>
          <w:bCs/>
          <w:i/>
          <w:iCs/>
          <w:sz w:val="24"/>
          <w:szCs w:val="24"/>
          <w:highlight w:val="none"/>
          <w:u w:val="single"/>
          <w:shd w:val="clear" w:color="auto" w:fill="auto"/>
          <w:lang w:val="en-US" w:eastAsia="zh-CN"/>
        </w:rPr>
        <w:t xml:space="preserve">                        </w:t>
      </w:r>
    </w:p>
    <w:p w14:paraId="247B0A58">
      <w:pPr>
        <w:spacing w:line="360" w:lineRule="auto"/>
        <w:jc w:val="center"/>
        <w:rPr>
          <w:rFonts w:ascii="宋体" w:hAnsi="宋体" w:eastAsia="宋体" w:cs="宋体"/>
          <w:b/>
          <w:sz w:val="30"/>
          <w:szCs w:val="30"/>
          <w:highlight w:val="none"/>
        </w:rPr>
      </w:pPr>
      <w:r>
        <w:rPr>
          <w:rFonts w:hint="eastAsia" w:ascii="宋体" w:hAnsi="宋体" w:eastAsia="宋体" w:cs="宋体"/>
          <w:sz w:val="24"/>
          <w:szCs w:val="24"/>
          <w:highlight w:val="none"/>
          <w:shd w:val="clear" w:color="auto" w:fill="auto"/>
        </w:rPr>
        <w:br w:type="page"/>
      </w:r>
      <w:r>
        <w:rPr>
          <w:rFonts w:hint="eastAsia" w:ascii="宋体" w:hAnsi="宋体" w:eastAsia="宋体" w:cs="宋体"/>
          <w:b/>
          <w:bCs/>
          <w:sz w:val="30"/>
          <w:szCs w:val="30"/>
          <w:highlight w:val="none"/>
        </w:rPr>
        <w:t>服务合同</w:t>
      </w:r>
    </w:p>
    <w:p w14:paraId="75E1C3DD">
      <w:pPr>
        <w:shd w:val="clear" w:color="auto" w:fill="FFFFFF"/>
        <w:spacing w:beforeLines="100" w:afterLines="100" w:line="360" w:lineRule="auto"/>
        <w:ind w:firstLine="482" w:firstLineChars="200"/>
        <w:rPr>
          <w:rFonts w:hint="eastAsia" w:ascii="宋体" w:hAnsi="宋体" w:eastAsia="宋体" w:cs="宋体"/>
          <w:b/>
          <w:sz w:val="24"/>
          <w:highlight w:val="none"/>
          <w:lang w:eastAsia="zh-CN"/>
        </w:rPr>
      </w:pPr>
      <w:r>
        <w:rPr>
          <w:rFonts w:hint="eastAsia" w:ascii="宋体" w:hAnsi="宋体" w:eastAsia="宋体" w:cs="宋体"/>
          <w:b/>
          <w:bCs/>
          <w:sz w:val="24"/>
          <w:highlight w:val="none"/>
        </w:rPr>
        <w:t>甲方：</w:t>
      </w:r>
      <w:r>
        <w:rPr>
          <w:rFonts w:hint="eastAsia" w:ascii="宋体" w:hAnsi="宋体" w:eastAsia="宋体" w:cs="宋体"/>
          <w:b/>
          <w:bCs/>
          <w:sz w:val="24"/>
          <w:highlight w:val="none"/>
          <w:u w:val="single"/>
        </w:rPr>
        <w:t>陕西省结核病防治院</w:t>
      </w:r>
    </w:p>
    <w:p w14:paraId="1394453A">
      <w:pPr>
        <w:shd w:val="clear" w:color="auto" w:fill="FFFFFF"/>
        <w:spacing w:beforeLines="100" w:afterLines="100" w:line="360" w:lineRule="auto"/>
        <w:ind w:firstLine="482" w:firstLineChars="200"/>
        <w:rPr>
          <w:rFonts w:ascii="宋体" w:hAnsi="宋体" w:eastAsia="宋体" w:cs="宋体"/>
          <w:b/>
          <w:sz w:val="24"/>
          <w:highlight w:val="none"/>
        </w:rPr>
      </w:pPr>
      <w:r>
        <w:rPr>
          <w:rFonts w:hint="eastAsia" w:ascii="宋体" w:hAnsi="宋体" w:eastAsia="宋体" w:cs="宋体"/>
          <w:b/>
          <w:bCs/>
          <w:sz w:val="24"/>
          <w:highlight w:val="none"/>
        </w:rPr>
        <w:t>乙方：</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u w:val="single"/>
          <w:lang w:val="en-US" w:eastAsia="zh-CN"/>
        </w:rPr>
        <w:t xml:space="preserve">    </w:t>
      </w:r>
      <w:r>
        <w:rPr>
          <w:rFonts w:hint="eastAsia" w:ascii="宋体" w:hAnsi="宋体" w:eastAsia="宋体" w:cs="宋体"/>
          <w:bCs/>
          <w:sz w:val="24"/>
          <w:highlight w:val="none"/>
          <w:u w:val="single"/>
        </w:rPr>
        <w:t xml:space="preserve">  </w:t>
      </w:r>
    </w:p>
    <w:p w14:paraId="6B6F0CEB">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依据《中华人民共和国民法典》与项目行业有关的法律法规，以及</w:t>
      </w:r>
      <w:r>
        <w:rPr>
          <w:rFonts w:hint="eastAsia" w:ascii="宋体" w:hAnsi="宋体" w:eastAsia="宋体" w:cs="宋体"/>
          <w:sz w:val="24"/>
          <w:highlight w:val="none"/>
          <w:u w:val="single"/>
        </w:rPr>
        <w:t>陕西省结核病防治院</w:t>
      </w:r>
      <w:r>
        <w:rPr>
          <w:rFonts w:hint="eastAsia" w:ascii="宋体" w:hAnsi="宋体" w:eastAsia="宋体" w:cs="宋体"/>
          <w:sz w:val="24"/>
          <w:highlight w:val="none"/>
          <w:u w:val="single"/>
          <w:lang w:eastAsia="zh-CN"/>
        </w:rPr>
        <w:t>外送样本检测服务项目（二次）</w:t>
      </w:r>
      <w:r>
        <w:rPr>
          <w:rFonts w:hint="eastAsia" w:ascii="宋体" w:hAnsi="宋体" w:eastAsia="宋体" w:cs="宋体"/>
          <w:sz w:val="24"/>
          <w:highlight w:val="none"/>
        </w:rPr>
        <w:t>（项目编号：【KRDL】K4-2604040）的《</w:t>
      </w:r>
      <w:r>
        <w:rPr>
          <w:rFonts w:hint="eastAsia" w:ascii="宋体" w:hAnsi="宋体" w:eastAsia="宋体" w:cs="宋体"/>
          <w:sz w:val="24"/>
          <w:highlight w:val="none"/>
          <w:lang w:eastAsia="zh-CN"/>
        </w:rPr>
        <w:t>竞争性磋商文件</w:t>
      </w:r>
      <w:r>
        <w:rPr>
          <w:rFonts w:hint="eastAsia" w:ascii="宋体" w:hAnsi="宋体" w:eastAsia="宋体" w:cs="宋体"/>
          <w:sz w:val="24"/>
          <w:highlight w:val="none"/>
        </w:rPr>
        <w:t>》，乙方的《</w:t>
      </w:r>
      <w:r>
        <w:rPr>
          <w:rFonts w:hint="eastAsia" w:ascii="宋体" w:hAnsi="宋体" w:eastAsia="宋体" w:cs="宋体"/>
          <w:sz w:val="24"/>
          <w:highlight w:val="none"/>
          <w:lang w:eastAsia="zh-CN"/>
        </w:rPr>
        <w:t>响应文件</w:t>
      </w:r>
      <w:r>
        <w:rPr>
          <w:rFonts w:hint="eastAsia" w:ascii="宋体" w:hAnsi="宋体" w:eastAsia="宋体" w:cs="宋体"/>
          <w:sz w:val="24"/>
          <w:highlight w:val="none"/>
        </w:rPr>
        <w:t>》及《中标（成交）通知书》，甲、乙双方同意签订本合同。详细技术说明及其他有关合同项目的特定信息由合同附件予以说明，合同附件及本项目的《</w:t>
      </w:r>
      <w:r>
        <w:rPr>
          <w:rFonts w:hint="eastAsia" w:ascii="宋体" w:hAnsi="宋体" w:eastAsia="宋体" w:cs="宋体"/>
          <w:sz w:val="24"/>
          <w:highlight w:val="none"/>
          <w:lang w:eastAsia="zh-CN"/>
        </w:rPr>
        <w:t>竞争性磋商文件</w:t>
      </w:r>
      <w:r>
        <w:rPr>
          <w:rFonts w:hint="eastAsia" w:ascii="宋体" w:hAnsi="宋体" w:eastAsia="宋体" w:cs="宋体"/>
          <w:sz w:val="24"/>
          <w:highlight w:val="none"/>
        </w:rPr>
        <w:t>》、《</w:t>
      </w:r>
      <w:r>
        <w:rPr>
          <w:rFonts w:hint="eastAsia" w:ascii="宋体" w:hAnsi="宋体" w:eastAsia="宋体" w:cs="宋体"/>
          <w:sz w:val="24"/>
          <w:highlight w:val="none"/>
          <w:lang w:eastAsia="zh-CN"/>
        </w:rPr>
        <w:t>响应文件</w:t>
      </w:r>
      <w:r>
        <w:rPr>
          <w:rFonts w:hint="eastAsia" w:ascii="宋体" w:hAnsi="宋体" w:eastAsia="宋体" w:cs="宋体"/>
          <w:sz w:val="24"/>
          <w:highlight w:val="none"/>
        </w:rPr>
        <w:t xml:space="preserve">》、《中标（成交）通知书》等均为本合同的组成部分。 </w:t>
      </w:r>
    </w:p>
    <w:p w14:paraId="24D7444C">
      <w:pPr>
        <w:numPr>
          <w:ilvl w:val="0"/>
          <w:numId w:val="0"/>
        </w:numPr>
        <w:spacing w:line="360" w:lineRule="auto"/>
        <w:ind w:left="1521" w:leftChars="0" w:hanging="1095" w:firstLineChars="0"/>
        <w:rPr>
          <w:rFonts w:ascii="宋体" w:hAnsi="宋体" w:eastAsia="宋体" w:cs="宋体"/>
          <w:b/>
          <w:sz w:val="24"/>
          <w:highlight w:val="none"/>
        </w:rPr>
      </w:pPr>
      <w:r>
        <w:rPr>
          <w:rFonts w:hint="eastAsia" w:ascii="宋体" w:hAnsi="宋体" w:eastAsia="宋体" w:cs="宋体"/>
          <w:b/>
          <w:kern w:val="2"/>
          <w:sz w:val="24"/>
          <w:szCs w:val="24"/>
          <w:highlight w:val="none"/>
          <w:lang w:val="en-US" w:eastAsia="zh-CN" w:bidi="ar-SA"/>
        </w:rPr>
        <w:t xml:space="preserve">第一条 </w:t>
      </w:r>
      <w:r>
        <w:rPr>
          <w:rFonts w:hint="eastAsia" w:ascii="宋体" w:hAnsi="宋体" w:eastAsia="宋体" w:cs="宋体"/>
          <w:b/>
          <w:sz w:val="24"/>
          <w:highlight w:val="none"/>
        </w:rPr>
        <w:t>项目基本情况</w:t>
      </w:r>
    </w:p>
    <w:p w14:paraId="313A9D5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sz w:val="24"/>
          <w:highlight w:val="none"/>
          <w:u w:val="single"/>
          <w:lang w:eastAsia="zh-CN"/>
        </w:rPr>
      </w:pPr>
      <w:r>
        <w:rPr>
          <w:rFonts w:hint="eastAsia" w:ascii="宋体" w:hAnsi="宋体" w:eastAsia="宋体" w:cs="宋体"/>
          <w:color w:val="auto"/>
          <w:sz w:val="24"/>
          <w:szCs w:val="24"/>
          <w:highlight w:val="none"/>
          <w:lang w:val="en-US" w:eastAsia="zh-CN"/>
        </w:rPr>
        <w:t>拟选择1家供应商为医院提供样本检测服务，检测服务分为：承接检验科外送检测项目，包括但不限于：生化、免疫、微生物、分子生物学、血液、质谱、基因检测等；承接病理科外送检测项目，包括但不限于：病理免疫组化、分子病理检查、特殊染色、基因检测等。</w:t>
      </w:r>
    </w:p>
    <w:p w14:paraId="50DA8B3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1252" w:leftChars="228" w:hanging="773" w:hangingChars="321"/>
        <w:textAlignment w:val="auto"/>
        <w:rPr>
          <w:rFonts w:ascii="宋体" w:hAnsi="宋体" w:eastAsia="宋体" w:cs="宋体"/>
          <w:b/>
          <w:sz w:val="24"/>
          <w:highlight w:val="none"/>
        </w:rPr>
      </w:pPr>
      <w:r>
        <w:rPr>
          <w:rFonts w:hint="eastAsia" w:ascii="宋体" w:hAnsi="宋体" w:eastAsia="宋体" w:cs="宋体"/>
          <w:b/>
          <w:kern w:val="2"/>
          <w:sz w:val="24"/>
          <w:szCs w:val="24"/>
          <w:highlight w:val="none"/>
          <w:lang w:val="en-US" w:eastAsia="zh-CN" w:bidi="ar-SA"/>
        </w:rPr>
        <w:t xml:space="preserve">第二条 </w:t>
      </w:r>
      <w:r>
        <w:rPr>
          <w:rFonts w:hint="eastAsia" w:ascii="宋体" w:hAnsi="宋体" w:eastAsia="宋体" w:cs="宋体"/>
          <w:b/>
          <w:sz w:val="24"/>
          <w:highlight w:val="none"/>
        </w:rPr>
        <w:t>合同期限</w:t>
      </w:r>
    </w:p>
    <w:p w14:paraId="38796D0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highlight w:val="none"/>
        </w:rPr>
      </w:pPr>
      <w:bookmarkStart w:id="0" w:name="_Toc251768862"/>
      <w:bookmarkStart w:id="1" w:name="_Toc282696226"/>
      <w:bookmarkStart w:id="2" w:name="_Toc225670751"/>
      <w:bookmarkStart w:id="3" w:name="_Toc286993786"/>
      <w:bookmarkStart w:id="4" w:name="_Toc247334841"/>
      <w:bookmarkStart w:id="5" w:name="_Toc241833903"/>
      <w:bookmarkStart w:id="6" w:name="_Toc239568418"/>
      <w:bookmarkStart w:id="7" w:name="_Toc232492928"/>
      <w:bookmarkStart w:id="8" w:name="_Toc185395249"/>
      <w:bookmarkStart w:id="9" w:name="_Toc225244852"/>
      <w:bookmarkStart w:id="10" w:name="_Toc211854449"/>
      <w:bookmarkStart w:id="11" w:name="_Toc225654644"/>
      <w:bookmarkStart w:id="12" w:name="_Toc211911348"/>
      <w:bookmarkStart w:id="13" w:name="_Toc237145406"/>
      <w:bookmarkStart w:id="14" w:name="_Toc212019594"/>
      <w:bookmarkStart w:id="15" w:name="_Toc239233914"/>
      <w:bookmarkStart w:id="16" w:name="_Toc283019214"/>
      <w:bookmarkStart w:id="17" w:name="_Toc238984975"/>
      <w:r>
        <w:rPr>
          <w:rFonts w:hint="eastAsia" w:ascii="宋体" w:hAnsi="宋体" w:eastAsia="宋体" w:cs="宋体"/>
          <w:sz w:val="24"/>
          <w:highlight w:val="none"/>
        </w:rPr>
        <w:t>服务期限三年（合同一年一签，每年考核一次，采购人依据考核结果决定是否续签下一年服务合同，最多续签两次）；服务期内，若采购人可自行开展检验范围内的检验项目，则该项目不再外送，成交供应商不得以任何理由向采购人申请损失赔偿。</w:t>
      </w:r>
    </w:p>
    <w:p w14:paraId="633FB3F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sz w:val="24"/>
          <w:highlight w:val="none"/>
          <w:lang w:eastAsia="zh-CN"/>
        </w:rPr>
      </w:pPr>
      <w:r>
        <w:rPr>
          <w:rFonts w:hint="eastAsia" w:ascii="宋体" w:hAnsi="宋体" w:eastAsia="宋体" w:cs="宋体"/>
          <w:b/>
          <w:kern w:val="2"/>
          <w:sz w:val="24"/>
          <w:szCs w:val="24"/>
          <w:highlight w:val="none"/>
          <w:lang w:val="en-US" w:eastAsia="zh-CN" w:bidi="ar-SA"/>
        </w:rPr>
        <w:t>第三条</w:t>
      </w:r>
      <w:r>
        <w:rPr>
          <w:rFonts w:hint="eastAsia" w:ascii="宋体" w:hAnsi="宋体" w:eastAsia="宋体" w:cs="宋体"/>
          <w:b/>
          <w:sz w:val="24"/>
          <w:highlight w:val="none"/>
          <w:lang w:val="en-US" w:eastAsia="zh-CN"/>
        </w:rPr>
        <w:t xml:space="preserve"> </w:t>
      </w:r>
      <w:r>
        <w:rPr>
          <w:rFonts w:hint="eastAsia" w:ascii="宋体" w:hAnsi="宋体" w:eastAsia="宋体" w:cs="宋体"/>
          <w:b/>
          <w:sz w:val="24"/>
          <w:highlight w:val="none"/>
        </w:rPr>
        <w:t>服务内容与质量标准</w:t>
      </w:r>
    </w:p>
    <w:p w14:paraId="0F74817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1249" w:leftChars="228" w:hanging="770" w:hangingChars="321"/>
        <w:textAlignment w:val="auto"/>
        <w:rPr>
          <w:rFonts w:hint="default" w:ascii="宋体" w:hAnsi="宋体" w:eastAsia="宋体" w:cs="宋体"/>
          <w:b w:val="0"/>
          <w:bCs/>
          <w:kern w:val="2"/>
          <w:sz w:val="24"/>
          <w:highlight w:val="none"/>
          <w:lang w:val="en-US" w:eastAsia="zh-CN" w:bidi="ar-SA"/>
        </w:rPr>
      </w:pPr>
      <w:r>
        <w:rPr>
          <w:rFonts w:hint="eastAsia" w:ascii="宋体" w:hAnsi="宋体" w:eastAsia="宋体" w:cs="宋体"/>
          <w:b w:val="0"/>
          <w:bCs/>
          <w:kern w:val="2"/>
          <w:sz w:val="24"/>
          <w:highlight w:val="none"/>
          <w:lang w:val="en-US" w:eastAsia="zh-CN" w:bidi="ar-SA"/>
        </w:rPr>
        <w:t>详见附件。</w:t>
      </w:r>
    </w:p>
    <w:p w14:paraId="37BB4A9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1252" w:leftChars="228" w:hanging="773" w:hangingChars="321"/>
        <w:textAlignment w:val="auto"/>
        <w:rPr>
          <w:rFonts w:hint="eastAsia" w:ascii="宋体" w:hAnsi="宋体" w:eastAsia="宋体" w:cs="宋体"/>
          <w:b/>
          <w:sz w:val="24"/>
          <w:highlight w:val="none"/>
        </w:rPr>
      </w:pPr>
      <w:r>
        <w:rPr>
          <w:rFonts w:hint="eastAsia" w:ascii="宋体" w:hAnsi="宋体" w:eastAsia="宋体" w:cs="宋体"/>
          <w:b/>
          <w:kern w:val="2"/>
          <w:sz w:val="24"/>
          <w:highlight w:val="none"/>
          <w:lang w:val="en-US" w:eastAsia="zh-CN" w:bidi="ar-SA"/>
        </w:rPr>
        <w:t xml:space="preserve">第四条 </w:t>
      </w:r>
      <w:r>
        <w:rPr>
          <w:rFonts w:hint="eastAsia" w:ascii="宋体" w:hAnsi="宋体" w:eastAsia="宋体" w:cs="宋体"/>
          <w:b/>
          <w:sz w:val="24"/>
          <w:highlight w:val="none"/>
        </w:rPr>
        <w:t>服务费用及支付方式</w:t>
      </w:r>
    </w:p>
    <w:p w14:paraId="1C68071F">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Times New Roman"/>
          <w:sz w:val="24"/>
          <w:highlight w:val="none"/>
        </w:rPr>
      </w:pPr>
      <w:r>
        <w:rPr>
          <w:rFonts w:hint="eastAsia" w:ascii="宋体" w:hAnsi="宋体" w:eastAsia="宋体" w:cs="Times New Roman"/>
          <w:sz w:val="24"/>
          <w:highlight w:val="none"/>
          <w:lang w:val="en-US" w:eastAsia="zh-CN"/>
        </w:rPr>
        <w:t>1.折扣率</w:t>
      </w:r>
      <w:r>
        <w:rPr>
          <w:rFonts w:hint="eastAsia" w:ascii="宋体" w:hAnsi="宋体" w:eastAsia="宋体" w:cs="Times New Roman"/>
          <w:sz w:val="24"/>
          <w:highlight w:val="none"/>
        </w:rPr>
        <w:t>：</w:t>
      </w:r>
      <w:r>
        <w:rPr>
          <w:rFonts w:hint="eastAsia" w:ascii="宋体" w:hAnsi="宋体" w:eastAsia="宋体" w:cs="Times New Roman"/>
          <w:sz w:val="24"/>
          <w:highlight w:val="none"/>
          <w:lang w:eastAsia="zh-CN"/>
        </w:rPr>
        <w:t>大写：</w:t>
      </w:r>
      <w:r>
        <w:rPr>
          <w:rFonts w:hint="eastAsia" w:ascii="宋体" w:hAnsi="宋体" w:eastAsia="宋体" w:cs="Times New Roman"/>
          <w:sz w:val="24"/>
          <w:highlight w:val="none"/>
          <w:u w:val="single"/>
        </w:rPr>
        <w:t xml:space="preserve">      </w:t>
      </w:r>
      <w:r>
        <w:rPr>
          <w:rFonts w:hint="eastAsia" w:ascii="宋体" w:hAnsi="宋体" w:eastAsia="宋体" w:cs="Times New Roman"/>
          <w:sz w:val="24"/>
          <w:highlight w:val="none"/>
          <w:u w:val="single"/>
          <w:lang w:val="en-US" w:eastAsia="zh-CN"/>
        </w:rPr>
        <w:t xml:space="preserve">  </w:t>
      </w:r>
      <w:r>
        <w:rPr>
          <w:rFonts w:hint="eastAsia" w:ascii="宋体" w:hAnsi="宋体" w:eastAsia="宋体" w:cs="Times New Roman"/>
          <w:sz w:val="24"/>
          <w:highlight w:val="none"/>
          <w:u w:val="single"/>
        </w:rPr>
        <w:t xml:space="preserve">  </w:t>
      </w:r>
      <w:r>
        <w:rPr>
          <w:rFonts w:hint="eastAsia" w:ascii="宋体" w:hAnsi="宋体" w:eastAsia="宋体" w:cs="Times New Roman"/>
          <w:sz w:val="24"/>
          <w:highlight w:val="none"/>
          <w:u w:val="single"/>
          <w:lang w:val="en-US" w:eastAsia="zh-CN"/>
        </w:rPr>
        <w:t xml:space="preserve">  </w:t>
      </w:r>
      <w:r>
        <w:rPr>
          <w:rFonts w:hint="eastAsia" w:ascii="宋体" w:hAnsi="宋体" w:eastAsia="宋体" w:cs="Times New Roman"/>
          <w:sz w:val="24"/>
          <w:highlight w:val="none"/>
          <w:u w:val="none"/>
          <w:lang w:val="en-US" w:eastAsia="zh-CN"/>
        </w:rPr>
        <w:t xml:space="preserve">   </w:t>
      </w:r>
      <w:r>
        <w:rPr>
          <w:rFonts w:hint="eastAsia" w:ascii="宋体" w:hAnsi="宋体" w:eastAsia="宋体" w:cs="Times New Roman"/>
          <w:sz w:val="24"/>
          <w:highlight w:val="none"/>
          <w:u w:val="none"/>
          <w:lang w:eastAsia="zh-CN"/>
        </w:rPr>
        <w:t>小写：</w:t>
      </w:r>
      <w:r>
        <w:rPr>
          <w:rFonts w:hint="eastAsia" w:ascii="宋体" w:hAnsi="宋体" w:eastAsia="宋体" w:cs="Times New Roman"/>
          <w:sz w:val="24"/>
          <w:highlight w:val="none"/>
          <w:u w:val="single"/>
          <w:lang w:val="en-US" w:eastAsia="zh-CN"/>
        </w:rPr>
        <w:t xml:space="preserve">  </w:t>
      </w:r>
      <w:r>
        <w:rPr>
          <w:rFonts w:hint="eastAsia" w:ascii="宋体" w:hAnsi="宋体" w:eastAsia="宋体" w:cs="Times New Roman"/>
          <w:sz w:val="24"/>
          <w:highlight w:val="none"/>
          <w:u w:val="single"/>
        </w:rPr>
        <w:t xml:space="preserve">    </w:t>
      </w:r>
      <w:r>
        <w:rPr>
          <w:rFonts w:hint="eastAsia" w:ascii="宋体" w:hAnsi="宋体" w:eastAsia="宋体" w:cs="Times New Roman"/>
          <w:sz w:val="24"/>
          <w:highlight w:val="none"/>
          <w:u w:val="single"/>
          <w:lang w:val="en-US" w:eastAsia="zh-CN"/>
        </w:rPr>
        <w:t xml:space="preserve">  </w:t>
      </w:r>
      <w:r>
        <w:rPr>
          <w:rFonts w:hint="eastAsia" w:ascii="宋体" w:hAnsi="宋体" w:eastAsia="宋体" w:cs="Times New Roman"/>
          <w:sz w:val="24"/>
          <w:highlight w:val="none"/>
          <w:u w:val="single"/>
        </w:rPr>
        <w:t xml:space="preserve">     </w:t>
      </w:r>
    </w:p>
    <w:p w14:paraId="020DB1F4">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Times New Roman"/>
          <w:sz w:val="24"/>
          <w:highlight w:val="none"/>
        </w:rPr>
      </w:pPr>
      <w:r>
        <w:rPr>
          <w:rFonts w:hint="eastAsia" w:ascii="宋体" w:hAnsi="宋体" w:eastAsia="宋体" w:cs="Times New Roman"/>
          <w:sz w:val="24"/>
          <w:highlight w:val="none"/>
        </w:rPr>
        <w:t>说明：供应商所填报的响应报价（折扣率）应是完成每次检测服务范围内所需服务的相应全部费用，包括但不限于：检测费、物流费、耗材费、人工费、售后服务及其它相关服务的投入等所有成本费用的总和等与之相关的一切直接费、间接费。</w:t>
      </w:r>
      <w:r>
        <w:rPr>
          <w:rFonts w:hint="eastAsia" w:ascii="宋体" w:hAnsi="宋体" w:eastAsia="宋体" w:cs="宋体"/>
          <w:color w:val="000000"/>
          <w:sz w:val="24"/>
          <w:szCs w:val="24"/>
          <w:highlight w:val="none"/>
          <w:lang w:eastAsia="zh-CN"/>
        </w:rPr>
        <w:t>要求的其他相关费用以本采购文件的内容和要求作为磋商依据。</w:t>
      </w:r>
    </w:p>
    <w:p w14:paraId="3DD03F48">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textAlignment w:val="auto"/>
        <w:rPr>
          <w:rFonts w:hint="eastAsia" w:ascii="宋体" w:hAnsi="宋体" w:cs="宋体"/>
          <w:b w:val="0"/>
          <w:bCs w:val="0"/>
          <w:color w:val="000000"/>
          <w:sz w:val="24"/>
          <w:szCs w:val="24"/>
          <w:highlight w:val="none"/>
          <w:lang w:eastAsia="zh-CN"/>
        </w:rPr>
      </w:pPr>
      <w:r>
        <w:rPr>
          <w:rFonts w:hint="eastAsia" w:ascii="宋体" w:hAnsi="宋体" w:cs="宋体"/>
          <w:b w:val="0"/>
          <w:bCs w:val="0"/>
          <w:color w:val="000000"/>
          <w:kern w:val="2"/>
          <w:sz w:val="24"/>
          <w:szCs w:val="24"/>
          <w:highlight w:val="none"/>
          <w:lang w:val="en-US" w:eastAsia="zh-CN" w:bidi="ar-SA"/>
        </w:rPr>
        <w:t>2.</w:t>
      </w:r>
      <w:r>
        <w:rPr>
          <w:rFonts w:hint="eastAsia" w:ascii="宋体" w:hAnsi="宋体" w:cs="宋体"/>
          <w:b w:val="0"/>
          <w:bCs w:val="0"/>
          <w:color w:val="000000"/>
          <w:sz w:val="24"/>
          <w:szCs w:val="24"/>
          <w:highlight w:val="none"/>
          <w:lang w:val="en-US" w:eastAsia="zh-CN"/>
        </w:rPr>
        <w:t>付款方式：（1）本项目中标（成交）折扣率（《陕西省医疗服务项目价格（2021版本)》、《陕西省医疗保障局陕西省卫生健康委关于进一步降低公立医疗机构新冠病毒核酸检测和抗原检测价格通知》陕医保发【2023】4号、《陕西省医疗保障局关于开展医疗服务价格规范治理（第一批）通知》陕医保办函【2024】62号、《陕西省医疗保障局关于开展医疗服务价格规范治理（第二批）通知》陕医保办函【2024】207号、《陕西省医疗保障局关于调整我省部分检验类医疗服务项目价格的通知》陕医保办函【2025】16号、《陕西省医疗保障局关于开展医疗服务价格规范治理（第六批）通知》陕医保办函【2025】191号文件等（如遇政策调整，则以调整后价格为准）中三级收费标准限价），不因市场因素、政府政策调整、费率调整和税收变化等而作任何调整，采购人不再支付单价以外的任何费用。（2）检测清单经双方核实检测项目、数量、单价，无质量及技术服务问题，检测费用每月按合同约定折扣率据实结算，成交供应商开具结算金额的发票送至采购人，采购人收到发票后14个日历日内向成交供应商据实结算上一月总价款，年度最终结算总金额不得超过本项目的采购预算金额。</w:t>
      </w:r>
    </w:p>
    <w:p w14:paraId="6FE9BEA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1252" w:leftChars="228" w:hanging="773" w:hangingChars="321"/>
        <w:textAlignment w:val="auto"/>
        <w:rPr>
          <w:rFonts w:ascii="宋体" w:hAnsi="宋体" w:eastAsia="宋体" w:cs="宋体"/>
          <w:b/>
          <w:sz w:val="24"/>
          <w:highlight w:val="none"/>
        </w:rPr>
      </w:pPr>
      <w:r>
        <w:rPr>
          <w:rFonts w:hint="eastAsia" w:ascii="宋体" w:hAnsi="宋体" w:eastAsia="宋体" w:cs="宋体"/>
          <w:b/>
          <w:kern w:val="2"/>
          <w:sz w:val="24"/>
          <w:szCs w:val="24"/>
          <w:highlight w:val="none"/>
          <w:lang w:val="en-US" w:eastAsia="zh-CN" w:bidi="ar-SA"/>
        </w:rPr>
        <w:t xml:space="preserve">第五条 </w:t>
      </w:r>
      <w:r>
        <w:rPr>
          <w:rFonts w:hint="eastAsia" w:ascii="宋体" w:hAnsi="宋体" w:eastAsia="宋体" w:cs="宋体"/>
          <w:b/>
          <w:sz w:val="24"/>
          <w:highlight w:val="none"/>
        </w:rPr>
        <w:t>知识产权</w:t>
      </w:r>
    </w:p>
    <w:p w14:paraId="1924D14A">
      <w:pPr>
        <w:keepNext w:val="0"/>
        <w:keepLines w:val="0"/>
        <w:pageBreakBefore w:val="0"/>
        <w:widowControl w:val="0"/>
        <w:tabs>
          <w:tab w:val="left" w:pos="1440"/>
        </w:tabs>
        <w:kinsoku/>
        <w:wordWrap/>
        <w:overflowPunct/>
        <w:topLinePunct w:val="0"/>
        <w:autoSpaceDE/>
        <w:autoSpaceDN/>
        <w:bidi w:val="0"/>
        <w:adjustRightInd w:val="0"/>
        <w:snapToGrid w:val="0"/>
        <w:spacing w:line="360" w:lineRule="auto"/>
        <w:ind w:left="0" w:leftChars="0" w:firstLine="480" w:firstLineChars="200"/>
        <w:textAlignment w:val="auto"/>
        <w:rPr>
          <w:rFonts w:ascii="宋体" w:hAnsi="宋体" w:eastAsia="宋体" w:cs="宋体"/>
          <w:sz w:val="24"/>
          <w:highlight w:val="none"/>
        </w:rPr>
      </w:pPr>
      <w:r>
        <w:rPr>
          <w:rFonts w:hint="eastAsia" w:ascii="宋体" w:hAnsi="宋体" w:eastAsia="宋体" w:cs="宋体"/>
          <w:sz w:val="24"/>
          <w:highlight w:val="none"/>
        </w:rPr>
        <w:t>乙方应保证所提供的服务或其任何一部分均不会侵犯任何第三方的专利权、商标权或著作权。</w:t>
      </w:r>
    </w:p>
    <w:p w14:paraId="780B4B9B">
      <w:pPr>
        <w:numPr>
          <w:ilvl w:val="0"/>
          <w:numId w:val="0"/>
        </w:numPr>
        <w:spacing w:line="360" w:lineRule="auto"/>
        <w:ind w:left="1521" w:leftChars="0" w:hanging="1095" w:firstLineChars="0"/>
        <w:rPr>
          <w:rFonts w:ascii="宋体" w:hAnsi="宋体" w:eastAsia="宋体" w:cs="宋体"/>
          <w:b/>
          <w:sz w:val="24"/>
          <w:highlight w:val="none"/>
        </w:rPr>
      </w:pPr>
      <w:r>
        <w:rPr>
          <w:rFonts w:hint="eastAsia" w:ascii="宋体" w:hAnsi="宋体" w:eastAsia="宋体" w:cs="宋体"/>
          <w:b/>
          <w:kern w:val="2"/>
          <w:sz w:val="24"/>
          <w:szCs w:val="24"/>
          <w:highlight w:val="none"/>
          <w:lang w:val="en-US" w:eastAsia="zh-CN" w:bidi="ar-SA"/>
        </w:rPr>
        <w:t xml:space="preserve">第六条 </w:t>
      </w:r>
      <w:r>
        <w:rPr>
          <w:rFonts w:hint="eastAsia" w:ascii="宋体" w:hAnsi="宋体" w:eastAsia="宋体" w:cs="宋体"/>
          <w:b/>
          <w:sz w:val="24"/>
          <w:highlight w:val="none"/>
        </w:rPr>
        <w:t>无产权瑕疵条款</w:t>
      </w:r>
    </w:p>
    <w:p w14:paraId="69A7DA08">
      <w:pPr>
        <w:tabs>
          <w:tab w:val="left" w:pos="144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乙方保证所提供的服务的所有权完全属于乙方且无任何抵押、查封等产权瑕疵。如有产权瑕疵的，视为乙方违约。乙方应负担由此而产生的一切损失。</w:t>
      </w:r>
    </w:p>
    <w:p w14:paraId="39DE9A33">
      <w:pPr>
        <w:numPr>
          <w:ilvl w:val="0"/>
          <w:numId w:val="0"/>
        </w:numPr>
        <w:spacing w:line="360" w:lineRule="auto"/>
        <w:ind w:left="1521" w:leftChars="0" w:hanging="1095" w:firstLineChars="0"/>
        <w:rPr>
          <w:rFonts w:ascii="宋体" w:hAnsi="宋体" w:eastAsia="宋体" w:cs="宋体"/>
          <w:b/>
          <w:sz w:val="24"/>
          <w:highlight w:val="none"/>
        </w:rPr>
      </w:pPr>
      <w:r>
        <w:rPr>
          <w:rFonts w:hint="eastAsia" w:ascii="宋体" w:hAnsi="宋体" w:eastAsia="宋体" w:cs="宋体"/>
          <w:b/>
          <w:kern w:val="2"/>
          <w:sz w:val="24"/>
          <w:szCs w:val="24"/>
          <w:highlight w:val="none"/>
          <w:lang w:val="en-US" w:eastAsia="zh-CN" w:bidi="ar-SA"/>
        </w:rPr>
        <w:t xml:space="preserve">第七条 </w:t>
      </w:r>
      <w:r>
        <w:rPr>
          <w:rFonts w:hint="eastAsia" w:ascii="宋体" w:hAnsi="宋体" w:eastAsia="宋体" w:cs="宋体"/>
          <w:b/>
          <w:sz w:val="24"/>
          <w:highlight w:val="none"/>
        </w:rPr>
        <w:t>甲方的权利和义务</w:t>
      </w:r>
    </w:p>
    <w:p w14:paraId="27810950">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60664400">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2.甲方有权依据双方签订的考评办法对乙方提供的服务进行定期考评。当考评结果未达到标准时，有权依据考评办法</w:t>
      </w:r>
      <w:r>
        <w:rPr>
          <w:rFonts w:hint="eastAsia" w:ascii="宋体" w:hAnsi="宋体" w:eastAsia="宋体" w:cs="宋体"/>
          <w:bCs/>
          <w:sz w:val="24"/>
          <w:highlight w:val="none"/>
          <w:lang w:val="en-US" w:eastAsia="zh-CN"/>
        </w:rPr>
        <w:t>终止合同</w:t>
      </w:r>
      <w:r>
        <w:rPr>
          <w:rFonts w:hint="eastAsia" w:ascii="宋体" w:hAnsi="宋体" w:eastAsia="宋体" w:cs="宋体"/>
          <w:bCs/>
          <w:sz w:val="24"/>
          <w:highlight w:val="none"/>
        </w:rPr>
        <w:t>。</w:t>
      </w:r>
    </w:p>
    <w:p w14:paraId="4B5607A5">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3.负责检查监督乙方管理工作的实施及制度的执行情况。</w:t>
      </w:r>
    </w:p>
    <w:p w14:paraId="016FECD2">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4.根据本合同规定，按时向乙方支付应付服务费用。</w:t>
      </w:r>
    </w:p>
    <w:p w14:paraId="07C58605">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5.国家法律、法规所规定由甲方承担的其它责任。</w:t>
      </w:r>
    </w:p>
    <w:p w14:paraId="1F484BDB">
      <w:pPr>
        <w:numPr>
          <w:ilvl w:val="0"/>
          <w:numId w:val="0"/>
        </w:numPr>
        <w:spacing w:line="360" w:lineRule="auto"/>
        <w:ind w:left="1521" w:leftChars="0" w:hanging="1095" w:firstLineChars="0"/>
        <w:rPr>
          <w:rFonts w:ascii="宋体" w:hAnsi="宋体" w:eastAsia="宋体" w:cs="宋体"/>
          <w:b/>
          <w:sz w:val="24"/>
          <w:highlight w:val="none"/>
        </w:rPr>
      </w:pPr>
      <w:r>
        <w:rPr>
          <w:rFonts w:hint="eastAsia" w:ascii="宋体" w:hAnsi="宋体" w:eastAsia="宋体" w:cs="宋体"/>
          <w:b/>
          <w:kern w:val="2"/>
          <w:sz w:val="24"/>
          <w:szCs w:val="24"/>
          <w:highlight w:val="none"/>
          <w:lang w:val="en-US" w:eastAsia="zh-CN" w:bidi="ar-SA"/>
        </w:rPr>
        <w:t xml:space="preserve">第八条 </w:t>
      </w:r>
      <w:r>
        <w:rPr>
          <w:rFonts w:hint="eastAsia" w:ascii="宋体" w:hAnsi="宋体" w:eastAsia="宋体" w:cs="宋体"/>
          <w:b/>
          <w:sz w:val="24"/>
          <w:highlight w:val="none"/>
        </w:rPr>
        <w:t>乙方的权利和义务</w:t>
      </w:r>
    </w:p>
    <w:p w14:paraId="6EBA3E3F">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1.对本合同规定的委托服务范围内的项目享有管理权及服务义务。</w:t>
      </w:r>
    </w:p>
    <w:p w14:paraId="6C735D99">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2.根据本合同的规定向甲方收取相关服务费用，并有权在本项目管理范围内管理及合理使用。</w:t>
      </w:r>
    </w:p>
    <w:p w14:paraId="31B41535">
      <w:pPr>
        <w:adjustRightInd w:val="0"/>
        <w:spacing w:line="360" w:lineRule="auto"/>
        <w:ind w:firstLine="480" w:firstLineChars="200"/>
        <w:jc w:val="left"/>
        <w:textAlignment w:val="baseline"/>
        <w:rPr>
          <w:rFonts w:ascii="宋体" w:hAnsi="宋体" w:eastAsia="宋体" w:cs="宋体"/>
          <w:sz w:val="24"/>
          <w:highlight w:val="none"/>
        </w:rPr>
      </w:pPr>
      <w:r>
        <w:rPr>
          <w:rFonts w:hint="eastAsia" w:ascii="宋体" w:hAnsi="宋体" w:eastAsia="宋体" w:cs="宋体"/>
          <w:sz w:val="24"/>
          <w:highlight w:val="none"/>
        </w:rPr>
        <w:t>3.及时向甲方通告本项目服务范围内有关服务的重大事项，及时配合处理投诉。</w:t>
      </w:r>
    </w:p>
    <w:p w14:paraId="402A5A1A">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sz w:val="24"/>
          <w:highlight w:val="none"/>
        </w:rPr>
        <w:t>4.</w:t>
      </w:r>
      <w:r>
        <w:rPr>
          <w:rFonts w:hint="eastAsia" w:ascii="宋体" w:hAnsi="宋体" w:eastAsia="宋体" w:cs="宋体"/>
          <w:bCs/>
          <w:sz w:val="24"/>
          <w:highlight w:val="none"/>
        </w:rPr>
        <w:t>接受项目行业管理部门及政府有关部门的指导，接受甲方的监督。</w:t>
      </w:r>
    </w:p>
    <w:p w14:paraId="29BC8E49">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5.国家法律、法规所规定由乙方承担的其它责任。</w:t>
      </w:r>
    </w:p>
    <w:p w14:paraId="1DE7A920">
      <w:pPr>
        <w:numPr>
          <w:ilvl w:val="0"/>
          <w:numId w:val="0"/>
        </w:numPr>
        <w:spacing w:line="360" w:lineRule="auto"/>
        <w:ind w:left="1521" w:leftChars="0" w:hanging="1095" w:firstLineChars="0"/>
        <w:rPr>
          <w:rFonts w:ascii="宋体" w:hAnsi="宋体" w:eastAsia="宋体" w:cs="宋体"/>
          <w:b/>
          <w:sz w:val="24"/>
          <w:highlight w:val="none"/>
        </w:rPr>
      </w:pPr>
      <w:r>
        <w:rPr>
          <w:rFonts w:hint="eastAsia" w:ascii="宋体" w:hAnsi="宋体" w:eastAsia="宋体" w:cs="宋体"/>
          <w:b/>
          <w:kern w:val="2"/>
          <w:sz w:val="24"/>
          <w:szCs w:val="24"/>
          <w:highlight w:val="none"/>
          <w:lang w:val="en-US" w:eastAsia="zh-CN" w:bidi="ar-SA"/>
        </w:rPr>
        <w:t xml:space="preserve">第九条 </w:t>
      </w:r>
      <w:r>
        <w:rPr>
          <w:rFonts w:hint="eastAsia" w:ascii="宋体" w:hAnsi="宋体" w:eastAsia="宋体" w:cs="宋体"/>
          <w:b/>
          <w:sz w:val="24"/>
          <w:highlight w:val="none"/>
        </w:rPr>
        <w:t>违约责任</w:t>
      </w:r>
    </w:p>
    <w:p w14:paraId="2F680127">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1.甲乙双方必须遵守本合同并执行合同中的各项规定，保证本合同的正常履行。</w:t>
      </w:r>
    </w:p>
    <w:p w14:paraId="0E5DF155">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3F3E70C7">
      <w:pPr>
        <w:numPr>
          <w:ilvl w:val="0"/>
          <w:numId w:val="0"/>
        </w:numPr>
        <w:spacing w:line="360" w:lineRule="auto"/>
        <w:ind w:left="1521" w:leftChars="0" w:hanging="1095" w:firstLineChars="0"/>
        <w:rPr>
          <w:rFonts w:ascii="宋体" w:hAnsi="宋体" w:eastAsia="宋体" w:cs="宋体"/>
          <w:b/>
          <w:sz w:val="24"/>
          <w:highlight w:val="none"/>
        </w:rPr>
      </w:pPr>
      <w:r>
        <w:rPr>
          <w:rFonts w:hint="eastAsia" w:ascii="宋体" w:hAnsi="宋体" w:eastAsia="宋体" w:cs="宋体"/>
          <w:b/>
          <w:kern w:val="2"/>
          <w:sz w:val="24"/>
          <w:szCs w:val="24"/>
          <w:highlight w:val="none"/>
          <w:lang w:val="en-US" w:eastAsia="zh-CN" w:bidi="ar-SA"/>
        </w:rPr>
        <w:t>第十条</w:t>
      </w:r>
      <w:r>
        <w:rPr>
          <w:rFonts w:hint="eastAsia" w:ascii="宋体" w:hAnsi="宋体" w:eastAsia="宋体" w:cs="宋体"/>
          <w:b/>
          <w:sz w:val="24"/>
          <w:highlight w:val="none"/>
          <w:lang w:val="en-US" w:eastAsia="zh-CN"/>
        </w:rPr>
        <w:t xml:space="preserve"> </w:t>
      </w:r>
      <w:r>
        <w:rPr>
          <w:rFonts w:hint="eastAsia" w:ascii="宋体" w:hAnsi="宋体" w:eastAsia="宋体" w:cs="宋体"/>
          <w:b/>
          <w:sz w:val="24"/>
          <w:highlight w:val="none"/>
        </w:rPr>
        <w:t>不可抗力事件处理</w:t>
      </w:r>
    </w:p>
    <w:p w14:paraId="5E29F471">
      <w:pPr>
        <w:tabs>
          <w:tab w:val="left" w:pos="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1.在合同有效期内，任何一方因不可抗力事件导致不能履行合同，则合同履行期可延长，其延长期与不可抗力影响期相同。</w:t>
      </w:r>
    </w:p>
    <w:p w14:paraId="1B9418FF">
      <w:pPr>
        <w:tabs>
          <w:tab w:val="left" w:pos="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2.不可抗力事件发生后，应立即通知对方，并寄送有关权威机构出具的证明。</w:t>
      </w:r>
    </w:p>
    <w:p w14:paraId="19AFC05C">
      <w:pPr>
        <w:tabs>
          <w:tab w:val="left" w:pos="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3.不可抗力事件延续</w:t>
      </w:r>
      <w:r>
        <w:rPr>
          <w:rFonts w:hint="eastAsia" w:ascii="宋体" w:hAnsi="宋体" w:eastAsia="宋体" w:cs="宋体"/>
          <w:color w:val="000000"/>
          <w:sz w:val="24"/>
          <w:highlight w:val="none"/>
          <w:u w:val="single"/>
        </w:rPr>
        <w:t xml:space="preserve">    </w:t>
      </w:r>
      <w:r>
        <w:rPr>
          <w:rFonts w:hint="eastAsia" w:ascii="宋体" w:hAnsi="宋体" w:eastAsia="宋体" w:cs="宋体"/>
          <w:sz w:val="24"/>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52995CE">
      <w:pPr>
        <w:numPr>
          <w:ilvl w:val="0"/>
          <w:numId w:val="0"/>
        </w:numPr>
        <w:spacing w:line="360" w:lineRule="auto"/>
        <w:ind w:left="1521" w:leftChars="0" w:hanging="1095" w:firstLineChars="0"/>
        <w:rPr>
          <w:rFonts w:ascii="宋体" w:hAnsi="宋体" w:eastAsia="宋体" w:cs="宋体"/>
          <w:b/>
          <w:sz w:val="24"/>
          <w:highlight w:val="none"/>
        </w:rPr>
      </w:pPr>
      <w:bookmarkStart w:id="18" w:name="_Toc225244857"/>
      <w:bookmarkStart w:id="19" w:name="_Toc211911353"/>
      <w:bookmarkStart w:id="20" w:name="_Toc286993792"/>
      <w:bookmarkStart w:id="21" w:name="_Toc185395254"/>
      <w:bookmarkStart w:id="22" w:name="_Toc247334846"/>
      <w:bookmarkStart w:id="23" w:name="_Toc241833908"/>
      <w:bookmarkStart w:id="24" w:name="_Toc239568423"/>
      <w:bookmarkStart w:id="25" w:name="_Toc251768867"/>
      <w:bookmarkStart w:id="26" w:name="_Toc232492933"/>
      <w:bookmarkStart w:id="27" w:name="_Toc237145411"/>
      <w:bookmarkStart w:id="28" w:name="_Toc225654649"/>
      <w:bookmarkStart w:id="29" w:name="_Toc238984980"/>
      <w:bookmarkStart w:id="30" w:name="_Toc239233919"/>
      <w:bookmarkStart w:id="31" w:name="_Toc211854454"/>
      <w:bookmarkStart w:id="32" w:name="_Toc212019599"/>
      <w:bookmarkStart w:id="33" w:name="_Toc225670756"/>
      <w:r>
        <w:rPr>
          <w:rFonts w:hint="eastAsia" w:ascii="宋体" w:hAnsi="宋体" w:eastAsia="宋体" w:cs="宋体"/>
          <w:b/>
          <w:kern w:val="2"/>
          <w:sz w:val="24"/>
          <w:szCs w:val="24"/>
          <w:highlight w:val="none"/>
          <w:lang w:val="en-US" w:eastAsia="zh-CN" w:bidi="ar-SA"/>
        </w:rPr>
        <w:t>第十一条</w:t>
      </w:r>
      <w:r>
        <w:rPr>
          <w:rFonts w:hint="eastAsia" w:ascii="宋体" w:hAnsi="宋体" w:eastAsia="宋体" w:cs="宋体"/>
          <w:b/>
          <w:sz w:val="24"/>
          <w:highlight w:val="none"/>
          <w:lang w:val="en-US" w:eastAsia="zh-CN"/>
        </w:rPr>
        <w:t xml:space="preserve">  </w:t>
      </w:r>
      <w:r>
        <w:rPr>
          <w:rFonts w:hint="eastAsia" w:ascii="宋体" w:hAnsi="宋体" w:eastAsia="宋体" w:cs="宋体"/>
          <w:b/>
          <w:sz w:val="24"/>
          <w:highlight w:val="none"/>
        </w:rPr>
        <w:t>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3D33D75">
      <w:pPr>
        <w:tabs>
          <w:tab w:val="left" w:pos="0"/>
        </w:tabs>
        <w:spacing w:line="360" w:lineRule="auto"/>
        <w:ind w:firstLine="480" w:firstLineChars="200"/>
        <w:rPr>
          <w:rFonts w:hint="eastAsia" w:ascii="宋体" w:hAnsi="宋体" w:eastAsia="宋体" w:cs="宋体"/>
          <w:sz w:val="24"/>
          <w:highlight w:val="none"/>
          <w:lang w:val="en-US" w:eastAsia="zh-CN"/>
        </w:rPr>
      </w:pPr>
      <w:bookmarkStart w:id="34" w:name="_Toc286993793"/>
      <w:bookmarkStart w:id="35" w:name="_Toc185395255"/>
      <w:bookmarkStart w:id="36" w:name="_Toc283019219"/>
      <w:bookmarkStart w:id="37" w:name="_Toc225654650"/>
      <w:bookmarkStart w:id="38" w:name="_Toc282696231"/>
      <w:bookmarkStart w:id="39" w:name="_Toc237145412"/>
      <w:bookmarkStart w:id="40" w:name="_Toc225244858"/>
      <w:bookmarkStart w:id="41" w:name="_Toc251768868"/>
      <w:bookmarkStart w:id="42" w:name="_Toc212019600"/>
      <w:bookmarkStart w:id="43" w:name="_Toc211854455"/>
      <w:bookmarkStart w:id="44" w:name="_Toc239568424"/>
      <w:bookmarkStart w:id="45" w:name="_Toc225670757"/>
      <w:bookmarkStart w:id="46" w:name="_Toc238984981"/>
      <w:bookmarkStart w:id="47" w:name="_Toc247334847"/>
      <w:bookmarkStart w:id="48" w:name="_Toc239233920"/>
      <w:bookmarkStart w:id="49" w:name="_Toc211911354"/>
      <w:bookmarkStart w:id="50" w:name="_Toc232492934"/>
      <w:bookmarkStart w:id="51" w:name="_Toc241833909"/>
      <w:r>
        <w:rPr>
          <w:rFonts w:hint="eastAsia" w:ascii="宋体" w:hAnsi="宋体" w:eastAsia="宋体" w:cs="宋体"/>
          <w:sz w:val="24"/>
          <w:highlight w:val="none"/>
          <w:lang w:val="en-US" w:eastAsia="zh-CN"/>
        </w:rPr>
        <w:t>因履行本合同发生的争议，双方协商解决；协商不成的，依法向甲方所在地人民法院提起诉讼。</w:t>
      </w:r>
    </w:p>
    <w:p w14:paraId="54B8CC98">
      <w:pPr>
        <w:numPr>
          <w:ilvl w:val="0"/>
          <w:numId w:val="0"/>
        </w:numPr>
        <w:spacing w:line="360" w:lineRule="auto"/>
        <w:ind w:left="1521" w:leftChars="0" w:hanging="1095" w:firstLineChars="0"/>
        <w:rPr>
          <w:rFonts w:ascii="宋体" w:hAnsi="宋体" w:eastAsia="宋体" w:cs="宋体"/>
          <w:b/>
          <w:sz w:val="24"/>
          <w:highlight w:val="none"/>
        </w:rPr>
      </w:pPr>
      <w:r>
        <w:rPr>
          <w:rFonts w:hint="eastAsia" w:ascii="宋体" w:hAnsi="宋体" w:eastAsia="宋体" w:cs="宋体"/>
          <w:b/>
          <w:kern w:val="2"/>
          <w:sz w:val="24"/>
          <w:szCs w:val="24"/>
          <w:highlight w:val="none"/>
          <w:lang w:val="en-US" w:eastAsia="zh-CN" w:bidi="ar-SA"/>
        </w:rPr>
        <w:t>第十二条</w:t>
      </w:r>
      <w:r>
        <w:rPr>
          <w:rFonts w:hint="eastAsia" w:ascii="宋体" w:hAnsi="宋体" w:eastAsia="宋体" w:cs="宋体"/>
          <w:b/>
          <w:sz w:val="24"/>
          <w:highlight w:val="none"/>
          <w:lang w:val="en-US" w:eastAsia="zh-CN"/>
        </w:rPr>
        <w:t xml:space="preserve">  </w:t>
      </w:r>
      <w:r>
        <w:rPr>
          <w:rFonts w:hint="eastAsia" w:ascii="宋体" w:hAnsi="宋体" w:eastAsia="宋体" w:cs="宋体"/>
          <w:b/>
          <w:sz w:val="24"/>
          <w:highlight w:val="none"/>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sz w:val="24"/>
          <w:highlight w:val="none"/>
        </w:rPr>
        <w:t>生效及其他</w:t>
      </w:r>
    </w:p>
    <w:p w14:paraId="36D049AC">
      <w:pPr>
        <w:tabs>
          <w:tab w:val="left" w:pos="0"/>
        </w:tabs>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1.合同经双方法定代表人或授权委托代理人签字并加盖单位公章后生效。</w:t>
      </w:r>
    </w:p>
    <w:p w14:paraId="46D6C570">
      <w:pPr>
        <w:tabs>
          <w:tab w:val="left" w:pos="0"/>
        </w:tabs>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2.合同执行中涉及资金和采购内容修改或补充的，须经甲方监督部门审批，并签书面补充协议报甲方相关行政部门备案，方可作为主合同不可分割的一部分。</w:t>
      </w:r>
    </w:p>
    <w:p w14:paraId="2F4B456B">
      <w:pPr>
        <w:tabs>
          <w:tab w:val="left" w:pos="0"/>
        </w:tabs>
        <w:spacing w:line="360" w:lineRule="auto"/>
        <w:ind w:firstLine="480" w:firstLineChars="200"/>
        <w:rPr>
          <w:rFonts w:ascii="宋体" w:hAnsi="宋体" w:eastAsia="宋体" w:cs="宋体"/>
          <w:highlight w:val="none"/>
        </w:rPr>
      </w:pPr>
      <w:r>
        <w:rPr>
          <w:rFonts w:hint="eastAsia" w:ascii="宋体" w:hAnsi="宋体" w:eastAsia="宋体" w:cs="宋体"/>
          <w:sz w:val="24"/>
          <w:highlight w:val="none"/>
        </w:rPr>
        <w:t>3.本合同一式</w:t>
      </w:r>
      <w:r>
        <w:rPr>
          <w:rFonts w:hint="eastAsia" w:ascii="宋体" w:hAnsi="宋体" w:eastAsia="宋体" w:cs="宋体"/>
          <w:sz w:val="24"/>
          <w:highlight w:val="none"/>
          <w:lang w:val="en-US" w:eastAsia="zh-CN"/>
        </w:rPr>
        <w:t>柒</w:t>
      </w:r>
      <w:r>
        <w:rPr>
          <w:rFonts w:hint="eastAsia" w:ascii="宋体" w:hAnsi="宋体" w:eastAsia="宋体" w:cs="宋体"/>
          <w:sz w:val="24"/>
          <w:highlight w:val="none"/>
        </w:rPr>
        <w:t>份，自双方签章之日起起效。甲方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份，乙方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份，采购代理机构</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一</w:t>
      </w:r>
      <w:r>
        <w:rPr>
          <w:rFonts w:hint="eastAsia" w:ascii="宋体" w:hAnsi="宋体" w:eastAsia="宋体" w:cs="宋体"/>
          <w:sz w:val="24"/>
          <w:highlight w:val="none"/>
        </w:rPr>
        <w:t>份，具有同等法律效力。</w:t>
      </w:r>
    </w:p>
    <w:p w14:paraId="580FEC05">
      <w:pPr>
        <w:numPr>
          <w:ilvl w:val="0"/>
          <w:numId w:val="0"/>
        </w:numPr>
        <w:spacing w:line="360" w:lineRule="auto"/>
        <w:ind w:left="1521" w:leftChars="0" w:hanging="1095" w:firstLineChars="0"/>
        <w:rPr>
          <w:rFonts w:ascii="宋体" w:hAnsi="宋体" w:eastAsia="宋体" w:cs="宋体"/>
          <w:b/>
          <w:sz w:val="24"/>
          <w:highlight w:val="none"/>
        </w:rPr>
      </w:pPr>
      <w:r>
        <w:rPr>
          <w:rFonts w:hint="eastAsia" w:ascii="宋体" w:hAnsi="宋体" w:eastAsia="宋体" w:cs="宋体"/>
          <w:b/>
          <w:kern w:val="2"/>
          <w:sz w:val="24"/>
          <w:szCs w:val="24"/>
          <w:highlight w:val="none"/>
          <w:lang w:val="en-US" w:eastAsia="zh-CN" w:bidi="ar-SA"/>
        </w:rPr>
        <w:t>第十三条</w:t>
      </w:r>
      <w:r>
        <w:rPr>
          <w:rFonts w:hint="eastAsia" w:ascii="宋体" w:hAnsi="宋体" w:eastAsia="宋体" w:cs="宋体"/>
          <w:b/>
          <w:sz w:val="24"/>
          <w:highlight w:val="none"/>
          <w:lang w:val="en-US" w:eastAsia="zh-CN"/>
        </w:rPr>
        <w:t xml:space="preserve">  </w:t>
      </w:r>
      <w:r>
        <w:rPr>
          <w:rFonts w:hint="eastAsia" w:ascii="宋体" w:hAnsi="宋体" w:eastAsia="宋体" w:cs="宋体"/>
          <w:b/>
          <w:sz w:val="24"/>
          <w:highlight w:val="none"/>
        </w:rPr>
        <w:t>附件</w:t>
      </w:r>
    </w:p>
    <w:p w14:paraId="198814F3">
      <w:pPr>
        <w:tabs>
          <w:tab w:val="left" w:pos="0"/>
        </w:tabs>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lang w:eastAsia="zh-CN"/>
        </w:rPr>
        <w:t>竞争性磋商</w:t>
      </w:r>
      <w:r>
        <w:rPr>
          <w:rFonts w:hint="eastAsia" w:ascii="宋体" w:hAnsi="宋体" w:eastAsia="宋体" w:cs="宋体"/>
          <w:sz w:val="24"/>
          <w:highlight w:val="none"/>
        </w:rPr>
        <w:t>文件</w:t>
      </w:r>
    </w:p>
    <w:p w14:paraId="195B2305">
      <w:pPr>
        <w:tabs>
          <w:tab w:val="left" w:pos="0"/>
        </w:tabs>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2.澄清（或答疑）文件</w:t>
      </w:r>
    </w:p>
    <w:p w14:paraId="7D50639F">
      <w:pPr>
        <w:tabs>
          <w:tab w:val="left" w:pos="0"/>
        </w:tabs>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w:t>
      </w:r>
      <w:r>
        <w:rPr>
          <w:rFonts w:hint="eastAsia" w:ascii="宋体" w:hAnsi="宋体" w:eastAsia="宋体" w:cs="宋体"/>
          <w:sz w:val="24"/>
          <w:highlight w:val="none"/>
          <w:lang w:eastAsia="zh-CN"/>
        </w:rPr>
        <w:t>响应</w:t>
      </w:r>
      <w:r>
        <w:rPr>
          <w:rFonts w:hint="eastAsia" w:ascii="宋体" w:hAnsi="宋体" w:eastAsia="宋体" w:cs="宋体"/>
          <w:sz w:val="24"/>
          <w:highlight w:val="none"/>
        </w:rPr>
        <w:t>文件</w:t>
      </w:r>
    </w:p>
    <w:p w14:paraId="5D6DFDAE">
      <w:pPr>
        <w:tabs>
          <w:tab w:val="left" w:pos="0"/>
        </w:tabs>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4.中标（成交）通知书</w:t>
      </w:r>
    </w:p>
    <w:p w14:paraId="3194E8F0">
      <w:pPr>
        <w:tabs>
          <w:tab w:val="left" w:pos="0"/>
        </w:tabs>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5.其他</w:t>
      </w:r>
    </w:p>
    <w:p w14:paraId="54D1DDE6">
      <w:pPr>
        <w:ind w:firstLine="480" w:firstLineChars="200"/>
        <w:rPr>
          <w:rFonts w:ascii="宋体" w:hAnsi="宋体" w:eastAsia="宋体" w:cs="宋体"/>
          <w:sz w:val="24"/>
          <w:highlight w:val="none"/>
        </w:rPr>
      </w:pPr>
      <w:r>
        <w:rPr>
          <w:rFonts w:hint="eastAsia" w:ascii="宋体" w:hAnsi="宋体" w:eastAsia="宋体" w:cs="宋体"/>
          <w:sz w:val="24"/>
          <w:highlight w:val="none"/>
        </w:rPr>
        <w:t>（以下无正文）</w:t>
      </w:r>
      <w:r>
        <w:rPr>
          <w:rFonts w:hint="eastAsia" w:ascii="宋体" w:hAnsi="宋体" w:eastAsia="宋体" w:cs="宋体"/>
          <w:sz w:val="24"/>
          <w:highlight w:val="none"/>
        </w:rPr>
        <w:br w:type="page"/>
      </w:r>
    </w:p>
    <w:p w14:paraId="2450CB89">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ascii="宋体" w:hAnsi="宋体" w:eastAsia="宋体" w:cs="宋体"/>
          <w:sz w:val="24"/>
          <w:highlight w:val="none"/>
        </w:rPr>
      </w:pPr>
      <w:r>
        <w:rPr>
          <w:rFonts w:hint="eastAsia" w:ascii="宋体" w:hAnsi="宋体" w:eastAsia="宋体" w:cs="宋体"/>
          <w:sz w:val="24"/>
          <w:highlight w:val="none"/>
        </w:rPr>
        <w:t>甲方：</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乙方：</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（盖章） </w:t>
      </w:r>
    </w:p>
    <w:p w14:paraId="410A3DC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rPr>
        <w:t>法定代表人（授权代表）：</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法定代表人（授权代表）：</w:t>
      </w:r>
      <w:r>
        <w:rPr>
          <w:rFonts w:hint="eastAsia" w:ascii="宋体" w:hAnsi="宋体" w:eastAsia="宋体" w:cs="宋体"/>
          <w:sz w:val="24"/>
          <w:highlight w:val="none"/>
          <w:u w:val="single"/>
          <w:lang w:val="en-US" w:eastAsia="zh-CN"/>
        </w:rPr>
        <w:t xml:space="preserve">          </w:t>
      </w:r>
    </w:p>
    <w:p w14:paraId="4A4F6C8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rPr>
        <w:t>地    址：</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地    址：</w:t>
      </w:r>
      <w:r>
        <w:rPr>
          <w:rFonts w:hint="eastAsia" w:ascii="宋体" w:hAnsi="宋体" w:eastAsia="宋体" w:cs="宋体"/>
          <w:sz w:val="24"/>
          <w:highlight w:val="none"/>
          <w:u w:val="single"/>
          <w:lang w:val="en-US" w:eastAsia="zh-CN"/>
        </w:rPr>
        <w:t xml:space="preserve">                        </w:t>
      </w:r>
    </w:p>
    <w:p w14:paraId="61A5CB8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rPr>
        <w:t>开户银行：</w:t>
      </w:r>
      <w:r>
        <w:rPr>
          <w:rFonts w:hint="eastAsia" w:ascii="宋体" w:hAnsi="宋体" w:eastAsia="宋体" w:cs="宋体"/>
          <w:sz w:val="24"/>
          <w:highlight w:val="none"/>
          <w:u w:val="singl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开户银行：</w:t>
      </w:r>
      <w:r>
        <w:rPr>
          <w:rFonts w:hint="eastAsia" w:ascii="宋体" w:hAnsi="宋体" w:eastAsia="宋体" w:cs="宋体"/>
          <w:sz w:val="24"/>
          <w:highlight w:val="none"/>
          <w:u w:val="single"/>
          <w:lang w:val="en-US" w:eastAsia="zh-CN"/>
        </w:rPr>
        <w:t xml:space="preserve">                        </w:t>
      </w:r>
    </w:p>
    <w:p w14:paraId="60A6CC3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eastAsia="宋体" w:cs="宋体"/>
          <w:sz w:val="24"/>
          <w:highlight w:val="none"/>
        </w:rPr>
      </w:pPr>
      <w:r>
        <w:rPr>
          <w:rFonts w:hint="eastAsia" w:ascii="宋体" w:hAnsi="宋体" w:eastAsia="宋体" w:cs="宋体"/>
          <w:sz w:val="24"/>
          <w:highlight w:val="none"/>
        </w:rPr>
        <w:t>账号：</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 xml:space="preserve">   账号：</w:t>
      </w:r>
      <w:r>
        <w:rPr>
          <w:rFonts w:hint="eastAsia" w:ascii="宋体" w:hAnsi="宋体" w:eastAsia="宋体" w:cs="宋体"/>
          <w:sz w:val="24"/>
          <w:highlight w:val="none"/>
          <w:u w:val="single"/>
          <w:lang w:val="en-US" w:eastAsia="zh-CN"/>
        </w:rPr>
        <w:t xml:space="preserve">                           </w:t>
      </w:r>
    </w:p>
    <w:p w14:paraId="4835F69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eastAsia="宋体" w:cs="宋体"/>
          <w:b/>
          <w:bCs/>
          <w:sz w:val="24"/>
          <w:highlight w:val="none"/>
        </w:rPr>
      </w:pPr>
      <w:r>
        <w:rPr>
          <w:rFonts w:hint="eastAsia" w:ascii="宋体" w:hAnsi="宋体" w:eastAsia="宋体" w:cs="宋体"/>
          <w:sz w:val="24"/>
          <w:highlight w:val="none"/>
        </w:rPr>
        <w:t>电    话：</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电    话：</w:t>
      </w:r>
      <w:r>
        <w:rPr>
          <w:rFonts w:hint="eastAsia" w:ascii="宋体" w:hAnsi="宋体" w:eastAsia="宋体" w:cs="宋体"/>
          <w:sz w:val="24"/>
          <w:highlight w:val="none"/>
          <w:u w:val="single"/>
          <w:lang w:val="en-US" w:eastAsia="zh-CN"/>
        </w:rPr>
        <w:t xml:space="preserve">                        </w:t>
      </w:r>
    </w:p>
    <w:p w14:paraId="2380F98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eastAsia="宋体" w:cs="宋体"/>
          <w:b/>
          <w:bCs/>
          <w:sz w:val="24"/>
          <w:highlight w:val="none"/>
        </w:rPr>
      </w:pPr>
      <w:r>
        <w:rPr>
          <w:rFonts w:hint="eastAsia" w:ascii="宋体" w:hAnsi="宋体" w:eastAsia="宋体" w:cs="宋体"/>
          <w:sz w:val="24"/>
          <w:highlight w:val="none"/>
        </w:rPr>
        <w:t>传    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传    真：</w:t>
      </w:r>
      <w:r>
        <w:rPr>
          <w:rFonts w:hint="eastAsia" w:ascii="宋体" w:hAnsi="宋体" w:eastAsia="宋体" w:cs="宋体"/>
          <w:sz w:val="24"/>
          <w:highlight w:val="none"/>
          <w:u w:val="single"/>
          <w:lang w:val="en-US" w:eastAsia="zh-CN"/>
        </w:rPr>
        <w:t xml:space="preserve">                        </w:t>
      </w:r>
    </w:p>
    <w:p w14:paraId="58CEF5CE">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Ansi="宋体" w:eastAsia="宋体" w:cs="宋体"/>
          <w:sz w:val="24"/>
          <w:highlight w:val="none"/>
        </w:rPr>
      </w:pPr>
    </w:p>
    <w:p w14:paraId="0230E720">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Ansi="宋体" w:eastAsia="宋体" w:cs="宋体"/>
          <w:b/>
          <w:bCs/>
          <w:sz w:val="24"/>
          <w:highlight w:val="none"/>
        </w:rPr>
      </w:pPr>
      <w:r>
        <w:rPr>
          <w:rFonts w:hint="eastAsia" w:hAnsi="宋体" w:eastAsia="宋体" w:cs="宋体"/>
          <w:sz w:val="24"/>
          <w:highlight w:val="none"/>
        </w:rPr>
        <w:t>签约日期：</w:t>
      </w:r>
      <w:r>
        <w:rPr>
          <w:rFonts w:hint="eastAsia" w:hAnsi="宋体" w:eastAsia="宋体" w:cs="宋体"/>
          <w:color w:val="000000"/>
          <w:sz w:val="24"/>
          <w:highlight w:val="none"/>
          <w:u w:val="single"/>
        </w:rPr>
        <w:t xml:space="preserve">    </w:t>
      </w:r>
      <w:r>
        <w:rPr>
          <w:rFonts w:hint="eastAsia" w:hAnsi="宋体" w:eastAsia="宋体" w:cs="宋体"/>
          <w:sz w:val="24"/>
          <w:highlight w:val="none"/>
        </w:rPr>
        <w:t>年</w:t>
      </w:r>
      <w:r>
        <w:rPr>
          <w:rFonts w:hint="eastAsia" w:hAnsi="宋体" w:eastAsia="宋体" w:cs="宋体"/>
          <w:color w:val="000000"/>
          <w:sz w:val="24"/>
          <w:highlight w:val="none"/>
          <w:u w:val="single"/>
        </w:rPr>
        <w:t xml:space="preserve">  </w:t>
      </w:r>
      <w:r>
        <w:rPr>
          <w:rFonts w:hint="eastAsia" w:hAnsi="宋体" w:eastAsia="宋体" w:cs="宋体"/>
          <w:color w:val="000000"/>
          <w:sz w:val="24"/>
          <w:highlight w:val="none"/>
          <w:u w:val="single"/>
          <w:lang w:val="en-US" w:eastAsia="zh-CN"/>
        </w:rPr>
        <w:t xml:space="preserve"> </w:t>
      </w:r>
      <w:r>
        <w:rPr>
          <w:rFonts w:hint="eastAsia" w:hAnsi="宋体" w:eastAsia="宋体" w:cs="宋体"/>
          <w:color w:val="000000"/>
          <w:sz w:val="24"/>
          <w:highlight w:val="none"/>
          <w:u w:val="single"/>
        </w:rPr>
        <w:t xml:space="preserve"> </w:t>
      </w:r>
      <w:r>
        <w:rPr>
          <w:rFonts w:hint="eastAsia" w:hAnsi="宋体" w:eastAsia="宋体" w:cs="宋体"/>
          <w:sz w:val="24"/>
          <w:highlight w:val="none"/>
        </w:rPr>
        <w:t>月</w:t>
      </w:r>
      <w:r>
        <w:rPr>
          <w:rFonts w:hint="eastAsia" w:hAnsi="宋体" w:eastAsia="宋体" w:cs="宋体"/>
          <w:color w:val="000000"/>
          <w:sz w:val="24"/>
          <w:highlight w:val="none"/>
          <w:u w:val="single"/>
        </w:rPr>
        <w:t xml:space="preserve">    </w:t>
      </w:r>
      <w:r>
        <w:rPr>
          <w:rFonts w:hint="eastAsia" w:hAnsi="宋体" w:eastAsia="宋体" w:cs="宋体"/>
          <w:sz w:val="24"/>
          <w:highlight w:val="none"/>
        </w:rPr>
        <w:t xml:space="preserve">日 </w:t>
      </w:r>
      <w:r>
        <w:rPr>
          <w:rFonts w:hint="eastAsia" w:hAnsi="宋体" w:eastAsia="宋体" w:cs="宋体"/>
          <w:sz w:val="24"/>
          <w:highlight w:val="none"/>
          <w:lang w:val="en-US" w:eastAsia="zh-CN"/>
        </w:rPr>
        <w:t xml:space="preserve">        </w:t>
      </w:r>
      <w:r>
        <w:rPr>
          <w:rFonts w:hint="eastAsia" w:hAnsi="宋体" w:eastAsia="宋体" w:cs="宋体"/>
          <w:sz w:val="24"/>
          <w:highlight w:val="none"/>
        </w:rPr>
        <w:t>签约日期：</w:t>
      </w:r>
      <w:r>
        <w:rPr>
          <w:rFonts w:hint="eastAsia" w:hAnsi="宋体" w:eastAsia="宋体" w:cs="宋体"/>
          <w:color w:val="000000"/>
          <w:sz w:val="24"/>
          <w:highlight w:val="none"/>
          <w:u w:val="single"/>
        </w:rPr>
        <w:t xml:space="preserve">    </w:t>
      </w:r>
      <w:r>
        <w:rPr>
          <w:rFonts w:hint="eastAsia" w:hAnsi="宋体" w:eastAsia="宋体" w:cs="宋体"/>
          <w:sz w:val="24"/>
          <w:highlight w:val="none"/>
        </w:rPr>
        <w:t>年</w:t>
      </w:r>
      <w:r>
        <w:rPr>
          <w:rFonts w:hint="eastAsia" w:hAnsi="宋体" w:eastAsia="宋体" w:cs="宋体"/>
          <w:color w:val="000000"/>
          <w:sz w:val="24"/>
          <w:highlight w:val="none"/>
          <w:u w:val="single"/>
        </w:rPr>
        <w:t xml:space="preserve">  </w:t>
      </w:r>
      <w:r>
        <w:rPr>
          <w:rFonts w:hint="eastAsia" w:hAnsi="宋体" w:eastAsia="宋体" w:cs="宋体"/>
          <w:color w:val="000000"/>
          <w:sz w:val="24"/>
          <w:highlight w:val="none"/>
          <w:u w:val="single"/>
          <w:lang w:val="en-US" w:eastAsia="zh-CN"/>
        </w:rPr>
        <w:t xml:space="preserve"> </w:t>
      </w:r>
      <w:r>
        <w:rPr>
          <w:rFonts w:hint="eastAsia" w:hAnsi="宋体" w:eastAsia="宋体" w:cs="宋体"/>
          <w:color w:val="000000"/>
          <w:sz w:val="24"/>
          <w:highlight w:val="none"/>
          <w:u w:val="single"/>
        </w:rPr>
        <w:t xml:space="preserve"> </w:t>
      </w:r>
      <w:r>
        <w:rPr>
          <w:rFonts w:hint="eastAsia" w:hAnsi="宋体" w:eastAsia="宋体" w:cs="宋体"/>
          <w:sz w:val="24"/>
          <w:highlight w:val="none"/>
        </w:rPr>
        <w:t>月</w:t>
      </w:r>
      <w:r>
        <w:rPr>
          <w:rFonts w:hint="eastAsia" w:hAnsi="宋体" w:eastAsia="宋体" w:cs="宋体"/>
          <w:color w:val="000000"/>
          <w:sz w:val="24"/>
          <w:highlight w:val="none"/>
          <w:u w:val="single"/>
        </w:rPr>
        <w:t xml:space="preserve">    </w:t>
      </w:r>
      <w:r>
        <w:rPr>
          <w:rFonts w:hint="eastAsia" w:hAnsi="宋体" w:eastAsia="宋体" w:cs="宋体"/>
          <w:sz w:val="24"/>
          <w:highlight w:val="none"/>
        </w:rPr>
        <w:t>日</w:t>
      </w:r>
    </w:p>
    <w:p w14:paraId="15C98A07">
      <w:pPr>
        <w:spacing w:line="360" w:lineRule="auto"/>
        <w:rPr>
          <w:rFonts w:ascii="宋体" w:hAnsi="宋体" w:eastAsia="宋体" w:cs="宋体"/>
          <w:bCs/>
          <w:szCs w:val="44"/>
          <w:highlight w:val="none"/>
        </w:rPr>
      </w:pPr>
      <w:r>
        <w:rPr>
          <w:rFonts w:hint="eastAsia" w:ascii="宋体" w:hAnsi="宋体" w:eastAsia="宋体" w:cs="宋体"/>
          <w:b/>
          <w:sz w:val="24"/>
          <w:highlight w:val="none"/>
        </w:rPr>
        <w:t xml:space="preserve"> </w:t>
      </w:r>
    </w:p>
    <w:p w14:paraId="6ADED9E8">
      <w:pPr>
        <w:pStyle w:val="2"/>
        <w:ind w:firstLine="482" w:firstLineChars="200"/>
        <w:rPr>
          <w:rFonts w:hint="eastAsia" w:ascii="宋体" w:hAnsi="宋体" w:eastAsia="宋体" w:cs="宋体"/>
          <w:sz w:val="24"/>
          <w:szCs w:val="24"/>
          <w:highlight w:val="none"/>
          <w:u w:val="single"/>
        </w:rPr>
      </w:pPr>
      <w:bookmarkStart w:id="52" w:name="_Toc25031"/>
      <w:bookmarkStart w:id="53" w:name="_Toc22835"/>
      <w:r>
        <w:rPr>
          <w:rFonts w:hint="eastAsia" w:ascii="宋体" w:hAnsi="宋体" w:eastAsia="宋体" w:cs="宋体"/>
          <w:sz w:val="24"/>
          <w:szCs w:val="24"/>
          <w:highlight w:val="none"/>
        </w:rPr>
        <w:t>签订地点：</w:t>
      </w:r>
      <w:bookmarkEnd w:id="52"/>
      <w:bookmarkEnd w:id="53"/>
      <w:r>
        <w:rPr>
          <w:rFonts w:hint="eastAsia" w:ascii="宋体" w:hAnsi="宋体" w:eastAsia="宋体" w:cs="宋体"/>
          <w:sz w:val="24"/>
          <w:szCs w:val="24"/>
          <w:highlight w:val="none"/>
          <w:u w:val="single"/>
        </w:rPr>
        <w:t xml:space="preserve">                       </w:t>
      </w:r>
    </w:p>
    <w:p w14:paraId="24FC1B5D">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rPr>
        <w:br w:type="page"/>
      </w:r>
      <w:r>
        <w:rPr>
          <w:rFonts w:hint="eastAsia" w:ascii="宋体" w:hAnsi="宋体" w:eastAsia="宋体" w:cs="宋体"/>
          <w:b/>
          <w:bCs/>
          <w:sz w:val="24"/>
          <w:szCs w:val="24"/>
          <w:highlight w:val="none"/>
          <w:u w:val="none"/>
          <w:lang w:val="en-US" w:eastAsia="zh-CN"/>
        </w:rPr>
        <w:t>附件：</w:t>
      </w:r>
    </w:p>
    <w:p w14:paraId="2E4965D0">
      <w:pPr>
        <w:tabs>
          <w:tab w:val="left" w:pos="0"/>
        </w:tabs>
        <w:spacing w:line="360" w:lineRule="auto"/>
        <w:ind w:firstLine="480" w:firstLineChars="200"/>
        <w:jc w:val="cente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陕西省结核病防治院</w:t>
      </w:r>
    </w:p>
    <w:p w14:paraId="40385023">
      <w:pPr>
        <w:tabs>
          <w:tab w:val="left" w:pos="0"/>
        </w:tabs>
        <w:spacing w:line="360" w:lineRule="auto"/>
        <w:ind w:firstLine="480" w:firstLineChars="200"/>
        <w:jc w:val="center"/>
        <w:rPr>
          <w:rFonts w:hint="eastAsia" w:ascii="宋体" w:hAnsi="宋体" w:eastAsia="宋体" w:cs="宋体"/>
          <w:sz w:val="24"/>
          <w:highlight w:val="none"/>
        </w:rPr>
      </w:pPr>
      <w:r>
        <w:rPr>
          <w:rFonts w:hint="eastAsia" w:ascii="宋体" w:hAnsi="宋体" w:eastAsia="宋体" w:cs="宋体"/>
          <w:sz w:val="24"/>
          <w:highlight w:val="none"/>
          <w:lang w:eastAsia="zh-CN"/>
        </w:rPr>
        <w:t>受委</w:t>
      </w:r>
      <w:r>
        <w:rPr>
          <w:rFonts w:hint="eastAsia" w:ascii="宋体" w:hAnsi="宋体" w:eastAsia="宋体" w:cs="宋体"/>
          <w:sz w:val="24"/>
          <w:highlight w:val="none"/>
        </w:rPr>
        <w:t>托实验室检测质量考核记录表</w:t>
      </w:r>
    </w:p>
    <w:p w14:paraId="25BE15E9">
      <w:pPr>
        <w:jc w:val="both"/>
        <w:rPr>
          <w:rFonts w:hint="eastAsia" w:ascii="宋体" w:hAnsi="宋体" w:eastAsia="宋体" w:cs="宋体"/>
          <w:sz w:val="28"/>
          <w:szCs w:val="28"/>
          <w:highlight w:val="none"/>
          <w:lang w:eastAsia="zh-CN"/>
        </w:rPr>
      </w:pPr>
      <w:r>
        <w:rPr>
          <w:rFonts w:ascii="宋体" w:hAnsi="宋体" w:eastAsia="宋体" w:cs="宋体"/>
          <w:sz w:val="28"/>
          <w:szCs w:val="28"/>
          <w:highlight w:val="none"/>
        </w:rPr>
        <w:t>被考核单位</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 xml:space="preserve">                                      </w:t>
      </w:r>
      <w:r>
        <w:rPr>
          <w:rFonts w:ascii="宋体" w:hAnsi="宋体" w:eastAsia="宋体" w:cs="宋体"/>
          <w:sz w:val="28"/>
          <w:szCs w:val="28"/>
          <w:highlight w:val="none"/>
        </w:rPr>
        <w:t>考核日期</w:t>
      </w:r>
      <w:r>
        <w:rPr>
          <w:rFonts w:hint="eastAsia" w:ascii="宋体" w:hAnsi="宋体" w:eastAsia="宋体" w:cs="宋体"/>
          <w:sz w:val="28"/>
          <w:szCs w:val="28"/>
          <w:highlight w:val="none"/>
          <w:lang w:eastAsia="zh-CN"/>
        </w:rPr>
        <w:t>：</w:t>
      </w:r>
    </w:p>
    <w:tbl>
      <w:tblPr>
        <w:tblStyle w:val="8"/>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5661"/>
        <w:gridCol w:w="2439"/>
      </w:tblGrid>
      <w:tr w14:paraId="16D70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846" w:type="dxa"/>
            <w:noWrap w:val="0"/>
            <w:vAlign w:val="top"/>
          </w:tcPr>
          <w:p w14:paraId="6F923A1D">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序号</w:t>
            </w:r>
          </w:p>
        </w:tc>
        <w:tc>
          <w:tcPr>
            <w:tcW w:w="5661" w:type="dxa"/>
            <w:noWrap w:val="0"/>
            <w:vAlign w:val="top"/>
          </w:tcPr>
          <w:p w14:paraId="4597239E">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highlight w:val="none"/>
                <w:vertAlign w:val="baseline"/>
                <w:lang w:eastAsia="zh-CN"/>
              </w:rPr>
            </w:pPr>
            <w:r>
              <w:rPr>
                <w:rFonts w:hint="eastAsia" w:ascii="宋体" w:hAnsi="宋体" w:eastAsia="宋体" w:cs="宋体"/>
                <w:sz w:val="24"/>
                <w:szCs w:val="24"/>
                <w:highlight w:val="none"/>
                <w:vertAlign w:val="baseline"/>
                <w:lang w:eastAsia="zh-CN"/>
              </w:rPr>
              <w:t>标准</w:t>
            </w:r>
          </w:p>
        </w:tc>
        <w:tc>
          <w:tcPr>
            <w:tcW w:w="2439" w:type="dxa"/>
            <w:noWrap w:val="0"/>
            <w:vAlign w:val="top"/>
          </w:tcPr>
          <w:p w14:paraId="10ACA9F3">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highlight w:val="none"/>
                <w:vertAlign w:val="baseline"/>
                <w:lang w:eastAsia="zh-CN"/>
              </w:rPr>
            </w:pPr>
            <w:r>
              <w:rPr>
                <w:rFonts w:hint="eastAsia" w:ascii="宋体" w:hAnsi="宋体" w:eastAsia="宋体" w:cs="宋体"/>
                <w:sz w:val="24"/>
                <w:szCs w:val="24"/>
                <w:highlight w:val="none"/>
                <w:vertAlign w:val="baseline"/>
                <w:lang w:eastAsia="zh-CN"/>
              </w:rPr>
              <w:t>结果</w:t>
            </w:r>
          </w:p>
        </w:tc>
      </w:tr>
      <w:tr w14:paraId="35EB6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846" w:type="dxa"/>
            <w:noWrap w:val="0"/>
            <w:vAlign w:val="top"/>
          </w:tcPr>
          <w:p w14:paraId="35CF008E">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w:t>
            </w:r>
          </w:p>
        </w:tc>
        <w:tc>
          <w:tcPr>
            <w:tcW w:w="5661" w:type="dxa"/>
            <w:noWrap w:val="0"/>
            <w:vAlign w:val="top"/>
          </w:tcPr>
          <w:p w14:paraId="09D33B7D">
            <w:pPr>
              <w:keepNext w:val="0"/>
              <w:keepLines w:val="0"/>
              <w:pageBreakBefore w:val="0"/>
              <w:kinsoku/>
              <w:wordWrap/>
              <w:overflowPunct/>
              <w:topLinePunct w:val="0"/>
              <w:autoSpaceDE/>
              <w:autoSpaceDN/>
              <w:bidi w:val="0"/>
              <w:adjustRightInd/>
              <w:snapToGrid/>
              <w:spacing w:line="380" w:lineRule="exact"/>
              <w:textAlignment w:val="auto"/>
              <w:rPr>
                <w:rFonts w:ascii="宋体" w:hAnsi="宋体" w:eastAsia="宋体" w:cs="宋体"/>
                <w:sz w:val="24"/>
                <w:szCs w:val="24"/>
                <w:highlight w:val="none"/>
                <w:vertAlign w:val="baseline"/>
              </w:rPr>
            </w:pPr>
            <w:r>
              <w:rPr>
                <w:rFonts w:hint="eastAsia" w:ascii="宋体" w:hAnsi="宋体" w:eastAsia="宋体" w:cs="宋体"/>
                <w:sz w:val="24"/>
                <w:szCs w:val="24"/>
                <w:highlight w:val="none"/>
                <w:vertAlign w:val="baseline"/>
              </w:rPr>
              <w:t>实验室是否通过 ISO15189 认可</w:t>
            </w:r>
          </w:p>
        </w:tc>
        <w:tc>
          <w:tcPr>
            <w:tcW w:w="2439" w:type="dxa"/>
            <w:noWrap w:val="0"/>
            <w:vAlign w:val="top"/>
          </w:tcPr>
          <w:p w14:paraId="5C72DD5D">
            <w:pPr>
              <w:keepNext w:val="0"/>
              <w:keepLines w:val="0"/>
              <w:pageBreakBefore w:val="0"/>
              <w:kinsoku/>
              <w:wordWrap/>
              <w:overflowPunct/>
              <w:topLinePunct w:val="0"/>
              <w:autoSpaceDE/>
              <w:autoSpaceDN/>
              <w:bidi w:val="0"/>
              <w:adjustRightInd/>
              <w:snapToGrid/>
              <w:spacing w:line="380" w:lineRule="exact"/>
              <w:jc w:val="center"/>
              <w:textAlignment w:val="auto"/>
              <w:rPr>
                <w:rFonts w:ascii="宋体" w:hAnsi="宋体" w:eastAsia="宋体" w:cs="宋体"/>
                <w:sz w:val="24"/>
                <w:szCs w:val="24"/>
                <w:highlight w:val="none"/>
                <w:vertAlign w:val="baseline"/>
              </w:rPr>
            </w:pPr>
            <w:r>
              <w:rPr>
                <w:rFonts w:ascii="宋体" w:hAnsi="宋体" w:eastAsia="宋体" w:cs="宋体"/>
                <w:sz w:val="24"/>
                <w:szCs w:val="24"/>
                <w:highlight w:val="none"/>
              </w:rPr>
              <w:t>□是 □否 □不适用</w:t>
            </w:r>
          </w:p>
        </w:tc>
      </w:tr>
      <w:tr w14:paraId="293F9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846" w:type="dxa"/>
            <w:noWrap w:val="0"/>
            <w:vAlign w:val="top"/>
          </w:tcPr>
          <w:p w14:paraId="5A46678F">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2</w:t>
            </w:r>
          </w:p>
        </w:tc>
        <w:tc>
          <w:tcPr>
            <w:tcW w:w="5661" w:type="dxa"/>
            <w:noWrap w:val="0"/>
            <w:vAlign w:val="top"/>
          </w:tcPr>
          <w:p w14:paraId="3AD7DF79">
            <w:pPr>
              <w:keepNext w:val="0"/>
              <w:keepLines w:val="0"/>
              <w:pageBreakBefore w:val="0"/>
              <w:kinsoku/>
              <w:wordWrap/>
              <w:overflowPunct/>
              <w:topLinePunct w:val="0"/>
              <w:autoSpaceDE/>
              <w:autoSpaceDN/>
              <w:bidi w:val="0"/>
              <w:adjustRightInd/>
              <w:snapToGrid/>
              <w:spacing w:line="380" w:lineRule="exact"/>
              <w:textAlignment w:val="auto"/>
              <w:rPr>
                <w:rFonts w:ascii="宋体" w:hAnsi="宋体" w:eastAsia="宋体" w:cs="宋体"/>
                <w:sz w:val="24"/>
                <w:szCs w:val="24"/>
                <w:highlight w:val="none"/>
                <w:vertAlign w:val="baseline"/>
              </w:rPr>
            </w:pPr>
            <w:r>
              <w:rPr>
                <w:rFonts w:hint="eastAsia" w:ascii="宋体" w:hAnsi="宋体" w:eastAsia="宋体" w:cs="宋体"/>
                <w:sz w:val="24"/>
                <w:szCs w:val="24"/>
                <w:highlight w:val="none"/>
                <w:vertAlign w:val="baseline"/>
              </w:rPr>
              <w:t>实验室技术人员是否具有相应资质</w:t>
            </w:r>
          </w:p>
        </w:tc>
        <w:tc>
          <w:tcPr>
            <w:tcW w:w="2439" w:type="dxa"/>
            <w:noWrap w:val="0"/>
            <w:vAlign w:val="top"/>
          </w:tcPr>
          <w:p w14:paraId="284F9515">
            <w:pPr>
              <w:keepNext w:val="0"/>
              <w:keepLines w:val="0"/>
              <w:pageBreakBefore w:val="0"/>
              <w:kinsoku/>
              <w:wordWrap/>
              <w:overflowPunct/>
              <w:topLinePunct w:val="0"/>
              <w:autoSpaceDE/>
              <w:autoSpaceDN/>
              <w:bidi w:val="0"/>
              <w:adjustRightInd/>
              <w:snapToGrid/>
              <w:spacing w:line="380" w:lineRule="exact"/>
              <w:jc w:val="center"/>
              <w:textAlignment w:val="auto"/>
              <w:rPr>
                <w:rFonts w:ascii="宋体" w:hAnsi="宋体" w:eastAsia="宋体" w:cs="宋体"/>
                <w:sz w:val="24"/>
                <w:szCs w:val="24"/>
                <w:highlight w:val="none"/>
                <w:vertAlign w:val="baseline"/>
              </w:rPr>
            </w:pPr>
            <w:r>
              <w:rPr>
                <w:rFonts w:ascii="宋体" w:hAnsi="宋体" w:eastAsia="宋体" w:cs="宋体"/>
                <w:sz w:val="24"/>
                <w:szCs w:val="24"/>
                <w:highlight w:val="none"/>
              </w:rPr>
              <w:t>□是 □否</w:t>
            </w:r>
          </w:p>
        </w:tc>
      </w:tr>
      <w:tr w14:paraId="6CAB2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846" w:type="dxa"/>
            <w:noWrap w:val="0"/>
            <w:vAlign w:val="top"/>
          </w:tcPr>
          <w:p w14:paraId="098C7E35">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3</w:t>
            </w:r>
          </w:p>
        </w:tc>
        <w:tc>
          <w:tcPr>
            <w:tcW w:w="5661" w:type="dxa"/>
            <w:noWrap w:val="0"/>
            <w:vAlign w:val="top"/>
          </w:tcPr>
          <w:p w14:paraId="41475826">
            <w:pPr>
              <w:keepNext w:val="0"/>
              <w:keepLines w:val="0"/>
              <w:pageBreakBefore w:val="0"/>
              <w:kinsoku/>
              <w:wordWrap/>
              <w:overflowPunct/>
              <w:topLinePunct w:val="0"/>
              <w:autoSpaceDE/>
              <w:autoSpaceDN/>
              <w:bidi w:val="0"/>
              <w:adjustRightInd/>
              <w:snapToGrid/>
              <w:spacing w:line="380" w:lineRule="exact"/>
              <w:textAlignment w:val="auto"/>
              <w:rPr>
                <w:rFonts w:ascii="宋体" w:hAnsi="宋体" w:eastAsia="宋体" w:cs="宋体"/>
                <w:sz w:val="24"/>
                <w:szCs w:val="24"/>
                <w:highlight w:val="none"/>
                <w:vertAlign w:val="baseline"/>
              </w:rPr>
            </w:pPr>
            <w:r>
              <w:rPr>
                <w:rFonts w:hint="eastAsia"/>
                <w:sz w:val="24"/>
                <w:szCs w:val="24"/>
                <w:highlight w:val="none"/>
              </w:rPr>
              <w:t>实验室是否有完整的室内质量控制文件体系</w:t>
            </w:r>
          </w:p>
        </w:tc>
        <w:tc>
          <w:tcPr>
            <w:tcW w:w="2439" w:type="dxa"/>
            <w:noWrap w:val="0"/>
            <w:vAlign w:val="top"/>
          </w:tcPr>
          <w:p w14:paraId="649DEDB7">
            <w:pPr>
              <w:keepNext w:val="0"/>
              <w:keepLines w:val="0"/>
              <w:pageBreakBefore w:val="0"/>
              <w:kinsoku/>
              <w:wordWrap/>
              <w:overflowPunct/>
              <w:topLinePunct w:val="0"/>
              <w:autoSpaceDE/>
              <w:autoSpaceDN/>
              <w:bidi w:val="0"/>
              <w:adjustRightInd/>
              <w:snapToGrid/>
              <w:spacing w:line="380" w:lineRule="exact"/>
              <w:jc w:val="center"/>
              <w:textAlignment w:val="auto"/>
              <w:rPr>
                <w:rFonts w:ascii="宋体" w:hAnsi="宋体" w:eastAsia="宋体" w:cs="宋体"/>
                <w:sz w:val="24"/>
                <w:szCs w:val="24"/>
                <w:highlight w:val="none"/>
                <w:vertAlign w:val="baseline"/>
              </w:rPr>
            </w:pPr>
            <w:r>
              <w:rPr>
                <w:rFonts w:ascii="宋体" w:hAnsi="宋体" w:eastAsia="宋体" w:cs="宋体"/>
                <w:sz w:val="24"/>
                <w:szCs w:val="24"/>
                <w:highlight w:val="none"/>
              </w:rPr>
              <w:t>□是 □否</w:t>
            </w:r>
          </w:p>
        </w:tc>
      </w:tr>
      <w:tr w14:paraId="26B54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846" w:type="dxa"/>
            <w:noWrap w:val="0"/>
            <w:vAlign w:val="top"/>
          </w:tcPr>
          <w:p w14:paraId="4AEE9024">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4</w:t>
            </w:r>
          </w:p>
        </w:tc>
        <w:tc>
          <w:tcPr>
            <w:tcW w:w="5661" w:type="dxa"/>
            <w:noWrap w:val="0"/>
            <w:vAlign w:val="top"/>
          </w:tcPr>
          <w:p w14:paraId="7214D6AF">
            <w:pPr>
              <w:keepNext w:val="0"/>
              <w:keepLines w:val="0"/>
              <w:pageBreakBefore w:val="0"/>
              <w:kinsoku/>
              <w:wordWrap/>
              <w:overflowPunct/>
              <w:topLinePunct w:val="0"/>
              <w:autoSpaceDE/>
              <w:autoSpaceDN/>
              <w:bidi w:val="0"/>
              <w:adjustRightInd/>
              <w:snapToGrid/>
              <w:spacing w:line="380" w:lineRule="exact"/>
              <w:textAlignment w:val="auto"/>
              <w:rPr>
                <w:rFonts w:ascii="宋体" w:hAnsi="宋体" w:eastAsia="宋体" w:cs="宋体"/>
                <w:sz w:val="24"/>
                <w:szCs w:val="24"/>
                <w:highlight w:val="none"/>
                <w:vertAlign w:val="baseline"/>
              </w:rPr>
            </w:pPr>
            <w:r>
              <w:rPr>
                <w:rFonts w:hint="eastAsia"/>
                <w:sz w:val="24"/>
                <w:szCs w:val="24"/>
                <w:highlight w:val="none"/>
              </w:rPr>
              <w:t>分析系统 (试剂、校准物、质控物、仪器和方法) 是否符合标本检测的需要</w:t>
            </w:r>
          </w:p>
        </w:tc>
        <w:tc>
          <w:tcPr>
            <w:tcW w:w="2439" w:type="dxa"/>
            <w:noWrap w:val="0"/>
            <w:vAlign w:val="top"/>
          </w:tcPr>
          <w:p w14:paraId="4ABC444E">
            <w:pPr>
              <w:keepNext w:val="0"/>
              <w:keepLines w:val="0"/>
              <w:pageBreakBefore w:val="0"/>
              <w:kinsoku/>
              <w:wordWrap/>
              <w:overflowPunct/>
              <w:topLinePunct w:val="0"/>
              <w:autoSpaceDE/>
              <w:autoSpaceDN/>
              <w:bidi w:val="0"/>
              <w:adjustRightInd/>
              <w:snapToGrid/>
              <w:spacing w:line="380" w:lineRule="exact"/>
              <w:jc w:val="center"/>
              <w:textAlignment w:val="auto"/>
              <w:rPr>
                <w:rFonts w:ascii="宋体" w:hAnsi="宋体" w:eastAsia="宋体" w:cs="宋体"/>
                <w:sz w:val="24"/>
                <w:szCs w:val="24"/>
                <w:highlight w:val="none"/>
                <w:vertAlign w:val="baseline"/>
              </w:rPr>
            </w:pPr>
            <w:r>
              <w:rPr>
                <w:rFonts w:ascii="宋体" w:hAnsi="宋体" w:eastAsia="宋体" w:cs="宋体"/>
                <w:sz w:val="24"/>
                <w:szCs w:val="24"/>
                <w:highlight w:val="none"/>
              </w:rPr>
              <w:t>□是 □否</w:t>
            </w:r>
          </w:p>
        </w:tc>
      </w:tr>
      <w:tr w14:paraId="5015A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846" w:type="dxa"/>
            <w:noWrap w:val="0"/>
            <w:vAlign w:val="top"/>
          </w:tcPr>
          <w:p w14:paraId="028835CE">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5</w:t>
            </w:r>
          </w:p>
        </w:tc>
        <w:tc>
          <w:tcPr>
            <w:tcW w:w="5661" w:type="dxa"/>
            <w:noWrap w:val="0"/>
            <w:vAlign w:val="top"/>
          </w:tcPr>
          <w:p w14:paraId="5272F300">
            <w:pPr>
              <w:keepNext w:val="0"/>
              <w:keepLines w:val="0"/>
              <w:pageBreakBefore w:val="0"/>
              <w:kinsoku/>
              <w:wordWrap/>
              <w:overflowPunct/>
              <w:topLinePunct w:val="0"/>
              <w:autoSpaceDE/>
              <w:autoSpaceDN/>
              <w:bidi w:val="0"/>
              <w:adjustRightInd/>
              <w:snapToGrid/>
              <w:spacing w:line="380" w:lineRule="exact"/>
              <w:textAlignment w:val="auto"/>
              <w:rPr>
                <w:rFonts w:ascii="宋体" w:hAnsi="宋体" w:eastAsia="宋体" w:cs="宋体"/>
                <w:sz w:val="24"/>
                <w:szCs w:val="24"/>
                <w:highlight w:val="none"/>
                <w:vertAlign w:val="baseline"/>
              </w:rPr>
            </w:pPr>
            <w:r>
              <w:rPr>
                <w:rFonts w:hint="eastAsia" w:ascii="宋体" w:hAnsi="宋体" w:eastAsia="宋体" w:cs="宋体"/>
                <w:sz w:val="24"/>
                <w:szCs w:val="24"/>
                <w:highlight w:val="none"/>
                <w:vertAlign w:val="baseline"/>
              </w:rPr>
              <w:t>实验室是否有失控时的处理程序</w:t>
            </w:r>
          </w:p>
        </w:tc>
        <w:tc>
          <w:tcPr>
            <w:tcW w:w="2439" w:type="dxa"/>
            <w:noWrap w:val="0"/>
            <w:vAlign w:val="top"/>
          </w:tcPr>
          <w:p w14:paraId="026D1765">
            <w:pPr>
              <w:keepNext w:val="0"/>
              <w:keepLines w:val="0"/>
              <w:pageBreakBefore w:val="0"/>
              <w:kinsoku/>
              <w:wordWrap/>
              <w:overflowPunct/>
              <w:topLinePunct w:val="0"/>
              <w:autoSpaceDE/>
              <w:autoSpaceDN/>
              <w:bidi w:val="0"/>
              <w:adjustRightInd/>
              <w:snapToGrid/>
              <w:spacing w:line="380" w:lineRule="exact"/>
              <w:jc w:val="center"/>
              <w:textAlignment w:val="auto"/>
              <w:rPr>
                <w:rFonts w:ascii="宋体" w:hAnsi="宋体" w:eastAsia="宋体" w:cs="宋体"/>
                <w:sz w:val="24"/>
                <w:szCs w:val="24"/>
                <w:highlight w:val="none"/>
                <w:vertAlign w:val="baseline"/>
              </w:rPr>
            </w:pPr>
            <w:r>
              <w:rPr>
                <w:rFonts w:ascii="宋体" w:hAnsi="宋体" w:eastAsia="宋体" w:cs="宋体"/>
                <w:sz w:val="24"/>
                <w:szCs w:val="24"/>
                <w:highlight w:val="none"/>
              </w:rPr>
              <w:t>□是 □否</w:t>
            </w:r>
          </w:p>
        </w:tc>
      </w:tr>
      <w:tr w14:paraId="06969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846" w:type="dxa"/>
            <w:noWrap w:val="0"/>
            <w:vAlign w:val="top"/>
          </w:tcPr>
          <w:p w14:paraId="198E8192">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6</w:t>
            </w:r>
          </w:p>
        </w:tc>
        <w:tc>
          <w:tcPr>
            <w:tcW w:w="5661" w:type="dxa"/>
            <w:noWrap w:val="0"/>
            <w:vAlign w:val="top"/>
          </w:tcPr>
          <w:p w14:paraId="15F67517">
            <w:pPr>
              <w:keepNext w:val="0"/>
              <w:keepLines w:val="0"/>
              <w:pageBreakBefore w:val="0"/>
              <w:kinsoku/>
              <w:wordWrap/>
              <w:overflowPunct/>
              <w:topLinePunct w:val="0"/>
              <w:autoSpaceDE/>
              <w:autoSpaceDN/>
              <w:bidi w:val="0"/>
              <w:adjustRightInd/>
              <w:snapToGrid/>
              <w:spacing w:line="380" w:lineRule="exact"/>
              <w:textAlignment w:val="auto"/>
              <w:rPr>
                <w:rFonts w:ascii="宋体" w:hAnsi="宋体" w:eastAsia="宋体" w:cs="宋体"/>
                <w:sz w:val="24"/>
                <w:szCs w:val="24"/>
                <w:highlight w:val="none"/>
                <w:vertAlign w:val="baseline"/>
              </w:rPr>
            </w:pPr>
            <w:r>
              <w:rPr>
                <w:rFonts w:hint="eastAsia" w:ascii="宋体" w:hAnsi="宋体" w:eastAsia="宋体" w:cs="宋体"/>
                <w:sz w:val="24"/>
                <w:szCs w:val="24"/>
                <w:highlight w:val="none"/>
                <w:vertAlign w:val="baseline"/>
              </w:rPr>
              <w:t>分析设备是否有定期维护并有相应记录</w:t>
            </w:r>
          </w:p>
        </w:tc>
        <w:tc>
          <w:tcPr>
            <w:tcW w:w="2439" w:type="dxa"/>
            <w:noWrap w:val="0"/>
            <w:vAlign w:val="top"/>
          </w:tcPr>
          <w:p w14:paraId="4E051A83">
            <w:pPr>
              <w:keepNext w:val="0"/>
              <w:keepLines w:val="0"/>
              <w:pageBreakBefore w:val="0"/>
              <w:kinsoku/>
              <w:wordWrap/>
              <w:overflowPunct/>
              <w:topLinePunct w:val="0"/>
              <w:autoSpaceDE/>
              <w:autoSpaceDN/>
              <w:bidi w:val="0"/>
              <w:adjustRightInd/>
              <w:snapToGrid/>
              <w:spacing w:line="380" w:lineRule="exact"/>
              <w:jc w:val="center"/>
              <w:textAlignment w:val="auto"/>
              <w:rPr>
                <w:rFonts w:ascii="宋体" w:hAnsi="宋体" w:eastAsia="宋体" w:cs="宋体"/>
                <w:sz w:val="24"/>
                <w:szCs w:val="24"/>
                <w:highlight w:val="none"/>
                <w:vertAlign w:val="baseline"/>
              </w:rPr>
            </w:pPr>
            <w:r>
              <w:rPr>
                <w:rFonts w:ascii="宋体" w:hAnsi="宋体" w:eastAsia="宋体" w:cs="宋体"/>
                <w:sz w:val="24"/>
                <w:szCs w:val="24"/>
                <w:highlight w:val="none"/>
              </w:rPr>
              <w:t>□是 □否</w:t>
            </w:r>
          </w:p>
        </w:tc>
      </w:tr>
      <w:tr w14:paraId="274B0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846" w:type="dxa"/>
            <w:noWrap w:val="0"/>
            <w:vAlign w:val="top"/>
          </w:tcPr>
          <w:p w14:paraId="1606593D">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7</w:t>
            </w:r>
          </w:p>
        </w:tc>
        <w:tc>
          <w:tcPr>
            <w:tcW w:w="5661" w:type="dxa"/>
            <w:noWrap w:val="0"/>
            <w:vAlign w:val="top"/>
          </w:tcPr>
          <w:p w14:paraId="2FF5F8B0">
            <w:pPr>
              <w:keepNext w:val="0"/>
              <w:keepLines w:val="0"/>
              <w:pageBreakBefore w:val="0"/>
              <w:tabs>
                <w:tab w:val="left" w:pos="733"/>
              </w:tabs>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highlight w:val="none"/>
                <w:vertAlign w:val="baseline"/>
                <w:lang w:eastAsia="zh-CN"/>
              </w:rPr>
            </w:pPr>
            <w:r>
              <w:rPr>
                <w:rFonts w:hint="eastAsia" w:ascii="宋体" w:hAnsi="宋体" w:eastAsia="宋体" w:cs="宋体"/>
                <w:sz w:val="24"/>
                <w:szCs w:val="24"/>
                <w:highlight w:val="none"/>
                <w:vertAlign w:val="baseline"/>
                <w:lang w:eastAsia="zh-CN"/>
              </w:rPr>
              <w:t>室间质评结果是否合格，“不满意” 时，是否有适当的纠正措施并限期改进</w:t>
            </w:r>
          </w:p>
        </w:tc>
        <w:tc>
          <w:tcPr>
            <w:tcW w:w="2439" w:type="dxa"/>
            <w:noWrap w:val="0"/>
            <w:vAlign w:val="top"/>
          </w:tcPr>
          <w:p w14:paraId="3FD96718">
            <w:pPr>
              <w:keepNext w:val="0"/>
              <w:keepLines w:val="0"/>
              <w:pageBreakBefore w:val="0"/>
              <w:kinsoku/>
              <w:wordWrap/>
              <w:overflowPunct/>
              <w:topLinePunct w:val="0"/>
              <w:autoSpaceDE/>
              <w:autoSpaceDN/>
              <w:bidi w:val="0"/>
              <w:adjustRightInd/>
              <w:snapToGrid/>
              <w:spacing w:line="380" w:lineRule="exact"/>
              <w:jc w:val="center"/>
              <w:textAlignment w:val="auto"/>
              <w:rPr>
                <w:rFonts w:ascii="宋体" w:hAnsi="宋体" w:eastAsia="宋体" w:cs="宋体"/>
                <w:sz w:val="24"/>
                <w:szCs w:val="24"/>
                <w:highlight w:val="none"/>
                <w:vertAlign w:val="baseline"/>
              </w:rPr>
            </w:pPr>
            <w:r>
              <w:rPr>
                <w:rFonts w:ascii="宋体" w:hAnsi="宋体" w:eastAsia="宋体" w:cs="宋体"/>
                <w:sz w:val="24"/>
                <w:szCs w:val="24"/>
                <w:highlight w:val="none"/>
              </w:rPr>
              <w:t>□是 □否</w:t>
            </w:r>
          </w:p>
        </w:tc>
      </w:tr>
      <w:tr w14:paraId="1D19F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846" w:type="dxa"/>
            <w:noWrap w:val="0"/>
            <w:vAlign w:val="top"/>
          </w:tcPr>
          <w:p w14:paraId="55F22C87">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8</w:t>
            </w:r>
          </w:p>
        </w:tc>
        <w:tc>
          <w:tcPr>
            <w:tcW w:w="5661" w:type="dxa"/>
            <w:noWrap w:val="0"/>
            <w:vAlign w:val="top"/>
          </w:tcPr>
          <w:p w14:paraId="19489341">
            <w:pPr>
              <w:keepNext w:val="0"/>
              <w:keepLines w:val="0"/>
              <w:pageBreakBefore w:val="0"/>
              <w:kinsoku/>
              <w:wordWrap/>
              <w:overflowPunct/>
              <w:topLinePunct w:val="0"/>
              <w:autoSpaceDE/>
              <w:autoSpaceDN/>
              <w:bidi w:val="0"/>
              <w:adjustRightInd/>
              <w:snapToGrid/>
              <w:spacing w:line="380" w:lineRule="exact"/>
              <w:textAlignment w:val="auto"/>
              <w:rPr>
                <w:rFonts w:ascii="宋体" w:hAnsi="宋体" w:eastAsia="宋体" w:cs="宋体"/>
                <w:sz w:val="24"/>
                <w:szCs w:val="24"/>
                <w:highlight w:val="none"/>
                <w:vertAlign w:val="baseline"/>
              </w:rPr>
            </w:pPr>
            <w:r>
              <w:rPr>
                <w:rFonts w:hint="eastAsia" w:ascii="宋体" w:hAnsi="宋体" w:eastAsia="宋体" w:cs="宋体"/>
                <w:sz w:val="24"/>
                <w:szCs w:val="24"/>
                <w:highlight w:val="none"/>
                <w:vertAlign w:val="baseline"/>
              </w:rPr>
              <w:t>实验室是否有书面材料说明标本的转运或运输要求，包括准备、包装、标识、贮存、取标本时间等</w:t>
            </w:r>
          </w:p>
        </w:tc>
        <w:tc>
          <w:tcPr>
            <w:tcW w:w="2439" w:type="dxa"/>
            <w:noWrap w:val="0"/>
            <w:vAlign w:val="top"/>
          </w:tcPr>
          <w:p w14:paraId="2685FD74">
            <w:pPr>
              <w:keepNext w:val="0"/>
              <w:keepLines w:val="0"/>
              <w:pageBreakBefore w:val="0"/>
              <w:kinsoku/>
              <w:wordWrap/>
              <w:overflowPunct/>
              <w:topLinePunct w:val="0"/>
              <w:autoSpaceDE/>
              <w:autoSpaceDN/>
              <w:bidi w:val="0"/>
              <w:adjustRightInd/>
              <w:snapToGrid/>
              <w:spacing w:line="380" w:lineRule="exact"/>
              <w:jc w:val="center"/>
              <w:textAlignment w:val="auto"/>
              <w:rPr>
                <w:rFonts w:ascii="宋体" w:hAnsi="宋体" w:eastAsia="宋体" w:cs="宋体"/>
                <w:sz w:val="24"/>
                <w:szCs w:val="24"/>
                <w:highlight w:val="none"/>
                <w:vertAlign w:val="baseline"/>
              </w:rPr>
            </w:pPr>
            <w:r>
              <w:rPr>
                <w:rFonts w:ascii="宋体" w:hAnsi="宋体" w:eastAsia="宋体" w:cs="宋体"/>
                <w:sz w:val="24"/>
                <w:szCs w:val="24"/>
                <w:highlight w:val="none"/>
              </w:rPr>
              <w:t>□是 □否</w:t>
            </w:r>
          </w:p>
        </w:tc>
      </w:tr>
      <w:tr w14:paraId="73444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846" w:type="dxa"/>
            <w:noWrap w:val="0"/>
            <w:vAlign w:val="top"/>
          </w:tcPr>
          <w:p w14:paraId="0216E8DC">
            <w:pPr>
              <w:keepNext w:val="0"/>
              <w:keepLines w:val="0"/>
              <w:pageBreakBefore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9</w:t>
            </w:r>
          </w:p>
        </w:tc>
        <w:tc>
          <w:tcPr>
            <w:tcW w:w="5661" w:type="dxa"/>
            <w:noWrap w:val="0"/>
            <w:vAlign w:val="top"/>
          </w:tcPr>
          <w:p w14:paraId="1408785D">
            <w:pPr>
              <w:keepNext w:val="0"/>
              <w:keepLines w:val="0"/>
              <w:pageBreakBefore w:val="0"/>
              <w:kinsoku/>
              <w:wordWrap/>
              <w:overflowPunct/>
              <w:topLinePunct w:val="0"/>
              <w:autoSpaceDE/>
              <w:autoSpaceDN/>
              <w:bidi w:val="0"/>
              <w:adjustRightInd/>
              <w:snapToGrid/>
              <w:spacing w:line="380" w:lineRule="exact"/>
              <w:textAlignment w:val="auto"/>
              <w:rPr>
                <w:rFonts w:ascii="宋体" w:hAnsi="宋体" w:eastAsia="宋体" w:cs="宋体"/>
                <w:sz w:val="24"/>
                <w:szCs w:val="24"/>
                <w:highlight w:val="none"/>
                <w:vertAlign w:val="baseline"/>
              </w:rPr>
            </w:pPr>
            <w:r>
              <w:rPr>
                <w:rFonts w:hint="eastAsia" w:ascii="宋体" w:hAnsi="宋体" w:eastAsia="宋体" w:cs="宋体"/>
                <w:sz w:val="24"/>
                <w:szCs w:val="24"/>
                <w:highlight w:val="none"/>
                <w:vertAlign w:val="baseline"/>
              </w:rPr>
              <w:t>实验室是否有书面材料说明采样前的准备、标本采集和不合格标本的拒收标准</w:t>
            </w:r>
          </w:p>
        </w:tc>
        <w:tc>
          <w:tcPr>
            <w:tcW w:w="2439" w:type="dxa"/>
            <w:noWrap w:val="0"/>
            <w:vAlign w:val="top"/>
          </w:tcPr>
          <w:p w14:paraId="765D4490">
            <w:pPr>
              <w:keepNext w:val="0"/>
              <w:keepLines w:val="0"/>
              <w:pageBreakBefore w:val="0"/>
              <w:kinsoku/>
              <w:wordWrap/>
              <w:overflowPunct/>
              <w:topLinePunct w:val="0"/>
              <w:autoSpaceDE/>
              <w:autoSpaceDN/>
              <w:bidi w:val="0"/>
              <w:adjustRightInd/>
              <w:snapToGrid/>
              <w:spacing w:line="380" w:lineRule="exact"/>
              <w:jc w:val="center"/>
              <w:textAlignment w:val="auto"/>
              <w:rPr>
                <w:rFonts w:ascii="宋体" w:hAnsi="宋体" w:eastAsia="宋体" w:cs="宋体"/>
                <w:sz w:val="24"/>
                <w:szCs w:val="24"/>
                <w:highlight w:val="none"/>
                <w:vertAlign w:val="baseline"/>
              </w:rPr>
            </w:pPr>
            <w:r>
              <w:rPr>
                <w:rFonts w:ascii="宋体" w:hAnsi="宋体" w:eastAsia="宋体" w:cs="宋体"/>
                <w:sz w:val="24"/>
                <w:szCs w:val="24"/>
                <w:highlight w:val="none"/>
              </w:rPr>
              <w:t>□是 □否</w:t>
            </w:r>
          </w:p>
        </w:tc>
      </w:tr>
      <w:tr w14:paraId="407FE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846" w:type="dxa"/>
            <w:noWrap w:val="0"/>
            <w:vAlign w:val="top"/>
          </w:tcPr>
          <w:p w14:paraId="64FC31B2">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10</w:t>
            </w:r>
          </w:p>
        </w:tc>
        <w:tc>
          <w:tcPr>
            <w:tcW w:w="5661" w:type="dxa"/>
            <w:noWrap w:val="0"/>
            <w:vAlign w:val="top"/>
          </w:tcPr>
          <w:p w14:paraId="170C4137">
            <w:pPr>
              <w:keepNext w:val="0"/>
              <w:keepLines w:val="0"/>
              <w:pageBreakBefore w:val="0"/>
              <w:kinsoku/>
              <w:wordWrap/>
              <w:overflowPunct/>
              <w:topLinePunct w:val="0"/>
              <w:autoSpaceDE/>
              <w:autoSpaceDN/>
              <w:bidi w:val="0"/>
              <w:adjustRightInd/>
              <w:snapToGrid/>
              <w:spacing w:line="380" w:lineRule="exact"/>
              <w:textAlignment w:val="auto"/>
              <w:rPr>
                <w:rFonts w:ascii="宋体" w:hAnsi="宋体" w:eastAsia="宋体" w:cs="宋体"/>
                <w:sz w:val="24"/>
                <w:szCs w:val="24"/>
                <w:highlight w:val="none"/>
                <w:vertAlign w:val="baseline"/>
              </w:rPr>
            </w:pPr>
            <w:r>
              <w:rPr>
                <w:rFonts w:hint="eastAsia" w:ascii="宋体" w:hAnsi="宋体" w:eastAsia="宋体" w:cs="宋体"/>
                <w:sz w:val="24"/>
                <w:szCs w:val="24"/>
                <w:highlight w:val="none"/>
                <w:vertAlign w:val="baseline"/>
              </w:rPr>
              <w:t>实验室是否有书面文件规定对不适当标本的处理要求</w:t>
            </w:r>
          </w:p>
        </w:tc>
        <w:tc>
          <w:tcPr>
            <w:tcW w:w="2439" w:type="dxa"/>
            <w:noWrap w:val="0"/>
            <w:vAlign w:val="top"/>
          </w:tcPr>
          <w:p w14:paraId="11499F7C">
            <w:pPr>
              <w:keepNext w:val="0"/>
              <w:keepLines w:val="0"/>
              <w:pageBreakBefore w:val="0"/>
              <w:kinsoku/>
              <w:wordWrap/>
              <w:overflowPunct/>
              <w:topLinePunct w:val="0"/>
              <w:autoSpaceDE/>
              <w:autoSpaceDN/>
              <w:bidi w:val="0"/>
              <w:adjustRightInd/>
              <w:snapToGrid/>
              <w:spacing w:line="380" w:lineRule="exact"/>
              <w:jc w:val="center"/>
              <w:textAlignment w:val="auto"/>
              <w:rPr>
                <w:rFonts w:ascii="宋体" w:hAnsi="宋体" w:eastAsia="宋体" w:cs="宋体"/>
                <w:sz w:val="24"/>
                <w:szCs w:val="24"/>
                <w:highlight w:val="none"/>
                <w:vertAlign w:val="baseline"/>
              </w:rPr>
            </w:pPr>
            <w:r>
              <w:rPr>
                <w:rFonts w:ascii="宋体" w:hAnsi="宋体" w:eastAsia="宋体" w:cs="宋体"/>
                <w:sz w:val="24"/>
                <w:szCs w:val="24"/>
                <w:highlight w:val="none"/>
              </w:rPr>
              <w:t>□是 □否</w:t>
            </w:r>
          </w:p>
        </w:tc>
      </w:tr>
      <w:tr w14:paraId="62C53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846" w:type="dxa"/>
            <w:noWrap w:val="0"/>
            <w:vAlign w:val="top"/>
          </w:tcPr>
          <w:p w14:paraId="4068726B">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11</w:t>
            </w:r>
          </w:p>
        </w:tc>
        <w:tc>
          <w:tcPr>
            <w:tcW w:w="5661" w:type="dxa"/>
            <w:noWrap w:val="0"/>
            <w:vAlign w:val="top"/>
          </w:tcPr>
          <w:p w14:paraId="014C4EEE">
            <w:pPr>
              <w:keepNext w:val="0"/>
              <w:keepLines w:val="0"/>
              <w:pageBreakBefore w:val="0"/>
              <w:kinsoku/>
              <w:wordWrap/>
              <w:overflowPunct/>
              <w:topLinePunct w:val="0"/>
              <w:autoSpaceDE/>
              <w:autoSpaceDN/>
              <w:bidi w:val="0"/>
              <w:adjustRightInd/>
              <w:snapToGrid/>
              <w:spacing w:line="380" w:lineRule="exact"/>
              <w:textAlignment w:val="auto"/>
              <w:rPr>
                <w:rFonts w:ascii="宋体" w:hAnsi="宋体" w:eastAsia="宋体" w:cs="宋体"/>
                <w:sz w:val="24"/>
                <w:szCs w:val="24"/>
                <w:highlight w:val="none"/>
                <w:vertAlign w:val="baseline"/>
              </w:rPr>
            </w:pPr>
            <w:r>
              <w:rPr>
                <w:rFonts w:hint="eastAsia" w:ascii="宋体" w:hAnsi="宋体" w:eastAsia="宋体" w:cs="宋体"/>
                <w:sz w:val="24"/>
                <w:szCs w:val="24"/>
                <w:highlight w:val="none"/>
                <w:vertAlign w:val="baseline"/>
              </w:rPr>
              <w:t>实验室在客户有急需时，是否有特殊程序应对</w:t>
            </w:r>
          </w:p>
        </w:tc>
        <w:tc>
          <w:tcPr>
            <w:tcW w:w="2439" w:type="dxa"/>
            <w:noWrap w:val="0"/>
            <w:vAlign w:val="top"/>
          </w:tcPr>
          <w:p w14:paraId="1B7486F2">
            <w:pPr>
              <w:keepNext w:val="0"/>
              <w:keepLines w:val="0"/>
              <w:pageBreakBefore w:val="0"/>
              <w:kinsoku/>
              <w:wordWrap/>
              <w:overflowPunct/>
              <w:topLinePunct w:val="0"/>
              <w:autoSpaceDE/>
              <w:autoSpaceDN/>
              <w:bidi w:val="0"/>
              <w:adjustRightInd/>
              <w:snapToGrid/>
              <w:spacing w:line="380" w:lineRule="exact"/>
              <w:jc w:val="center"/>
              <w:textAlignment w:val="auto"/>
              <w:rPr>
                <w:rFonts w:ascii="宋体" w:hAnsi="宋体" w:eastAsia="宋体" w:cs="宋体"/>
                <w:sz w:val="24"/>
                <w:szCs w:val="24"/>
                <w:highlight w:val="none"/>
                <w:vertAlign w:val="baseline"/>
              </w:rPr>
            </w:pPr>
            <w:r>
              <w:rPr>
                <w:rFonts w:ascii="宋体" w:hAnsi="宋体" w:eastAsia="宋体" w:cs="宋体"/>
                <w:sz w:val="24"/>
                <w:szCs w:val="24"/>
                <w:highlight w:val="none"/>
              </w:rPr>
              <w:t>□是 □否</w:t>
            </w:r>
          </w:p>
        </w:tc>
      </w:tr>
      <w:tr w14:paraId="36D92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846" w:type="dxa"/>
            <w:noWrap w:val="0"/>
            <w:vAlign w:val="top"/>
          </w:tcPr>
          <w:p w14:paraId="78AF8618">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12</w:t>
            </w:r>
          </w:p>
        </w:tc>
        <w:tc>
          <w:tcPr>
            <w:tcW w:w="5661" w:type="dxa"/>
            <w:noWrap w:val="0"/>
            <w:vAlign w:val="top"/>
          </w:tcPr>
          <w:p w14:paraId="52F1E34B">
            <w:pPr>
              <w:keepNext w:val="0"/>
              <w:keepLines w:val="0"/>
              <w:pageBreakBefore w:val="0"/>
              <w:kinsoku/>
              <w:wordWrap/>
              <w:overflowPunct/>
              <w:topLinePunct w:val="0"/>
              <w:autoSpaceDE/>
              <w:autoSpaceDN/>
              <w:bidi w:val="0"/>
              <w:adjustRightInd/>
              <w:snapToGrid/>
              <w:spacing w:line="380" w:lineRule="exact"/>
              <w:textAlignment w:val="auto"/>
              <w:rPr>
                <w:rFonts w:ascii="宋体" w:hAnsi="宋体" w:eastAsia="宋体" w:cs="宋体"/>
                <w:sz w:val="24"/>
                <w:szCs w:val="24"/>
                <w:highlight w:val="none"/>
                <w:vertAlign w:val="baseline"/>
              </w:rPr>
            </w:pPr>
            <w:r>
              <w:rPr>
                <w:rFonts w:hint="eastAsia" w:ascii="宋体" w:hAnsi="宋体" w:eastAsia="宋体" w:cs="宋体"/>
                <w:sz w:val="24"/>
                <w:szCs w:val="24"/>
                <w:highlight w:val="none"/>
                <w:vertAlign w:val="baseline"/>
              </w:rPr>
              <w:t>实验室是否有措施保证客户满意度</w:t>
            </w:r>
          </w:p>
        </w:tc>
        <w:tc>
          <w:tcPr>
            <w:tcW w:w="2439" w:type="dxa"/>
            <w:noWrap w:val="0"/>
            <w:vAlign w:val="top"/>
          </w:tcPr>
          <w:p w14:paraId="57551B9E">
            <w:pPr>
              <w:keepNext w:val="0"/>
              <w:keepLines w:val="0"/>
              <w:pageBreakBefore w:val="0"/>
              <w:kinsoku/>
              <w:wordWrap/>
              <w:overflowPunct/>
              <w:topLinePunct w:val="0"/>
              <w:autoSpaceDE/>
              <w:autoSpaceDN/>
              <w:bidi w:val="0"/>
              <w:adjustRightInd/>
              <w:snapToGrid/>
              <w:spacing w:line="380" w:lineRule="exact"/>
              <w:jc w:val="center"/>
              <w:textAlignment w:val="auto"/>
              <w:rPr>
                <w:rFonts w:ascii="宋体" w:hAnsi="宋体" w:eastAsia="宋体" w:cs="宋体"/>
                <w:sz w:val="24"/>
                <w:szCs w:val="24"/>
                <w:highlight w:val="none"/>
                <w:vertAlign w:val="baseline"/>
              </w:rPr>
            </w:pPr>
            <w:r>
              <w:rPr>
                <w:rFonts w:ascii="宋体" w:hAnsi="宋体" w:eastAsia="宋体" w:cs="宋体"/>
                <w:sz w:val="24"/>
                <w:szCs w:val="24"/>
                <w:highlight w:val="none"/>
              </w:rPr>
              <w:t>□是 □否</w:t>
            </w:r>
          </w:p>
        </w:tc>
      </w:tr>
      <w:tr w14:paraId="78027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846" w:type="dxa"/>
            <w:noWrap w:val="0"/>
            <w:vAlign w:val="top"/>
          </w:tcPr>
          <w:p w14:paraId="678B33E2">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13</w:t>
            </w:r>
          </w:p>
        </w:tc>
        <w:tc>
          <w:tcPr>
            <w:tcW w:w="5661" w:type="dxa"/>
            <w:noWrap w:val="0"/>
            <w:vAlign w:val="top"/>
          </w:tcPr>
          <w:p w14:paraId="16FEC8F6">
            <w:pPr>
              <w:keepNext w:val="0"/>
              <w:keepLines w:val="0"/>
              <w:pageBreakBefore w:val="0"/>
              <w:kinsoku/>
              <w:wordWrap/>
              <w:overflowPunct/>
              <w:topLinePunct w:val="0"/>
              <w:autoSpaceDE/>
              <w:autoSpaceDN/>
              <w:bidi w:val="0"/>
              <w:adjustRightInd/>
              <w:snapToGrid/>
              <w:spacing w:line="380" w:lineRule="exact"/>
              <w:textAlignment w:val="auto"/>
              <w:rPr>
                <w:rFonts w:ascii="宋体" w:hAnsi="宋体" w:eastAsia="宋体" w:cs="宋体"/>
                <w:sz w:val="24"/>
                <w:szCs w:val="24"/>
                <w:highlight w:val="none"/>
                <w:vertAlign w:val="baseline"/>
              </w:rPr>
            </w:pPr>
            <w:r>
              <w:rPr>
                <w:rFonts w:hint="eastAsia" w:ascii="宋体" w:hAnsi="宋体" w:eastAsia="宋体" w:cs="宋体"/>
                <w:sz w:val="24"/>
                <w:szCs w:val="24"/>
                <w:highlight w:val="none"/>
                <w:vertAlign w:val="baseline"/>
              </w:rPr>
              <w:t>检验标本收取是否规范及时</w:t>
            </w:r>
          </w:p>
        </w:tc>
        <w:tc>
          <w:tcPr>
            <w:tcW w:w="2439" w:type="dxa"/>
            <w:noWrap w:val="0"/>
            <w:vAlign w:val="top"/>
          </w:tcPr>
          <w:p w14:paraId="0AED9957">
            <w:pPr>
              <w:keepNext w:val="0"/>
              <w:keepLines w:val="0"/>
              <w:pageBreakBefore w:val="0"/>
              <w:kinsoku/>
              <w:wordWrap/>
              <w:overflowPunct/>
              <w:topLinePunct w:val="0"/>
              <w:autoSpaceDE/>
              <w:autoSpaceDN/>
              <w:bidi w:val="0"/>
              <w:adjustRightInd/>
              <w:snapToGrid/>
              <w:spacing w:line="380" w:lineRule="exact"/>
              <w:jc w:val="center"/>
              <w:textAlignment w:val="auto"/>
              <w:rPr>
                <w:rFonts w:ascii="宋体" w:hAnsi="宋体" w:eastAsia="宋体" w:cs="宋体"/>
                <w:sz w:val="24"/>
                <w:szCs w:val="24"/>
                <w:highlight w:val="none"/>
                <w:vertAlign w:val="baseline"/>
              </w:rPr>
            </w:pPr>
            <w:r>
              <w:rPr>
                <w:rFonts w:ascii="宋体" w:hAnsi="宋体" w:eastAsia="宋体" w:cs="宋体"/>
                <w:sz w:val="24"/>
                <w:szCs w:val="24"/>
                <w:highlight w:val="none"/>
              </w:rPr>
              <w:t>□是 □否</w:t>
            </w:r>
          </w:p>
        </w:tc>
      </w:tr>
      <w:tr w14:paraId="4F70D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846" w:type="dxa"/>
            <w:noWrap w:val="0"/>
            <w:vAlign w:val="top"/>
          </w:tcPr>
          <w:p w14:paraId="40EEBA62">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14</w:t>
            </w:r>
          </w:p>
        </w:tc>
        <w:tc>
          <w:tcPr>
            <w:tcW w:w="5661" w:type="dxa"/>
            <w:noWrap w:val="0"/>
            <w:vAlign w:val="top"/>
          </w:tcPr>
          <w:p w14:paraId="5D971F6C">
            <w:pPr>
              <w:keepNext w:val="0"/>
              <w:keepLines w:val="0"/>
              <w:pageBreakBefore w:val="0"/>
              <w:kinsoku/>
              <w:wordWrap/>
              <w:overflowPunct/>
              <w:topLinePunct w:val="0"/>
              <w:autoSpaceDE/>
              <w:autoSpaceDN/>
              <w:bidi w:val="0"/>
              <w:adjustRightInd/>
              <w:snapToGrid/>
              <w:spacing w:line="380" w:lineRule="exact"/>
              <w:textAlignment w:val="auto"/>
              <w:rPr>
                <w:rFonts w:ascii="宋体" w:hAnsi="宋体" w:eastAsia="宋体" w:cs="宋体"/>
                <w:sz w:val="24"/>
                <w:szCs w:val="24"/>
                <w:highlight w:val="none"/>
                <w:vertAlign w:val="baseline"/>
              </w:rPr>
            </w:pPr>
            <w:r>
              <w:rPr>
                <w:rFonts w:hint="eastAsia" w:ascii="宋体" w:hAnsi="宋体" w:eastAsia="宋体" w:cs="宋体"/>
                <w:sz w:val="24"/>
                <w:szCs w:val="24"/>
                <w:highlight w:val="none"/>
                <w:vertAlign w:val="baseline"/>
              </w:rPr>
              <w:t>检验报告发放是否及时准确</w:t>
            </w:r>
          </w:p>
        </w:tc>
        <w:tc>
          <w:tcPr>
            <w:tcW w:w="2439" w:type="dxa"/>
            <w:noWrap w:val="0"/>
            <w:vAlign w:val="top"/>
          </w:tcPr>
          <w:p w14:paraId="321F814A">
            <w:pPr>
              <w:keepNext w:val="0"/>
              <w:keepLines w:val="0"/>
              <w:pageBreakBefore w:val="0"/>
              <w:kinsoku/>
              <w:wordWrap/>
              <w:overflowPunct/>
              <w:topLinePunct w:val="0"/>
              <w:autoSpaceDE/>
              <w:autoSpaceDN/>
              <w:bidi w:val="0"/>
              <w:adjustRightInd/>
              <w:snapToGrid/>
              <w:spacing w:line="380" w:lineRule="exact"/>
              <w:jc w:val="center"/>
              <w:textAlignment w:val="auto"/>
              <w:rPr>
                <w:rFonts w:ascii="宋体" w:hAnsi="宋体" w:eastAsia="宋体" w:cs="宋体"/>
                <w:sz w:val="24"/>
                <w:szCs w:val="24"/>
                <w:highlight w:val="none"/>
                <w:vertAlign w:val="baseline"/>
              </w:rPr>
            </w:pPr>
            <w:r>
              <w:rPr>
                <w:rFonts w:ascii="宋体" w:hAnsi="宋体" w:eastAsia="宋体" w:cs="宋体"/>
                <w:sz w:val="24"/>
                <w:szCs w:val="24"/>
                <w:highlight w:val="none"/>
              </w:rPr>
              <w:t>□是 □否</w:t>
            </w:r>
          </w:p>
        </w:tc>
      </w:tr>
      <w:tr w14:paraId="7F5B6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846" w:type="dxa"/>
            <w:noWrap w:val="0"/>
            <w:vAlign w:val="top"/>
          </w:tcPr>
          <w:p w14:paraId="1F14BDE0">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15</w:t>
            </w:r>
          </w:p>
        </w:tc>
        <w:tc>
          <w:tcPr>
            <w:tcW w:w="5661" w:type="dxa"/>
            <w:noWrap w:val="0"/>
            <w:vAlign w:val="top"/>
          </w:tcPr>
          <w:p w14:paraId="7E797761">
            <w:pPr>
              <w:keepNext w:val="0"/>
              <w:keepLines w:val="0"/>
              <w:pageBreakBefore w:val="0"/>
              <w:kinsoku/>
              <w:wordWrap/>
              <w:overflowPunct/>
              <w:topLinePunct w:val="0"/>
              <w:autoSpaceDE/>
              <w:autoSpaceDN/>
              <w:bidi w:val="0"/>
              <w:adjustRightInd/>
              <w:snapToGrid/>
              <w:spacing w:line="380" w:lineRule="exact"/>
              <w:textAlignment w:val="auto"/>
              <w:rPr>
                <w:rFonts w:ascii="宋体" w:hAnsi="宋体" w:eastAsia="宋体" w:cs="宋体"/>
                <w:sz w:val="24"/>
                <w:szCs w:val="24"/>
                <w:highlight w:val="none"/>
                <w:vertAlign w:val="baseline"/>
              </w:rPr>
            </w:pPr>
            <w:r>
              <w:rPr>
                <w:rFonts w:hint="eastAsia" w:ascii="宋体" w:hAnsi="宋体" w:eastAsia="宋体" w:cs="宋体"/>
                <w:sz w:val="24"/>
                <w:szCs w:val="24"/>
                <w:highlight w:val="none"/>
                <w:vertAlign w:val="baseline"/>
              </w:rPr>
              <w:t>实验室是否有改正和改进检验报告的策略</w:t>
            </w:r>
          </w:p>
        </w:tc>
        <w:tc>
          <w:tcPr>
            <w:tcW w:w="2439" w:type="dxa"/>
            <w:noWrap w:val="0"/>
            <w:vAlign w:val="top"/>
          </w:tcPr>
          <w:p w14:paraId="215758E8">
            <w:pPr>
              <w:keepNext w:val="0"/>
              <w:keepLines w:val="0"/>
              <w:pageBreakBefore w:val="0"/>
              <w:kinsoku/>
              <w:wordWrap/>
              <w:overflowPunct/>
              <w:topLinePunct w:val="0"/>
              <w:autoSpaceDE/>
              <w:autoSpaceDN/>
              <w:bidi w:val="0"/>
              <w:adjustRightInd/>
              <w:snapToGrid/>
              <w:spacing w:line="380" w:lineRule="exact"/>
              <w:jc w:val="center"/>
              <w:textAlignment w:val="auto"/>
              <w:rPr>
                <w:rFonts w:ascii="宋体" w:hAnsi="宋体" w:eastAsia="宋体" w:cs="宋体"/>
                <w:sz w:val="24"/>
                <w:szCs w:val="24"/>
                <w:highlight w:val="none"/>
                <w:vertAlign w:val="baseline"/>
              </w:rPr>
            </w:pPr>
            <w:r>
              <w:rPr>
                <w:rFonts w:ascii="宋体" w:hAnsi="宋体" w:eastAsia="宋体" w:cs="宋体"/>
                <w:sz w:val="24"/>
                <w:szCs w:val="24"/>
                <w:highlight w:val="none"/>
              </w:rPr>
              <w:t>□是 □否</w:t>
            </w:r>
          </w:p>
        </w:tc>
      </w:tr>
      <w:tr w14:paraId="40F7D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846" w:type="dxa"/>
            <w:noWrap w:val="0"/>
            <w:vAlign w:val="top"/>
          </w:tcPr>
          <w:p w14:paraId="25901DFD">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16</w:t>
            </w:r>
          </w:p>
        </w:tc>
        <w:tc>
          <w:tcPr>
            <w:tcW w:w="5661" w:type="dxa"/>
            <w:noWrap w:val="0"/>
            <w:vAlign w:val="top"/>
          </w:tcPr>
          <w:p w14:paraId="70B44CA9">
            <w:pPr>
              <w:keepNext w:val="0"/>
              <w:keepLines w:val="0"/>
              <w:pageBreakBefore w:val="0"/>
              <w:tabs>
                <w:tab w:val="left" w:pos="1408"/>
              </w:tabs>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highlight w:val="none"/>
                <w:vertAlign w:val="baseline"/>
                <w:lang w:eastAsia="zh-CN"/>
              </w:rPr>
            </w:pPr>
            <w:r>
              <w:rPr>
                <w:rFonts w:hint="eastAsia" w:ascii="宋体" w:hAnsi="宋体" w:eastAsia="宋体" w:cs="宋体"/>
                <w:sz w:val="24"/>
                <w:szCs w:val="24"/>
                <w:highlight w:val="none"/>
                <w:vertAlign w:val="baseline"/>
                <w:lang w:eastAsia="zh-CN"/>
              </w:rPr>
              <w:t>实验室是否向客户提供咨询服务</w:t>
            </w:r>
          </w:p>
        </w:tc>
        <w:tc>
          <w:tcPr>
            <w:tcW w:w="2439" w:type="dxa"/>
            <w:noWrap w:val="0"/>
            <w:vAlign w:val="top"/>
          </w:tcPr>
          <w:p w14:paraId="7A8DFFFA">
            <w:pPr>
              <w:keepNext w:val="0"/>
              <w:keepLines w:val="0"/>
              <w:pageBreakBefore w:val="0"/>
              <w:kinsoku/>
              <w:wordWrap/>
              <w:overflowPunct/>
              <w:topLinePunct w:val="0"/>
              <w:autoSpaceDE/>
              <w:autoSpaceDN/>
              <w:bidi w:val="0"/>
              <w:adjustRightInd/>
              <w:snapToGrid/>
              <w:spacing w:line="380" w:lineRule="exact"/>
              <w:jc w:val="center"/>
              <w:textAlignment w:val="auto"/>
              <w:rPr>
                <w:rFonts w:ascii="宋体" w:hAnsi="宋体" w:eastAsia="宋体" w:cs="宋体"/>
                <w:sz w:val="24"/>
                <w:szCs w:val="24"/>
                <w:highlight w:val="none"/>
                <w:vertAlign w:val="baseline"/>
              </w:rPr>
            </w:pPr>
            <w:r>
              <w:rPr>
                <w:rFonts w:ascii="宋体" w:hAnsi="宋体" w:eastAsia="宋体" w:cs="宋体"/>
                <w:sz w:val="24"/>
                <w:szCs w:val="24"/>
                <w:highlight w:val="none"/>
              </w:rPr>
              <w:t>□是 □否</w:t>
            </w:r>
          </w:p>
        </w:tc>
      </w:tr>
      <w:tr w14:paraId="1C810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846" w:type="dxa"/>
            <w:noWrap w:val="0"/>
            <w:vAlign w:val="top"/>
          </w:tcPr>
          <w:p w14:paraId="71C6BC0D">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17</w:t>
            </w:r>
          </w:p>
        </w:tc>
        <w:tc>
          <w:tcPr>
            <w:tcW w:w="5661" w:type="dxa"/>
            <w:noWrap w:val="0"/>
            <w:vAlign w:val="top"/>
          </w:tcPr>
          <w:p w14:paraId="4913074E">
            <w:pPr>
              <w:keepNext w:val="0"/>
              <w:keepLines w:val="0"/>
              <w:pageBreakBefore w:val="0"/>
              <w:kinsoku/>
              <w:wordWrap/>
              <w:overflowPunct/>
              <w:topLinePunct w:val="0"/>
              <w:autoSpaceDE/>
              <w:autoSpaceDN/>
              <w:bidi w:val="0"/>
              <w:adjustRightInd/>
              <w:snapToGrid/>
              <w:spacing w:line="380" w:lineRule="exact"/>
              <w:textAlignment w:val="auto"/>
              <w:rPr>
                <w:rFonts w:ascii="宋体" w:hAnsi="宋体" w:eastAsia="宋体" w:cs="宋体"/>
                <w:sz w:val="24"/>
                <w:szCs w:val="24"/>
                <w:highlight w:val="none"/>
                <w:vertAlign w:val="baseline"/>
              </w:rPr>
            </w:pPr>
            <w:r>
              <w:rPr>
                <w:rFonts w:hint="eastAsia" w:ascii="宋体" w:hAnsi="宋体" w:eastAsia="宋体" w:cs="宋体"/>
                <w:sz w:val="24"/>
                <w:szCs w:val="24"/>
                <w:highlight w:val="none"/>
                <w:vertAlign w:val="baseline"/>
              </w:rPr>
              <w:t>实验室对有关检验结果的询问或咨询是否反应当</w:t>
            </w:r>
          </w:p>
        </w:tc>
        <w:tc>
          <w:tcPr>
            <w:tcW w:w="2439" w:type="dxa"/>
            <w:noWrap w:val="0"/>
            <w:vAlign w:val="top"/>
          </w:tcPr>
          <w:p w14:paraId="7524B48F">
            <w:pPr>
              <w:keepNext w:val="0"/>
              <w:keepLines w:val="0"/>
              <w:pageBreakBefore w:val="0"/>
              <w:kinsoku/>
              <w:wordWrap/>
              <w:overflowPunct/>
              <w:topLinePunct w:val="0"/>
              <w:autoSpaceDE/>
              <w:autoSpaceDN/>
              <w:bidi w:val="0"/>
              <w:adjustRightInd/>
              <w:snapToGrid/>
              <w:spacing w:line="380" w:lineRule="exact"/>
              <w:jc w:val="center"/>
              <w:textAlignment w:val="auto"/>
              <w:rPr>
                <w:rFonts w:ascii="宋体" w:hAnsi="宋体" w:eastAsia="宋体" w:cs="宋体"/>
                <w:sz w:val="24"/>
                <w:szCs w:val="24"/>
                <w:highlight w:val="none"/>
                <w:vertAlign w:val="baseline"/>
              </w:rPr>
            </w:pPr>
            <w:r>
              <w:rPr>
                <w:rFonts w:ascii="宋体" w:hAnsi="宋体" w:eastAsia="宋体" w:cs="宋体"/>
                <w:sz w:val="24"/>
                <w:szCs w:val="24"/>
                <w:highlight w:val="none"/>
              </w:rPr>
              <w:t>□是 □否</w:t>
            </w:r>
          </w:p>
        </w:tc>
      </w:tr>
      <w:tr w14:paraId="1E1C4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846" w:type="dxa"/>
            <w:noWrap w:val="0"/>
            <w:vAlign w:val="top"/>
          </w:tcPr>
          <w:p w14:paraId="0E22BB17">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18</w:t>
            </w:r>
          </w:p>
        </w:tc>
        <w:tc>
          <w:tcPr>
            <w:tcW w:w="5661" w:type="dxa"/>
            <w:noWrap w:val="0"/>
            <w:vAlign w:val="top"/>
          </w:tcPr>
          <w:p w14:paraId="5DBFE403">
            <w:pPr>
              <w:keepNext w:val="0"/>
              <w:keepLines w:val="0"/>
              <w:pageBreakBefore w:val="0"/>
              <w:kinsoku/>
              <w:wordWrap/>
              <w:overflowPunct/>
              <w:topLinePunct w:val="0"/>
              <w:autoSpaceDE/>
              <w:autoSpaceDN/>
              <w:bidi w:val="0"/>
              <w:adjustRightInd/>
              <w:snapToGrid/>
              <w:spacing w:line="380" w:lineRule="exact"/>
              <w:textAlignment w:val="auto"/>
              <w:rPr>
                <w:rFonts w:ascii="宋体" w:hAnsi="宋体" w:eastAsia="宋体" w:cs="宋体"/>
                <w:sz w:val="24"/>
                <w:szCs w:val="24"/>
                <w:highlight w:val="none"/>
                <w:vertAlign w:val="baseline"/>
              </w:rPr>
            </w:pPr>
            <w:r>
              <w:rPr>
                <w:rFonts w:hint="eastAsia" w:ascii="宋体" w:hAnsi="宋体" w:eastAsia="宋体" w:cs="宋体"/>
                <w:sz w:val="24"/>
                <w:szCs w:val="24"/>
                <w:highlight w:val="none"/>
                <w:vertAlign w:val="baseline"/>
              </w:rPr>
              <w:t>必要时是否能提供专家咨询服务</w:t>
            </w:r>
          </w:p>
        </w:tc>
        <w:tc>
          <w:tcPr>
            <w:tcW w:w="2439" w:type="dxa"/>
            <w:noWrap w:val="0"/>
            <w:vAlign w:val="top"/>
          </w:tcPr>
          <w:p w14:paraId="127152D8">
            <w:pPr>
              <w:keepNext w:val="0"/>
              <w:keepLines w:val="0"/>
              <w:pageBreakBefore w:val="0"/>
              <w:kinsoku/>
              <w:wordWrap/>
              <w:overflowPunct/>
              <w:topLinePunct w:val="0"/>
              <w:autoSpaceDE/>
              <w:autoSpaceDN/>
              <w:bidi w:val="0"/>
              <w:adjustRightInd/>
              <w:snapToGrid/>
              <w:spacing w:line="380" w:lineRule="exact"/>
              <w:jc w:val="center"/>
              <w:textAlignment w:val="auto"/>
              <w:rPr>
                <w:rFonts w:ascii="宋体" w:hAnsi="宋体" w:eastAsia="宋体" w:cs="宋体"/>
                <w:sz w:val="24"/>
                <w:szCs w:val="24"/>
                <w:highlight w:val="none"/>
                <w:vertAlign w:val="baseline"/>
              </w:rPr>
            </w:pPr>
            <w:r>
              <w:rPr>
                <w:rFonts w:ascii="宋体" w:hAnsi="宋体" w:eastAsia="宋体" w:cs="宋体"/>
                <w:sz w:val="24"/>
                <w:szCs w:val="24"/>
                <w:highlight w:val="none"/>
              </w:rPr>
              <w:t>□差；□中；□良；□优</w:t>
            </w:r>
          </w:p>
        </w:tc>
      </w:tr>
      <w:tr w14:paraId="0096C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846" w:type="dxa"/>
            <w:noWrap w:val="0"/>
            <w:vAlign w:val="top"/>
          </w:tcPr>
          <w:p w14:paraId="72A835A1">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19</w:t>
            </w:r>
          </w:p>
        </w:tc>
        <w:tc>
          <w:tcPr>
            <w:tcW w:w="5661" w:type="dxa"/>
            <w:noWrap w:val="0"/>
            <w:vAlign w:val="top"/>
          </w:tcPr>
          <w:p w14:paraId="3EB0A5CF">
            <w:pPr>
              <w:keepNext w:val="0"/>
              <w:keepLines w:val="0"/>
              <w:pageBreakBefore w:val="0"/>
              <w:kinsoku/>
              <w:wordWrap/>
              <w:overflowPunct/>
              <w:topLinePunct w:val="0"/>
              <w:autoSpaceDE/>
              <w:autoSpaceDN/>
              <w:bidi w:val="0"/>
              <w:adjustRightInd/>
              <w:snapToGrid/>
              <w:spacing w:line="380" w:lineRule="exact"/>
              <w:textAlignment w:val="auto"/>
              <w:rPr>
                <w:rFonts w:ascii="宋体" w:hAnsi="宋体" w:eastAsia="宋体" w:cs="宋体"/>
                <w:sz w:val="24"/>
                <w:szCs w:val="24"/>
                <w:highlight w:val="none"/>
                <w:vertAlign w:val="baseline"/>
              </w:rPr>
            </w:pPr>
            <w:r>
              <w:rPr>
                <w:rFonts w:hint="eastAsia" w:ascii="宋体" w:hAnsi="宋体" w:eastAsia="宋体" w:cs="宋体"/>
                <w:sz w:val="24"/>
                <w:szCs w:val="24"/>
                <w:highlight w:val="none"/>
                <w:vertAlign w:val="baseline"/>
              </w:rPr>
              <w:t>客户满意度</w:t>
            </w:r>
          </w:p>
        </w:tc>
        <w:tc>
          <w:tcPr>
            <w:tcW w:w="2439" w:type="dxa"/>
            <w:noWrap w:val="0"/>
            <w:vAlign w:val="top"/>
          </w:tcPr>
          <w:p w14:paraId="6CE00838">
            <w:pPr>
              <w:keepNext w:val="0"/>
              <w:keepLines w:val="0"/>
              <w:pageBreakBefore w:val="0"/>
              <w:kinsoku/>
              <w:wordWrap/>
              <w:overflowPunct/>
              <w:topLinePunct w:val="0"/>
              <w:autoSpaceDE/>
              <w:autoSpaceDN/>
              <w:bidi w:val="0"/>
              <w:adjustRightInd/>
              <w:snapToGrid/>
              <w:spacing w:line="380" w:lineRule="exact"/>
              <w:jc w:val="center"/>
              <w:textAlignment w:val="auto"/>
              <w:rPr>
                <w:rFonts w:ascii="宋体" w:hAnsi="宋体" w:eastAsia="宋体" w:cs="宋体"/>
                <w:sz w:val="24"/>
                <w:szCs w:val="24"/>
                <w:highlight w:val="none"/>
                <w:vertAlign w:val="baseline"/>
              </w:rPr>
            </w:pPr>
            <w:r>
              <w:rPr>
                <w:rFonts w:ascii="宋体" w:hAnsi="宋体" w:eastAsia="宋体" w:cs="宋体"/>
                <w:sz w:val="24"/>
                <w:szCs w:val="24"/>
                <w:highlight w:val="none"/>
              </w:rPr>
              <w:t>目标值：&gt;90%</w:t>
            </w:r>
          </w:p>
        </w:tc>
      </w:tr>
      <w:tr w14:paraId="5FFEE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846" w:type="dxa"/>
            <w:noWrap w:val="0"/>
            <w:vAlign w:val="top"/>
          </w:tcPr>
          <w:p w14:paraId="6F7864CD">
            <w:pPr>
              <w:keepNext w:val="0"/>
              <w:keepLines w:val="0"/>
              <w:pageBreakBefore w:val="0"/>
              <w:kinsoku/>
              <w:wordWrap/>
              <w:overflowPunct/>
              <w:topLinePunct w:val="0"/>
              <w:autoSpaceDE/>
              <w:autoSpaceDN/>
              <w:bidi w:val="0"/>
              <w:adjustRightInd/>
              <w:snapToGrid/>
              <w:spacing w:line="380" w:lineRule="exact"/>
              <w:jc w:val="center"/>
              <w:textAlignment w:val="auto"/>
              <w:rPr>
                <w:rFonts w:hint="default"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20</w:t>
            </w:r>
          </w:p>
        </w:tc>
        <w:tc>
          <w:tcPr>
            <w:tcW w:w="5661" w:type="dxa"/>
            <w:noWrap w:val="0"/>
            <w:vAlign w:val="top"/>
          </w:tcPr>
          <w:p w14:paraId="6C05EDF5">
            <w:pPr>
              <w:keepNext w:val="0"/>
              <w:keepLines w:val="0"/>
              <w:pageBreakBefore w:val="0"/>
              <w:kinsoku/>
              <w:wordWrap/>
              <w:overflowPunct/>
              <w:topLinePunct w:val="0"/>
              <w:autoSpaceDE/>
              <w:autoSpaceDN/>
              <w:bidi w:val="0"/>
              <w:adjustRightInd/>
              <w:snapToGrid/>
              <w:spacing w:line="380" w:lineRule="exact"/>
              <w:textAlignment w:val="auto"/>
              <w:rPr>
                <w:rFonts w:ascii="宋体" w:hAnsi="宋体" w:eastAsia="宋体" w:cs="宋体"/>
                <w:sz w:val="24"/>
                <w:szCs w:val="24"/>
                <w:highlight w:val="none"/>
                <w:vertAlign w:val="baseline"/>
              </w:rPr>
            </w:pPr>
            <w:r>
              <w:rPr>
                <w:rFonts w:hint="eastAsia" w:ascii="宋体" w:hAnsi="宋体" w:eastAsia="宋体" w:cs="宋体"/>
                <w:sz w:val="24"/>
                <w:szCs w:val="24"/>
                <w:highlight w:val="none"/>
                <w:vertAlign w:val="baseline"/>
              </w:rPr>
              <w:t>检验质量合格率</w:t>
            </w:r>
          </w:p>
        </w:tc>
        <w:tc>
          <w:tcPr>
            <w:tcW w:w="2439" w:type="dxa"/>
            <w:noWrap w:val="0"/>
            <w:vAlign w:val="top"/>
          </w:tcPr>
          <w:p w14:paraId="0E49A204">
            <w:pPr>
              <w:keepNext w:val="0"/>
              <w:keepLines w:val="0"/>
              <w:pageBreakBefore w:val="0"/>
              <w:kinsoku/>
              <w:wordWrap/>
              <w:overflowPunct/>
              <w:topLinePunct w:val="0"/>
              <w:autoSpaceDE/>
              <w:autoSpaceDN/>
              <w:bidi w:val="0"/>
              <w:adjustRightInd/>
              <w:snapToGrid/>
              <w:spacing w:line="380" w:lineRule="exact"/>
              <w:jc w:val="center"/>
              <w:textAlignment w:val="auto"/>
              <w:rPr>
                <w:rFonts w:ascii="宋体" w:hAnsi="宋体" w:eastAsia="宋体" w:cs="宋体"/>
                <w:sz w:val="24"/>
                <w:szCs w:val="24"/>
                <w:highlight w:val="none"/>
                <w:vertAlign w:val="baseline"/>
              </w:rPr>
            </w:pPr>
            <w:r>
              <w:rPr>
                <w:rFonts w:ascii="宋体" w:hAnsi="宋体" w:eastAsia="宋体" w:cs="宋体"/>
                <w:sz w:val="24"/>
                <w:szCs w:val="24"/>
                <w:highlight w:val="none"/>
              </w:rPr>
              <w:t>100%</w:t>
            </w:r>
          </w:p>
        </w:tc>
      </w:tr>
      <w:tr w14:paraId="2D83F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946" w:type="dxa"/>
            <w:gridSpan w:val="3"/>
            <w:noWrap w:val="0"/>
            <w:vAlign w:val="top"/>
          </w:tcPr>
          <w:p w14:paraId="1F0139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80" w:lineRule="exact"/>
              <w:ind w:left="0" w:right="0"/>
              <w:textAlignment w:val="auto"/>
              <w:rPr>
                <w:color w:val="000000"/>
                <w:sz w:val="24"/>
                <w:szCs w:val="24"/>
                <w:highlight w:val="none"/>
              </w:rPr>
            </w:pPr>
            <w:r>
              <w:rPr>
                <w:color w:val="000000"/>
                <w:sz w:val="24"/>
                <w:szCs w:val="24"/>
                <w:highlight w:val="none"/>
              </w:rPr>
              <w:t>存在问题：</w:t>
            </w:r>
          </w:p>
          <w:p w14:paraId="2CA8A4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80" w:lineRule="exact"/>
              <w:ind w:left="0" w:right="0"/>
              <w:jc w:val="left"/>
              <w:textAlignment w:val="auto"/>
              <w:rPr>
                <w:rFonts w:ascii="宋体" w:hAnsi="宋体" w:eastAsia="宋体" w:cs="宋体"/>
                <w:sz w:val="24"/>
                <w:szCs w:val="24"/>
                <w:highlight w:val="none"/>
                <w:vertAlign w:val="baseline"/>
              </w:rPr>
            </w:pPr>
          </w:p>
        </w:tc>
      </w:tr>
      <w:tr w14:paraId="64014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8946" w:type="dxa"/>
            <w:gridSpan w:val="3"/>
            <w:noWrap w:val="0"/>
            <w:vAlign w:val="top"/>
          </w:tcPr>
          <w:p w14:paraId="390E6B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80" w:lineRule="exact"/>
              <w:ind w:left="0" w:right="0"/>
              <w:textAlignment w:val="auto"/>
              <w:rPr>
                <w:color w:val="000000"/>
                <w:sz w:val="24"/>
                <w:szCs w:val="24"/>
                <w:highlight w:val="none"/>
              </w:rPr>
            </w:pPr>
            <w:r>
              <w:rPr>
                <w:color w:val="000000"/>
                <w:sz w:val="24"/>
                <w:szCs w:val="24"/>
                <w:highlight w:val="none"/>
              </w:rPr>
              <w:t>改进意见及效果评价：</w:t>
            </w:r>
          </w:p>
          <w:p w14:paraId="08581DF8">
            <w:pPr>
              <w:keepNext w:val="0"/>
              <w:keepLines w:val="0"/>
              <w:pageBreakBefore w:val="0"/>
              <w:kinsoku/>
              <w:wordWrap/>
              <w:overflowPunct/>
              <w:topLinePunct w:val="0"/>
              <w:autoSpaceDE/>
              <w:autoSpaceDN/>
              <w:bidi w:val="0"/>
              <w:adjustRightInd/>
              <w:snapToGrid/>
              <w:spacing w:line="380" w:lineRule="exact"/>
              <w:textAlignment w:val="auto"/>
              <w:rPr>
                <w:rFonts w:ascii="宋体" w:hAnsi="宋体" w:eastAsia="宋体" w:cs="宋体"/>
                <w:sz w:val="24"/>
                <w:szCs w:val="24"/>
                <w:highlight w:val="none"/>
                <w:vertAlign w:val="baseline"/>
              </w:rPr>
            </w:pPr>
          </w:p>
        </w:tc>
      </w:tr>
    </w:tbl>
    <w:p w14:paraId="36FBC8D1">
      <w:pPr>
        <w:rPr>
          <w:rFonts w:ascii="宋体" w:hAnsi="宋体" w:eastAsia="宋体" w:cs="宋体"/>
          <w:sz w:val="24"/>
          <w:szCs w:val="24"/>
          <w:highlight w:val="none"/>
        </w:rPr>
      </w:pPr>
    </w:p>
    <w:p w14:paraId="6B370DDA">
      <w:pPr>
        <w:jc w:val="right"/>
        <w:rPr>
          <w:rFonts w:hint="default" w:ascii="宋体" w:hAnsi="宋体" w:eastAsia="宋体" w:cs="宋体"/>
          <w:sz w:val="24"/>
          <w:szCs w:val="24"/>
          <w:highlight w:val="none"/>
          <w:lang w:val="en-US" w:eastAsia="zh-CN"/>
        </w:rPr>
      </w:pPr>
      <w:r>
        <w:rPr>
          <w:rFonts w:ascii="宋体" w:hAnsi="宋体" w:eastAsia="宋体" w:cs="宋体"/>
          <w:sz w:val="24"/>
          <w:szCs w:val="24"/>
          <w:highlight w:val="none"/>
        </w:rPr>
        <w:t>被考核单位签字：</w:t>
      </w:r>
      <w:r>
        <w:rPr>
          <w:rFonts w:hint="eastAsia" w:ascii="宋体" w:hAnsi="宋体" w:eastAsia="宋体" w:cs="宋体"/>
          <w:sz w:val="24"/>
          <w:szCs w:val="24"/>
          <w:highlight w:val="none"/>
          <w:lang w:val="en-US" w:eastAsia="zh-CN"/>
        </w:rPr>
        <w:t xml:space="preserve">      </w:t>
      </w:r>
      <w:r>
        <w:rPr>
          <w:rFonts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ascii="宋体" w:hAnsi="宋体" w:eastAsia="宋体" w:cs="宋体"/>
          <w:sz w:val="24"/>
          <w:szCs w:val="24"/>
          <w:highlight w:val="none"/>
        </w:rPr>
        <w:t>年</w:t>
      </w:r>
      <w:r>
        <w:rPr>
          <w:rFonts w:hint="eastAsia" w:ascii="宋体" w:hAnsi="宋体" w:eastAsia="宋体" w:cs="宋体"/>
          <w:sz w:val="24"/>
          <w:szCs w:val="24"/>
          <w:highlight w:val="none"/>
          <w:lang w:val="en-US" w:eastAsia="zh-CN"/>
        </w:rPr>
        <w:t xml:space="preserve">    </w:t>
      </w:r>
      <w:r>
        <w:rPr>
          <w:rFonts w:ascii="宋体" w:hAnsi="宋体" w:eastAsia="宋体" w:cs="宋体"/>
          <w:sz w:val="24"/>
          <w:szCs w:val="24"/>
          <w:highlight w:val="none"/>
        </w:rPr>
        <w:t>月</w:t>
      </w:r>
      <w:r>
        <w:rPr>
          <w:rFonts w:hint="eastAsia" w:ascii="宋体" w:hAnsi="宋体" w:eastAsia="宋体" w:cs="宋体"/>
          <w:sz w:val="24"/>
          <w:szCs w:val="24"/>
          <w:highlight w:val="none"/>
          <w:lang w:val="en-US" w:eastAsia="zh-CN"/>
        </w:rPr>
        <w:t xml:space="preserve">   日</w:t>
      </w:r>
    </w:p>
    <w:p w14:paraId="15CBA7E1">
      <w:pPr>
        <w:rPr>
          <w:rFonts w:ascii="宋体" w:hAnsi="宋体" w:eastAsia="宋体" w:cs="宋体"/>
          <w:sz w:val="24"/>
          <w:szCs w:val="24"/>
          <w:highlight w:val="none"/>
        </w:rPr>
      </w:pPr>
    </w:p>
    <w:p w14:paraId="06AE0D2D">
      <w:pPr>
        <w:jc w:val="right"/>
        <w:rPr>
          <w:rFonts w:hint="eastAsia" w:ascii="宋体" w:hAnsi="宋体" w:eastAsia="宋体" w:cs="宋体"/>
          <w:sz w:val="24"/>
          <w:szCs w:val="24"/>
          <w:highlight w:val="none"/>
          <w:lang w:val="en-US" w:eastAsia="zh-CN"/>
        </w:rPr>
      </w:pPr>
      <w:r>
        <w:rPr>
          <w:rFonts w:ascii="宋体" w:hAnsi="宋体" w:eastAsia="宋体" w:cs="宋体"/>
          <w:sz w:val="24"/>
          <w:szCs w:val="24"/>
          <w:highlight w:val="none"/>
        </w:rPr>
        <w:t>考核人签字：</w:t>
      </w:r>
      <w:r>
        <w:rPr>
          <w:rFonts w:hint="eastAsia" w:ascii="宋体" w:hAnsi="宋体" w:eastAsia="宋体" w:cs="宋体"/>
          <w:sz w:val="24"/>
          <w:szCs w:val="24"/>
          <w:highlight w:val="none"/>
          <w:lang w:val="en-US" w:eastAsia="zh-CN"/>
        </w:rPr>
        <w:t xml:space="preserve">      </w:t>
      </w:r>
      <w:r>
        <w:rPr>
          <w:rFonts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ascii="宋体" w:hAnsi="宋体" w:eastAsia="宋体" w:cs="宋体"/>
          <w:sz w:val="24"/>
          <w:szCs w:val="24"/>
          <w:highlight w:val="none"/>
        </w:rPr>
        <w:t>年</w:t>
      </w:r>
      <w:r>
        <w:rPr>
          <w:rFonts w:hint="eastAsia" w:ascii="宋体" w:hAnsi="宋体" w:eastAsia="宋体" w:cs="宋体"/>
          <w:sz w:val="24"/>
          <w:szCs w:val="24"/>
          <w:highlight w:val="none"/>
          <w:lang w:val="en-US" w:eastAsia="zh-CN"/>
        </w:rPr>
        <w:t xml:space="preserve">    </w:t>
      </w:r>
      <w:r>
        <w:rPr>
          <w:rFonts w:ascii="宋体" w:hAnsi="宋体" w:eastAsia="宋体" w:cs="宋体"/>
          <w:sz w:val="24"/>
          <w:szCs w:val="24"/>
          <w:highlight w:val="none"/>
        </w:rPr>
        <w:t>月</w:t>
      </w:r>
      <w:r>
        <w:rPr>
          <w:rFonts w:hint="eastAsia" w:ascii="宋体" w:hAnsi="宋体" w:eastAsia="宋体" w:cs="宋体"/>
          <w:sz w:val="24"/>
          <w:szCs w:val="24"/>
          <w:highlight w:val="none"/>
          <w:lang w:val="en-US" w:eastAsia="zh-CN"/>
        </w:rPr>
        <w:t xml:space="preserve">   日</w:t>
      </w:r>
    </w:p>
    <w:p w14:paraId="7AA32AA1">
      <w:pPr>
        <w:keepNext w:val="0"/>
        <w:keepLines w:val="0"/>
        <w:pageBreakBefore w:val="0"/>
        <w:widowControl w:val="0"/>
        <w:kinsoku/>
        <w:wordWrap/>
        <w:overflowPunct/>
        <w:topLinePunct w:val="0"/>
        <w:autoSpaceDE/>
        <w:autoSpaceDN/>
        <w:bidi w:val="0"/>
        <w:adjustRightInd w:val="0"/>
        <w:snapToGrid w:val="0"/>
        <w:spacing w:line="276" w:lineRule="auto"/>
        <w:textAlignment w:val="auto"/>
        <w:rPr>
          <w:rFonts w:hint="default" w:ascii="宋体" w:hAnsi="宋体" w:eastAsia="宋体" w:cs="Times New Roman"/>
          <w:sz w:val="28"/>
          <w:szCs w:val="28"/>
          <w:highlight w:val="none"/>
          <w:lang w:val="en-US" w:eastAsia="zh-CN"/>
        </w:rPr>
      </w:pPr>
      <w:r>
        <w:rPr>
          <w:rFonts w:hint="eastAsia" w:ascii="宋体" w:hAnsi="宋体" w:eastAsia="宋体" w:cs="Times New Roman"/>
          <w:sz w:val="28"/>
          <w:szCs w:val="28"/>
          <w:highlight w:val="none"/>
          <w:lang w:val="en-US" w:eastAsia="zh-CN"/>
        </w:rPr>
        <w:t>备注：</w:t>
      </w:r>
    </w:p>
    <w:p w14:paraId="63212B4B">
      <w:pPr>
        <w:keepNext w:val="0"/>
        <w:keepLines w:val="0"/>
        <w:pageBreakBefore w:val="0"/>
        <w:widowControl w:val="0"/>
        <w:kinsoku/>
        <w:wordWrap/>
        <w:overflowPunct/>
        <w:topLinePunct w:val="0"/>
        <w:autoSpaceDE/>
        <w:autoSpaceDN/>
        <w:bidi w:val="0"/>
        <w:adjustRightInd w:val="0"/>
        <w:snapToGrid w:val="0"/>
        <w:spacing w:line="276" w:lineRule="auto"/>
        <w:ind w:firstLine="560" w:firstLineChars="200"/>
        <w:textAlignment w:val="auto"/>
        <w:rPr>
          <w:rFonts w:hint="eastAsia" w:ascii="宋体" w:hAnsi="宋体" w:eastAsia="宋体" w:cs="Times New Roman"/>
          <w:sz w:val="28"/>
          <w:szCs w:val="28"/>
          <w:highlight w:val="none"/>
          <w:lang w:val="en-US" w:eastAsia="zh-CN"/>
        </w:rPr>
      </w:pPr>
      <w:r>
        <w:rPr>
          <w:rFonts w:hint="eastAsia" w:ascii="宋体" w:hAnsi="宋体" w:eastAsia="宋体" w:cs="Times New Roman"/>
          <w:sz w:val="28"/>
          <w:szCs w:val="28"/>
          <w:highlight w:val="none"/>
          <w:lang w:val="en-US" w:eastAsia="zh-CN"/>
        </w:rPr>
        <w:t>1.结果分级</w:t>
      </w:r>
    </w:p>
    <w:p w14:paraId="185E4E31">
      <w:pPr>
        <w:keepNext w:val="0"/>
        <w:keepLines w:val="0"/>
        <w:pageBreakBefore w:val="0"/>
        <w:widowControl w:val="0"/>
        <w:kinsoku/>
        <w:wordWrap/>
        <w:overflowPunct/>
        <w:topLinePunct w:val="0"/>
        <w:autoSpaceDE/>
        <w:autoSpaceDN/>
        <w:bidi w:val="0"/>
        <w:adjustRightInd w:val="0"/>
        <w:snapToGrid w:val="0"/>
        <w:spacing w:line="276" w:lineRule="auto"/>
        <w:ind w:firstLine="560" w:firstLineChars="200"/>
        <w:textAlignment w:val="auto"/>
        <w:rPr>
          <w:rFonts w:hint="eastAsia" w:ascii="宋体" w:hAnsi="宋体" w:eastAsia="宋体" w:cs="Times New Roman"/>
          <w:sz w:val="28"/>
          <w:szCs w:val="28"/>
          <w:highlight w:val="none"/>
          <w:lang w:val="en-US" w:eastAsia="zh-CN"/>
        </w:rPr>
      </w:pPr>
      <w:r>
        <w:rPr>
          <w:rFonts w:hint="eastAsia" w:ascii="宋体" w:hAnsi="宋体" w:eastAsia="宋体" w:cs="Times New Roman"/>
          <w:sz w:val="28"/>
          <w:szCs w:val="28"/>
          <w:highlight w:val="none"/>
          <w:lang w:val="en-US" w:eastAsia="zh-CN"/>
        </w:rPr>
        <w:t>1.1优秀：无不合格项，满意度≥95%，质量合格率 100%，咨询服务优。</w:t>
      </w:r>
    </w:p>
    <w:p w14:paraId="428D1B75">
      <w:pPr>
        <w:keepNext w:val="0"/>
        <w:keepLines w:val="0"/>
        <w:pageBreakBefore w:val="0"/>
        <w:widowControl w:val="0"/>
        <w:kinsoku/>
        <w:wordWrap/>
        <w:overflowPunct/>
        <w:topLinePunct w:val="0"/>
        <w:autoSpaceDE/>
        <w:autoSpaceDN/>
        <w:bidi w:val="0"/>
        <w:adjustRightInd w:val="0"/>
        <w:snapToGrid w:val="0"/>
        <w:spacing w:line="276" w:lineRule="auto"/>
        <w:ind w:firstLine="560" w:firstLineChars="200"/>
        <w:textAlignment w:val="auto"/>
        <w:rPr>
          <w:rFonts w:hint="eastAsia" w:ascii="宋体" w:hAnsi="宋体" w:eastAsia="宋体" w:cs="Times New Roman"/>
          <w:sz w:val="28"/>
          <w:szCs w:val="28"/>
          <w:highlight w:val="none"/>
          <w:lang w:val="en-US" w:eastAsia="zh-CN"/>
        </w:rPr>
      </w:pPr>
      <w:r>
        <w:rPr>
          <w:rFonts w:hint="eastAsia" w:ascii="宋体" w:hAnsi="宋体" w:eastAsia="宋体" w:cs="Times New Roman"/>
          <w:sz w:val="28"/>
          <w:szCs w:val="28"/>
          <w:highlight w:val="none"/>
          <w:lang w:val="en-US" w:eastAsia="zh-CN"/>
        </w:rPr>
        <w:t>1.2 合格：≤2 项一般不符合，已立即整改；满意度＞90%，质量合格率 100%。</w:t>
      </w:r>
    </w:p>
    <w:p w14:paraId="1440BE13">
      <w:pPr>
        <w:keepNext w:val="0"/>
        <w:keepLines w:val="0"/>
        <w:pageBreakBefore w:val="0"/>
        <w:widowControl w:val="0"/>
        <w:kinsoku/>
        <w:wordWrap/>
        <w:overflowPunct/>
        <w:topLinePunct w:val="0"/>
        <w:autoSpaceDE/>
        <w:autoSpaceDN/>
        <w:bidi w:val="0"/>
        <w:adjustRightInd w:val="0"/>
        <w:snapToGrid w:val="0"/>
        <w:spacing w:line="276" w:lineRule="auto"/>
        <w:ind w:firstLine="560" w:firstLineChars="200"/>
        <w:textAlignment w:val="auto"/>
        <w:rPr>
          <w:rFonts w:hint="eastAsia" w:ascii="宋体" w:hAnsi="宋体" w:eastAsia="宋体" w:cs="Times New Roman"/>
          <w:sz w:val="28"/>
          <w:szCs w:val="28"/>
          <w:highlight w:val="none"/>
          <w:lang w:val="en-US" w:eastAsia="zh-CN"/>
        </w:rPr>
      </w:pPr>
      <w:r>
        <w:rPr>
          <w:rFonts w:hint="eastAsia" w:ascii="宋体" w:hAnsi="宋体" w:eastAsia="宋体" w:cs="Times New Roman"/>
          <w:sz w:val="28"/>
          <w:szCs w:val="28"/>
          <w:highlight w:val="none"/>
          <w:lang w:val="en-US" w:eastAsia="zh-CN"/>
        </w:rPr>
        <w:t>1.3 不合格：出现关键项不符合，≥3 项一般不符合、满意度≤90%、质量合格率＜100%、室间质评连续不合格、发生安全 / 质量事故。</w:t>
      </w:r>
    </w:p>
    <w:p w14:paraId="0D61F65F">
      <w:pPr>
        <w:keepNext w:val="0"/>
        <w:keepLines w:val="0"/>
        <w:pageBreakBefore w:val="0"/>
        <w:widowControl w:val="0"/>
        <w:kinsoku/>
        <w:wordWrap/>
        <w:overflowPunct/>
        <w:topLinePunct w:val="0"/>
        <w:autoSpaceDE/>
        <w:autoSpaceDN/>
        <w:bidi w:val="0"/>
        <w:adjustRightInd w:val="0"/>
        <w:snapToGrid w:val="0"/>
        <w:spacing w:line="276" w:lineRule="auto"/>
        <w:ind w:firstLine="560" w:firstLineChars="200"/>
        <w:textAlignment w:val="auto"/>
        <w:rPr>
          <w:rFonts w:hint="eastAsia" w:ascii="宋体" w:hAnsi="宋体" w:eastAsia="宋体" w:cs="Times New Roman"/>
          <w:sz w:val="28"/>
          <w:szCs w:val="28"/>
          <w:highlight w:val="none"/>
          <w:lang w:val="en-US" w:eastAsia="zh-CN"/>
        </w:rPr>
      </w:pPr>
    </w:p>
    <w:p w14:paraId="0F66CAF1">
      <w:pPr>
        <w:keepNext w:val="0"/>
        <w:keepLines w:val="0"/>
        <w:pageBreakBefore w:val="0"/>
        <w:widowControl w:val="0"/>
        <w:kinsoku/>
        <w:wordWrap/>
        <w:overflowPunct/>
        <w:topLinePunct w:val="0"/>
        <w:autoSpaceDE/>
        <w:autoSpaceDN/>
        <w:bidi w:val="0"/>
        <w:adjustRightInd w:val="0"/>
        <w:snapToGrid w:val="0"/>
        <w:spacing w:line="276" w:lineRule="auto"/>
        <w:ind w:firstLine="560" w:firstLineChars="200"/>
        <w:textAlignment w:val="auto"/>
        <w:rPr>
          <w:rFonts w:hint="eastAsia" w:ascii="宋体" w:hAnsi="宋体" w:eastAsia="宋体" w:cs="Times New Roman"/>
          <w:sz w:val="28"/>
          <w:szCs w:val="28"/>
          <w:highlight w:val="none"/>
          <w:lang w:val="en-US" w:eastAsia="zh-CN"/>
        </w:rPr>
      </w:pPr>
      <w:r>
        <w:rPr>
          <w:rFonts w:hint="eastAsia" w:ascii="宋体" w:hAnsi="宋体" w:eastAsia="宋体" w:cs="Times New Roman"/>
          <w:sz w:val="28"/>
          <w:szCs w:val="28"/>
          <w:highlight w:val="none"/>
          <w:lang w:val="en-US" w:eastAsia="zh-CN"/>
        </w:rPr>
        <w:t>2.  判定关键项（一票否决）</w:t>
      </w:r>
    </w:p>
    <w:p w14:paraId="6B0ED12C">
      <w:pPr>
        <w:keepNext w:val="0"/>
        <w:keepLines w:val="0"/>
        <w:pageBreakBefore w:val="0"/>
        <w:widowControl w:val="0"/>
        <w:kinsoku/>
        <w:wordWrap/>
        <w:overflowPunct/>
        <w:topLinePunct w:val="0"/>
        <w:autoSpaceDE/>
        <w:autoSpaceDN/>
        <w:bidi w:val="0"/>
        <w:adjustRightInd w:val="0"/>
        <w:snapToGrid w:val="0"/>
        <w:spacing w:line="276" w:lineRule="auto"/>
        <w:ind w:firstLine="560" w:firstLineChars="200"/>
        <w:textAlignment w:val="auto"/>
        <w:rPr>
          <w:rFonts w:hint="eastAsia" w:ascii="宋体" w:hAnsi="宋体" w:eastAsia="宋体" w:cs="Times New Roman"/>
          <w:sz w:val="28"/>
          <w:szCs w:val="28"/>
          <w:highlight w:val="none"/>
          <w:lang w:val="en-US" w:eastAsia="zh-CN"/>
        </w:rPr>
      </w:pPr>
      <w:r>
        <w:rPr>
          <w:rFonts w:hint="eastAsia" w:ascii="宋体" w:hAnsi="宋体" w:eastAsia="宋体" w:cs="Times New Roman"/>
          <w:sz w:val="28"/>
          <w:szCs w:val="28"/>
          <w:highlight w:val="none"/>
          <w:lang w:val="en-US" w:eastAsia="zh-CN"/>
        </w:rPr>
        <w:t>2.1  人员无资质、伪造记录、报告造假。</w:t>
      </w:r>
    </w:p>
    <w:p w14:paraId="7CDD3467">
      <w:pPr>
        <w:keepNext w:val="0"/>
        <w:keepLines w:val="0"/>
        <w:pageBreakBefore w:val="0"/>
        <w:widowControl w:val="0"/>
        <w:kinsoku/>
        <w:wordWrap/>
        <w:overflowPunct/>
        <w:topLinePunct w:val="0"/>
        <w:autoSpaceDE/>
        <w:autoSpaceDN/>
        <w:bidi w:val="0"/>
        <w:adjustRightInd w:val="0"/>
        <w:snapToGrid w:val="0"/>
        <w:spacing w:line="276" w:lineRule="auto"/>
        <w:ind w:firstLine="560" w:firstLineChars="200"/>
        <w:textAlignment w:val="auto"/>
        <w:rPr>
          <w:rFonts w:hint="eastAsia" w:ascii="宋体" w:hAnsi="宋体" w:eastAsia="宋体" w:cs="Times New Roman"/>
          <w:sz w:val="28"/>
          <w:szCs w:val="28"/>
          <w:highlight w:val="none"/>
          <w:lang w:val="en-US" w:eastAsia="zh-CN"/>
        </w:rPr>
      </w:pPr>
      <w:r>
        <w:rPr>
          <w:rFonts w:hint="eastAsia" w:ascii="宋体" w:hAnsi="宋体" w:eastAsia="宋体" w:cs="Times New Roman"/>
          <w:sz w:val="28"/>
          <w:szCs w:val="28"/>
          <w:highlight w:val="none"/>
          <w:lang w:val="en-US" w:eastAsia="zh-CN"/>
        </w:rPr>
        <w:t>2.2  标本丢失、污染、错检导致严重后果。</w:t>
      </w:r>
    </w:p>
    <w:p w14:paraId="268E5C2F">
      <w:pPr>
        <w:keepNext w:val="0"/>
        <w:keepLines w:val="0"/>
        <w:pageBreakBefore w:val="0"/>
        <w:widowControl w:val="0"/>
        <w:kinsoku/>
        <w:wordWrap/>
        <w:overflowPunct/>
        <w:topLinePunct w:val="0"/>
        <w:autoSpaceDE/>
        <w:autoSpaceDN/>
        <w:bidi w:val="0"/>
        <w:adjustRightInd w:val="0"/>
        <w:snapToGrid w:val="0"/>
        <w:spacing w:line="276" w:lineRule="auto"/>
        <w:ind w:firstLine="560" w:firstLineChars="200"/>
        <w:textAlignment w:val="auto"/>
        <w:rPr>
          <w:rFonts w:hint="eastAsia" w:ascii="宋体" w:hAnsi="宋体" w:eastAsia="宋体" w:cs="Times New Roman"/>
          <w:sz w:val="28"/>
          <w:szCs w:val="28"/>
          <w:highlight w:val="none"/>
          <w:lang w:val="en-US" w:eastAsia="zh-CN"/>
        </w:rPr>
      </w:pPr>
      <w:r>
        <w:rPr>
          <w:rFonts w:hint="eastAsia" w:ascii="宋体" w:hAnsi="宋体" w:eastAsia="宋体" w:cs="Times New Roman"/>
          <w:sz w:val="28"/>
          <w:szCs w:val="28"/>
          <w:highlight w:val="none"/>
          <w:lang w:val="en-US" w:eastAsia="zh-CN"/>
        </w:rPr>
        <w:t>2.3  室间质评不满意且无有效整改。</w:t>
      </w:r>
    </w:p>
    <w:p w14:paraId="5C5AEDA3">
      <w:pPr>
        <w:keepNext w:val="0"/>
        <w:keepLines w:val="0"/>
        <w:pageBreakBefore w:val="0"/>
        <w:widowControl w:val="0"/>
        <w:kinsoku/>
        <w:wordWrap/>
        <w:overflowPunct/>
        <w:topLinePunct w:val="0"/>
        <w:autoSpaceDE/>
        <w:autoSpaceDN/>
        <w:bidi w:val="0"/>
        <w:adjustRightInd w:val="0"/>
        <w:snapToGrid w:val="0"/>
        <w:spacing w:line="276" w:lineRule="auto"/>
        <w:ind w:firstLine="560" w:firstLineChars="200"/>
        <w:textAlignment w:val="auto"/>
        <w:rPr>
          <w:rFonts w:hint="eastAsia" w:ascii="宋体" w:hAnsi="宋体" w:eastAsia="宋体" w:cs="Times New Roman"/>
          <w:sz w:val="28"/>
          <w:szCs w:val="28"/>
          <w:highlight w:val="none"/>
          <w:lang w:val="en-US" w:eastAsia="zh-CN"/>
        </w:rPr>
      </w:pPr>
      <w:r>
        <w:rPr>
          <w:rFonts w:hint="eastAsia" w:ascii="宋体" w:hAnsi="宋体" w:eastAsia="宋体" w:cs="Times New Roman"/>
          <w:sz w:val="28"/>
          <w:szCs w:val="28"/>
          <w:highlight w:val="none"/>
          <w:lang w:val="en-US" w:eastAsia="zh-CN"/>
        </w:rPr>
        <w:t>2.4  发生生物安全事件或重大质量事故。</w:t>
      </w:r>
    </w:p>
    <w:p w14:paraId="232C5210">
      <w:pPr>
        <w:keepNext w:val="0"/>
        <w:keepLines w:val="0"/>
        <w:pageBreakBefore w:val="0"/>
        <w:widowControl w:val="0"/>
        <w:kinsoku/>
        <w:wordWrap/>
        <w:overflowPunct/>
        <w:topLinePunct w:val="0"/>
        <w:autoSpaceDE/>
        <w:autoSpaceDN/>
        <w:bidi w:val="0"/>
        <w:adjustRightInd w:val="0"/>
        <w:snapToGrid w:val="0"/>
        <w:spacing w:line="276" w:lineRule="auto"/>
        <w:ind w:firstLine="560" w:firstLineChars="200"/>
        <w:jc w:val="left"/>
        <w:textAlignment w:val="auto"/>
        <w:rPr>
          <w:rFonts w:hint="eastAsia" w:ascii="宋体" w:hAnsi="宋体" w:eastAsia="宋体" w:cs="Times New Roman"/>
          <w:sz w:val="28"/>
          <w:szCs w:val="28"/>
          <w:highlight w:val="none"/>
          <w:lang w:val="en-US" w:eastAsia="zh-CN"/>
        </w:rPr>
      </w:pPr>
    </w:p>
    <w:p w14:paraId="33F77C5F">
      <w:pPr>
        <w:keepNext w:val="0"/>
        <w:keepLines w:val="0"/>
        <w:pageBreakBefore w:val="0"/>
        <w:widowControl w:val="0"/>
        <w:kinsoku/>
        <w:wordWrap/>
        <w:overflowPunct/>
        <w:topLinePunct w:val="0"/>
        <w:autoSpaceDE/>
        <w:autoSpaceDN/>
        <w:bidi w:val="0"/>
        <w:adjustRightInd w:val="0"/>
        <w:snapToGrid w:val="0"/>
        <w:spacing w:line="276" w:lineRule="auto"/>
        <w:ind w:firstLine="560" w:firstLineChars="200"/>
        <w:textAlignment w:val="auto"/>
        <w:rPr>
          <w:rFonts w:hint="eastAsia" w:ascii="宋体" w:hAnsi="宋体" w:eastAsia="宋体" w:cs="Times New Roman"/>
          <w:sz w:val="28"/>
          <w:szCs w:val="28"/>
          <w:highlight w:val="none"/>
          <w:lang w:val="en-US" w:eastAsia="zh-CN"/>
        </w:rPr>
      </w:pPr>
      <w:r>
        <w:rPr>
          <w:rFonts w:hint="eastAsia" w:ascii="宋体" w:hAnsi="宋体" w:eastAsia="宋体" w:cs="Times New Roman"/>
          <w:sz w:val="28"/>
          <w:szCs w:val="28"/>
          <w:highlight w:val="none"/>
          <w:lang w:val="en-US" w:eastAsia="zh-CN"/>
        </w:rPr>
        <w:t>3.结果应用</w:t>
      </w:r>
    </w:p>
    <w:p w14:paraId="2A44594C">
      <w:pPr>
        <w:keepNext w:val="0"/>
        <w:keepLines w:val="0"/>
        <w:pageBreakBefore w:val="0"/>
        <w:widowControl w:val="0"/>
        <w:kinsoku/>
        <w:wordWrap/>
        <w:overflowPunct/>
        <w:topLinePunct w:val="0"/>
        <w:autoSpaceDE/>
        <w:autoSpaceDN/>
        <w:bidi w:val="0"/>
        <w:adjustRightInd w:val="0"/>
        <w:snapToGrid w:val="0"/>
        <w:spacing w:line="276" w:lineRule="auto"/>
        <w:ind w:firstLine="560" w:firstLineChars="200"/>
        <w:textAlignment w:val="auto"/>
        <w:rPr>
          <w:rFonts w:hint="eastAsia" w:ascii="宋体" w:hAnsi="宋体" w:eastAsia="宋体" w:cs="Times New Roman"/>
          <w:sz w:val="28"/>
          <w:szCs w:val="28"/>
          <w:highlight w:val="none"/>
          <w:lang w:val="en-US" w:eastAsia="zh-CN"/>
        </w:rPr>
      </w:pPr>
      <w:r>
        <w:rPr>
          <w:rFonts w:hint="eastAsia" w:ascii="宋体" w:hAnsi="宋体" w:eastAsia="宋体" w:cs="Times New Roman"/>
          <w:sz w:val="28"/>
          <w:szCs w:val="28"/>
          <w:highlight w:val="none"/>
          <w:lang w:val="en-US" w:eastAsia="zh-CN"/>
        </w:rPr>
        <w:t>3.1  优秀：优先续约、增加检测项目。</w:t>
      </w:r>
    </w:p>
    <w:p w14:paraId="0BE6F203">
      <w:pPr>
        <w:keepNext w:val="0"/>
        <w:keepLines w:val="0"/>
        <w:pageBreakBefore w:val="0"/>
        <w:widowControl w:val="0"/>
        <w:kinsoku/>
        <w:wordWrap/>
        <w:overflowPunct/>
        <w:topLinePunct w:val="0"/>
        <w:autoSpaceDE/>
        <w:autoSpaceDN/>
        <w:bidi w:val="0"/>
        <w:adjustRightInd w:val="0"/>
        <w:snapToGrid w:val="0"/>
        <w:spacing w:line="276" w:lineRule="auto"/>
        <w:ind w:firstLine="560" w:firstLineChars="200"/>
        <w:textAlignment w:val="auto"/>
        <w:rPr>
          <w:rFonts w:hint="eastAsia" w:ascii="宋体" w:hAnsi="宋体" w:eastAsia="宋体" w:cs="Times New Roman"/>
          <w:sz w:val="28"/>
          <w:szCs w:val="28"/>
          <w:highlight w:val="none"/>
          <w:lang w:val="en-US" w:eastAsia="zh-CN"/>
        </w:rPr>
      </w:pPr>
      <w:r>
        <w:rPr>
          <w:rFonts w:hint="eastAsia" w:ascii="宋体" w:hAnsi="宋体" w:eastAsia="宋体" w:cs="Times New Roman"/>
          <w:sz w:val="28"/>
          <w:szCs w:val="28"/>
          <w:highlight w:val="none"/>
          <w:lang w:val="en-US" w:eastAsia="zh-CN"/>
        </w:rPr>
        <w:t>3.2  合格：继续合作，持续监控。</w:t>
      </w:r>
    </w:p>
    <w:p w14:paraId="51337DD5">
      <w:pPr>
        <w:keepNext w:val="0"/>
        <w:keepLines w:val="0"/>
        <w:pageBreakBefore w:val="0"/>
        <w:widowControl w:val="0"/>
        <w:kinsoku/>
        <w:wordWrap/>
        <w:overflowPunct/>
        <w:topLinePunct w:val="0"/>
        <w:autoSpaceDE/>
        <w:autoSpaceDN/>
        <w:bidi w:val="0"/>
        <w:adjustRightInd w:val="0"/>
        <w:snapToGrid w:val="0"/>
        <w:spacing w:line="276" w:lineRule="auto"/>
        <w:ind w:firstLine="560" w:firstLineChars="200"/>
        <w:textAlignment w:val="auto"/>
        <w:rPr>
          <w:rFonts w:hint="eastAsia" w:ascii="宋体" w:hAnsi="宋体" w:eastAsia="宋体" w:cs="Times New Roman"/>
          <w:sz w:val="28"/>
          <w:szCs w:val="28"/>
          <w:highlight w:val="none"/>
          <w:lang w:val="en-US" w:eastAsia="zh-CN"/>
        </w:rPr>
      </w:pPr>
      <w:r>
        <w:rPr>
          <w:rFonts w:hint="eastAsia" w:ascii="宋体" w:hAnsi="宋体" w:eastAsia="宋体" w:cs="Times New Roman"/>
          <w:sz w:val="28"/>
          <w:szCs w:val="28"/>
          <w:highlight w:val="none"/>
          <w:lang w:val="en-US" w:eastAsia="zh-CN"/>
        </w:rPr>
        <w:t>3.3  不合格：约谈、限期整改、扣减费用；连续不合格终止合作、列入黑名单。</w:t>
      </w:r>
    </w:p>
    <w:p w14:paraId="3330F2C0">
      <w:pPr>
        <w:keepNext w:val="0"/>
        <w:keepLines w:val="0"/>
        <w:pageBreakBefore w:val="0"/>
        <w:widowControl w:val="0"/>
        <w:kinsoku/>
        <w:wordWrap/>
        <w:overflowPunct/>
        <w:topLinePunct w:val="0"/>
        <w:autoSpaceDE/>
        <w:autoSpaceDN/>
        <w:bidi w:val="0"/>
        <w:adjustRightInd w:val="0"/>
        <w:snapToGrid w:val="0"/>
        <w:spacing w:line="276" w:lineRule="auto"/>
        <w:ind w:firstLine="560" w:firstLineChars="200"/>
        <w:textAlignment w:val="auto"/>
        <w:rPr>
          <w:rFonts w:hint="eastAsia" w:ascii="宋体" w:hAnsi="宋体" w:eastAsia="宋体" w:cs="宋体"/>
          <w:sz w:val="24"/>
          <w:szCs w:val="24"/>
          <w:highlight w:val="none"/>
        </w:rPr>
      </w:pPr>
      <w:r>
        <w:rPr>
          <w:rFonts w:hint="eastAsia" w:ascii="宋体" w:hAnsi="宋体" w:eastAsia="宋体" w:cs="Times New Roman"/>
          <w:sz w:val="28"/>
          <w:szCs w:val="28"/>
          <w:highlight w:val="none"/>
          <w:lang w:val="en-US" w:eastAsia="zh-CN"/>
        </w:rPr>
        <w:t>3.4  考核结果纳入受托实验室档案，作为准入、续约、退出依据。</w:t>
      </w:r>
      <w:bookmarkStart w:id="54" w:name="_GoBack"/>
      <w:bookmarkEnd w:id="5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B77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3">
    <w:name w:val="heading 3"/>
    <w:basedOn w:val="1"/>
    <w:next w:val="1"/>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4">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9">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5">
    <w:name w:val="Body Text"/>
    <w:basedOn w:val="1"/>
    <w:next w:val="1"/>
    <w:qFormat/>
    <w:uiPriority w:val="0"/>
    <w:rPr>
      <w:rFonts w:ascii="Arial" w:hAnsi="Arial" w:eastAsia="Arial" w:cs="Arial"/>
      <w:sz w:val="21"/>
      <w:szCs w:val="21"/>
      <w:lang w:val="en-US" w:eastAsia="en-US" w:bidi="ar-SA"/>
    </w:rPr>
  </w:style>
  <w:style w:type="paragraph" w:styleId="6">
    <w:name w:val="Plain Text"/>
    <w:basedOn w:val="1"/>
    <w:qFormat/>
    <w:uiPriority w:val="99"/>
    <w:pPr>
      <w:spacing w:line="324" w:lineRule="auto"/>
    </w:pPr>
    <w:rPr>
      <w:rFonts w:ascii="宋体" w:hAnsi="Courier New"/>
    </w:rPr>
  </w:style>
  <w:style w:type="table" w:styleId="8">
    <w:name w:val="Table Grid"/>
    <w:basedOn w:val="7"/>
    <w:qFormat/>
    <w:uiPriority w:val="59"/>
    <w:pPr>
      <w:widowControl w:val="0"/>
      <w:spacing w:line="360" w:lineRule="auto"/>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2026-04-29T07:46:32Z</dcterms:created>
  <dc:creator>Administrator</dc:creator>
  <cp:lastModifiedBy>开瑞</cp:lastModifiedBy>
  <dcterms:modified xsi:type="dcterms:W3CDTF">2026-04-29T07:47:38Z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8A3F6ABC09044B02B4C7CCC7EC2DEAEA_12</vt:lpwstr>
  </property>
</Properties>
</file>