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7"/>
        <w:wordWrap/>
        <w:bidi w:val="0"/>
        <w:spacing w:line="30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供应商资格证明文件</w:t>
      </w:r>
    </w:p>
    <w:p w14:paraId="283EDF7A">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14:paraId="66CE4A6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1、营业执照等主体资格证明文件：提供统一社会信用代码的营业执照或其他组织经营的合法凭证或自然人的提供身份证明文件。</w:t>
      </w:r>
    </w:p>
    <w:p w14:paraId="06FD959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w:t>
      </w:r>
      <w:bookmarkStart w:id="28" w:name="_GoBack"/>
      <w:bookmarkEnd w:id="28"/>
      <w:r>
        <w:rPr>
          <w:rFonts w:hint="eastAsia" w:ascii="仿宋" w:hAnsi="仿宋" w:eastAsia="仿宋" w:cs="仿宋"/>
          <w:sz w:val="24"/>
          <w:szCs w:val="24"/>
          <w:highlight w:val="none"/>
        </w:rPr>
        <w:t>（陕财办会函〔2022〕55号）》，各供应商经审计的财务会计报告需赋加“注册会计师行业统一监管平台”二维码并且可查询，请各供应商自行登录网站检查赋码是否可正常查询（网址链接：（https://acc.mof.gov.cn/qrcapp/search.html?timestamp=1779271544869））</w:t>
      </w:r>
    </w:p>
    <w:p w14:paraId="592ED51C">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3、税收缴纳证明：提供已缴纳的2025</w:t>
      </w:r>
      <w:r>
        <w:rPr>
          <w:rFonts w:hint="eastAsia" w:ascii="仿宋" w:hAnsi="仿宋" w:eastAsia="仿宋" w:cs="仿宋"/>
          <w:sz w:val="24"/>
          <w:szCs w:val="24"/>
          <w:highlight w:val="none"/>
          <w:lang w:val="en-US" w:eastAsia="zh-CN"/>
        </w:rPr>
        <w:t>年7</w:t>
      </w:r>
      <w:r>
        <w:rPr>
          <w:rFonts w:hint="eastAsia" w:ascii="仿宋" w:hAnsi="仿宋" w:eastAsia="仿宋" w:cs="仿宋"/>
          <w:sz w:val="24"/>
          <w:szCs w:val="24"/>
          <w:highlight w:val="none"/>
        </w:rPr>
        <w:t>月1日以来任意时间段的纳税证明或完税证明，纳税证明或完税证明上应有代收机构或税务机关的公章或业务专用章。</w:t>
      </w:r>
      <w:r>
        <w:rPr>
          <w:rFonts w:hint="eastAsia" w:ascii="仿宋" w:hAnsi="仿宋" w:eastAsia="仿宋" w:cs="仿宋"/>
          <w:sz w:val="24"/>
          <w:szCs w:val="24"/>
          <w:highlight w:val="none"/>
          <w:lang w:eastAsia="zh-CN"/>
        </w:rPr>
        <w:t>依法免税的供应商</w:t>
      </w:r>
      <w:r>
        <w:rPr>
          <w:rFonts w:hint="eastAsia" w:ascii="仿宋" w:hAnsi="仿宋" w:eastAsia="仿宋" w:cs="仿宋"/>
          <w:sz w:val="24"/>
          <w:szCs w:val="24"/>
          <w:highlight w:val="none"/>
        </w:rPr>
        <w:t>应提供相关文件证明。</w:t>
      </w:r>
    </w:p>
    <w:p w14:paraId="64E69DB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4、社保缴纳证明：提供已缴存的2025年</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月1日以来任意时间段的社会保障资金缴存单据或社保机构开具的社会保险参保缴费情况证明。成</w:t>
      </w:r>
      <w:r>
        <w:rPr>
          <w:rFonts w:hint="eastAsia" w:ascii="仿宋" w:hAnsi="仿宋" w:eastAsia="仿宋" w:cs="仿宋"/>
          <w:sz w:val="24"/>
          <w:szCs w:val="24"/>
          <w:highlight w:val="none"/>
          <w:lang w:eastAsia="zh-CN"/>
        </w:rPr>
        <w:t>立时间至提交响应文件</w:t>
      </w:r>
      <w:r>
        <w:rPr>
          <w:rFonts w:hint="eastAsia" w:ascii="仿宋" w:hAnsi="仿宋" w:eastAsia="仿宋" w:cs="仿宋"/>
          <w:sz w:val="24"/>
          <w:szCs w:val="24"/>
          <w:highlight w:val="none"/>
        </w:rPr>
        <w:t>截止时间不足一个月或依法</w:t>
      </w:r>
      <w:r>
        <w:rPr>
          <w:rFonts w:hint="eastAsia" w:ascii="仿宋" w:hAnsi="仿宋" w:eastAsia="仿宋" w:cs="仿宋"/>
          <w:sz w:val="24"/>
          <w:szCs w:val="24"/>
          <w:highlight w:val="none"/>
          <w:lang w:eastAsia="zh-CN"/>
        </w:rPr>
        <w:t>不需要缴纳社会保障资金的供应商应</w:t>
      </w:r>
      <w:r>
        <w:rPr>
          <w:rFonts w:hint="eastAsia" w:ascii="仿宋" w:hAnsi="仿宋" w:eastAsia="仿宋" w:cs="仿宋"/>
          <w:sz w:val="24"/>
          <w:szCs w:val="24"/>
          <w:highlight w:val="none"/>
        </w:rPr>
        <w:t>提供相关文件证明。</w:t>
      </w:r>
    </w:p>
    <w:p w14:paraId="556A3298">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5、书面声明：①出具履行合同所必需的设备和专业技术能力的书面声明；②出具参加本次政府采购活动的书面声明。</w:t>
      </w:r>
    </w:p>
    <w:p w14:paraId="5E13678E">
      <w:pPr>
        <w:keepNext w:val="0"/>
        <w:keepLines w:val="0"/>
        <w:pageBreakBefore w:val="0"/>
        <w:widowControl w:val="0"/>
        <w:kinsoku/>
        <w:wordWrap/>
        <w:overflowPunct/>
        <w:topLinePunct w:val="0"/>
        <w:autoSpaceDE/>
        <w:autoSpaceDN/>
        <w:bidi w:val="0"/>
        <w:adjustRightInd/>
        <w:snapToGrid/>
        <w:spacing w:line="460" w:lineRule="exact"/>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（2）特定资格条件： </w:t>
      </w:r>
    </w:p>
    <w:p w14:paraId="18C4230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、法定代表人授权委托书：法定代表人直接参加的须出具法人身份证明并</w:t>
      </w:r>
      <w:r>
        <w:rPr>
          <w:rFonts w:hint="eastAsia" w:ascii="仿宋" w:hAnsi="仿宋" w:eastAsia="仿宋" w:cs="仿宋"/>
          <w:sz w:val="24"/>
          <w:szCs w:val="24"/>
          <w:highlight w:val="none"/>
          <w:lang w:eastAsia="zh-CN"/>
        </w:rPr>
        <w:t>与</w:t>
      </w:r>
      <w:r>
        <w:rPr>
          <w:rFonts w:hint="eastAsia" w:ascii="仿宋" w:hAnsi="仿宋" w:eastAsia="仿宋" w:cs="仿宋"/>
          <w:sz w:val="24"/>
          <w:szCs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、特定资质：持有有效的《人力资源服务许可证》。</w:t>
      </w:r>
      <w:r>
        <w:rPr>
          <w:rFonts w:hint="eastAsia" w:ascii="仿宋" w:hAnsi="仿宋" w:eastAsia="仿宋" w:cs="仿宋"/>
          <w:b/>
          <w:bCs/>
          <w:sz w:val="24"/>
          <w:szCs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供应商基本情况表</w:t>
      </w:r>
    </w:p>
    <w:tbl>
      <w:tblPr>
        <w:tblStyle w:val="14"/>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9"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szCs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szCs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szCs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szCs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szCs w:val="24"/>
          <w:highlight w:val="none"/>
        </w:rPr>
        <w:sectPr>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59A5823">
      <w:pPr>
        <w:pStyle w:val="12"/>
        <w:pageBreakBefore/>
        <w:bidi w:val="0"/>
        <w:spacing w:line="300" w:lineRule="auto"/>
        <w:jc w:val="center"/>
        <w:outlineLvl w:val="2"/>
        <w:rPr>
          <w:rFonts w:hint="eastAsia" w:ascii="仿宋" w:hAnsi="仿宋" w:eastAsia="仿宋" w:cs="仿宋"/>
          <w:b/>
          <w:bCs/>
          <w:color w:val="auto"/>
          <w:sz w:val="24"/>
          <w:szCs w:val="24"/>
          <w:highlight w:val="none"/>
        </w:rPr>
      </w:pPr>
      <w:bookmarkStart w:id="0" w:name="_Toc8624"/>
      <w:bookmarkStart w:id="1" w:name="_Toc22457"/>
      <w:bookmarkStart w:id="2" w:name="_Toc29646"/>
      <w:r>
        <w:rPr>
          <w:rFonts w:hint="eastAsia" w:ascii="仿宋" w:hAnsi="仿宋" w:eastAsia="仿宋" w:cs="仿宋"/>
          <w:b/>
          <w:bCs/>
          <w:color w:val="auto"/>
          <w:sz w:val="24"/>
          <w:szCs w:val="24"/>
          <w:highlight w:val="none"/>
        </w:rPr>
        <w:t>（一）提供统一社会信用代码的营业执照或其他组织经营的合法凭证或自然人的提供身份证明文件</w:t>
      </w:r>
      <w:bookmarkEnd w:id="0"/>
      <w:bookmarkEnd w:id="1"/>
      <w:bookmarkStart w:id="3" w:name="_Toc21445"/>
    </w:p>
    <w:p w14:paraId="4E5A7C85">
      <w:pPr>
        <w:pStyle w:val="12"/>
        <w:bidi w:val="0"/>
        <w:spacing w:line="300" w:lineRule="auto"/>
        <w:jc w:val="center"/>
        <w:rPr>
          <w:rFonts w:hint="eastAsia" w:ascii="仿宋" w:hAnsi="仿宋" w:eastAsia="仿宋" w:cs="仿宋"/>
          <w:color w:val="auto"/>
          <w:sz w:val="24"/>
          <w:szCs w:val="24"/>
          <w:highlight w:val="none"/>
        </w:rPr>
      </w:pPr>
    </w:p>
    <w:p w14:paraId="5A16292B">
      <w:pPr>
        <w:pStyle w:val="12"/>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00" w:lineRule="auto"/>
        <w:jc w:val="center"/>
        <w:outlineLvl w:val="2"/>
        <w:rPr>
          <w:rFonts w:hint="eastAsia" w:ascii="仿宋" w:hAnsi="仿宋" w:eastAsia="仿宋" w:cs="仿宋"/>
          <w:b/>
          <w:bCs/>
          <w:color w:val="auto"/>
          <w:sz w:val="24"/>
          <w:szCs w:val="24"/>
          <w:highlight w:val="none"/>
        </w:rPr>
      </w:pPr>
      <w:bookmarkStart w:id="4" w:name="_Toc20365"/>
      <w:r>
        <w:rPr>
          <w:rFonts w:hint="eastAsia" w:ascii="仿宋" w:hAnsi="仿宋" w:eastAsia="仿宋" w:cs="仿宋"/>
          <w:b/>
          <w:bCs/>
          <w:color w:val="auto"/>
          <w:sz w:val="24"/>
          <w:szCs w:val="24"/>
          <w:highlight w:val="none"/>
        </w:rPr>
        <w:t>（二）财务状况报告</w:t>
      </w:r>
      <w:bookmarkEnd w:id="3"/>
      <w:bookmarkEnd w:id="4"/>
      <w:bookmarkStart w:id="5" w:name="_Toc17757"/>
    </w:p>
    <w:p w14:paraId="10A8860A">
      <w:pPr>
        <w:pStyle w:val="12"/>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12"/>
        <w:bidi w:val="0"/>
        <w:spacing w:line="300" w:lineRule="auto"/>
        <w:jc w:val="center"/>
        <w:rPr>
          <w:rFonts w:hint="eastAsia" w:ascii="仿宋" w:hAnsi="仿宋" w:eastAsia="仿宋" w:cs="仿宋"/>
          <w:color w:val="auto"/>
          <w:sz w:val="24"/>
          <w:szCs w:val="24"/>
          <w:highlight w:val="none"/>
        </w:rPr>
      </w:pPr>
    </w:p>
    <w:p w14:paraId="2AF4BEA0">
      <w:pPr>
        <w:pStyle w:val="12"/>
        <w:bidi w:val="0"/>
        <w:spacing w:line="300" w:lineRule="auto"/>
        <w:jc w:val="center"/>
        <w:rPr>
          <w:rFonts w:hint="eastAsia" w:ascii="仿宋" w:hAnsi="仿宋" w:eastAsia="仿宋" w:cs="仿宋"/>
          <w:b/>
          <w:bCs/>
          <w:color w:val="auto"/>
          <w:sz w:val="24"/>
          <w:szCs w:val="24"/>
          <w:highlight w:val="none"/>
        </w:rPr>
      </w:pPr>
      <w:r>
        <w:rPr>
          <w:rFonts w:hint="eastAsia" w:ascii="仿宋" w:hAnsi="仿宋" w:eastAsia="仿宋" w:cs="仿宋"/>
          <w:b/>
          <w:bCs/>
          <w:sz w:val="24"/>
          <w:szCs w:val="24"/>
          <w:highlight w:val="none"/>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sz w:val="24"/>
          <w:szCs w:val="24"/>
          <w:highlight w:val="none"/>
          <w:lang w:eastAsia="zh-CN"/>
        </w:rPr>
        <w:t>，请各供应商自行登录网站检查赋码是否可正常查询（网址链接：（https://acc.mof.gov.cn/qrcapp/search.html?timestamp=1779271544869）</w:t>
      </w:r>
      <w:r>
        <w:rPr>
          <w:rFonts w:hint="eastAsia" w:ascii="仿宋" w:hAnsi="仿宋" w:eastAsia="仿宋" w:cs="仿宋"/>
          <w:b/>
          <w:bCs/>
          <w:sz w:val="24"/>
          <w:szCs w:val="24"/>
          <w:highlight w:val="none"/>
        </w:rPr>
        <w:t>）</w:t>
      </w:r>
    </w:p>
    <w:p w14:paraId="79ABC52B">
      <w:pPr>
        <w:pageBreakBefore/>
        <w:bidi w:val="0"/>
        <w:spacing w:line="300" w:lineRule="auto"/>
        <w:jc w:val="center"/>
        <w:outlineLvl w:val="2"/>
        <w:rPr>
          <w:rFonts w:hint="eastAsia" w:ascii="仿宋" w:hAnsi="仿宋" w:eastAsia="仿宋" w:cs="仿宋"/>
          <w:b/>
          <w:color w:val="auto"/>
          <w:sz w:val="24"/>
          <w:szCs w:val="24"/>
          <w:highlight w:val="none"/>
        </w:rPr>
      </w:pPr>
      <w:bookmarkStart w:id="6" w:name="_Toc20635"/>
      <w:r>
        <w:rPr>
          <w:rFonts w:hint="eastAsia" w:ascii="仿宋" w:hAnsi="仿宋" w:eastAsia="仿宋" w:cs="仿宋"/>
          <w:b/>
          <w:color w:val="auto"/>
          <w:sz w:val="24"/>
          <w:szCs w:val="24"/>
          <w:highlight w:val="none"/>
        </w:rPr>
        <w:t>（三）税收缴纳证明</w:t>
      </w:r>
      <w:bookmarkEnd w:id="5"/>
      <w:bookmarkEnd w:id="6"/>
    </w:p>
    <w:p w14:paraId="63FEE925">
      <w:pPr>
        <w:pStyle w:val="12"/>
        <w:bidi w:val="0"/>
        <w:spacing w:line="300" w:lineRule="auto"/>
        <w:rPr>
          <w:rFonts w:hint="eastAsia" w:ascii="仿宋" w:hAnsi="仿宋" w:eastAsia="仿宋" w:cs="仿宋"/>
          <w:color w:val="auto"/>
          <w:sz w:val="24"/>
          <w:szCs w:val="24"/>
          <w:highlight w:val="none"/>
        </w:rPr>
      </w:pPr>
    </w:p>
    <w:p w14:paraId="29412DC8">
      <w:pPr>
        <w:pStyle w:val="12"/>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00" w:lineRule="auto"/>
        <w:ind w:firstLine="480"/>
        <w:rPr>
          <w:rFonts w:hint="eastAsia" w:ascii="仿宋" w:hAnsi="仿宋" w:eastAsia="仿宋" w:cs="仿宋"/>
          <w:color w:val="auto"/>
          <w:kern w:val="0"/>
          <w:sz w:val="24"/>
          <w:szCs w:val="24"/>
          <w:highlight w:val="none"/>
        </w:rPr>
      </w:pPr>
    </w:p>
    <w:p w14:paraId="613CA4C0">
      <w:pPr>
        <w:bidi w:val="0"/>
        <w:spacing w:line="300" w:lineRule="auto"/>
        <w:ind w:firstLine="480"/>
        <w:rPr>
          <w:rFonts w:hint="eastAsia" w:ascii="仿宋" w:hAnsi="仿宋" w:eastAsia="仿宋" w:cs="仿宋"/>
          <w:color w:val="auto"/>
          <w:kern w:val="0"/>
          <w:sz w:val="24"/>
          <w:szCs w:val="24"/>
          <w:highlight w:val="none"/>
        </w:rPr>
        <w:sectPr>
          <w:pgSz w:w="11905" w:h="16838"/>
          <w:pgMar w:top="1440" w:right="1803" w:bottom="1440" w:left="1803" w:header="850" w:footer="992" w:gutter="0"/>
          <w:pgBorders>
            <w:top w:val="none" w:sz="0" w:space="0"/>
            <w:left w:val="none" w:sz="0" w:space="0"/>
            <w:bottom w:val="none" w:sz="0" w:space="0"/>
            <w:right w:val="none" w:sz="0" w:space="0"/>
          </w:pgBorders>
          <w:pgNumType w:fmt="decimal"/>
          <w:cols w:space="0" w:num="1"/>
          <w:rtlGutter w:val="0"/>
          <w:docGrid w:type="lines" w:linePitch="317" w:charSpace="0"/>
        </w:sectPr>
      </w:pPr>
    </w:p>
    <w:p w14:paraId="5C9B6A39">
      <w:pPr>
        <w:bidi w:val="0"/>
        <w:spacing w:line="300" w:lineRule="auto"/>
        <w:jc w:val="center"/>
        <w:outlineLvl w:val="2"/>
        <w:rPr>
          <w:rFonts w:hint="eastAsia" w:ascii="仿宋" w:hAnsi="仿宋" w:eastAsia="仿宋" w:cs="仿宋"/>
          <w:b/>
          <w:color w:val="auto"/>
          <w:sz w:val="24"/>
          <w:szCs w:val="24"/>
          <w:highlight w:val="none"/>
        </w:rPr>
      </w:pPr>
      <w:bookmarkStart w:id="7" w:name="_Toc8139"/>
      <w:bookmarkStart w:id="8" w:name="_Toc24437"/>
      <w:r>
        <w:rPr>
          <w:rFonts w:hint="eastAsia" w:ascii="仿宋" w:hAnsi="仿宋" w:eastAsia="仿宋" w:cs="仿宋"/>
          <w:b/>
          <w:color w:val="auto"/>
          <w:sz w:val="24"/>
          <w:szCs w:val="24"/>
          <w:highlight w:val="none"/>
        </w:rPr>
        <w:t>（四）社会保障资金缴纳证明</w:t>
      </w:r>
      <w:bookmarkEnd w:id="7"/>
      <w:bookmarkEnd w:id="8"/>
    </w:p>
    <w:p w14:paraId="71FE34F1">
      <w:pPr>
        <w:pStyle w:val="12"/>
        <w:bidi w:val="0"/>
        <w:spacing w:line="300" w:lineRule="auto"/>
        <w:jc w:val="center"/>
        <w:rPr>
          <w:rFonts w:hint="eastAsia" w:ascii="仿宋" w:hAnsi="仿宋" w:eastAsia="仿宋" w:cs="仿宋"/>
          <w:color w:val="auto"/>
          <w:sz w:val="24"/>
          <w:szCs w:val="24"/>
          <w:highlight w:val="none"/>
        </w:rPr>
      </w:pPr>
      <w:bookmarkStart w:id="9" w:name="_Toc8586"/>
    </w:p>
    <w:p w14:paraId="182F67BD">
      <w:pPr>
        <w:pStyle w:val="12"/>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00" w:lineRule="auto"/>
        <w:jc w:val="center"/>
        <w:outlineLvl w:val="2"/>
        <w:rPr>
          <w:rFonts w:hint="eastAsia" w:ascii="仿宋" w:hAnsi="仿宋" w:eastAsia="仿宋" w:cs="仿宋"/>
          <w:b/>
          <w:color w:val="auto"/>
          <w:sz w:val="24"/>
          <w:szCs w:val="24"/>
          <w:highlight w:val="none"/>
        </w:rPr>
      </w:pPr>
      <w:bookmarkStart w:id="10" w:name="_Toc9992"/>
      <w:r>
        <w:rPr>
          <w:rFonts w:hint="eastAsia" w:ascii="仿宋" w:hAnsi="仿宋" w:eastAsia="仿宋" w:cs="仿宋"/>
          <w:b/>
          <w:bCs/>
          <w:color w:val="auto"/>
          <w:sz w:val="24"/>
          <w:szCs w:val="24"/>
          <w:highlight w:val="none"/>
        </w:rPr>
        <w:t>（五）出具履行合同所必需的设备和专业技术能力的书面声明</w:t>
      </w:r>
      <w:bookmarkEnd w:id="9"/>
      <w:bookmarkEnd w:id="10"/>
    </w:p>
    <w:p w14:paraId="716AE70E">
      <w:pPr>
        <w:bidi w:val="0"/>
        <w:spacing w:line="30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sz w:val="24"/>
          <w:szCs w:val="24"/>
          <w:highlight w:val="none"/>
        </w:rPr>
      </w:pPr>
      <w:bookmarkStart w:id="11" w:name="_Toc19749"/>
      <w:bookmarkStart w:id="12" w:name="_Toc13657"/>
      <w:bookmarkStart w:id="13" w:name="_Toc1093"/>
      <w:r>
        <w:rPr>
          <w:rFonts w:hint="eastAsia" w:ascii="仿宋" w:hAnsi="仿宋" w:eastAsia="仿宋" w:cs="仿宋"/>
          <w:color w:val="auto"/>
          <w:sz w:val="24"/>
          <w:szCs w:val="24"/>
          <w:highlight w:val="none"/>
        </w:rPr>
        <w:br w:type="page"/>
      </w:r>
    </w:p>
    <w:p w14:paraId="39C73800">
      <w:pPr>
        <w:pStyle w:val="7"/>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（六）参加</w:t>
      </w:r>
      <w:r>
        <w:rPr>
          <w:rFonts w:hint="eastAsia" w:ascii="仿宋" w:hAnsi="仿宋" w:eastAsia="仿宋" w:cs="仿宋"/>
          <w:color w:val="auto"/>
          <w:sz w:val="24"/>
          <w:szCs w:val="24"/>
          <w:highlight w:val="none"/>
          <w:lang w:eastAsia="zh-CN"/>
        </w:rPr>
        <w:t>政府采购活动</w:t>
      </w:r>
      <w:r>
        <w:rPr>
          <w:rFonts w:hint="eastAsia" w:ascii="仿宋" w:hAnsi="仿宋" w:eastAsia="仿宋" w:cs="仿宋"/>
          <w:color w:val="auto"/>
          <w:sz w:val="24"/>
          <w:szCs w:val="24"/>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00" w:lineRule="auto"/>
        <w:rPr>
          <w:rFonts w:hint="eastAsia" w:ascii="仿宋" w:hAnsi="仿宋" w:eastAsia="仿宋" w:cs="仿宋"/>
          <w:b/>
          <w:color w:val="auto"/>
          <w:sz w:val="24"/>
          <w:szCs w:val="24"/>
          <w:highlight w:val="none"/>
          <w:lang w:val="en-US" w:eastAsia="zh-CN"/>
        </w:rPr>
      </w:pPr>
      <w:bookmarkStart w:id="14" w:name="_Toc22262"/>
      <w:bookmarkStart w:id="15" w:name="_Toc15006"/>
      <w:r>
        <w:rPr>
          <w:rFonts w:hint="eastAsia" w:ascii="仿宋" w:hAnsi="仿宋" w:eastAsia="仿宋" w:cs="仿宋"/>
          <w:b/>
          <w:color w:val="auto"/>
          <w:sz w:val="24"/>
          <w:szCs w:val="24"/>
          <w:highlight w:val="none"/>
          <w:lang w:val="en-US" w:eastAsia="zh-CN"/>
        </w:rPr>
        <w:br w:type="page"/>
      </w:r>
    </w:p>
    <w:p w14:paraId="694C2A84">
      <w:pPr>
        <w:pStyle w:val="7"/>
        <w:bidi w:val="0"/>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681533"/>
      <w:bookmarkStart w:id="17" w:name="_Toc1610"/>
      <w:bookmarkStart w:id="18" w:name="_Toc495671263"/>
      <w:bookmarkStart w:id="19" w:name="_Toc495681252"/>
      <w:bookmarkStart w:id="20" w:name="_Toc495681406"/>
      <w:bookmarkStart w:id="21" w:name="_Toc495908048"/>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4"/>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253"/>
      <w:bookmarkStart w:id="23" w:name="_Toc495681534"/>
      <w:bookmarkStart w:id="24" w:name="_Toc495681407"/>
      <w:bookmarkStart w:id="25" w:name="_Toc495908049"/>
      <w:bookmarkStart w:id="26" w:name="_Toc18921"/>
      <w:bookmarkStart w:id="27" w:name="_Toc495671264"/>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0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br w:type="page"/>
      </w:r>
    </w:p>
    <w:p w14:paraId="02B2D663">
      <w:pPr>
        <w:wordWrap/>
        <w:autoSpaceDE w:val="0"/>
        <w:autoSpaceDN w:val="0"/>
        <w:bidi w:val="0"/>
        <w:adjustRightInd w:val="0"/>
        <w:snapToGrid w:val="0"/>
        <w:spacing w:before="120" w:line="300" w:lineRule="auto"/>
        <w:jc w:val="center"/>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（八）特定资格：持有有效的《人力资源服务许可证》</w:t>
      </w:r>
    </w:p>
    <w:p w14:paraId="100AEE02">
      <w:pPr>
        <w:bidi w:val="0"/>
        <w:spacing w:line="300" w:lineRule="auto"/>
        <w:jc w:val="center"/>
        <w:rPr>
          <w:rFonts w:hint="eastAsia" w:ascii="仿宋" w:hAnsi="仿宋" w:eastAsia="仿宋" w:cs="仿宋"/>
          <w:sz w:val="24"/>
          <w:szCs w:val="24"/>
          <w:highlight w:val="none"/>
          <w:lang w:val="en-US" w:eastAsia="zh-CN"/>
        </w:rPr>
      </w:pPr>
    </w:p>
    <w:p w14:paraId="2BE9E509">
      <w:pPr>
        <w:jc w:val="center"/>
        <w:rPr>
          <w:rFonts w:hint="eastAsia"/>
          <w:lang w:val="en-US" w:eastAsia="zh-CN"/>
        </w:rPr>
      </w:pPr>
      <w:r>
        <w:rPr>
          <w:rFonts w:hint="eastAsia" w:ascii="仿宋" w:hAnsi="仿宋" w:eastAsia="仿宋" w:cs="仿宋"/>
          <w:sz w:val="24"/>
          <w:szCs w:val="24"/>
          <w:highlight w:val="none"/>
          <w:lang w:val="en-US" w:eastAsia="zh-CN"/>
        </w:rPr>
        <w:t>扫描件或复印件加盖单位公章</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1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C6672F"/>
    <w:rsid w:val="1451556A"/>
    <w:rsid w:val="17B1164D"/>
    <w:rsid w:val="1EA218BA"/>
    <w:rsid w:val="24CC0DA0"/>
    <w:rsid w:val="2AF72536"/>
    <w:rsid w:val="378253CB"/>
    <w:rsid w:val="535C1E36"/>
    <w:rsid w:val="6843096F"/>
    <w:rsid w:val="6A8974AF"/>
    <w:rsid w:val="6C6C497B"/>
    <w:rsid w:val="71016D56"/>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2"/>
    <w:basedOn w:val="1"/>
    <w:next w:val="1"/>
    <w:link w:val="19"/>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7">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8">
    <w:name w:val="heading 4"/>
    <w:basedOn w:val="1"/>
    <w:next w:val="1"/>
    <w:unhideWhenUsed/>
    <w:qFormat/>
    <w:uiPriority w:val="0"/>
    <w:pPr>
      <w:widowControl w:val="0"/>
      <w:kinsoku/>
      <w:autoSpaceDE/>
      <w:autoSpaceDN/>
      <w:adjustRightInd w:val="0"/>
      <w:snapToGrid w:val="0"/>
      <w:spacing w:line="360" w:lineRule="auto"/>
      <w:jc w:val="center"/>
      <w:textAlignment w:val="auto"/>
      <w:outlineLvl w:val="3"/>
    </w:pPr>
    <w:rPr>
      <w:rFonts w:ascii="仿宋" w:hAnsi="仿宋" w:eastAsia="仿宋" w:cs="仿宋"/>
      <w:b/>
      <w:snapToGrid/>
      <w:kern w:val="2"/>
      <w:sz w:val="28"/>
      <w:szCs w:val="28"/>
      <w:highlight w:val="none"/>
      <w:lang w:eastAsia="zh-CN"/>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3">
    <w:name w:val="Body Text"/>
    <w:basedOn w:val="1"/>
    <w:next w:val="1"/>
    <w:qFormat/>
    <w:uiPriority w:val="0"/>
    <w:rPr>
      <w:rFonts w:ascii="宋体" w:hAnsi="宋体" w:eastAsia="宋体" w:cs="宋体"/>
      <w:sz w:val="20"/>
      <w:szCs w:val="20"/>
      <w:lang w:val="en-US" w:eastAsia="en-US" w:bidi="ar-SA"/>
    </w:rPr>
  </w:style>
  <w:style w:type="paragraph" w:styleId="4">
    <w:name w:val="Body Text First Indent 2"/>
    <w:basedOn w:val="5"/>
    <w:next w:val="1"/>
    <w:qFormat/>
    <w:uiPriority w:val="0"/>
    <w:pPr>
      <w:ind w:firstLine="420" w:firstLineChars="200"/>
    </w:pPr>
  </w:style>
  <w:style w:type="paragraph" w:styleId="5">
    <w:name w:val="Body Text Indent"/>
    <w:basedOn w:val="1"/>
    <w:next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9">
    <w:name w:val="index 8"/>
    <w:basedOn w:val="1"/>
    <w:next w:val="1"/>
    <w:qFormat/>
    <w:uiPriority w:val="0"/>
    <w:pPr>
      <w:ind w:left="1400" w:leftChars="1400"/>
    </w:pPr>
  </w:style>
  <w:style w:type="paragraph" w:styleId="10">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11">
    <w:name w:val="Body Text Indent 2"/>
    <w:basedOn w:val="1"/>
    <w:qFormat/>
    <w:uiPriority w:val="99"/>
    <w:pPr>
      <w:tabs>
        <w:tab w:val="left" w:pos="5625"/>
      </w:tabs>
      <w:ind w:left="1138" w:leftChars="542"/>
    </w:pPr>
  </w:style>
  <w:style w:type="paragraph" w:styleId="1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3">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Normal Indent1"/>
    <w:basedOn w:val="1"/>
    <w:qFormat/>
    <w:uiPriority w:val="99"/>
    <w:pPr>
      <w:ind w:firstLine="880" w:firstLineChars="200"/>
    </w:p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character" w:customStyle="1" w:styleId="19">
    <w:name w:val="标题 2 字符"/>
    <w:link w:val="6"/>
    <w:qFormat/>
    <w:uiPriority w:val="0"/>
    <w:rPr>
      <w:rFonts w:ascii="仿宋" w:hAnsi="仿宋" w:eastAsia="仿宋" w:cs="仿宋"/>
      <w:b/>
      <w:bCs/>
      <w:color w:val="auto"/>
      <w:sz w:val="24"/>
      <w:highlight w:val="none"/>
    </w:rPr>
  </w:style>
  <w:style w:type="character" w:customStyle="1" w:styleId="20">
    <w:name w:val="font21"/>
    <w:basedOn w:val="16"/>
    <w:qFormat/>
    <w:uiPriority w:val="0"/>
    <w:rPr>
      <w:rFonts w:hint="eastAsia" w:ascii="仿宋" w:hAnsi="仿宋" w:eastAsia="仿宋" w:cs="仿宋"/>
      <w:color w:val="C00000"/>
      <w:sz w:val="24"/>
      <w:szCs w:val="24"/>
      <w:u w:val="none"/>
    </w:rPr>
  </w:style>
  <w:style w:type="character" w:customStyle="1" w:styleId="21">
    <w:name w:val="font31"/>
    <w:basedOn w:val="16"/>
    <w:qFormat/>
    <w:uiPriority w:val="0"/>
    <w:rPr>
      <w:rFonts w:hint="eastAsia" w:ascii="宋体" w:hAnsi="宋体" w:eastAsia="宋体" w:cs="宋体"/>
      <w:color w:val="000000"/>
      <w:sz w:val="21"/>
      <w:szCs w:val="21"/>
      <w:u w:val="none"/>
    </w:rPr>
  </w:style>
  <w:style w:type="character" w:customStyle="1" w:styleId="22">
    <w:name w:val="font41"/>
    <w:basedOn w:val="16"/>
    <w:qFormat/>
    <w:uiPriority w:val="0"/>
    <w:rPr>
      <w:rFonts w:hint="eastAsia" w:ascii="宋体" w:hAnsi="宋体" w:eastAsia="宋体" w:cs="宋体"/>
      <w:b/>
      <w:bCs/>
      <w:color w:val="000000"/>
      <w:sz w:val="21"/>
      <w:szCs w:val="21"/>
      <w:u w:val="none"/>
    </w:rPr>
  </w:style>
  <w:style w:type="character" w:customStyle="1" w:styleId="23">
    <w:name w:val="font51"/>
    <w:basedOn w:val="16"/>
    <w:qFormat/>
    <w:uiPriority w:val="0"/>
    <w:rPr>
      <w:rFonts w:ascii="宋体" w:hAnsi="宋体" w:eastAsia="宋体" w:cs="宋体"/>
      <w:color w:val="000000"/>
      <w:sz w:val="20"/>
      <w:szCs w:val="20"/>
      <w:u w:val="none"/>
    </w:rPr>
  </w:style>
  <w:style w:type="character" w:customStyle="1" w:styleId="24">
    <w:name w:val="font61"/>
    <w:basedOn w:val="16"/>
    <w:qFormat/>
    <w:uiPriority w:val="0"/>
    <w:rPr>
      <w:rFonts w:hint="default" w:ascii="Arial" w:hAnsi="Arial" w:cs="Arial"/>
      <w:color w:val="000000"/>
      <w:sz w:val="10"/>
      <w:szCs w:val="10"/>
      <w:u w:val="none"/>
    </w:rPr>
  </w:style>
  <w:style w:type="paragraph" w:customStyle="1" w:styleId="25">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2269</Words>
  <Characters>2290</Characters>
  <Lines>0</Lines>
  <Paragraphs>0</Paragraphs>
  <TotalTime>2</TotalTime>
  <ScaleCrop>false</ScaleCrop>
  <LinksUpToDate>false</LinksUpToDate>
  <CharactersWithSpaces>2994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2026-08-06T11:01:40Z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eyJoZGlkIjoiYjYzYzY0OWE0YTFlNDRhYjViOTMyZmIxOTIxZmJjYWYiLCJ1c2VySWQiOiI0NTcxNjM2MzMifQ==</vt:lpwstr>
  </property>
  <property fmtid="{D5CDD505-2E9C-101B-9397-08002B2CF9AE}" pid="4" name="ICV">
    <vt:lpwstr>716524EE03054CC0A8E302A6D8EE7099_13</vt:lpwstr>
  </property>
</Properties>
</file>