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A7BB5">
      <w:pPr>
        <w:pStyle w:val="4"/>
        <w:keepNext w:val="0"/>
        <w:keepLines w:val="0"/>
        <w:pageBreakBefore w:val="0"/>
        <w:widowControl w:val="0"/>
        <w:numPr>
          <w:ilvl w:val="0"/>
          <w:numId w:val="0"/>
        </w:numPr>
        <w:shd w:val="clear"/>
        <w:kinsoku/>
        <w:wordWrap/>
        <w:overflowPunct/>
        <w:topLinePunct w:val="0"/>
        <w:autoSpaceDE/>
        <w:autoSpaceDN/>
        <w:bidi w:val="0"/>
        <w:adjustRightInd/>
        <w:snapToGrid/>
        <w:jc w:val="center"/>
        <w:textAlignment w:val="auto"/>
        <w:outlineLvl w:val="0"/>
        <w:rPr>
          <w:rFonts w:hint="eastAsia" w:ascii="宋体" w:hAnsi="宋体" w:eastAsia="宋体" w:cs="宋体"/>
          <w:b/>
          <w:bCs/>
          <w:sz w:val="28"/>
          <w:szCs w:val="28"/>
          <w:highlight w:val="none"/>
          <w:lang w:val="en-US" w:eastAsia="zh-CN"/>
        </w:rPr>
      </w:pPr>
      <w:r>
        <w:rPr>
          <w:rFonts w:hint="eastAsia" w:ascii="宋体" w:hAnsi="宋体" w:eastAsia="宋体" w:cs="宋体"/>
          <w:b/>
          <w:kern w:val="44"/>
          <w:sz w:val="28"/>
          <w:szCs w:val="28"/>
          <w:highlight w:val="none"/>
          <w:lang w:val="en-US" w:eastAsia="zh-CN" w:bidi="ar-SA"/>
        </w:rPr>
        <w:t>拟签订的合同文本</w:t>
      </w:r>
    </w:p>
    <w:p w14:paraId="386633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甲方：（前款所称采购人）     住所：</w:t>
      </w:r>
    </w:p>
    <w:p w14:paraId="48E82C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乙方：（前款所称中标人）     住所：</w:t>
      </w:r>
    </w:p>
    <w:p w14:paraId="4DC1BBFA">
      <w:pPr>
        <w:pStyle w:val="2"/>
        <w:keepLines w:val="0"/>
        <w:pageBreakBefore w:val="0"/>
        <w:widowControl w:val="0"/>
        <w:numPr>
          <w:ilvl w:val="1"/>
          <w:numId w:val="0"/>
        </w:numPr>
        <w:kinsoku/>
        <w:wordWrap/>
        <w:overflowPunct/>
        <w:topLinePunct w:val="0"/>
        <w:autoSpaceDE/>
        <w:autoSpaceDN/>
        <w:bidi w:val="0"/>
        <w:adjustRightInd/>
        <w:snapToGrid/>
        <w:spacing w:before="0" w:line="360" w:lineRule="auto"/>
        <w:ind w:left="0" w:leftChars="0" w:firstLine="482" w:firstLineChars="200"/>
        <w:jc w:val="both"/>
        <w:textAlignment w:val="auto"/>
        <w:rPr>
          <w:rFonts w:hint="eastAsia" w:ascii="宋体" w:hAnsi="宋体" w:eastAsia="宋体" w:cs="宋体"/>
          <w:b/>
          <w:kern w:val="2"/>
          <w:sz w:val="24"/>
          <w:szCs w:val="24"/>
          <w:lang w:val="en-US" w:eastAsia="zh-CN"/>
        </w:rPr>
      </w:pPr>
      <w:bookmarkStart w:id="0" w:name="_Toc10989"/>
      <w:bookmarkStart w:id="1" w:name="_Toc3969"/>
      <w:bookmarkStart w:id="2" w:name="_Toc25191"/>
      <w:r>
        <w:rPr>
          <w:rFonts w:hint="eastAsia" w:ascii="宋体" w:hAnsi="宋体" w:eastAsia="宋体" w:cs="宋体"/>
          <w:b/>
          <w:kern w:val="2"/>
          <w:sz w:val="24"/>
          <w:szCs w:val="24"/>
          <w:lang w:val="en-US" w:eastAsia="zh-CN"/>
        </w:rPr>
        <w:t>一、合同内容（标的、数量、质量等）:</w:t>
      </w:r>
      <w:bookmarkEnd w:id="0"/>
      <w:bookmarkEnd w:id="1"/>
      <w:bookmarkEnd w:id="2"/>
    </w:p>
    <w:p w14:paraId="7781ECCD">
      <w:pPr>
        <w:pStyle w:val="3"/>
        <w:keepLines w:val="0"/>
        <w:pageBreakBefore w:val="0"/>
        <w:widowControl w:val="0"/>
        <w:kinsoku/>
        <w:wordWrap/>
        <w:overflowPunct/>
        <w:topLinePunct w:val="0"/>
        <w:bidi w:val="0"/>
        <w:snapToGrid/>
        <w:spacing w:line="360" w:lineRule="auto"/>
        <w:textAlignment w:val="auto"/>
        <w:rPr>
          <w:rFonts w:hint="default" w:ascii="宋体" w:hAnsi="宋体" w:eastAsia="宋体" w:cs="宋体"/>
          <w:sz w:val="24"/>
          <w:szCs w:val="24"/>
          <w:lang w:val="en-US" w:eastAsia="zh-CN"/>
        </w:rPr>
      </w:pPr>
      <w:r>
        <w:rPr>
          <w:rFonts w:hint="eastAsia" w:hAnsi="宋体" w:eastAsia="宋体" w:cs="宋体"/>
          <w:sz w:val="24"/>
          <w:szCs w:val="24"/>
          <w:lang w:val="en-US" w:eastAsia="zh-CN"/>
        </w:rPr>
        <w:t>根据《关于印发渭南市十四五特殊困难老年人家庭适老化改造实施方案的通知》（渭民发(2023)55号）为180户特殊困难老年人实施家庭适老化改造。</w:t>
      </w:r>
    </w:p>
    <w:p w14:paraId="02335AEF">
      <w:pPr>
        <w:pStyle w:val="2"/>
        <w:keepLines w:val="0"/>
        <w:pageBreakBefore w:val="0"/>
        <w:widowControl w:val="0"/>
        <w:numPr>
          <w:ilvl w:val="1"/>
          <w:numId w:val="0"/>
        </w:numPr>
        <w:kinsoku/>
        <w:wordWrap/>
        <w:overflowPunct/>
        <w:topLinePunct w:val="0"/>
        <w:autoSpaceDE/>
        <w:autoSpaceDN/>
        <w:bidi w:val="0"/>
        <w:adjustRightInd/>
        <w:snapToGrid/>
        <w:spacing w:before="0" w:line="360" w:lineRule="auto"/>
        <w:ind w:left="0" w:leftChars="0" w:firstLine="482" w:firstLineChars="200"/>
        <w:jc w:val="both"/>
        <w:textAlignment w:val="auto"/>
        <w:rPr>
          <w:rFonts w:hint="eastAsia" w:ascii="宋体" w:hAnsi="宋体" w:eastAsia="宋体" w:cs="宋体"/>
          <w:b/>
          <w:kern w:val="2"/>
          <w:sz w:val="24"/>
          <w:szCs w:val="24"/>
          <w:lang w:val="en-US" w:eastAsia="zh-CN"/>
        </w:rPr>
      </w:pPr>
      <w:bookmarkStart w:id="3" w:name="_Toc11224"/>
      <w:bookmarkStart w:id="4" w:name="_Toc5679"/>
      <w:bookmarkStart w:id="5" w:name="_Toc17714"/>
      <w:r>
        <w:rPr>
          <w:rFonts w:hint="eastAsia" w:ascii="宋体" w:hAnsi="宋体" w:eastAsia="宋体" w:cs="宋体"/>
          <w:b/>
          <w:kern w:val="2"/>
          <w:sz w:val="24"/>
          <w:szCs w:val="24"/>
          <w:lang w:val="en-US" w:eastAsia="zh-CN"/>
        </w:rPr>
        <w:t>二、合同价款</w:t>
      </w:r>
      <w:bookmarkEnd w:id="3"/>
      <w:bookmarkEnd w:id="4"/>
      <w:bookmarkEnd w:id="5"/>
    </w:p>
    <w:p w14:paraId="057677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合同价格：根据所报下浮比率按照给定的单价进行结算，每户根据所改造内容据实结算，根据实施方案清单所列项目分为基础类和可选类，基础类项目是政府对特珠困难老年人家庭予以补助支持的改造项目和老年用品，是改造和配置的基本内容;可选类项目是根据老年人家庭意愿，供自</w:t>
      </w:r>
      <w:bookmarkStart w:id="36" w:name="_GoBack"/>
      <w:bookmarkEnd w:id="36"/>
      <w:r>
        <w:rPr>
          <w:rFonts w:hint="eastAsia" w:ascii="宋体" w:hAnsi="宋体" w:eastAsia="宋体" w:cs="宋体"/>
          <w:color w:val="auto"/>
          <w:sz w:val="24"/>
          <w:szCs w:val="24"/>
          <w:highlight w:val="none"/>
          <w:lang w:val="en-US" w:eastAsia="zh-CN"/>
        </w:rPr>
        <w:t>主付费购买的适老化改造项目和老年用品。</w:t>
      </w:r>
    </w:p>
    <w:p w14:paraId="7DC102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原则上农村家庭改造按每户2000元、城镇家庭改造按每户4000元补贴标准实施。</w:t>
      </w:r>
    </w:p>
    <w:p w14:paraId="0EFECE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2、合同单价包括：设备费、安装调试费、服务费及其它相关的费用。</w:t>
      </w:r>
    </w:p>
    <w:p w14:paraId="4BA0BD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3、合同单价一次包死，不受市场价变化的影响。</w:t>
      </w:r>
    </w:p>
    <w:p w14:paraId="64259C84">
      <w:pPr>
        <w:pStyle w:val="2"/>
        <w:keepLines w:val="0"/>
        <w:pageBreakBefore w:val="0"/>
        <w:widowControl w:val="0"/>
        <w:numPr>
          <w:ilvl w:val="1"/>
          <w:numId w:val="0"/>
        </w:numPr>
        <w:kinsoku/>
        <w:wordWrap/>
        <w:overflowPunct/>
        <w:topLinePunct w:val="0"/>
        <w:autoSpaceDE/>
        <w:autoSpaceDN/>
        <w:bidi w:val="0"/>
        <w:adjustRightInd/>
        <w:snapToGrid/>
        <w:spacing w:before="0" w:line="360" w:lineRule="auto"/>
        <w:ind w:left="0" w:leftChars="0" w:firstLine="482" w:firstLineChars="200"/>
        <w:jc w:val="both"/>
        <w:textAlignment w:val="auto"/>
        <w:rPr>
          <w:rFonts w:hint="eastAsia" w:ascii="宋体" w:hAnsi="宋体" w:eastAsia="宋体" w:cs="宋体"/>
          <w:b/>
          <w:kern w:val="2"/>
          <w:sz w:val="24"/>
          <w:szCs w:val="24"/>
          <w:lang w:val="en-US" w:eastAsia="zh-CN"/>
        </w:rPr>
      </w:pPr>
      <w:bookmarkStart w:id="6" w:name="_Toc30115"/>
      <w:bookmarkStart w:id="7" w:name="_Toc9924"/>
      <w:bookmarkStart w:id="8" w:name="_Toc30807"/>
      <w:r>
        <w:rPr>
          <w:rFonts w:hint="eastAsia" w:ascii="宋体" w:hAnsi="宋体" w:eastAsia="宋体" w:cs="宋体"/>
          <w:b/>
          <w:kern w:val="2"/>
          <w:sz w:val="24"/>
          <w:szCs w:val="24"/>
          <w:lang w:val="en-US" w:eastAsia="zh-CN"/>
        </w:rPr>
        <w:t>三、合同结算</w:t>
      </w:r>
      <w:bookmarkEnd w:id="6"/>
      <w:bookmarkEnd w:id="7"/>
      <w:bookmarkEnd w:id="8"/>
    </w:p>
    <w:p w14:paraId="5166CC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1、付款比例：1）合同签订后，支付合同总金额的50.0%；2）项目完工后，支付合同总金额的30.0%；3）验收合格支付合同总金额的20.0%。</w:t>
      </w:r>
    </w:p>
    <w:p w14:paraId="435379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2、结算方式：银行转账。</w:t>
      </w:r>
    </w:p>
    <w:p w14:paraId="07EFC4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3、结算单位：由  采购人  负责结算，乙方开具合同总价数的全额发票交采购人。</w:t>
      </w:r>
    </w:p>
    <w:p w14:paraId="49D670D2">
      <w:pPr>
        <w:pStyle w:val="2"/>
        <w:keepLines w:val="0"/>
        <w:pageBreakBefore w:val="0"/>
        <w:widowControl w:val="0"/>
        <w:numPr>
          <w:ilvl w:val="1"/>
          <w:numId w:val="0"/>
        </w:numPr>
        <w:kinsoku/>
        <w:wordWrap/>
        <w:overflowPunct/>
        <w:topLinePunct w:val="0"/>
        <w:autoSpaceDE/>
        <w:autoSpaceDN/>
        <w:bidi w:val="0"/>
        <w:adjustRightInd/>
        <w:snapToGrid/>
        <w:spacing w:before="0" w:line="360" w:lineRule="auto"/>
        <w:ind w:left="0" w:leftChars="0" w:firstLine="482" w:firstLineChars="200"/>
        <w:jc w:val="both"/>
        <w:textAlignment w:val="auto"/>
        <w:rPr>
          <w:rFonts w:hint="eastAsia" w:ascii="宋体" w:hAnsi="宋体" w:eastAsia="宋体" w:cs="宋体"/>
          <w:b/>
          <w:kern w:val="2"/>
          <w:sz w:val="24"/>
          <w:szCs w:val="24"/>
          <w:lang w:val="en-US" w:eastAsia="zh-CN"/>
        </w:rPr>
      </w:pPr>
      <w:bookmarkStart w:id="9" w:name="_Toc5299"/>
      <w:bookmarkStart w:id="10" w:name="_Toc17542"/>
      <w:bookmarkStart w:id="11" w:name="_Toc4524"/>
      <w:r>
        <w:rPr>
          <w:rFonts w:hint="eastAsia" w:ascii="宋体" w:hAnsi="宋体" w:eastAsia="宋体" w:cs="宋体"/>
          <w:b/>
          <w:kern w:val="2"/>
          <w:sz w:val="24"/>
          <w:szCs w:val="24"/>
          <w:lang w:val="en-US" w:eastAsia="zh-CN"/>
        </w:rPr>
        <w:t>四、履行期限、地点及方式:</w:t>
      </w:r>
      <w:bookmarkEnd w:id="9"/>
      <w:bookmarkEnd w:id="10"/>
      <w:bookmarkEnd w:id="11"/>
    </w:p>
    <w:p w14:paraId="3583FF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1、履行期限：自合同签订生效之日起60日历天内（含安装）</w:t>
      </w:r>
    </w:p>
    <w:p w14:paraId="5F6D78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2、地点：采购人指定地点（陕西省渭南市富平县辖区内采购人指定特殊困难老年人家庭住址）</w:t>
      </w:r>
    </w:p>
    <w:p w14:paraId="000D7B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3、方式：采购人指定方式</w:t>
      </w:r>
    </w:p>
    <w:p w14:paraId="2F57A007">
      <w:pPr>
        <w:pStyle w:val="2"/>
        <w:keepLines w:val="0"/>
        <w:pageBreakBefore w:val="0"/>
        <w:widowControl w:val="0"/>
        <w:numPr>
          <w:ilvl w:val="1"/>
          <w:numId w:val="0"/>
        </w:numPr>
        <w:kinsoku/>
        <w:wordWrap/>
        <w:overflowPunct/>
        <w:topLinePunct w:val="0"/>
        <w:autoSpaceDE/>
        <w:autoSpaceDN/>
        <w:bidi w:val="0"/>
        <w:adjustRightInd/>
        <w:snapToGrid/>
        <w:spacing w:before="0" w:line="360" w:lineRule="auto"/>
        <w:ind w:left="0" w:leftChars="0" w:firstLine="482" w:firstLineChars="200"/>
        <w:jc w:val="both"/>
        <w:textAlignment w:val="auto"/>
        <w:rPr>
          <w:rFonts w:hint="eastAsia" w:ascii="宋体" w:hAnsi="宋体" w:eastAsia="宋体" w:cs="宋体"/>
          <w:b/>
          <w:kern w:val="2"/>
          <w:sz w:val="24"/>
          <w:szCs w:val="24"/>
          <w:lang w:val="en-US" w:eastAsia="zh-CN"/>
        </w:rPr>
      </w:pPr>
      <w:bookmarkStart w:id="12" w:name="_Toc30603"/>
      <w:bookmarkStart w:id="13" w:name="_Toc11428"/>
      <w:bookmarkStart w:id="14" w:name="_Toc22956"/>
      <w:r>
        <w:rPr>
          <w:rFonts w:hint="eastAsia" w:ascii="宋体" w:hAnsi="宋体" w:eastAsia="宋体" w:cs="宋体"/>
          <w:b/>
          <w:kern w:val="2"/>
          <w:sz w:val="24"/>
          <w:szCs w:val="24"/>
          <w:lang w:val="en-US" w:eastAsia="zh-CN"/>
        </w:rPr>
        <w:t>五、运输</w:t>
      </w:r>
      <w:bookmarkEnd w:id="12"/>
      <w:bookmarkEnd w:id="13"/>
      <w:bookmarkEnd w:id="14"/>
    </w:p>
    <w:p w14:paraId="608158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1、乙方负责所有货物的运输。确保货物安全、完整到达使用地点，运杂费用包含在总价内，包括货物从供货地点到使用地点的运输费、保险费、搬运费等。</w:t>
      </w:r>
    </w:p>
    <w:p w14:paraId="1B8C20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2、所有货物在运输、搬运、安装的过程中，造成甲方损失的，由乙方为甲方修复或更新。</w:t>
      </w:r>
    </w:p>
    <w:p w14:paraId="70C19051">
      <w:pPr>
        <w:pStyle w:val="2"/>
        <w:keepLines w:val="0"/>
        <w:pageBreakBefore w:val="0"/>
        <w:widowControl w:val="0"/>
        <w:numPr>
          <w:ilvl w:val="1"/>
          <w:numId w:val="0"/>
        </w:numPr>
        <w:kinsoku/>
        <w:wordWrap/>
        <w:overflowPunct/>
        <w:topLinePunct w:val="0"/>
        <w:autoSpaceDE/>
        <w:autoSpaceDN/>
        <w:bidi w:val="0"/>
        <w:adjustRightInd/>
        <w:snapToGrid/>
        <w:spacing w:before="0" w:line="360" w:lineRule="auto"/>
        <w:ind w:left="0" w:leftChars="0" w:firstLine="482" w:firstLineChars="200"/>
        <w:jc w:val="both"/>
        <w:textAlignment w:val="auto"/>
        <w:rPr>
          <w:rFonts w:hint="eastAsia" w:ascii="宋体" w:hAnsi="宋体" w:eastAsia="宋体" w:cs="宋体"/>
          <w:b/>
          <w:kern w:val="2"/>
          <w:sz w:val="24"/>
          <w:szCs w:val="24"/>
          <w:lang w:val="en-US" w:eastAsia="zh-CN"/>
        </w:rPr>
      </w:pPr>
      <w:bookmarkStart w:id="15" w:name="_Toc2931"/>
      <w:bookmarkStart w:id="16" w:name="_Toc23387"/>
      <w:bookmarkStart w:id="17" w:name="_Toc10557"/>
      <w:r>
        <w:rPr>
          <w:rFonts w:hint="eastAsia" w:ascii="宋体" w:hAnsi="宋体" w:eastAsia="宋体" w:cs="宋体"/>
          <w:b/>
          <w:kern w:val="2"/>
          <w:sz w:val="24"/>
          <w:szCs w:val="24"/>
          <w:lang w:val="en-US" w:eastAsia="zh-CN"/>
        </w:rPr>
        <w:t>六、质量保证</w:t>
      </w:r>
      <w:bookmarkEnd w:id="15"/>
      <w:bookmarkEnd w:id="16"/>
      <w:bookmarkEnd w:id="17"/>
    </w:p>
    <w:p w14:paraId="7FFA6C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1、乙方提供货物必须是原品牌制造厂制造的最新工艺、生产的最新产品。</w:t>
      </w:r>
    </w:p>
    <w:p w14:paraId="6C3FE0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2、所供货物必须是经过办理正常手续的全新产品。</w:t>
      </w:r>
    </w:p>
    <w:p w14:paraId="678F69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3、所供货物是经过国家法定检验、注册、准许市场销售的合法产品。</w:t>
      </w:r>
    </w:p>
    <w:p w14:paraId="0287B5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4、货物性能稳定、具有较好的使用效果，质量保证措施完善，符合国家相关标准。</w:t>
      </w:r>
    </w:p>
    <w:p w14:paraId="224E8A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5、货物的质保期为验收合格后    个月，终身维护保养，质保期后，只收取成本费用。</w:t>
      </w:r>
    </w:p>
    <w:p w14:paraId="40A7DE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6、包装要求</w:t>
      </w:r>
    </w:p>
    <w:p w14:paraId="2C48D3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6-1、除合同另有规定外，乙方提供的全部货物，均应按标准保护措施进行包装，并确保货物安全无损运抵甲方指定地点。</w:t>
      </w:r>
    </w:p>
    <w:p w14:paraId="1DD18E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6-2、每一个包装箱内应附一份详细装箱单和质量合格证。</w:t>
      </w:r>
    </w:p>
    <w:p w14:paraId="741721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7、乙方应保证甲方在使用该货物或其任何一部分时免受第三方提出侵犯其专利权、商标权或工业设计权的起诉。</w:t>
      </w:r>
    </w:p>
    <w:p w14:paraId="1945C5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8、保修范围：本项目全部居家适老化改造施工内容、所有安装设备、配套产品及全部施工交付成果。</w:t>
      </w:r>
    </w:p>
    <w:p w14:paraId="2BC969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9、保修期：自项目整体验收合格交付之日起不少于2年。 3. 质保责任：质保期内因施工、产品本身出现脱落、损坏、功能失效等任何质量问题，成交供应商需在24小时内响应，48小时内到场免费维修、更换，全部费用自行承担。</w:t>
      </w:r>
    </w:p>
    <w:p w14:paraId="7E96A682">
      <w:pPr>
        <w:pStyle w:val="2"/>
        <w:keepLines w:val="0"/>
        <w:pageBreakBefore w:val="0"/>
        <w:widowControl w:val="0"/>
        <w:numPr>
          <w:ilvl w:val="1"/>
          <w:numId w:val="0"/>
        </w:numPr>
        <w:kinsoku/>
        <w:wordWrap/>
        <w:overflowPunct/>
        <w:topLinePunct w:val="0"/>
        <w:autoSpaceDE/>
        <w:autoSpaceDN/>
        <w:bidi w:val="0"/>
        <w:adjustRightInd/>
        <w:snapToGrid/>
        <w:spacing w:before="0" w:line="360" w:lineRule="auto"/>
        <w:ind w:left="0" w:leftChars="0" w:firstLine="482" w:firstLineChars="200"/>
        <w:jc w:val="both"/>
        <w:textAlignment w:val="auto"/>
        <w:rPr>
          <w:rFonts w:hint="eastAsia" w:ascii="宋体" w:hAnsi="宋体" w:eastAsia="宋体" w:cs="宋体"/>
          <w:b/>
          <w:kern w:val="2"/>
          <w:sz w:val="24"/>
          <w:szCs w:val="24"/>
          <w:lang w:val="en-US" w:eastAsia="zh-CN"/>
        </w:rPr>
      </w:pPr>
      <w:bookmarkStart w:id="18" w:name="_Toc971"/>
      <w:bookmarkStart w:id="19" w:name="_Toc26005"/>
      <w:bookmarkStart w:id="20" w:name="_Toc26438"/>
      <w:r>
        <w:rPr>
          <w:rFonts w:hint="eastAsia" w:ascii="宋体" w:hAnsi="宋体" w:eastAsia="宋体" w:cs="宋体"/>
          <w:b/>
          <w:kern w:val="2"/>
          <w:sz w:val="24"/>
          <w:szCs w:val="24"/>
          <w:lang w:val="en-US" w:eastAsia="zh-CN"/>
        </w:rPr>
        <w:t>七、技术服务</w:t>
      </w:r>
      <w:bookmarkEnd w:id="18"/>
      <w:bookmarkEnd w:id="19"/>
      <w:bookmarkEnd w:id="20"/>
    </w:p>
    <w:p w14:paraId="0BAB9E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1、对技术服务的要求：</w:t>
      </w:r>
    </w:p>
    <w:p w14:paraId="664C69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2、技术资料：</w:t>
      </w:r>
    </w:p>
    <w:p w14:paraId="0C0E1B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2-1、产品合格证及检验报告；</w:t>
      </w:r>
    </w:p>
    <w:p w14:paraId="3BC4E9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2-2、产品使用说明书（中文）；</w:t>
      </w:r>
    </w:p>
    <w:p w14:paraId="6F4A56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2-3、中国商品检验局出具的商检合格证明（进口产品）；</w:t>
      </w:r>
    </w:p>
    <w:p w14:paraId="6711BE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2-4、其它资料。</w:t>
      </w:r>
    </w:p>
    <w:p w14:paraId="283D45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3、技术培训：</w:t>
      </w:r>
    </w:p>
    <w:p w14:paraId="7A2C2B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3-1、培训内容：</w:t>
      </w:r>
    </w:p>
    <w:p w14:paraId="1F237C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3-2、培训地点：</w:t>
      </w:r>
    </w:p>
    <w:p w14:paraId="1F6D44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3-3、培训时间：</w:t>
      </w:r>
    </w:p>
    <w:p w14:paraId="17228B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3-4、培训人数：</w:t>
      </w:r>
    </w:p>
    <w:p w14:paraId="4A8466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3-5、培训费用：受训人员的食宿费、资料费、培训场地费、耗材（包括水电费等）费等已包含在合同总价中，甲方不再另行支付。</w:t>
      </w:r>
    </w:p>
    <w:p w14:paraId="2565E9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4、售后服务</w:t>
      </w:r>
    </w:p>
    <w:p w14:paraId="22AFBE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4-1、乙方在接到甲方保修电话故障通知后在   小时内派出合格的维修人员到达现场进行维修服务，承担相应费用，若需将产品送回生产厂，乙方应提供备用机、承担维修产品所需的往返费用。</w:t>
      </w:r>
    </w:p>
    <w:p w14:paraId="781E70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4-2、如果乙方在收到通知后两天内没有弥补缺陷，甲方可采取必要的补救措施，但其风险和费用将由乙方承担，甲方根据合同规定对乙方行使的其它权力不受影响。甲方亦可从质保金中扣回索赔金额。</w:t>
      </w:r>
    </w:p>
    <w:p w14:paraId="76594C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5、伴随服务</w:t>
      </w:r>
    </w:p>
    <w:p w14:paraId="5ACF43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5-1、乙方应随同每套货物提供相应的中文的技术文件。</w:t>
      </w:r>
    </w:p>
    <w:p w14:paraId="4A6B1F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5-1-1、完整的操作使用手册和维护、修理技术文件，图纸、保修卡等。</w:t>
      </w:r>
    </w:p>
    <w:p w14:paraId="26E2DE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5-1-2、制造厂的检验、测试报告、检验合格证书，计量合格等级证书，质量保证书等文件须随产品装箱提供。</w:t>
      </w:r>
    </w:p>
    <w:p w14:paraId="57617F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5-1-3、必须的其它技术资料。</w:t>
      </w:r>
    </w:p>
    <w:p w14:paraId="70A105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5-2、伴随服务的费用已含在合同价中，不单独进行支付。</w:t>
      </w:r>
    </w:p>
    <w:p w14:paraId="079EE141">
      <w:pPr>
        <w:pStyle w:val="2"/>
        <w:keepLines w:val="0"/>
        <w:pageBreakBefore w:val="0"/>
        <w:widowControl w:val="0"/>
        <w:numPr>
          <w:ilvl w:val="1"/>
          <w:numId w:val="0"/>
        </w:numPr>
        <w:kinsoku/>
        <w:wordWrap/>
        <w:overflowPunct/>
        <w:topLinePunct w:val="0"/>
        <w:autoSpaceDE/>
        <w:autoSpaceDN/>
        <w:bidi w:val="0"/>
        <w:adjustRightInd/>
        <w:snapToGrid/>
        <w:spacing w:before="0" w:line="360" w:lineRule="auto"/>
        <w:ind w:left="0" w:leftChars="0" w:firstLine="482" w:firstLineChars="200"/>
        <w:jc w:val="both"/>
        <w:textAlignment w:val="auto"/>
        <w:rPr>
          <w:rFonts w:hint="eastAsia" w:ascii="宋体" w:hAnsi="宋体" w:eastAsia="宋体" w:cs="宋体"/>
          <w:b/>
          <w:kern w:val="2"/>
          <w:sz w:val="24"/>
          <w:szCs w:val="24"/>
          <w:lang w:val="en-US" w:eastAsia="zh-CN"/>
        </w:rPr>
      </w:pPr>
      <w:bookmarkStart w:id="21" w:name="_Toc30083"/>
      <w:bookmarkStart w:id="22" w:name="_Toc20844"/>
      <w:bookmarkStart w:id="23" w:name="_Toc21975"/>
      <w:r>
        <w:rPr>
          <w:rFonts w:hint="eastAsia" w:ascii="宋体" w:hAnsi="宋体" w:eastAsia="宋体" w:cs="宋体"/>
          <w:b/>
          <w:kern w:val="2"/>
          <w:sz w:val="24"/>
          <w:szCs w:val="24"/>
          <w:lang w:val="en-US" w:eastAsia="zh-CN"/>
        </w:rPr>
        <w:t>八、验收</w:t>
      </w:r>
      <w:bookmarkEnd w:id="21"/>
      <w:bookmarkEnd w:id="22"/>
      <w:bookmarkEnd w:id="23"/>
    </w:p>
    <w:p w14:paraId="7C4244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 验收标准：严格按照国家及地方居家适老化改造相关规范标准、采购文件、中标响应文件、合同约定、施工设计方案全部要求执行；所有改造项目、配套设施全部合格交付。</w:t>
      </w:r>
    </w:p>
    <w:p w14:paraId="6C80BF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 验收方法：供应商完成全部工作后提交验收申请及完整竣工资料，采购人组织验收小组开展现场核查、功能核验、资料审核，出具最终验收结论，验收合格即为正式交付。</w:t>
      </w:r>
    </w:p>
    <w:p w14:paraId="1BAE5E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3、质保期满后：由乙方出具质保期运行质量报告，作为质保金支付依据，若存在质量问题，应按相应规定协商处理。</w:t>
      </w:r>
    </w:p>
    <w:p w14:paraId="7501ED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4、验收依据：</w:t>
      </w:r>
    </w:p>
    <w:p w14:paraId="2F86C8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4-1、合同文本、合同附件、招标文件、投标文件。</w:t>
      </w:r>
    </w:p>
    <w:p w14:paraId="50DBA0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4-2、国内相应的标准、规范。</w:t>
      </w:r>
    </w:p>
    <w:p w14:paraId="720BF8CD">
      <w:pPr>
        <w:pStyle w:val="2"/>
        <w:keepLines w:val="0"/>
        <w:pageBreakBefore w:val="0"/>
        <w:widowControl w:val="0"/>
        <w:numPr>
          <w:ilvl w:val="1"/>
          <w:numId w:val="0"/>
        </w:numPr>
        <w:tabs>
          <w:tab w:val="left" w:pos="4830"/>
        </w:tabs>
        <w:kinsoku/>
        <w:wordWrap/>
        <w:overflowPunct/>
        <w:topLinePunct w:val="0"/>
        <w:autoSpaceDE/>
        <w:autoSpaceDN/>
        <w:bidi w:val="0"/>
        <w:adjustRightInd/>
        <w:snapToGrid/>
        <w:spacing w:before="0" w:line="360" w:lineRule="auto"/>
        <w:ind w:left="0" w:leftChars="0" w:firstLine="482" w:firstLineChars="200"/>
        <w:jc w:val="both"/>
        <w:textAlignment w:val="auto"/>
        <w:rPr>
          <w:rFonts w:hint="eastAsia" w:ascii="宋体" w:hAnsi="宋体" w:eastAsia="宋体" w:cs="宋体"/>
          <w:b/>
          <w:kern w:val="2"/>
          <w:sz w:val="24"/>
          <w:szCs w:val="24"/>
          <w:lang w:val="en-US" w:eastAsia="zh-CN"/>
        </w:rPr>
      </w:pPr>
      <w:bookmarkStart w:id="24" w:name="_Toc9930"/>
      <w:bookmarkStart w:id="25" w:name="_Toc1252"/>
      <w:bookmarkStart w:id="26" w:name="_Toc2166"/>
      <w:r>
        <w:rPr>
          <w:rFonts w:hint="eastAsia" w:ascii="宋体" w:hAnsi="宋体" w:eastAsia="宋体" w:cs="宋体"/>
          <w:b/>
          <w:kern w:val="2"/>
          <w:sz w:val="24"/>
          <w:szCs w:val="24"/>
          <w:lang w:val="en-US" w:eastAsia="zh-CN"/>
        </w:rPr>
        <w:t>九、违约责任</w:t>
      </w:r>
      <w:bookmarkEnd w:id="24"/>
      <w:bookmarkEnd w:id="25"/>
      <w:bookmarkEnd w:id="26"/>
    </w:p>
    <w:p w14:paraId="5BE45E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1、按《合同法》中的相关条款执行。</w:t>
      </w:r>
    </w:p>
    <w:p w14:paraId="1AB685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2、乙方履约延误</w:t>
      </w:r>
    </w:p>
    <w:p w14:paraId="44D733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2-1、如乙方事先未征得甲方同意并得到甲方的谅解而单方面延迟交货，将按违约终止合同。</w:t>
      </w:r>
    </w:p>
    <w:p w14:paraId="5B894A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67B82C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3、违约终止合同：未按合同要求提供货物或质量不能满足技术要求，甲方会同监督机构有权终止合同，对乙方违约行为进行追究，同时按政府采购法的有关规定进行相应的处罚。</w:t>
      </w:r>
    </w:p>
    <w:p w14:paraId="7D06F4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4、成交供应商未按合同工期、质量标准履约的，按合同约定承担违约金；逾期严重、整改不达标的，采购人有权单方解除合同，并上报政府采购诚信体系追责。</w:t>
      </w:r>
    </w:p>
    <w:p w14:paraId="7E8D79DE">
      <w:pPr>
        <w:pStyle w:val="2"/>
        <w:keepLines w:val="0"/>
        <w:pageBreakBefore w:val="0"/>
        <w:widowControl w:val="0"/>
        <w:numPr>
          <w:ilvl w:val="1"/>
          <w:numId w:val="0"/>
        </w:numPr>
        <w:tabs>
          <w:tab w:val="left" w:pos="4830"/>
        </w:tabs>
        <w:kinsoku/>
        <w:wordWrap/>
        <w:overflowPunct/>
        <w:topLinePunct w:val="0"/>
        <w:autoSpaceDE/>
        <w:autoSpaceDN/>
        <w:bidi w:val="0"/>
        <w:adjustRightInd/>
        <w:snapToGrid/>
        <w:spacing w:before="0" w:line="360" w:lineRule="auto"/>
        <w:ind w:left="0" w:leftChars="0" w:firstLine="482" w:firstLineChars="200"/>
        <w:jc w:val="both"/>
        <w:textAlignment w:val="auto"/>
        <w:rPr>
          <w:rFonts w:hint="eastAsia" w:ascii="宋体" w:hAnsi="宋体" w:eastAsia="宋体" w:cs="宋体"/>
          <w:b/>
          <w:kern w:val="2"/>
          <w:sz w:val="24"/>
          <w:szCs w:val="24"/>
          <w:lang w:val="en-US" w:eastAsia="zh-CN"/>
        </w:rPr>
      </w:pPr>
      <w:bookmarkStart w:id="27" w:name="_Toc12053"/>
      <w:bookmarkStart w:id="28" w:name="_Toc3699"/>
      <w:bookmarkStart w:id="29" w:name="_Toc5593"/>
      <w:r>
        <w:rPr>
          <w:rFonts w:hint="eastAsia" w:ascii="宋体" w:hAnsi="宋体" w:eastAsia="宋体" w:cs="宋体"/>
          <w:b/>
          <w:kern w:val="2"/>
          <w:sz w:val="24"/>
          <w:szCs w:val="24"/>
          <w:lang w:val="en-US" w:eastAsia="zh-CN"/>
        </w:rPr>
        <w:t>十、合同组成</w:t>
      </w:r>
      <w:bookmarkEnd w:id="27"/>
      <w:bookmarkEnd w:id="28"/>
      <w:bookmarkEnd w:id="29"/>
    </w:p>
    <w:p w14:paraId="0603D4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1、中标通知书</w:t>
      </w:r>
    </w:p>
    <w:p w14:paraId="3686AE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2、合同文件</w:t>
      </w:r>
    </w:p>
    <w:p w14:paraId="2A69D5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3、国家相关规范及标准</w:t>
      </w:r>
    </w:p>
    <w:p w14:paraId="266C38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4、供货产品技术规格及参数表</w:t>
      </w:r>
    </w:p>
    <w:p w14:paraId="39541F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5、招标文件</w:t>
      </w:r>
    </w:p>
    <w:p w14:paraId="030579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6、投标文件</w:t>
      </w:r>
    </w:p>
    <w:p w14:paraId="610269CF">
      <w:pPr>
        <w:pStyle w:val="2"/>
        <w:keepLines w:val="0"/>
        <w:pageBreakBefore w:val="0"/>
        <w:widowControl w:val="0"/>
        <w:numPr>
          <w:ilvl w:val="1"/>
          <w:numId w:val="0"/>
        </w:numPr>
        <w:tabs>
          <w:tab w:val="left" w:pos="4830"/>
        </w:tabs>
        <w:kinsoku/>
        <w:wordWrap/>
        <w:overflowPunct/>
        <w:topLinePunct w:val="0"/>
        <w:autoSpaceDE/>
        <w:autoSpaceDN/>
        <w:bidi w:val="0"/>
        <w:adjustRightInd/>
        <w:snapToGrid/>
        <w:spacing w:before="0" w:line="360" w:lineRule="auto"/>
        <w:ind w:left="0" w:leftChars="0" w:firstLine="482" w:firstLineChars="200"/>
        <w:jc w:val="both"/>
        <w:textAlignment w:val="auto"/>
        <w:rPr>
          <w:rFonts w:hint="eastAsia" w:ascii="宋体" w:hAnsi="宋体" w:eastAsia="宋体" w:cs="宋体"/>
          <w:b/>
          <w:kern w:val="2"/>
          <w:sz w:val="24"/>
          <w:szCs w:val="24"/>
          <w:lang w:val="en-US" w:eastAsia="zh-CN"/>
        </w:rPr>
      </w:pPr>
      <w:bookmarkStart w:id="30" w:name="_Toc21937"/>
      <w:bookmarkStart w:id="31" w:name="_Toc30367"/>
      <w:bookmarkStart w:id="32" w:name="_Toc12189"/>
      <w:r>
        <w:rPr>
          <w:rFonts w:hint="eastAsia" w:ascii="宋体" w:hAnsi="宋体" w:eastAsia="宋体" w:cs="宋体"/>
          <w:b/>
          <w:kern w:val="2"/>
          <w:sz w:val="24"/>
          <w:szCs w:val="24"/>
          <w:lang w:val="en-US" w:eastAsia="zh-CN"/>
        </w:rPr>
        <w:t>十一、解决争议的方法</w:t>
      </w:r>
      <w:bookmarkEnd w:id="30"/>
      <w:bookmarkEnd w:id="31"/>
      <w:bookmarkEnd w:id="32"/>
    </w:p>
    <w:p w14:paraId="68FECB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凡因本合同引起的或与本合同有关的争议，双方应友好协商解决。协商不成时，双方均同意采用以下第（  ）种争议解决方式：</w:t>
      </w:r>
    </w:p>
    <w:p w14:paraId="61193E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（1）、甲、乙双方均同意向（甲方所在地人民法院）提起诉讼。</w:t>
      </w:r>
    </w:p>
    <w:p w14:paraId="3026C5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（2）、甲、乙双方均同意向（仲裁委员会）提起仲裁。</w:t>
      </w:r>
    </w:p>
    <w:p w14:paraId="6B6D9426">
      <w:pPr>
        <w:pStyle w:val="2"/>
        <w:keepLines w:val="0"/>
        <w:pageBreakBefore w:val="0"/>
        <w:widowControl w:val="0"/>
        <w:numPr>
          <w:ilvl w:val="1"/>
          <w:numId w:val="0"/>
        </w:numPr>
        <w:tabs>
          <w:tab w:val="left" w:pos="4830"/>
        </w:tabs>
        <w:kinsoku/>
        <w:wordWrap/>
        <w:overflowPunct/>
        <w:topLinePunct w:val="0"/>
        <w:autoSpaceDE/>
        <w:autoSpaceDN/>
        <w:bidi w:val="0"/>
        <w:adjustRightInd/>
        <w:snapToGrid/>
        <w:spacing w:before="0" w:line="360" w:lineRule="auto"/>
        <w:ind w:left="0" w:leftChars="0" w:firstLine="482" w:firstLineChars="200"/>
        <w:jc w:val="both"/>
        <w:textAlignment w:val="auto"/>
        <w:rPr>
          <w:rFonts w:hint="eastAsia" w:ascii="宋体" w:hAnsi="宋体" w:eastAsia="宋体" w:cs="宋体"/>
          <w:b/>
          <w:kern w:val="2"/>
          <w:sz w:val="24"/>
          <w:szCs w:val="24"/>
          <w:lang w:val="en-US" w:eastAsia="zh-CN"/>
        </w:rPr>
      </w:pPr>
      <w:bookmarkStart w:id="33" w:name="_Toc7507"/>
      <w:bookmarkStart w:id="34" w:name="_Toc18295"/>
      <w:bookmarkStart w:id="35" w:name="_Toc10177"/>
      <w:r>
        <w:rPr>
          <w:rFonts w:hint="eastAsia" w:ascii="宋体" w:hAnsi="宋体" w:eastAsia="宋体" w:cs="宋体"/>
          <w:b/>
          <w:kern w:val="2"/>
          <w:sz w:val="24"/>
          <w:szCs w:val="24"/>
          <w:lang w:val="en-US" w:eastAsia="zh-CN"/>
        </w:rPr>
        <w:t>十二、合同生效及其它</w:t>
      </w:r>
      <w:bookmarkEnd w:id="33"/>
      <w:bookmarkEnd w:id="34"/>
      <w:bookmarkEnd w:id="35"/>
    </w:p>
    <w:p w14:paraId="1FFAB2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1、合同未尽事宜、由甲、乙双方协商，作为合同补充，与原合同具有同等法律效力。</w:t>
      </w:r>
    </w:p>
    <w:p w14:paraId="4268C4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 本合同正本一式  份，甲方、乙方双方分别执  份，   备案  份。</w:t>
      </w:r>
    </w:p>
    <w:p w14:paraId="4F6A05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3、合同经甲乙双方盖章、签字后生效，合同签订地点为   。</w:t>
      </w:r>
    </w:p>
    <w:p w14:paraId="263300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color w:val="auto"/>
          <w:sz w:val="24"/>
          <w:szCs w:val="24"/>
          <w:highlight w:val="none"/>
          <w:lang w:val="en-US" w:eastAsia="zh-CN"/>
        </w:rPr>
        <w:t>4、生效时间：   年  月  日</w:t>
      </w:r>
    </w:p>
    <w:tbl>
      <w:tblPr>
        <w:tblStyle w:val="6"/>
        <w:tblW w:w="0" w:type="auto"/>
        <w:jc w:val="center"/>
        <w:tblLayout w:type="fixed"/>
        <w:tblCellMar>
          <w:top w:w="0" w:type="dxa"/>
          <w:left w:w="108" w:type="dxa"/>
          <w:bottom w:w="0" w:type="dxa"/>
          <w:right w:w="108" w:type="dxa"/>
        </w:tblCellMar>
      </w:tblPr>
      <w:tblGrid>
        <w:gridCol w:w="4643"/>
        <w:gridCol w:w="4643"/>
      </w:tblGrid>
      <w:tr w14:paraId="64E88749">
        <w:tblPrEx>
          <w:tblCellMar>
            <w:top w:w="0" w:type="dxa"/>
            <w:left w:w="108" w:type="dxa"/>
            <w:bottom w:w="0" w:type="dxa"/>
            <w:right w:w="108" w:type="dxa"/>
          </w:tblCellMar>
        </w:tblPrEx>
        <w:trPr>
          <w:jc w:val="center"/>
        </w:trPr>
        <w:tc>
          <w:tcPr>
            <w:tcW w:w="4643" w:type="dxa"/>
            <w:noWrap w:val="0"/>
            <w:vAlign w:val="top"/>
          </w:tcPr>
          <w:p w14:paraId="15489CFB">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甲方名称</w:t>
            </w:r>
            <w:r>
              <w:rPr>
                <w:rFonts w:hint="eastAsia" w:ascii="宋体" w:hAnsi="宋体" w:eastAsia="宋体" w:cs="宋体"/>
                <w:spacing w:val="-20"/>
                <w:kern w:val="0"/>
                <w:sz w:val="24"/>
                <w:szCs w:val="24"/>
              </w:rPr>
              <w:t>（盖章）</w:t>
            </w:r>
            <w:r>
              <w:rPr>
                <w:rFonts w:hint="eastAsia" w:ascii="宋体" w:hAnsi="宋体" w:eastAsia="宋体" w:cs="宋体"/>
                <w:kern w:val="0"/>
                <w:sz w:val="24"/>
                <w:szCs w:val="24"/>
              </w:rPr>
              <w:t>:</w:t>
            </w:r>
          </w:p>
          <w:p w14:paraId="1D3B8AEA">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地址：</w:t>
            </w:r>
          </w:p>
          <w:p w14:paraId="00668270">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代表人（签字）：</w:t>
            </w:r>
          </w:p>
          <w:p w14:paraId="2D7084F4">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电话：</w:t>
            </w:r>
          </w:p>
          <w:p w14:paraId="73A1D090">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开户银行：</w:t>
            </w:r>
          </w:p>
          <w:p w14:paraId="466426C4">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账号：</w:t>
            </w:r>
          </w:p>
        </w:tc>
        <w:tc>
          <w:tcPr>
            <w:tcW w:w="4643" w:type="dxa"/>
            <w:noWrap w:val="0"/>
            <w:vAlign w:val="top"/>
          </w:tcPr>
          <w:p w14:paraId="7E6285C7">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乙方名称</w:t>
            </w:r>
            <w:r>
              <w:rPr>
                <w:rFonts w:hint="eastAsia" w:ascii="宋体" w:hAnsi="宋体" w:eastAsia="宋体" w:cs="宋体"/>
                <w:spacing w:val="-20"/>
                <w:kern w:val="0"/>
                <w:sz w:val="24"/>
                <w:szCs w:val="24"/>
              </w:rPr>
              <w:t>（盖章）</w:t>
            </w:r>
            <w:r>
              <w:rPr>
                <w:rFonts w:hint="eastAsia" w:ascii="宋体" w:hAnsi="宋体" w:eastAsia="宋体" w:cs="宋体"/>
                <w:kern w:val="0"/>
                <w:sz w:val="24"/>
                <w:szCs w:val="24"/>
              </w:rPr>
              <w:t>:</w:t>
            </w:r>
          </w:p>
          <w:p w14:paraId="34D8818B">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地址：</w:t>
            </w:r>
          </w:p>
          <w:p w14:paraId="00E7AA71">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代表人（签字）：</w:t>
            </w:r>
          </w:p>
          <w:p w14:paraId="17C93B58">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电话：</w:t>
            </w:r>
          </w:p>
          <w:p w14:paraId="57E3C489">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开户银行：</w:t>
            </w:r>
          </w:p>
          <w:p w14:paraId="35F9F5BA">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账号：</w:t>
            </w:r>
          </w:p>
        </w:tc>
      </w:tr>
    </w:tbl>
    <w:p w14:paraId="0EC8CB7C"/>
    <w:sectPr>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BC42A"/>
    <w:multiLevelType w:val="multilevel"/>
    <w:tmpl w:val="008BC42A"/>
    <w:lvl w:ilvl="0" w:tentative="0">
      <w:start w:val="1"/>
      <w:numFmt w:val="chineseCounting"/>
      <w:suff w:val="nothing"/>
      <w:lvlText w:val="第%1章 "/>
      <w:lvlJc w:val="left"/>
      <w:pPr>
        <w:ind w:left="0" w:firstLine="402"/>
      </w:pPr>
      <w:rPr>
        <w:rFonts w:hint="eastAsia"/>
      </w:rPr>
    </w:lvl>
    <w:lvl w:ilvl="1" w:tentative="0">
      <w:start w:val="1"/>
      <w:numFmt w:val="chineseCounting"/>
      <w:pStyle w:val="2"/>
      <w:suff w:val="nothing"/>
      <w:lvlText w:val="%2、"/>
      <w:lvlJc w:val="left"/>
      <w:pPr>
        <w:ind w:left="3196"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DB2563"/>
    <w:rsid w:val="773C6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2">
    <w:name w:val="heading 2"/>
    <w:basedOn w:val="1"/>
    <w:next w:val="1"/>
    <w:qFormat/>
    <w:uiPriority w:val="0"/>
    <w:pPr>
      <w:keepNext/>
      <w:keepLines/>
      <w:numPr>
        <w:ilvl w:val="1"/>
        <w:numId w:val="1"/>
      </w:numPr>
      <w:autoSpaceDE w:val="0"/>
      <w:autoSpaceDN w:val="0"/>
      <w:adjustRightInd w:val="0"/>
      <w:spacing w:before="120" w:line="300" w:lineRule="auto"/>
      <w:ind w:left="-402" w:firstLine="402"/>
      <w:jc w:val="center"/>
      <w:outlineLvl w:val="1"/>
    </w:pPr>
    <w:rPr>
      <w:rFonts w:ascii="Arial" w:hAnsi="Arial" w:eastAsia="黑体"/>
      <w:b/>
      <w:kern w:val="0"/>
      <w:sz w:val="30"/>
      <w:szCs w:val="20"/>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Indent"/>
    <w:basedOn w:val="1"/>
    <w:next w:val="5"/>
    <w:qFormat/>
    <w:uiPriority w:val="0"/>
    <w:pPr>
      <w:spacing w:line="360" w:lineRule="auto"/>
      <w:ind w:firstLine="570"/>
    </w:pPr>
    <w:rPr>
      <w:sz w:val="24"/>
    </w:rPr>
  </w:style>
  <w:style w:type="paragraph" w:styleId="5">
    <w:name w:val="envelope return"/>
    <w:basedOn w:val="1"/>
    <w:unhideWhenUsed/>
    <w:qFormat/>
    <w:uiPriority w:val="0"/>
    <w:pPr>
      <w:snapToGrid w:val="0"/>
    </w:pPr>
    <w:rPr>
      <w:rFonts w:ascii="Arial" w:hAnsi="Arial"/>
    </w:rPr>
  </w:style>
  <w:style w:type="paragraph" w:customStyle="1" w:styleId="8">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2484</Words>
  <Characters>2565</Characters>
  <Lines>0</Lines>
  <Paragraphs>0</Paragraphs>
  <TotalTime>4</TotalTime>
  <ScaleCrop>false</ScaleCrop>
  <LinksUpToDate>false</LinksUpToDate>
  <CharactersWithSpaces>2612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2026-05-24T11:24:00Z</dcterms:created>
  <dc:creator>lenovo</dc:creator>
  <cp:lastModifiedBy>lenovo</cp:lastModifiedBy>
  <dcterms:modified xsi:type="dcterms:W3CDTF">2026-05-24T11:38:41Z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eyJoZGlkIjoiZjFhY2NmMmU1YjEwNTJkYzQyOGMxOWNjOWI2YjhjNjQiLCJ1c2VySWQiOiIyOTc2MTAyNzkifQ==</vt:lpwstr>
  </property>
  <property fmtid="{D5CDD505-2E9C-101B-9397-08002B2CF9AE}" pid="4" name="ICV">
    <vt:lpwstr>6385CC4445B24A7985D2D5541FF054AB_12</vt:lpwstr>
  </property>
</Properties>
</file>