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版本号：ZX2026-07-0120260707001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多功能水槽图像信号采集平台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ZX2026-07-01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多功能水槽图像信号采集平台</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多功能水槽图像信号采集平台</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水槽图像信号采集平台旨在建立海洋综合环境模拟平台，包括造波、造流、造风等综合动力环境，包括不规则波和极端波浪模拟、均匀流模拟以及定常风和非定常风谱模拟，实现海上真实环境物理实验仿真，通过配套传感器和图像信号采集系统，获得丰富的空间流场数据、风波流要素参数和波流力载荷数据，为深海油气勘探开发、海上新能源开发、风浪流机理研究等提供测试平台和定量数据。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采购包1保证金金额：10,701.00元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按照合同文本约定。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按照谈判文件、成交供应商响应文件和合同约定执行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水槽图像信号采集平台旨在建立海洋综合环境模拟平台，包括造波、造流、造风等综合动力环境，包括不规则波和极端波浪模拟、均匀流模拟以及定常风和非定常风谱模拟，实现海上真实环境物理实验仿真，通过配套传感器和图像信号采集系统，获得丰富的空间流场数据、风波流要素参数和波流力载荷数据，为深海油气勘探开发、海上新能源开发、风浪流机理研究等提供测试平台和定量数据。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多功能水槽图像信号采集平台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标的名称：多功能水槽图像信号采集平台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本项目拟采购多功能水槽图像信号采集平台1套。</w:t>
            </w:r>
          </w:p>
          <w:p>
            <w:pPr>
              <w:pStyle w:val="null3"/>
            </w:pPr>
            <w:r>
              <w:rPr>
                <w:rFonts w:ascii="仿宋_GB2312" w:hAnsi="仿宋_GB2312" w:cs="仿宋_GB2312" w:eastAsia="仿宋_GB2312"/>
              </w:rPr>
              <w:t>一、多功能水槽图像信号采集平台总体要求</w:t>
            </w:r>
          </w:p>
          <w:p>
            <w:pPr>
              <w:pStyle w:val="null3"/>
            </w:pPr>
            <w:r>
              <w:rPr>
                <w:rFonts w:ascii="仿宋_GB2312" w:hAnsi="仿宋_GB2312" w:cs="仿宋_GB2312" w:eastAsia="仿宋_GB2312"/>
              </w:rPr>
              <w:t>构建一套集波-流-风多环境场耦合模拟、多源水动力与力学高精度测量、高速高精度光学流场分析（PIV/PTV）以及波浪能发电模拟于一体的综合性水槽实验室系统。平台以现有多功能水槽为核心载体（长×宽×高=3m×0.2m×0.5m），通过集成智能造波、造流、造风系统和高分辨率成像系统、多类型传感器及专用分析软件，能够精准模拟海洋/河流水动力环境，同步获取流场、波高、压力、拉力、流速等多维数据。</w:t>
            </w:r>
          </w:p>
          <w:p>
            <w:pPr>
              <w:pStyle w:val="null3"/>
            </w:pPr>
            <w:r>
              <w:rPr>
                <w:rFonts w:ascii="仿宋_GB2312" w:hAnsi="仿宋_GB2312" w:cs="仿宋_GB2312" w:eastAsia="仿宋_GB2312"/>
              </w:rPr>
              <w:t>二、各模块技术要求</w:t>
            </w:r>
          </w:p>
          <w:p>
            <w:pPr>
              <w:pStyle w:val="null3"/>
            </w:pPr>
            <w:r>
              <w:rPr>
                <w:rFonts w:ascii="仿宋_GB2312" w:hAnsi="仿宋_GB2312" w:cs="仿宋_GB2312" w:eastAsia="仿宋_GB2312"/>
              </w:rPr>
              <w:t>1.模块1：波-流-风多场耦合模拟系统</w:t>
            </w:r>
          </w:p>
          <w:p>
            <w:pPr>
              <w:pStyle w:val="null3"/>
            </w:pPr>
            <w:r>
              <w:rPr>
                <w:rFonts w:ascii="仿宋_GB2312" w:hAnsi="仿宋_GB2312" w:cs="仿宋_GB2312" w:eastAsia="仿宋_GB2312"/>
              </w:rPr>
              <w:t>本模块由智能波浪模拟单元、智能造流单元、智能造风单元等组成。</w:t>
            </w:r>
          </w:p>
          <w:p>
            <w:pPr>
              <w:pStyle w:val="null3"/>
            </w:pPr>
            <w:r>
              <w:rPr>
                <w:rFonts w:ascii="仿宋_GB2312" w:hAnsi="仿宋_GB2312" w:cs="仿宋_GB2312" w:eastAsia="仿宋_GB2312"/>
              </w:rPr>
              <w:t>1.1智能波浪模拟单元</w:t>
            </w:r>
          </w:p>
          <w:p>
            <w:pPr>
              <w:pStyle w:val="null3"/>
            </w:pPr>
            <w:r>
              <w:rPr>
                <w:rFonts w:ascii="仿宋_GB2312" w:hAnsi="仿宋_GB2312" w:cs="仿宋_GB2312" w:eastAsia="仿宋_GB2312"/>
              </w:rPr>
              <w:t>1.1.1推板式造波，包含伺服电机、耐腐蚀推波板、智能控制器、传动执行机构、系统支架、控制柜及造波软件平台。控制系统采用24V安全直流电压供电，功率≤1kW。水下部分采用耐腐蚀材质PMMA工程塑料。波形支持：规则波（正弦波、二阶斯托克斯波、孤立波、椭圆余弦波）；不规则波（海港水文规范谱、B-M谱、P-M谱、Jonswap谱、Scott谱、ITTC谱）以及聚焦波。此项参数须提供证明材料。</w:t>
            </w:r>
          </w:p>
          <w:p>
            <w:pPr>
              <w:pStyle w:val="null3"/>
            </w:pPr>
            <w:r>
              <w:rPr>
                <w:rFonts w:ascii="仿宋_GB2312" w:hAnsi="仿宋_GB2312" w:cs="仿宋_GB2312" w:eastAsia="仿宋_GB2312"/>
              </w:rPr>
              <w:t>1.1.2造波精度：规则波波高误差≤5%，周期误差≤2%；不规则波有效波高误差≤5%，谱峰周期误差≤4%。波高重复性误差≤3%。波周期重复性误差≤3%。</w:t>
            </w:r>
          </w:p>
          <w:p>
            <w:pPr>
              <w:pStyle w:val="null3"/>
            </w:pPr>
            <w:r>
              <w:rPr>
                <w:rFonts w:ascii="仿宋_GB2312" w:hAnsi="仿宋_GB2312" w:cs="仿宋_GB2312" w:eastAsia="仿宋_GB2312"/>
              </w:rPr>
              <w:t>1.1.3极端波模拟：支持聚焦波和破碎波，波幅、聚焦位置可软件设定。</w:t>
            </w:r>
          </w:p>
          <w:p>
            <w:pPr>
              <w:pStyle w:val="null3"/>
            </w:pPr>
            <w:r>
              <w:rPr>
                <w:rFonts w:ascii="仿宋_GB2312" w:hAnsi="仿宋_GB2312" w:cs="仿宋_GB2312" w:eastAsia="仿宋_GB2312"/>
              </w:rPr>
              <w:t>1.1.4消波结构：配置消波结构，消波效率优于85%。</w:t>
            </w:r>
          </w:p>
          <w:p>
            <w:pPr>
              <w:pStyle w:val="null3"/>
            </w:pPr>
            <w:r>
              <w:rPr>
                <w:rFonts w:ascii="仿宋_GB2312" w:hAnsi="仿宋_GB2312" w:cs="仿宋_GB2312" w:eastAsia="仿宋_GB2312"/>
              </w:rPr>
              <w:t>1.1.5造波参数：规则波波周期范围0.5s～2.0s，波高范围0.01m～0.10m；不规则波谱峰周期范围0.5～1s，有效波高范围0.01m～0.05m。</w:t>
            </w:r>
          </w:p>
          <w:p>
            <w:pPr>
              <w:pStyle w:val="null3"/>
            </w:pPr>
            <w:r>
              <w:rPr>
                <w:rFonts w:ascii="仿宋_GB2312" w:hAnsi="仿宋_GB2312" w:cs="仿宋_GB2312" w:eastAsia="仿宋_GB2312"/>
              </w:rPr>
              <w:t>1.1.6推板材质与厚度：采用工程塑料PMMA，厚度≥10mm。最大工作水深≥0.4m。连续造波时间≥24小时且波浪历时不重复。</w:t>
            </w:r>
          </w:p>
          <w:p>
            <w:pPr>
              <w:pStyle w:val="null3"/>
            </w:pPr>
            <w:r>
              <w:rPr>
                <w:rFonts w:ascii="仿宋_GB2312" w:hAnsi="仿宋_GB2312" w:cs="仿宋_GB2312" w:eastAsia="仿宋_GB2312"/>
              </w:rPr>
              <w:t>1.2智能造流单元</w:t>
            </w:r>
          </w:p>
          <w:p>
            <w:pPr>
              <w:pStyle w:val="null3"/>
            </w:pPr>
            <w:r>
              <w:rPr>
                <w:rFonts w:ascii="仿宋_GB2312" w:hAnsi="仿宋_GB2312" w:cs="仿宋_GB2312" w:eastAsia="仿宋_GB2312"/>
              </w:rPr>
              <w:t>1.2.1包含水泵、流量计、控制柜、造流控制器、造流软件、管路、整流栅格组件。水泵电压380V，电控柜220V，功率≤2.5KW，扬程≥10m，流量≥60m³/h（含高精度电磁流量计，精度0.5%）。流动控制性能：支持定常流，水深0.3m工况下最大流速≥0.2m/s。采用高精度闭环控制，目标流量调节时间＜60s，流量精度优于1%。配套整流结构。连续工作时间≥8小时。此项参数须提供证明材料。</w:t>
            </w:r>
          </w:p>
          <w:p>
            <w:pPr>
              <w:pStyle w:val="null3"/>
            </w:pPr>
            <w:r>
              <w:rPr>
                <w:rFonts w:ascii="仿宋_GB2312" w:hAnsi="仿宋_GB2312" w:cs="仿宋_GB2312" w:eastAsia="仿宋_GB2312"/>
              </w:rPr>
              <w:t>1.2.2控制软件：终端造流控制软件，实现造流启动、停止、流量调节和自动控制等功能，采用手自一体控制模式设定数值，实时显示流量数据和流量曲线。</w:t>
            </w:r>
          </w:p>
          <w:p>
            <w:pPr>
              <w:pStyle w:val="null3"/>
            </w:pPr>
            <w:r>
              <w:rPr>
                <w:rFonts w:ascii="仿宋_GB2312" w:hAnsi="仿宋_GB2312" w:cs="仿宋_GB2312" w:eastAsia="仿宋_GB2312"/>
              </w:rPr>
              <w:t>1.3智能造风单元</w:t>
            </w:r>
          </w:p>
          <w:p>
            <w:pPr>
              <w:pStyle w:val="null3"/>
            </w:pPr>
            <w:r>
              <w:rPr>
                <w:rFonts w:ascii="仿宋_GB2312" w:hAnsi="仿宋_GB2312" w:cs="仿宋_GB2312" w:eastAsia="仿宋_GB2312"/>
              </w:rPr>
              <w:t>1.3.1模块化风机1套，最大风速≥4m/s，支持非定常风与定常风谱，包括API、NPI风谱模拟，支持风浪和波流耦合实验。风速控制精度±0.2m/s。此项参数须提供证明材料。</w:t>
            </w:r>
          </w:p>
          <w:p>
            <w:pPr>
              <w:pStyle w:val="null3"/>
            </w:pPr>
            <w:r>
              <w:rPr>
                <w:rFonts w:ascii="仿宋_GB2312" w:hAnsi="仿宋_GB2312" w:cs="仿宋_GB2312" w:eastAsia="仿宋_GB2312"/>
              </w:rPr>
              <w:t>1.3.2配套1套风速仪，量程0-10m/s,精度±2%，数字信号，USB直连终端，配套软件实时显示风速曲线并保存数据。</w:t>
            </w:r>
          </w:p>
          <w:p>
            <w:pPr>
              <w:pStyle w:val="null3"/>
            </w:pPr>
            <w:r>
              <w:rPr>
                <w:rFonts w:ascii="仿宋_GB2312" w:hAnsi="仿宋_GB2312" w:cs="仿宋_GB2312" w:eastAsia="仿宋_GB2312"/>
              </w:rPr>
              <w:t>1.4耦合功能：支持波浪、水流、风的独立控制，并实现波流耦合、风浪耦合、风浪流耦合模拟。</w:t>
            </w:r>
          </w:p>
          <w:p>
            <w:pPr>
              <w:pStyle w:val="null3"/>
            </w:pPr>
            <w:r>
              <w:rPr>
                <w:rFonts w:ascii="仿宋_GB2312" w:hAnsi="仿宋_GB2312" w:cs="仿宋_GB2312" w:eastAsia="仿宋_GB2312"/>
              </w:rPr>
              <w:t>2.模块2：多源水动力与力学高精度测量系统</w:t>
            </w:r>
          </w:p>
          <w:p>
            <w:pPr>
              <w:pStyle w:val="null3"/>
            </w:pPr>
            <w:r>
              <w:rPr>
                <w:rFonts w:ascii="仿宋_GB2312" w:hAnsi="仿宋_GB2312" w:cs="仿宋_GB2312" w:eastAsia="仿宋_GB2312"/>
              </w:rPr>
              <w:t>本模块由数字浪高仪、数字水下压力传感器、水下拉压力传感器、非接触浪高仪（光学+超声波）、旋桨流速仪、三维力测量系统及配套采集软件组成。</w:t>
            </w:r>
          </w:p>
          <w:p>
            <w:pPr>
              <w:pStyle w:val="null3"/>
            </w:pPr>
            <w:r>
              <w:rPr>
                <w:rFonts w:ascii="仿宋_GB2312" w:hAnsi="仿宋_GB2312" w:cs="仿宋_GB2312" w:eastAsia="仿宋_GB2312"/>
              </w:rPr>
              <w:t>2.1数字浪高仪：1套。量程0～300mm，精度优于0.5%，AD转换位数≥24位，最高采样≥1000Hz，USB直连，配套软件直接采集数据到终端。</w:t>
            </w:r>
          </w:p>
          <w:p>
            <w:pPr>
              <w:pStyle w:val="null3"/>
            </w:pPr>
            <w:r>
              <w:rPr>
                <w:rFonts w:ascii="仿宋_GB2312" w:hAnsi="仿宋_GB2312" w:cs="仿宋_GB2312" w:eastAsia="仿宋_GB2312"/>
              </w:rPr>
              <w:t>2.2数字水下压力传感器：1套。量程0～10kPa，精度优于0.5%，采样≥1000Hz，分辨率≤0.01%FS，过载能力≥2倍量程，温度补偿范围0～50℃。USB直连，配套采集软件直接采集数据到终端。</w:t>
            </w:r>
          </w:p>
          <w:p>
            <w:pPr>
              <w:pStyle w:val="null3"/>
            </w:pPr>
            <w:r>
              <w:rPr>
                <w:rFonts w:ascii="仿宋_GB2312" w:hAnsi="仿宋_GB2312" w:cs="仿宋_GB2312" w:eastAsia="仿宋_GB2312"/>
              </w:rPr>
              <w:t>2.3水下拉压力传感器：1套。量程≥50N，精度优于0.2%，用于测量水下锚链等拉力情况。</w:t>
            </w:r>
          </w:p>
          <w:p>
            <w:pPr>
              <w:pStyle w:val="null3"/>
            </w:pPr>
            <w:r>
              <w:rPr>
                <w:rFonts w:ascii="仿宋_GB2312" w:hAnsi="仿宋_GB2312" w:cs="仿宋_GB2312" w:eastAsia="仿宋_GB2312"/>
              </w:rPr>
              <w:t>2.4非接触浪高仪：光学波高仪和超声波波高仪各1个，量程≥100mm，精度优于1%，盲区≤250mm。分辨率≤0.15mm。防护等级≥IP65，非接触测量，USB直连终端使用。</w:t>
            </w:r>
          </w:p>
          <w:p>
            <w:pPr>
              <w:pStyle w:val="null3"/>
            </w:pPr>
            <w:r>
              <w:rPr>
                <w:rFonts w:ascii="仿宋_GB2312" w:hAnsi="仿宋_GB2312" w:cs="仿宋_GB2312" w:eastAsia="仿宋_GB2312"/>
              </w:rPr>
              <w:t>2.5旋桨流速仪：1套。测速范围0～4.0m/s，精度优于2%，起转速度≤0.05m/s，旋桨叶轮直径Φ10～20mm，USB接口。</w:t>
            </w:r>
          </w:p>
          <w:p>
            <w:pPr>
              <w:pStyle w:val="null3"/>
            </w:pPr>
            <w:r>
              <w:rPr>
                <w:rFonts w:ascii="仿宋_GB2312" w:hAnsi="仿宋_GB2312" w:cs="仿宋_GB2312" w:eastAsia="仿宋_GB2312"/>
              </w:rPr>
              <w:t>2.6三维力测量系统：1套。量程≥50N，用于测量风载荷，最高采样频率≥200Hz，非线性误差≤0.3%FS，准度误差≤0.5%FS，分辨率≤0.05%FS，防护等级≥IP65。</w:t>
            </w:r>
          </w:p>
          <w:p>
            <w:pPr>
              <w:pStyle w:val="null3"/>
            </w:pPr>
            <w:r>
              <w:rPr>
                <w:rFonts w:ascii="仿宋_GB2312" w:hAnsi="仿宋_GB2312" w:cs="仿宋_GB2312" w:eastAsia="仿宋_GB2312"/>
              </w:rPr>
              <w:t>3.模块3：高速高精度光学流场与PIV系统</w:t>
            </w:r>
          </w:p>
          <w:p>
            <w:pPr>
              <w:pStyle w:val="null3"/>
            </w:pPr>
            <w:r>
              <w:rPr>
                <w:rFonts w:ascii="仿宋_GB2312" w:hAnsi="仿宋_GB2312" w:cs="仿宋_GB2312" w:eastAsia="仿宋_GB2312"/>
              </w:rPr>
              <w:t>本模块由高分辨率成像单元（2套）、小型成像单元（2套）、激光照明系统、同步器、专用PIV粒子、标定板、图像采集软件及流场分析软件组成。</w:t>
            </w:r>
          </w:p>
          <w:p>
            <w:pPr>
              <w:pStyle w:val="null3"/>
            </w:pPr>
            <w:r>
              <w:rPr>
                <w:rFonts w:ascii="仿宋_GB2312" w:hAnsi="仿宋_GB2312" w:cs="仿宋_GB2312" w:eastAsia="仿宋_GB2312"/>
              </w:rPr>
              <w:t>3.1成像单元组合</w:t>
            </w:r>
          </w:p>
          <w:p>
            <w:pPr>
              <w:pStyle w:val="null3"/>
            </w:pPr>
            <w:r>
              <w:rPr>
                <w:rFonts w:ascii="仿宋_GB2312" w:hAnsi="仿宋_GB2312" w:cs="仿宋_GB2312" w:eastAsia="仿宋_GB2312"/>
              </w:rPr>
              <w:t>高分辨率成像单元2套。分辨率≥1500万像素，帧率≥40fps，配F1.4大光圈手动对焦镜头，相机接口为C或F卡口，配置通信接口和触发接口。标配35mm和50mm镜头各2支。</w:t>
            </w:r>
          </w:p>
          <w:p>
            <w:pPr>
              <w:pStyle w:val="null3"/>
            </w:pPr>
            <w:r>
              <w:rPr>
                <w:rFonts w:ascii="仿宋_GB2312" w:hAnsi="仿宋_GB2312" w:cs="仿宋_GB2312" w:eastAsia="仿宋_GB2312"/>
              </w:rPr>
              <w:t>小型成像单元2套。分辨率≥500万像素，帧率≥60fps；标配25mm定焦镜头2支。</w:t>
            </w:r>
          </w:p>
          <w:p>
            <w:pPr>
              <w:pStyle w:val="null3"/>
            </w:pPr>
            <w:r>
              <w:rPr>
                <w:rFonts w:ascii="仿宋_GB2312" w:hAnsi="仿宋_GB2312" w:cs="仿宋_GB2312" w:eastAsia="仿宋_GB2312"/>
              </w:rPr>
              <w:t>3.2激光照明系统</w:t>
            </w:r>
          </w:p>
          <w:p>
            <w:pPr>
              <w:pStyle w:val="null3"/>
            </w:pPr>
            <w:r>
              <w:rPr>
                <w:rFonts w:ascii="仿宋_GB2312" w:hAnsi="仿宋_GB2312" w:cs="仿宋_GB2312" w:eastAsia="仿宋_GB2312"/>
              </w:rPr>
              <w:t>半导体激光器，功率≥5W，激光头和功率控制一体化设计，功率可调，带屏显，配45°片光源镜片，测量覆盖范围≥40cm×40cm。</w:t>
            </w:r>
          </w:p>
          <w:p>
            <w:pPr>
              <w:pStyle w:val="null3"/>
            </w:pPr>
            <w:r>
              <w:rPr>
                <w:rFonts w:ascii="仿宋_GB2312" w:hAnsi="仿宋_GB2312" w:cs="仿宋_GB2312" w:eastAsia="仿宋_GB2312"/>
              </w:rPr>
              <w:t>3.3同步器</w:t>
            </w:r>
          </w:p>
          <w:p>
            <w:pPr>
              <w:pStyle w:val="null3"/>
            </w:pPr>
            <w:r>
              <w:rPr>
                <w:rFonts w:ascii="仿宋_GB2312" w:hAnsi="仿宋_GB2312" w:cs="仿宋_GB2312" w:eastAsia="仿宋_GB2312"/>
              </w:rPr>
              <w:t>时间精度≤10μs，通道数≥4路独立触发输出，延迟范围0～1000ms，步进≤100μs。支持相机和激光触发，USB直连终端，通过软件直接控制。</w:t>
            </w:r>
          </w:p>
          <w:p>
            <w:pPr>
              <w:pStyle w:val="null3"/>
            </w:pPr>
            <w:r>
              <w:rPr>
                <w:rFonts w:ascii="仿宋_GB2312" w:hAnsi="仿宋_GB2312" w:cs="仿宋_GB2312" w:eastAsia="仿宋_GB2312"/>
              </w:rPr>
              <w:t>3.4专用PIV粒子</w:t>
            </w:r>
          </w:p>
          <w:p>
            <w:pPr>
              <w:pStyle w:val="null3"/>
            </w:pPr>
            <w:r>
              <w:rPr>
                <w:rFonts w:ascii="仿宋_GB2312" w:hAnsi="仿宋_GB2312" w:cs="仿宋_GB2312" w:eastAsia="仿宋_GB2312"/>
              </w:rPr>
              <w:t>粒径≤50微米，密度1.0～1.1g/cm³，折射率1.30～1.55。</w:t>
            </w:r>
          </w:p>
          <w:p>
            <w:pPr>
              <w:pStyle w:val="null3"/>
            </w:pPr>
            <w:r>
              <w:rPr>
                <w:rFonts w:ascii="仿宋_GB2312" w:hAnsi="仿宋_GB2312" w:cs="仿宋_GB2312" w:eastAsia="仿宋_GB2312"/>
              </w:rPr>
              <w:t>3.5标定板</w:t>
            </w:r>
          </w:p>
          <w:p>
            <w:pPr>
              <w:pStyle w:val="null3"/>
            </w:pPr>
            <w:r>
              <w:rPr>
                <w:rFonts w:ascii="仿宋_GB2312" w:hAnsi="仿宋_GB2312" w:cs="仿宋_GB2312" w:eastAsia="仿宋_GB2312"/>
              </w:rPr>
              <w:t>长度≥30cm，宽度≤5cm，厚度≤1cm。</w:t>
            </w:r>
          </w:p>
          <w:p>
            <w:pPr>
              <w:pStyle w:val="null3"/>
            </w:pPr>
            <w:r>
              <w:rPr>
                <w:rFonts w:ascii="仿宋_GB2312" w:hAnsi="仿宋_GB2312" w:cs="仿宋_GB2312" w:eastAsia="仿宋_GB2312"/>
              </w:rPr>
              <w:t>3.6图像采集软件</w:t>
            </w:r>
          </w:p>
          <w:p>
            <w:pPr>
              <w:pStyle w:val="null3"/>
            </w:pPr>
            <w:r>
              <w:rPr>
                <w:rFonts w:ascii="仿宋_GB2312" w:hAnsi="仿宋_GB2312" w:cs="仿宋_GB2312" w:eastAsia="仿宋_GB2312"/>
              </w:rPr>
              <w:t>3.6.1支持连续运行和触发运行，支持外部同步模式；同步控制激光、相机、同步器，可控制激光强度、相机帧率、增益等参数；支持数据连续长时间采集。</w:t>
            </w:r>
          </w:p>
          <w:p>
            <w:pPr>
              <w:pStyle w:val="null3"/>
            </w:pPr>
            <w:r>
              <w:rPr>
                <w:rFonts w:ascii="仿宋_GB2312" w:hAnsi="仿宋_GB2312" w:cs="仿宋_GB2312" w:eastAsia="仿宋_GB2312"/>
              </w:rPr>
              <w:t>3.6.2多种采集模式：图像实时显示、定时采集、连续采集及潮流模式（可设采集时间间隔、每次采集张数及总循环数量）；采集参数可设bmp、raw、bin等多种保存格式及存储路径。</w:t>
            </w:r>
          </w:p>
          <w:p>
            <w:pPr>
              <w:pStyle w:val="null3"/>
            </w:pPr>
            <w:r>
              <w:rPr>
                <w:rFonts w:ascii="仿宋_GB2312" w:hAnsi="仿宋_GB2312" w:cs="仿宋_GB2312" w:eastAsia="仿宋_GB2312"/>
              </w:rPr>
              <w:t>3.7流场分析软件</w:t>
            </w:r>
          </w:p>
          <w:p>
            <w:pPr>
              <w:pStyle w:val="null3"/>
            </w:pPr>
            <w:r>
              <w:rPr>
                <w:rFonts w:ascii="仿宋_GB2312" w:hAnsi="仿宋_GB2312" w:cs="仿宋_GB2312" w:eastAsia="仿宋_GB2312"/>
              </w:rPr>
              <w:t>3.7.1流场分析软件平台：在单个集成软件平台上完整提供四项分析功能：二维流场速度场测量（输出平面流场速度矢量）、粒子追踪测速（PTV粒子追踪测速）、浮体多自由度运动分析（显示浮体运动和姿态变化）以及分层流密度场分析（可分析异重流、分层流体密度场）。上述四项功能须全部统一集成于同一软件平台。</w:t>
            </w:r>
          </w:p>
          <w:p>
            <w:pPr>
              <w:pStyle w:val="null3"/>
            </w:pPr>
            <w:r>
              <w:rPr>
                <w:rFonts w:ascii="仿宋_GB2312" w:hAnsi="仿宋_GB2312" w:cs="仿宋_GB2312" w:eastAsia="仿宋_GB2312"/>
              </w:rPr>
              <w:t>3.7.2标定模块：软件须提供完整的空间标定功能。PIV标定功能配合标定板使用，将图像像素坐标转换为物理空间坐标，支持多种标定方式，具有自动校正功能和畸变矫正功能。在20cm×40cm视场范围内，标定精度须优于±0.5mm。</w:t>
            </w:r>
          </w:p>
          <w:p>
            <w:pPr>
              <w:pStyle w:val="null3"/>
            </w:pPr>
            <w:r>
              <w:rPr>
                <w:rFonts w:ascii="仿宋_GB2312" w:hAnsi="仿宋_GB2312" w:cs="仿宋_GB2312" w:eastAsia="仿宋_GB2312"/>
              </w:rPr>
              <w:t>3.7.3流场后处理模块：软件须提供完整的PIV流场后处理能力。图像导入支持BMP、PNG、JPG等常见格式及RAW原始格式，支持批量导入多张图像及AVI、MP4等视频文件直接分析。二维PIV计算内置互相关算法。图像预处理提供背景减除、对比度增强等工具以提升原始图像质量。流速场修正可自动过滤错误点、插值修正流场，同时支持用户手动修正。可视化输出支持伪彩色流矢绘制及粒子追踪轨迹图显示。</w:t>
            </w:r>
          </w:p>
          <w:p>
            <w:pPr>
              <w:pStyle w:val="null3"/>
            </w:pPr>
            <w:r>
              <w:rPr>
                <w:rFonts w:ascii="仿宋_GB2312" w:hAnsi="仿宋_GB2312" w:cs="仿宋_GB2312" w:eastAsia="仿宋_GB2312"/>
              </w:rPr>
              <w:t>4.模块4：波浪能发电组件</w:t>
            </w:r>
          </w:p>
          <w:p>
            <w:pPr>
              <w:pStyle w:val="null3"/>
            </w:pPr>
            <w:r>
              <w:rPr>
                <w:rFonts w:ascii="仿宋_GB2312" w:hAnsi="仿宋_GB2312" w:cs="仿宋_GB2312" w:eastAsia="仿宋_GB2312"/>
              </w:rPr>
              <w:t>本模块为教学演示组件，通过浮子式和摆板式两种波浪能捕获机构，将水槽造波产生的波浪动能转换为电能，直观展示波浪能→机械能→电能的完整转换路径。本模块由浮子式波浪能发电组件和摆板式波浪能发电组件组成。</w:t>
            </w:r>
          </w:p>
          <w:p>
            <w:pPr>
              <w:pStyle w:val="null3"/>
            </w:pPr>
            <w:r>
              <w:rPr>
                <w:rFonts w:ascii="仿宋_GB2312" w:hAnsi="仿宋_GB2312" w:cs="仿宋_GB2312" w:eastAsia="仿宋_GB2312"/>
              </w:rPr>
              <w:t>4.1浮子式波浪能发电组件</w:t>
            </w:r>
          </w:p>
          <w:p>
            <w:pPr>
              <w:pStyle w:val="null3"/>
            </w:pPr>
            <w:r>
              <w:rPr>
                <w:rFonts w:ascii="仿宋_GB2312" w:hAnsi="仿宋_GB2312" w:cs="仿宋_GB2312" w:eastAsia="仿宋_GB2312"/>
              </w:rPr>
              <w:t>采用浮子和电磁感应原理，通过切割磁感线实现波浪能向电能转换。电压≥2V。配置灯塔及LED光源和电流指示器，可通过造波波浪点亮灯塔LED灯光并显示电流。浮子直径80～150mm（适配水槽尺寸），材质为耐腐蚀塑料PMMA。</w:t>
            </w:r>
          </w:p>
          <w:p>
            <w:pPr>
              <w:pStyle w:val="null3"/>
            </w:pPr>
            <w:r>
              <w:rPr>
                <w:rFonts w:ascii="仿宋_GB2312" w:hAnsi="仿宋_GB2312" w:cs="仿宋_GB2312" w:eastAsia="仿宋_GB2312"/>
              </w:rPr>
              <w:t>4.2摆板式波浪能发电组件</w:t>
            </w:r>
          </w:p>
          <w:p>
            <w:pPr>
              <w:pStyle w:val="null3"/>
            </w:pPr>
            <w:r>
              <w:rPr>
                <w:rFonts w:ascii="仿宋_GB2312" w:hAnsi="仿宋_GB2312" w:cs="仿宋_GB2312" w:eastAsia="仿宋_GB2312"/>
              </w:rPr>
              <w:t>摆板往复摆动通过连杆带动发电机旋转，将波浪运动驱动直流发电机实现波浪能发电。摆板尺寸≥200mm×150mm，摆板材质为工程塑料PMMA，摆动角度范围≥±15°。配置灯塔及LED光源和电流指示器，浮子尺寸适配造波水槽。整体尺寸适配造波水槽（宽度≤200mm，高度≤400mm）。</w:t>
            </w:r>
          </w:p>
          <w:p>
            <w:pPr>
              <w:pStyle w:val="null3"/>
            </w:pPr>
            <w:r>
              <w:rPr>
                <w:rFonts w:ascii="仿宋_GB2312" w:hAnsi="仿宋_GB2312" w:cs="仿宋_GB2312" w:eastAsia="仿宋_GB2312"/>
              </w:rPr>
              <w:t>5.模块5：高速存储系统</w:t>
            </w:r>
          </w:p>
          <w:p>
            <w:pPr>
              <w:pStyle w:val="null3"/>
            </w:pPr>
            <w:r>
              <w:rPr>
                <w:rFonts w:ascii="仿宋_GB2312" w:hAnsi="仿宋_GB2312" w:cs="仿宋_GB2312" w:eastAsia="仿宋_GB2312"/>
              </w:rPr>
              <w:t>5.1为成像单元提供大容量、高带宽的数据存储支撑，确保长时间连续采集不掉帧、不丢数。配套高速存储系统，内存≥32GB DDR5（速率≥4800MT/s），高速固态硬盘≥2TB（NVMe接口，顺序读取速度≥3400MB/s，顺序写入速度≥3000MB/s）。处理器主频≥3.5GHz，核心数≥8。</w:t>
            </w:r>
          </w:p>
          <w:p>
            <w:pPr>
              <w:pStyle w:val="null3"/>
            </w:pPr>
            <w:r>
              <w:rPr>
                <w:rFonts w:ascii="仿宋_GB2312" w:hAnsi="仿宋_GB2312" w:cs="仿宋_GB2312" w:eastAsia="仿宋_GB2312"/>
              </w:rPr>
              <w:t>5.2本项目产品须配置操作终端，费用包含在本项目报价中。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上述所有参数要求均须满足或优于谈判文件要求，参数中要求提供证明材料的（证明材料可为第三方检测报告或产品彩页或官网截图或加盖厂家公章的技术说明书）。参数不满足或未按参数要求提供证明材料或证明材料无法佐证视为负偏离，按无效文件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80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成交供应商自行选择，但包装必须符合国家标准或行业标准，满足航空、铁路或公路运输以及货物装卸要求，保证使用人收到的是无任何损伤的货物。否则，因此造成的损失由成交供应商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80万元。验收合格，并出具增值税专用发票，达到付款条件后10个工作日内付清余款。 3.5.2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3.5.3、成交供应商须额外提供搬迁和安装调试一次，搬迁和安装调试过程中所产生的一切费用由成交供应商承担；搬迁和安装调试过程中仪器出现的一切故障和损坏由成交供应商负责维修修复。 3.5.4、场地基础承载要求：所投设备对安装场地有特殊要求（如承载力、震动、噪音、平整度等），成交供应商需负责场地等相关环境处理以满足所投设备需求，设备报价需包含相应费用。 3.5.5、谈判保证金注意事项：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3.5.6、需要落实的政府采购政策：①《国务院办公厅关于建立政府强制采购节能产品制度的通知》（国办发〔2007〕51号）；②《财政部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3.5.7、成交供应商应在成交结果发布后2日内提供与电子化交易平台上传一致的纸质响应文件2份。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交货时间为本合同生效后60天内到货并安装调试交付使用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合同签订后，供应商开具预付款等额银行保函，采购人收到银行保函正本后10个工作日内支付预付款，最多支付至80万元。验收合格，并出具增值税专用发票，达到付款条件后10个工作日内付清余款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供应商有法律、规章、规范性文件和谈判文件规定的其他无效情形，按无效响应处理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供应商有法律、规章、规范性文件和谈判文件规定的其他无效情形，按无效响应处理。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 1分项价格表.docx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