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D9CE6C9">
      <w:pPr>
        <w:pStyle w:val="2"/>
        <w:keepNext/>
        <w:keepLines/>
        <w:pageBreakBefore w:val="0"/>
        <w:widowControl w:val="0"/>
        <w:kinsoku/>
        <w:wordWrap/>
        <w:overflowPunct/>
        <w:topLinePunct w:val="0"/>
        <w:autoSpaceDE/>
        <w:autoSpaceDN/>
        <w:bidi w:val="0"/>
        <w:adjustRightInd/>
        <w:snapToGrid/>
        <w:spacing w:before="0" w:beforeLines="0" w:after="0" w:afterLines="0" w:line="360" w:lineRule="auto"/>
        <w:ind w:firstLine="480" w:firstLineChars="200"/>
        <w:jc w:val="left"/>
        <w:textAlignment w:val="auto"/>
        <w:rPr>
          <w:rFonts w:hint="default" w:ascii="宋体" w:hAnsi="宋体" w:eastAsia="宋体" w:cs="宋体"/>
          <w:b w:val="0"/>
          <w:bCs w:val="0"/>
          <w:sz w:val="24"/>
          <w:szCs w:val="24"/>
          <w:lang w:val="en-US" w:eastAsia="zh-CN"/>
        </w:rPr>
      </w:pPr>
      <w:bookmarkStart w:id="0" w:name="_Toc27961"/>
      <w:r>
        <w:rPr>
          <w:rFonts w:hint="eastAsia" w:ascii="宋体" w:hAnsi="宋体" w:eastAsia="宋体" w:cs="宋体"/>
          <w:b w:val="0"/>
          <w:bCs w:val="0"/>
          <w:sz w:val="24"/>
          <w:szCs w:val="24"/>
          <w:lang w:val="en-US" w:eastAsia="zh-CN"/>
        </w:rPr>
        <w:t>一、</w:t>
      </w:r>
      <w:bookmarkEnd w:id="0"/>
      <w:r>
        <w:rPr>
          <w:rFonts w:hint="eastAsia" w:ascii="宋体" w:hAnsi="宋体" w:eastAsia="宋体" w:cs="宋体"/>
          <w:b w:val="0"/>
          <w:bCs w:val="0"/>
          <w:sz w:val="24"/>
          <w:szCs w:val="24"/>
          <w:lang w:val="en-US" w:eastAsia="zh-CN"/>
        </w:rPr>
        <w:t>项目概况</w:t>
      </w:r>
    </w:p>
    <w:p w14:paraId="45D8FC59">
      <w:pPr>
        <w:pStyle w:val="4"/>
        <w:keepNext w:val="0"/>
        <w:keepLines w:val="0"/>
        <w:pageBreakBefore w:val="0"/>
        <w:widowControl w:val="0"/>
        <w:kinsoku/>
        <w:wordWrap/>
        <w:overflowPunct/>
        <w:topLinePunct w:val="0"/>
        <w:autoSpaceDE/>
        <w:autoSpaceDN/>
        <w:bidi w:val="0"/>
        <w:adjustRightInd/>
        <w:snapToGrid/>
        <w:spacing w:after="0"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为贯彻落实《中华人民共和国密码法》、《商用密码应用安全性评估管理办法（试行）》和国家审计署金审三期项目密码评估工作要求等文件规范，对本次项目涉及的信息系统开展密码应用与安全性评估，评估系统密码应用是否合规、正确、有效，并通过测评发现其密码保障系统存在的安全隐患和风险，编制被测评系统的密码应用安全性评估报告，并提出有针对性的加强完善密码安全管理和防护建议；对系统密码应用方案提供咨询。服务涉及信息系统如下：</w:t>
      </w:r>
    </w:p>
    <w:tbl>
      <w:tblPr>
        <w:tblStyle w:val="5"/>
        <w:tblpPr w:leftFromText="180" w:rightFromText="180" w:vertAnchor="text" w:horzAnchor="page" w:tblpXSpec="center" w:tblpY="349"/>
        <w:tblOverlap w:val="never"/>
        <w:tblW w:w="8599" w:type="dxa"/>
        <w:jc w:val="center"/>
        <w:tblLayout w:type="fixed"/>
        <w:tblCellMar>
          <w:top w:w="0" w:type="dxa"/>
          <w:left w:w="108" w:type="dxa"/>
          <w:bottom w:w="0" w:type="dxa"/>
          <w:right w:w="108" w:type="dxa"/>
        </w:tblCellMar>
      </w:tblPr>
      <w:tblGrid>
        <w:gridCol w:w="931"/>
        <w:gridCol w:w="4950"/>
        <w:gridCol w:w="2718"/>
      </w:tblGrid>
      <w:tr w14:paraId="18F3757B">
        <w:tblPrEx>
          <w:tblCellMar>
            <w:top w:w="0" w:type="dxa"/>
            <w:left w:w="108" w:type="dxa"/>
            <w:bottom w:w="0" w:type="dxa"/>
            <w:right w:w="108" w:type="dxa"/>
          </w:tblCellMar>
        </w:tblPrEx>
        <w:trPr>
          <w:trHeight w:val="486" w:hRule="atLeast"/>
          <w:tblHeader/>
          <w:jc w:val="center"/>
        </w:trPr>
        <w:tc>
          <w:tcPr>
            <w:tcW w:w="931" w:type="dxa"/>
            <w:tcBorders>
              <w:top w:val="single" w:color="auto" w:sz="4" w:space="0"/>
              <w:left w:val="single" w:color="auto" w:sz="4" w:space="0"/>
              <w:bottom w:val="single" w:color="auto" w:sz="4" w:space="0"/>
              <w:right w:val="single" w:color="auto" w:sz="4" w:space="0"/>
            </w:tcBorders>
            <w:noWrap w:val="0"/>
            <w:vAlign w:val="center"/>
          </w:tcPr>
          <w:p w14:paraId="7A01CBDA">
            <w:pPr>
              <w:keepNext w:val="0"/>
              <w:keepLines w:val="0"/>
              <w:pageBreakBefore w:val="0"/>
              <w:widowControl w:val="0"/>
              <w:kinsoku/>
              <w:wordWrap/>
              <w:overflowPunct/>
              <w:topLinePunct w:val="0"/>
              <w:autoSpaceDE/>
              <w:autoSpaceDN/>
              <w:bidi w:val="0"/>
              <w:adjustRightInd/>
              <w:snapToGrid/>
              <w:spacing w:line="360" w:lineRule="auto"/>
              <w:ind w:firstLine="0"/>
              <w:jc w:val="center"/>
              <w:textAlignment w:val="auto"/>
              <w:rPr>
                <w:rFonts w:hint="eastAsia" w:ascii="宋体" w:hAnsi="宋体" w:eastAsia="宋体" w:cs="宋体"/>
                <w:b/>
                <w:bCs/>
                <w:kern w:val="0"/>
                <w:sz w:val="24"/>
                <w:szCs w:val="24"/>
              </w:rPr>
            </w:pPr>
            <w:r>
              <w:rPr>
                <w:rFonts w:hint="eastAsia" w:ascii="宋体" w:hAnsi="宋体" w:eastAsia="宋体" w:cs="宋体"/>
                <w:b/>
                <w:bCs/>
                <w:kern w:val="0"/>
                <w:sz w:val="24"/>
                <w:szCs w:val="24"/>
              </w:rPr>
              <w:t>序号</w:t>
            </w:r>
          </w:p>
        </w:tc>
        <w:tc>
          <w:tcPr>
            <w:tcW w:w="4950" w:type="dxa"/>
            <w:tcBorders>
              <w:top w:val="single" w:color="auto" w:sz="4" w:space="0"/>
              <w:left w:val="nil"/>
              <w:bottom w:val="single" w:color="auto" w:sz="4" w:space="0"/>
              <w:right w:val="single" w:color="auto" w:sz="4" w:space="0"/>
            </w:tcBorders>
            <w:noWrap w:val="0"/>
            <w:vAlign w:val="center"/>
          </w:tcPr>
          <w:p w14:paraId="351D526A">
            <w:pPr>
              <w:keepNext w:val="0"/>
              <w:keepLines w:val="0"/>
              <w:pageBreakBefore w:val="0"/>
              <w:widowControl w:val="0"/>
              <w:kinsoku/>
              <w:wordWrap/>
              <w:overflowPunct/>
              <w:topLinePunct w:val="0"/>
              <w:autoSpaceDE/>
              <w:autoSpaceDN/>
              <w:bidi w:val="0"/>
              <w:adjustRightInd/>
              <w:snapToGrid/>
              <w:spacing w:line="360" w:lineRule="auto"/>
              <w:ind w:firstLine="0"/>
              <w:jc w:val="center"/>
              <w:textAlignment w:val="auto"/>
              <w:rPr>
                <w:rFonts w:hint="eastAsia" w:ascii="宋体" w:hAnsi="宋体" w:eastAsia="宋体" w:cs="宋体"/>
                <w:b/>
                <w:bCs/>
                <w:kern w:val="0"/>
                <w:sz w:val="24"/>
                <w:szCs w:val="24"/>
              </w:rPr>
            </w:pPr>
            <w:r>
              <w:rPr>
                <w:rFonts w:hint="eastAsia" w:ascii="宋体" w:hAnsi="宋体" w:eastAsia="宋体" w:cs="宋体"/>
                <w:b/>
                <w:bCs/>
                <w:kern w:val="0"/>
                <w:sz w:val="24"/>
                <w:szCs w:val="24"/>
              </w:rPr>
              <w:t>系统名称</w:t>
            </w:r>
          </w:p>
        </w:tc>
        <w:tc>
          <w:tcPr>
            <w:tcW w:w="2718" w:type="dxa"/>
            <w:tcBorders>
              <w:top w:val="single" w:color="auto" w:sz="4" w:space="0"/>
              <w:left w:val="nil"/>
              <w:bottom w:val="single" w:color="auto" w:sz="4" w:space="0"/>
              <w:right w:val="single" w:color="auto" w:sz="4" w:space="0"/>
            </w:tcBorders>
            <w:noWrap w:val="0"/>
            <w:vAlign w:val="center"/>
          </w:tcPr>
          <w:p w14:paraId="1B55B337">
            <w:pPr>
              <w:keepNext w:val="0"/>
              <w:keepLines w:val="0"/>
              <w:pageBreakBefore w:val="0"/>
              <w:widowControl w:val="0"/>
              <w:kinsoku/>
              <w:wordWrap/>
              <w:overflowPunct/>
              <w:topLinePunct w:val="0"/>
              <w:autoSpaceDE/>
              <w:autoSpaceDN/>
              <w:bidi w:val="0"/>
              <w:adjustRightInd/>
              <w:snapToGrid/>
              <w:spacing w:line="360" w:lineRule="auto"/>
              <w:ind w:firstLine="0"/>
              <w:jc w:val="center"/>
              <w:textAlignment w:val="auto"/>
              <w:rPr>
                <w:rFonts w:hint="eastAsia" w:ascii="宋体" w:hAnsi="宋体" w:eastAsia="宋体" w:cs="宋体"/>
                <w:b/>
                <w:bCs/>
                <w:kern w:val="0"/>
                <w:sz w:val="24"/>
                <w:szCs w:val="24"/>
              </w:rPr>
            </w:pPr>
            <w:r>
              <w:rPr>
                <w:rFonts w:hint="eastAsia" w:ascii="宋体" w:hAnsi="宋体" w:eastAsia="宋体" w:cs="宋体"/>
                <w:b/>
                <w:bCs/>
                <w:kern w:val="0"/>
                <w:sz w:val="24"/>
                <w:szCs w:val="24"/>
              </w:rPr>
              <w:t>系统等级</w:t>
            </w:r>
          </w:p>
        </w:tc>
      </w:tr>
      <w:tr w14:paraId="56C0ED26">
        <w:tblPrEx>
          <w:tblCellMar>
            <w:top w:w="0" w:type="dxa"/>
            <w:left w:w="108" w:type="dxa"/>
            <w:bottom w:w="0" w:type="dxa"/>
            <w:right w:w="108" w:type="dxa"/>
          </w:tblCellMar>
        </w:tblPrEx>
        <w:trPr>
          <w:trHeight w:val="486" w:hRule="atLeast"/>
          <w:jc w:val="center"/>
        </w:trPr>
        <w:tc>
          <w:tcPr>
            <w:tcW w:w="931" w:type="dxa"/>
            <w:tcBorders>
              <w:top w:val="nil"/>
              <w:left w:val="single" w:color="auto" w:sz="4" w:space="0"/>
              <w:bottom w:val="single" w:color="auto" w:sz="4" w:space="0"/>
              <w:right w:val="single" w:color="auto" w:sz="4" w:space="0"/>
            </w:tcBorders>
            <w:noWrap w:val="0"/>
            <w:vAlign w:val="center"/>
          </w:tcPr>
          <w:p w14:paraId="70C032A7">
            <w:pPr>
              <w:keepNext w:val="0"/>
              <w:keepLines w:val="0"/>
              <w:pageBreakBefore w:val="0"/>
              <w:widowControl w:val="0"/>
              <w:kinsoku/>
              <w:wordWrap/>
              <w:overflowPunct/>
              <w:topLinePunct w:val="0"/>
              <w:autoSpaceDE/>
              <w:autoSpaceDN/>
              <w:bidi w:val="0"/>
              <w:adjustRightInd/>
              <w:snapToGrid/>
              <w:spacing w:line="360" w:lineRule="auto"/>
              <w:ind w:firstLine="0"/>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1</w:t>
            </w:r>
          </w:p>
        </w:tc>
        <w:tc>
          <w:tcPr>
            <w:tcW w:w="4950" w:type="dxa"/>
            <w:tcBorders>
              <w:top w:val="nil"/>
              <w:left w:val="nil"/>
              <w:bottom w:val="single" w:color="auto" w:sz="4" w:space="0"/>
              <w:right w:val="single" w:color="auto" w:sz="4" w:space="0"/>
            </w:tcBorders>
            <w:noWrap w:val="0"/>
            <w:vAlign w:val="center"/>
          </w:tcPr>
          <w:p w14:paraId="5C73A292">
            <w:pPr>
              <w:keepNext w:val="0"/>
              <w:keepLines w:val="0"/>
              <w:pageBreakBefore w:val="0"/>
              <w:widowControl w:val="0"/>
              <w:kinsoku/>
              <w:wordWrap/>
              <w:overflowPunct/>
              <w:topLinePunct w:val="0"/>
              <w:autoSpaceDE/>
              <w:autoSpaceDN/>
              <w:bidi w:val="0"/>
              <w:adjustRightInd/>
              <w:snapToGrid/>
              <w:spacing w:line="360" w:lineRule="auto"/>
              <w:ind w:firstLine="0"/>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rPr>
              <w:t>综合服务支撑系统</w:t>
            </w:r>
          </w:p>
        </w:tc>
        <w:tc>
          <w:tcPr>
            <w:tcW w:w="2718" w:type="dxa"/>
            <w:tcBorders>
              <w:top w:val="nil"/>
              <w:left w:val="nil"/>
              <w:bottom w:val="single" w:color="auto" w:sz="4" w:space="0"/>
              <w:right w:val="single" w:color="auto" w:sz="4" w:space="0"/>
            </w:tcBorders>
            <w:noWrap w:val="0"/>
            <w:vAlign w:val="center"/>
          </w:tcPr>
          <w:p w14:paraId="346F670F">
            <w:pPr>
              <w:keepNext w:val="0"/>
              <w:keepLines w:val="0"/>
              <w:pageBreakBefore w:val="0"/>
              <w:widowControl w:val="0"/>
              <w:kinsoku/>
              <w:wordWrap/>
              <w:overflowPunct/>
              <w:topLinePunct w:val="0"/>
              <w:autoSpaceDE/>
              <w:autoSpaceDN/>
              <w:bidi w:val="0"/>
              <w:adjustRightInd/>
              <w:snapToGrid/>
              <w:spacing w:line="360" w:lineRule="auto"/>
              <w:ind w:firstLine="0"/>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三级</w:t>
            </w:r>
          </w:p>
        </w:tc>
      </w:tr>
      <w:tr w14:paraId="482EFFB7">
        <w:tblPrEx>
          <w:tblCellMar>
            <w:top w:w="0" w:type="dxa"/>
            <w:left w:w="108" w:type="dxa"/>
            <w:bottom w:w="0" w:type="dxa"/>
            <w:right w:w="108" w:type="dxa"/>
          </w:tblCellMar>
        </w:tblPrEx>
        <w:trPr>
          <w:trHeight w:val="486" w:hRule="atLeast"/>
          <w:jc w:val="center"/>
        </w:trPr>
        <w:tc>
          <w:tcPr>
            <w:tcW w:w="931" w:type="dxa"/>
            <w:tcBorders>
              <w:top w:val="nil"/>
              <w:left w:val="single" w:color="auto" w:sz="4" w:space="0"/>
              <w:bottom w:val="single" w:color="auto" w:sz="4" w:space="0"/>
              <w:right w:val="single" w:color="auto" w:sz="4" w:space="0"/>
            </w:tcBorders>
            <w:noWrap w:val="0"/>
            <w:vAlign w:val="center"/>
          </w:tcPr>
          <w:p w14:paraId="57427624">
            <w:pPr>
              <w:keepNext w:val="0"/>
              <w:keepLines w:val="0"/>
              <w:pageBreakBefore w:val="0"/>
              <w:widowControl w:val="0"/>
              <w:kinsoku/>
              <w:wordWrap/>
              <w:overflowPunct/>
              <w:topLinePunct w:val="0"/>
              <w:autoSpaceDE/>
              <w:autoSpaceDN/>
              <w:bidi w:val="0"/>
              <w:adjustRightInd/>
              <w:snapToGrid/>
              <w:spacing w:line="360" w:lineRule="auto"/>
              <w:ind w:firstLine="0"/>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2</w:t>
            </w:r>
          </w:p>
        </w:tc>
        <w:tc>
          <w:tcPr>
            <w:tcW w:w="4950" w:type="dxa"/>
            <w:tcBorders>
              <w:top w:val="nil"/>
              <w:left w:val="nil"/>
              <w:bottom w:val="single" w:color="auto" w:sz="4" w:space="0"/>
              <w:right w:val="single" w:color="auto" w:sz="4" w:space="0"/>
            </w:tcBorders>
            <w:noWrap w:val="0"/>
            <w:vAlign w:val="center"/>
          </w:tcPr>
          <w:p w14:paraId="6E4C305C">
            <w:pPr>
              <w:keepNext w:val="0"/>
              <w:keepLines w:val="0"/>
              <w:pageBreakBefore w:val="0"/>
              <w:widowControl w:val="0"/>
              <w:kinsoku/>
              <w:wordWrap/>
              <w:overflowPunct/>
              <w:topLinePunct w:val="0"/>
              <w:autoSpaceDE/>
              <w:autoSpaceDN/>
              <w:bidi w:val="0"/>
              <w:adjustRightInd/>
              <w:snapToGrid/>
              <w:spacing w:line="360" w:lineRule="auto"/>
              <w:ind w:firstLine="0"/>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rPr>
              <w:t>审计数字化管理平台</w:t>
            </w:r>
          </w:p>
        </w:tc>
        <w:tc>
          <w:tcPr>
            <w:tcW w:w="2718" w:type="dxa"/>
            <w:tcBorders>
              <w:top w:val="nil"/>
              <w:left w:val="nil"/>
              <w:bottom w:val="single" w:color="auto" w:sz="4" w:space="0"/>
              <w:right w:val="single" w:color="auto" w:sz="4" w:space="0"/>
            </w:tcBorders>
            <w:noWrap w:val="0"/>
            <w:vAlign w:val="center"/>
          </w:tcPr>
          <w:p w14:paraId="16DC5543">
            <w:pPr>
              <w:keepNext w:val="0"/>
              <w:keepLines w:val="0"/>
              <w:pageBreakBefore w:val="0"/>
              <w:widowControl w:val="0"/>
              <w:kinsoku/>
              <w:wordWrap/>
              <w:overflowPunct/>
              <w:topLinePunct w:val="0"/>
              <w:autoSpaceDE/>
              <w:autoSpaceDN/>
              <w:bidi w:val="0"/>
              <w:adjustRightInd/>
              <w:snapToGrid/>
              <w:spacing w:line="360" w:lineRule="auto"/>
              <w:ind w:firstLine="0"/>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三级</w:t>
            </w:r>
          </w:p>
        </w:tc>
      </w:tr>
      <w:tr w14:paraId="6A8DAA30">
        <w:tblPrEx>
          <w:tblCellMar>
            <w:top w:w="0" w:type="dxa"/>
            <w:left w:w="108" w:type="dxa"/>
            <w:bottom w:w="0" w:type="dxa"/>
            <w:right w:w="108" w:type="dxa"/>
          </w:tblCellMar>
        </w:tblPrEx>
        <w:trPr>
          <w:trHeight w:val="486" w:hRule="atLeast"/>
          <w:jc w:val="center"/>
        </w:trPr>
        <w:tc>
          <w:tcPr>
            <w:tcW w:w="931" w:type="dxa"/>
            <w:tcBorders>
              <w:top w:val="nil"/>
              <w:left w:val="single" w:color="auto" w:sz="4" w:space="0"/>
              <w:bottom w:val="single" w:color="auto" w:sz="4" w:space="0"/>
              <w:right w:val="single" w:color="auto" w:sz="4" w:space="0"/>
            </w:tcBorders>
            <w:noWrap w:val="0"/>
            <w:vAlign w:val="center"/>
          </w:tcPr>
          <w:p w14:paraId="0A3C923F">
            <w:pPr>
              <w:keepNext w:val="0"/>
              <w:keepLines w:val="0"/>
              <w:pageBreakBefore w:val="0"/>
              <w:widowControl w:val="0"/>
              <w:kinsoku/>
              <w:wordWrap/>
              <w:overflowPunct/>
              <w:topLinePunct w:val="0"/>
              <w:autoSpaceDE/>
              <w:autoSpaceDN/>
              <w:bidi w:val="0"/>
              <w:adjustRightInd/>
              <w:snapToGrid/>
              <w:spacing w:line="360" w:lineRule="auto"/>
              <w:ind w:firstLine="0"/>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3</w:t>
            </w:r>
          </w:p>
        </w:tc>
        <w:tc>
          <w:tcPr>
            <w:tcW w:w="4950" w:type="dxa"/>
            <w:tcBorders>
              <w:top w:val="nil"/>
              <w:left w:val="nil"/>
              <w:bottom w:val="single" w:color="auto" w:sz="4" w:space="0"/>
              <w:right w:val="single" w:color="auto" w:sz="4" w:space="0"/>
            </w:tcBorders>
            <w:noWrap w:val="0"/>
            <w:vAlign w:val="center"/>
          </w:tcPr>
          <w:p w14:paraId="48D9DFAD">
            <w:pPr>
              <w:keepNext w:val="0"/>
              <w:keepLines w:val="0"/>
              <w:pageBreakBefore w:val="0"/>
              <w:widowControl w:val="0"/>
              <w:kinsoku/>
              <w:wordWrap/>
              <w:overflowPunct/>
              <w:topLinePunct w:val="0"/>
              <w:autoSpaceDE/>
              <w:autoSpaceDN/>
              <w:bidi w:val="0"/>
              <w:adjustRightInd/>
              <w:snapToGrid/>
              <w:spacing w:line="360" w:lineRule="auto"/>
              <w:ind w:firstLine="0"/>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rPr>
              <w:t>审计综合作业平台</w:t>
            </w:r>
          </w:p>
        </w:tc>
        <w:tc>
          <w:tcPr>
            <w:tcW w:w="2718" w:type="dxa"/>
            <w:tcBorders>
              <w:top w:val="nil"/>
              <w:left w:val="nil"/>
              <w:bottom w:val="single" w:color="auto" w:sz="4" w:space="0"/>
              <w:right w:val="single" w:color="auto" w:sz="4" w:space="0"/>
            </w:tcBorders>
            <w:noWrap w:val="0"/>
            <w:vAlign w:val="center"/>
          </w:tcPr>
          <w:p w14:paraId="3D399C30">
            <w:pPr>
              <w:keepNext w:val="0"/>
              <w:keepLines w:val="0"/>
              <w:pageBreakBefore w:val="0"/>
              <w:widowControl w:val="0"/>
              <w:kinsoku/>
              <w:wordWrap/>
              <w:overflowPunct/>
              <w:topLinePunct w:val="0"/>
              <w:autoSpaceDE/>
              <w:autoSpaceDN/>
              <w:bidi w:val="0"/>
              <w:adjustRightInd/>
              <w:snapToGrid/>
              <w:spacing w:line="360" w:lineRule="auto"/>
              <w:ind w:firstLine="0"/>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三级</w:t>
            </w:r>
          </w:p>
        </w:tc>
      </w:tr>
      <w:tr w14:paraId="7B965F61">
        <w:tblPrEx>
          <w:tblCellMar>
            <w:top w:w="0" w:type="dxa"/>
            <w:left w:w="108" w:type="dxa"/>
            <w:bottom w:w="0" w:type="dxa"/>
            <w:right w:w="108" w:type="dxa"/>
          </w:tblCellMar>
        </w:tblPrEx>
        <w:trPr>
          <w:trHeight w:val="496" w:hRule="atLeast"/>
          <w:jc w:val="center"/>
        </w:trPr>
        <w:tc>
          <w:tcPr>
            <w:tcW w:w="931" w:type="dxa"/>
            <w:tcBorders>
              <w:top w:val="nil"/>
              <w:left w:val="single" w:color="auto" w:sz="4" w:space="0"/>
              <w:bottom w:val="single" w:color="auto" w:sz="4" w:space="0"/>
              <w:right w:val="single" w:color="auto" w:sz="4" w:space="0"/>
            </w:tcBorders>
            <w:noWrap w:val="0"/>
            <w:vAlign w:val="center"/>
          </w:tcPr>
          <w:p w14:paraId="265D2539">
            <w:pPr>
              <w:keepNext w:val="0"/>
              <w:keepLines w:val="0"/>
              <w:pageBreakBefore w:val="0"/>
              <w:widowControl w:val="0"/>
              <w:kinsoku/>
              <w:wordWrap/>
              <w:overflowPunct/>
              <w:topLinePunct w:val="0"/>
              <w:autoSpaceDE/>
              <w:autoSpaceDN/>
              <w:bidi w:val="0"/>
              <w:adjustRightInd/>
              <w:snapToGrid/>
              <w:spacing w:line="360" w:lineRule="auto"/>
              <w:ind w:firstLine="0"/>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4</w:t>
            </w:r>
          </w:p>
        </w:tc>
        <w:tc>
          <w:tcPr>
            <w:tcW w:w="4950" w:type="dxa"/>
            <w:tcBorders>
              <w:top w:val="nil"/>
              <w:left w:val="nil"/>
              <w:bottom w:val="single" w:color="auto" w:sz="4" w:space="0"/>
              <w:right w:val="single" w:color="auto" w:sz="4" w:space="0"/>
            </w:tcBorders>
            <w:noWrap w:val="0"/>
            <w:vAlign w:val="center"/>
          </w:tcPr>
          <w:p w14:paraId="28BB0C94">
            <w:pPr>
              <w:keepNext w:val="0"/>
              <w:keepLines w:val="0"/>
              <w:pageBreakBefore w:val="0"/>
              <w:widowControl w:val="0"/>
              <w:kinsoku/>
              <w:wordWrap/>
              <w:overflowPunct/>
              <w:topLinePunct w:val="0"/>
              <w:autoSpaceDE/>
              <w:autoSpaceDN/>
              <w:bidi w:val="0"/>
              <w:adjustRightInd/>
              <w:snapToGrid/>
              <w:spacing w:line="360" w:lineRule="auto"/>
              <w:ind w:firstLine="0"/>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rPr>
              <w:t>审计大数据中心陕西分中心系统</w:t>
            </w:r>
          </w:p>
        </w:tc>
        <w:tc>
          <w:tcPr>
            <w:tcW w:w="2718" w:type="dxa"/>
            <w:tcBorders>
              <w:top w:val="nil"/>
              <w:left w:val="nil"/>
              <w:bottom w:val="single" w:color="auto" w:sz="4" w:space="0"/>
              <w:right w:val="single" w:color="auto" w:sz="4" w:space="0"/>
            </w:tcBorders>
            <w:noWrap w:val="0"/>
            <w:vAlign w:val="center"/>
          </w:tcPr>
          <w:p w14:paraId="70A97623">
            <w:pPr>
              <w:keepNext w:val="0"/>
              <w:keepLines w:val="0"/>
              <w:pageBreakBefore w:val="0"/>
              <w:widowControl w:val="0"/>
              <w:kinsoku/>
              <w:wordWrap/>
              <w:overflowPunct/>
              <w:topLinePunct w:val="0"/>
              <w:autoSpaceDE/>
              <w:autoSpaceDN/>
              <w:bidi w:val="0"/>
              <w:adjustRightInd/>
              <w:snapToGrid/>
              <w:spacing w:line="360" w:lineRule="auto"/>
              <w:ind w:firstLine="0"/>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三级</w:t>
            </w:r>
          </w:p>
        </w:tc>
      </w:tr>
    </w:tbl>
    <w:p w14:paraId="02640354">
      <w:pPr>
        <w:pStyle w:val="2"/>
        <w:keepNext/>
        <w:keepLines/>
        <w:pageBreakBefore w:val="0"/>
        <w:widowControl w:val="0"/>
        <w:kinsoku/>
        <w:wordWrap/>
        <w:overflowPunct/>
        <w:topLinePunct w:val="0"/>
        <w:autoSpaceDE/>
        <w:autoSpaceDN/>
        <w:bidi w:val="0"/>
        <w:adjustRightInd/>
        <w:snapToGrid/>
        <w:spacing w:before="0" w:beforeLines="0" w:after="0" w:afterLines="0" w:line="360" w:lineRule="auto"/>
        <w:ind w:firstLine="480" w:firstLineChars="200"/>
        <w:jc w:val="left"/>
        <w:textAlignment w:val="auto"/>
        <w:rPr>
          <w:rFonts w:hint="eastAsia" w:ascii="宋体" w:hAnsi="宋体" w:eastAsia="宋体" w:cs="宋体"/>
          <w:b w:val="0"/>
          <w:bCs w:val="0"/>
          <w:sz w:val="24"/>
          <w:szCs w:val="24"/>
        </w:rPr>
      </w:pPr>
      <w:bookmarkStart w:id="1" w:name="_Toc14031"/>
      <w:r>
        <w:rPr>
          <w:rFonts w:hint="eastAsia" w:ascii="宋体" w:hAnsi="宋体" w:eastAsia="宋体" w:cs="宋体"/>
          <w:b w:val="0"/>
          <w:bCs w:val="0"/>
          <w:sz w:val="24"/>
          <w:szCs w:val="24"/>
          <w:lang w:val="en-US" w:eastAsia="zh-CN"/>
        </w:rPr>
        <w:t>二、</w:t>
      </w:r>
      <w:r>
        <w:rPr>
          <w:rFonts w:hint="eastAsia" w:ascii="宋体" w:hAnsi="宋体" w:eastAsia="宋体" w:cs="宋体"/>
          <w:b w:val="0"/>
          <w:bCs w:val="0"/>
          <w:sz w:val="24"/>
          <w:szCs w:val="24"/>
        </w:rPr>
        <w:t>服务采购要求</w:t>
      </w:r>
      <w:bookmarkEnd w:id="1"/>
    </w:p>
    <w:p w14:paraId="4D9B866A">
      <w:pPr>
        <w:pStyle w:val="4"/>
        <w:keepNext w:val="0"/>
        <w:keepLines w:val="0"/>
        <w:pageBreakBefore w:val="0"/>
        <w:widowControl w:val="0"/>
        <w:kinsoku/>
        <w:wordWrap/>
        <w:overflowPunct/>
        <w:topLinePunct w:val="0"/>
        <w:autoSpaceDE/>
        <w:autoSpaceDN/>
        <w:bidi w:val="0"/>
        <w:adjustRightInd/>
        <w:snapToGrid/>
        <w:spacing w:after="0"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为贯彻落实《中华人民共和国密码法》与《商用密码应用安全性评估管理办法（试行）》中对密码应用与安全性评估要求，拟对系统开展密码安全性评估工作，评估系统的密码应用是否合规、正确、有效，并通过测评发现其密码保障系统存在的安全隐患和风险，编制被测评系统的密码应用安全性评估报告，并提出有针对性的加强完善密码安全管理和防护建议；对系统密码应用方案提供咨询服务。</w:t>
      </w:r>
    </w:p>
    <w:p w14:paraId="1957A363">
      <w:pPr>
        <w:pStyle w:val="3"/>
        <w:pageBreakBefore w:val="0"/>
        <w:widowControl w:val="0"/>
        <w:numPr>
          <w:ilvl w:val="2"/>
          <w:numId w:val="0"/>
        </w:numPr>
        <w:kinsoku/>
        <w:wordWrap/>
        <w:overflowPunct/>
        <w:topLinePunct w:val="0"/>
        <w:autoSpaceDE/>
        <w:autoSpaceDN/>
        <w:bidi w:val="0"/>
        <w:adjustRightInd/>
        <w:snapToGrid/>
        <w:spacing w:before="0" w:after="0" w:line="360" w:lineRule="auto"/>
        <w:ind w:left="0" w:leftChars="0" w:firstLine="482" w:firstLineChars="0"/>
        <w:textAlignment w:val="auto"/>
        <w:rPr>
          <w:rFonts w:hint="eastAsia" w:ascii="宋体" w:hAnsi="宋体" w:eastAsia="宋体" w:cs="宋体"/>
          <w:b w:val="0"/>
          <w:bCs w:val="0"/>
          <w:sz w:val="24"/>
          <w:szCs w:val="24"/>
        </w:rPr>
      </w:pPr>
      <w:bookmarkStart w:id="2" w:name="_Toc29634"/>
      <w:bookmarkStart w:id="3" w:name="_Toc69211824"/>
      <w:r>
        <w:rPr>
          <w:rFonts w:hint="eastAsia" w:ascii="宋体" w:hAnsi="宋体" w:eastAsia="宋体" w:cs="宋体"/>
          <w:b w:val="0"/>
          <w:bCs w:val="0"/>
          <w:kern w:val="2"/>
          <w:sz w:val="24"/>
          <w:szCs w:val="24"/>
          <w:lang w:val="en-US" w:eastAsia="zh-CN" w:bidi="ar-SA"/>
        </w:rPr>
        <w:t>1、</w:t>
      </w:r>
      <w:r>
        <w:rPr>
          <w:rFonts w:hint="eastAsia" w:ascii="宋体" w:hAnsi="宋体" w:eastAsia="宋体" w:cs="宋体"/>
          <w:b w:val="0"/>
          <w:bCs w:val="0"/>
          <w:sz w:val="24"/>
          <w:szCs w:val="24"/>
        </w:rPr>
        <w:t>密码评测服务要求</w:t>
      </w:r>
      <w:bookmarkEnd w:id="2"/>
    </w:p>
    <w:p w14:paraId="16F97E57">
      <w:pPr>
        <w:pStyle w:val="4"/>
        <w:keepNext w:val="0"/>
        <w:keepLines w:val="0"/>
        <w:pageBreakBefore w:val="0"/>
        <w:widowControl w:val="0"/>
        <w:kinsoku/>
        <w:wordWrap/>
        <w:overflowPunct/>
        <w:topLinePunct w:val="0"/>
        <w:autoSpaceDE/>
        <w:autoSpaceDN/>
        <w:bidi w:val="0"/>
        <w:adjustRightInd/>
        <w:snapToGrid/>
        <w:spacing w:after="0"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投标单位应依据国家密码法规、密码应用相关技术标准，采用科学的测评方法、流程和工作规范开展商用密码应用安全性评估工作。应具备商用密码应用安全性技术测评实施、管理测评实施、系统整体评估能力。为本项目配备能够依据测评结果做出专业判断以及出具测评报告的能力的测评人员，测评人员应当通过国家密码管理部门(或其授权的机构)组织的考核（即商用密码应用安全性评估人员测评能力考核证书），遵守国家有关法律法规，按照相关标准，为用户提供安全、客观、公正的评估服务，保证评估的质量和效果。</w:t>
      </w:r>
    </w:p>
    <w:p w14:paraId="2257736C">
      <w:pPr>
        <w:pStyle w:val="4"/>
        <w:keepNext w:val="0"/>
        <w:keepLines w:val="0"/>
        <w:pageBreakBefore w:val="0"/>
        <w:widowControl w:val="0"/>
        <w:kinsoku/>
        <w:wordWrap/>
        <w:overflowPunct/>
        <w:topLinePunct w:val="0"/>
        <w:autoSpaceDE/>
        <w:autoSpaceDN/>
        <w:bidi w:val="0"/>
        <w:adjustRightInd/>
        <w:snapToGrid/>
        <w:spacing w:after="0"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应具有完善的测评方案，有计划、按步骤地开展测评工作，在签订密评合同后应立即成立密评工作小组，密评机构应严格按照合同履行密评责任。</w:t>
      </w:r>
    </w:p>
    <w:p w14:paraId="71291899">
      <w:pPr>
        <w:pStyle w:val="4"/>
        <w:keepNext w:val="0"/>
        <w:keepLines w:val="0"/>
        <w:pageBreakBefore w:val="0"/>
        <w:widowControl w:val="0"/>
        <w:kinsoku/>
        <w:wordWrap/>
        <w:overflowPunct/>
        <w:topLinePunct w:val="0"/>
        <w:autoSpaceDE/>
        <w:autoSpaceDN/>
        <w:bidi w:val="0"/>
        <w:adjustRightInd/>
        <w:snapToGrid/>
        <w:spacing w:after="0"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为保障密评过程中的可能涉及的重要数据和敏感信息的安全，密评机构须建立有严格规范的保密管理机构与制度体系，明确对采购人的系统、信息、数据有安全保密的义务，进场测评前必须签订保密协议。</w:t>
      </w:r>
    </w:p>
    <w:p w14:paraId="16203D46">
      <w:pPr>
        <w:pStyle w:val="4"/>
        <w:keepNext w:val="0"/>
        <w:keepLines w:val="0"/>
        <w:pageBreakBefore w:val="0"/>
        <w:widowControl w:val="0"/>
        <w:kinsoku/>
        <w:wordWrap/>
        <w:overflowPunct/>
        <w:topLinePunct w:val="0"/>
        <w:autoSpaceDE/>
        <w:autoSpaceDN/>
        <w:bidi w:val="0"/>
        <w:adjustRightInd/>
        <w:snapToGrid/>
        <w:spacing w:after="0"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现场测评工作中必须在不影响信息系统正常运行的前提下进行。应遵守相应的密评工作制度，包括会议制度、密评文件制度、密评记录制度、工作报告制度等，保证密评工作协调有序的进行。应根据被测系统的具体情况，按合同约定，配备满足密评工作需要的人员、设备和工具。为保障密评实施与合同约定服务周期内的服务响应，投标单位须提供人员在本单位的社保证明。具有完善的应急流程，具有快速应急响应服务，以保证在整个项目过程中不影响信息系统的正常运行。具有良好的质量控制的能力和质量管理体系，以保证测评工作的客观、公正、安全。完成商用密码应用安全性评估工作后，应在30个工作日内将评估结果报国家密码管理部门备案。在验收时应提交密码安全测评工作的档案。针对密码应用要求和密码评估提供相关咨询、培训与保障，对系统密码应用与方案提供咨询服务，并对根据密评报告改进后的密码应用方案提供安全评估服务。</w:t>
      </w:r>
    </w:p>
    <w:p w14:paraId="1B69672C">
      <w:pPr>
        <w:pStyle w:val="3"/>
        <w:pageBreakBefore w:val="0"/>
        <w:widowControl w:val="0"/>
        <w:numPr>
          <w:ilvl w:val="2"/>
          <w:numId w:val="0"/>
        </w:numPr>
        <w:kinsoku/>
        <w:wordWrap/>
        <w:overflowPunct/>
        <w:topLinePunct w:val="0"/>
        <w:autoSpaceDE/>
        <w:autoSpaceDN/>
        <w:bidi w:val="0"/>
        <w:adjustRightInd/>
        <w:snapToGrid/>
        <w:spacing w:before="0" w:after="0" w:line="360" w:lineRule="auto"/>
        <w:ind w:left="0" w:leftChars="0" w:firstLine="482" w:firstLineChars="0"/>
        <w:textAlignment w:val="auto"/>
        <w:rPr>
          <w:rFonts w:hint="eastAsia" w:ascii="宋体" w:hAnsi="宋体" w:eastAsia="宋体" w:cs="宋体"/>
          <w:b w:val="0"/>
          <w:bCs w:val="0"/>
          <w:sz w:val="24"/>
          <w:szCs w:val="24"/>
        </w:rPr>
      </w:pPr>
      <w:bookmarkStart w:id="4" w:name="_Toc18361"/>
      <w:r>
        <w:rPr>
          <w:rFonts w:hint="eastAsia" w:ascii="宋体" w:hAnsi="宋体" w:eastAsia="宋体" w:cs="宋体"/>
          <w:b w:val="0"/>
          <w:bCs w:val="0"/>
          <w:sz w:val="24"/>
          <w:szCs w:val="24"/>
        </w:rPr>
        <w:t>2、测评人员要求</w:t>
      </w:r>
      <w:bookmarkEnd w:id="4"/>
    </w:p>
    <w:p w14:paraId="41752744">
      <w:pPr>
        <w:pStyle w:val="4"/>
        <w:keepNext w:val="0"/>
        <w:keepLines w:val="0"/>
        <w:pageBreakBefore w:val="0"/>
        <w:widowControl w:val="0"/>
        <w:kinsoku/>
        <w:wordWrap/>
        <w:overflowPunct/>
        <w:topLinePunct w:val="0"/>
        <w:autoSpaceDE/>
        <w:autoSpaceDN/>
        <w:bidi w:val="0"/>
        <w:adjustRightInd/>
        <w:snapToGrid/>
        <w:spacing w:after="0"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1）测评人员资质要求：项目经理和实施人员均须具备《商用密码应用安全性评估人员测评能力考核》证书。</w:t>
      </w:r>
    </w:p>
    <w:p w14:paraId="024CA382">
      <w:pPr>
        <w:pStyle w:val="4"/>
        <w:keepNext w:val="0"/>
        <w:keepLines w:val="0"/>
        <w:pageBreakBefore w:val="0"/>
        <w:widowControl w:val="0"/>
        <w:kinsoku/>
        <w:wordWrap/>
        <w:overflowPunct/>
        <w:topLinePunct w:val="0"/>
        <w:autoSpaceDE/>
        <w:autoSpaceDN/>
        <w:bidi w:val="0"/>
        <w:adjustRightInd/>
        <w:snapToGrid/>
        <w:spacing w:after="0"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2）测评团队要求：项目配置1名专职项目负责人，一名质量负责人，同时每个信息系统现场测评人数不少于4名。 同步提供人员管理方案，确保人员稳定。如需更换测评人员，须由</w:t>
      </w:r>
      <w:r>
        <w:rPr>
          <w:rFonts w:hint="eastAsia" w:ascii="宋体" w:hAnsi="宋体" w:eastAsia="宋体" w:cs="宋体"/>
          <w:sz w:val="24"/>
          <w:szCs w:val="24"/>
          <w:lang w:val="en-US" w:eastAsia="zh-CN"/>
        </w:rPr>
        <w:t>采购人</w:t>
      </w:r>
      <w:r>
        <w:rPr>
          <w:rFonts w:hint="eastAsia" w:ascii="宋体" w:hAnsi="宋体" w:eastAsia="宋体" w:cs="宋体"/>
          <w:sz w:val="24"/>
          <w:szCs w:val="24"/>
        </w:rPr>
        <w:t>同意。</w:t>
      </w:r>
    </w:p>
    <w:p w14:paraId="48F54447">
      <w:pPr>
        <w:pStyle w:val="3"/>
        <w:pageBreakBefore w:val="0"/>
        <w:widowControl w:val="0"/>
        <w:numPr>
          <w:ilvl w:val="2"/>
          <w:numId w:val="0"/>
        </w:numPr>
        <w:kinsoku/>
        <w:wordWrap/>
        <w:overflowPunct/>
        <w:topLinePunct w:val="0"/>
        <w:autoSpaceDE/>
        <w:autoSpaceDN/>
        <w:bidi w:val="0"/>
        <w:adjustRightInd/>
        <w:snapToGrid/>
        <w:spacing w:before="0" w:after="0" w:line="360" w:lineRule="auto"/>
        <w:ind w:left="0" w:leftChars="0" w:firstLine="482" w:firstLineChars="0"/>
        <w:textAlignment w:val="auto"/>
        <w:rPr>
          <w:rFonts w:hint="eastAsia" w:ascii="宋体" w:hAnsi="宋体" w:eastAsia="宋体" w:cs="宋体"/>
          <w:b w:val="0"/>
          <w:bCs w:val="0"/>
          <w:sz w:val="24"/>
          <w:szCs w:val="24"/>
        </w:rPr>
      </w:pPr>
      <w:bookmarkStart w:id="5" w:name="_Toc25490"/>
      <w:r>
        <w:rPr>
          <w:rFonts w:hint="eastAsia" w:ascii="宋体" w:hAnsi="宋体" w:eastAsia="宋体" w:cs="宋体"/>
          <w:b w:val="0"/>
          <w:bCs w:val="0"/>
          <w:sz w:val="24"/>
          <w:szCs w:val="24"/>
        </w:rPr>
        <w:t>3、服务商保密承诺</w:t>
      </w:r>
      <w:bookmarkEnd w:id="5"/>
    </w:p>
    <w:p w14:paraId="3BCE703D">
      <w:pPr>
        <w:pStyle w:val="4"/>
        <w:keepNext w:val="0"/>
        <w:keepLines w:val="0"/>
        <w:pageBreakBefore w:val="0"/>
        <w:widowControl w:val="0"/>
        <w:kinsoku/>
        <w:wordWrap/>
        <w:overflowPunct/>
        <w:topLinePunct w:val="0"/>
        <w:autoSpaceDE/>
        <w:autoSpaceDN/>
        <w:bidi w:val="0"/>
        <w:adjustRightInd/>
        <w:snapToGrid/>
        <w:spacing w:after="0"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1）服务商应严格遵守商用密码应用安全性评估过程有关保密的相关规定，不得泄露有关项目的任何机密；</w:t>
      </w:r>
    </w:p>
    <w:p w14:paraId="3697131F">
      <w:pPr>
        <w:pStyle w:val="4"/>
        <w:keepNext w:val="0"/>
        <w:keepLines w:val="0"/>
        <w:pageBreakBefore w:val="0"/>
        <w:widowControl w:val="0"/>
        <w:kinsoku/>
        <w:wordWrap/>
        <w:overflowPunct/>
        <w:topLinePunct w:val="0"/>
        <w:autoSpaceDE/>
        <w:autoSpaceDN/>
        <w:bidi w:val="0"/>
        <w:adjustRightInd/>
        <w:snapToGrid/>
        <w:spacing w:after="0"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2）服务商在技术服务期间，须对接触到的陕西省审计厅工作活动、工作信息、技术情况和技术资料等文件进行保密；</w:t>
      </w:r>
    </w:p>
    <w:p w14:paraId="4D69F7DA">
      <w:pPr>
        <w:pStyle w:val="3"/>
        <w:pageBreakBefore w:val="0"/>
        <w:widowControl w:val="0"/>
        <w:numPr>
          <w:ilvl w:val="2"/>
          <w:numId w:val="0"/>
        </w:numPr>
        <w:kinsoku/>
        <w:wordWrap/>
        <w:overflowPunct/>
        <w:topLinePunct w:val="0"/>
        <w:autoSpaceDE/>
        <w:autoSpaceDN/>
        <w:bidi w:val="0"/>
        <w:adjustRightInd/>
        <w:snapToGrid/>
        <w:spacing w:before="0" w:after="0" w:line="360" w:lineRule="auto"/>
        <w:ind w:left="0" w:leftChars="0" w:firstLine="482" w:firstLineChars="0"/>
        <w:textAlignment w:val="auto"/>
        <w:rPr>
          <w:rFonts w:hint="eastAsia" w:ascii="宋体" w:hAnsi="宋体" w:eastAsia="宋体" w:cs="宋体"/>
          <w:b w:val="0"/>
          <w:bCs w:val="0"/>
          <w:sz w:val="24"/>
          <w:szCs w:val="24"/>
        </w:rPr>
      </w:pPr>
      <w:bookmarkStart w:id="6" w:name="_Toc24633"/>
      <w:r>
        <w:rPr>
          <w:rFonts w:hint="eastAsia" w:ascii="宋体" w:hAnsi="宋体" w:eastAsia="宋体" w:cs="宋体"/>
          <w:b w:val="0"/>
          <w:bCs w:val="0"/>
          <w:sz w:val="24"/>
          <w:szCs w:val="24"/>
        </w:rPr>
        <w:t>4、赔偿承诺与措施</w:t>
      </w:r>
      <w:bookmarkEnd w:id="6"/>
    </w:p>
    <w:p w14:paraId="7CD259F6">
      <w:pPr>
        <w:pStyle w:val="4"/>
        <w:keepNext w:val="0"/>
        <w:keepLines w:val="0"/>
        <w:pageBreakBefore w:val="0"/>
        <w:widowControl w:val="0"/>
        <w:kinsoku/>
        <w:wordWrap/>
        <w:overflowPunct/>
        <w:topLinePunct w:val="0"/>
        <w:autoSpaceDE/>
        <w:autoSpaceDN/>
        <w:bidi w:val="0"/>
        <w:adjustRightInd/>
        <w:snapToGrid/>
        <w:spacing w:after="0"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1）在商用密码应用安全性评估服务期间，如果出现因服务商责任，未能在承诺时间内恢复业务运行，陕西省审计厅有权请第三方进行解决处理，由此所产生的一切费用由服务商承担；</w:t>
      </w:r>
    </w:p>
    <w:p w14:paraId="64A794EF">
      <w:pPr>
        <w:pStyle w:val="4"/>
        <w:keepNext w:val="0"/>
        <w:keepLines w:val="0"/>
        <w:pageBreakBefore w:val="0"/>
        <w:widowControl w:val="0"/>
        <w:kinsoku/>
        <w:wordWrap/>
        <w:overflowPunct/>
        <w:topLinePunct w:val="0"/>
        <w:autoSpaceDE/>
        <w:autoSpaceDN/>
        <w:bidi w:val="0"/>
        <w:adjustRightInd/>
        <w:snapToGrid/>
        <w:spacing w:after="0"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2）商用密码应用安全性评估服务期间，服务商不符合或达不到合同中要求的技术服务标准，陕西省审计厅可以提前终止或解除合同。</w:t>
      </w:r>
    </w:p>
    <w:p w14:paraId="5881D994">
      <w:pPr>
        <w:pStyle w:val="3"/>
        <w:pageBreakBefore w:val="0"/>
        <w:widowControl w:val="0"/>
        <w:numPr>
          <w:ilvl w:val="2"/>
          <w:numId w:val="0"/>
        </w:numPr>
        <w:kinsoku/>
        <w:wordWrap/>
        <w:overflowPunct/>
        <w:topLinePunct w:val="0"/>
        <w:autoSpaceDE/>
        <w:autoSpaceDN/>
        <w:bidi w:val="0"/>
        <w:adjustRightInd/>
        <w:snapToGrid/>
        <w:spacing w:before="0" w:after="0" w:line="360" w:lineRule="auto"/>
        <w:ind w:left="0" w:leftChars="0" w:firstLine="482" w:firstLineChars="0"/>
        <w:textAlignment w:val="auto"/>
        <w:rPr>
          <w:rFonts w:hint="eastAsia" w:ascii="宋体" w:hAnsi="宋体" w:eastAsia="宋体" w:cs="宋体"/>
          <w:b w:val="0"/>
          <w:bCs w:val="0"/>
          <w:sz w:val="24"/>
          <w:szCs w:val="24"/>
        </w:rPr>
      </w:pPr>
      <w:bookmarkStart w:id="7" w:name="_Toc29532"/>
      <w:r>
        <w:rPr>
          <w:rFonts w:hint="eastAsia" w:ascii="宋体" w:hAnsi="宋体" w:eastAsia="宋体" w:cs="宋体"/>
          <w:b w:val="0"/>
          <w:bCs w:val="0"/>
          <w:sz w:val="24"/>
          <w:szCs w:val="24"/>
        </w:rPr>
        <w:t>5、技术方案要求</w:t>
      </w:r>
      <w:bookmarkEnd w:id="7"/>
    </w:p>
    <w:p w14:paraId="363C0A70">
      <w:pPr>
        <w:pStyle w:val="4"/>
        <w:keepNext w:val="0"/>
        <w:keepLines w:val="0"/>
        <w:pageBreakBefore w:val="0"/>
        <w:widowControl w:val="0"/>
        <w:kinsoku/>
        <w:wordWrap/>
        <w:overflowPunct/>
        <w:topLinePunct w:val="0"/>
        <w:autoSpaceDE/>
        <w:autoSpaceDN/>
        <w:bidi w:val="0"/>
        <w:adjustRightInd/>
        <w:snapToGrid/>
        <w:spacing w:after="0"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1）响应文件对测评准备（现场调研）、方案编制、现场测评、报告编制等内容进行详细描述；</w:t>
      </w:r>
    </w:p>
    <w:p w14:paraId="7ABCA78D">
      <w:pPr>
        <w:pStyle w:val="4"/>
        <w:keepNext w:val="0"/>
        <w:keepLines w:val="0"/>
        <w:pageBreakBefore w:val="0"/>
        <w:widowControl w:val="0"/>
        <w:kinsoku/>
        <w:wordWrap/>
        <w:overflowPunct/>
        <w:topLinePunct w:val="0"/>
        <w:autoSpaceDE/>
        <w:autoSpaceDN/>
        <w:bidi w:val="0"/>
        <w:adjustRightInd/>
        <w:snapToGrid/>
        <w:spacing w:after="0"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2）响应文件中明确服务内容及方法；</w:t>
      </w:r>
    </w:p>
    <w:p w14:paraId="4BC3CD79">
      <w:pPr>
        <w:pStyle w:val="4"/>
        <w:keepNext w:val="0"/>
        <w:keepLines w:val="0"/>
        <w:pageBreakBefore w:val="0"/>
        <w:widowControl w:val="0"/>
        <w:kinsoku/>
        <w:wordWrap/>
        <w:overflowPunct/>
        <w:topLinePunct w:val="0"/>
        <w:autoSpaceDE/>
        <w:autoSpaceDN/>
        <w:bidi w:val="0"/>
        <w:adjustRightInd/>
        <w:snapToGrid/>
        <w:spacing w:after="0"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3）明确合理的实施周期和进度表；</w:t>
      </w:r>
    </w:p>
    <w:p w14:paraId="50779F6E">
      <w:pPr>
        <w:pStyle w:val="4"/>
        <w:keepNext w:val="0"/>
        <w:keepLines w:val="0"/>
        <w:pageBreakBefore w:val="0"/>
        <w:widowControl w:val="0"/>
        <w:kinsoku/>
        <w:wordWrap/>
        <w:overflowPunct/>
        <w:topLinePunct w:val="0"/>
        <w:autoSpaceDE/>
        <w:autoSpaceDN/>
        <w:bidi w:val="0"/>
        <w:adjustRightInd/>
        <w:snapToGrid/>
        <w:spacing w:after="0"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4）提供整个测评项目实施过程中的风险防范措施，并明确保密责任与赔偿承诺；</w:t>
      </w:r>
    </w:p>
    <w:p w14:paraId="18C8F46E">
      <w:pPr>
        <w:pStyle w:val="4"/>
        <w:keepNext w:val="0"/>
        <w:keepLines w:val="0"/>
        <w:pageBreakBefore w:val="0"/>
        <w:widowControl w:val="0"/>
        <w:kinsoku/>
        <w:wordWrap/>
        <w:overflowPunct/>
        <w:topLinePunct w:val="0"/>
        <w:autoSpaceDE/>
        <w:autoSpaceDN/>
        <w:bidi w:val="0"/>
        <w:adjustRightInd/>
        <w:snapToGrid/>
        <w:spacing w:after="0"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5）其他认为需要补充的合理化建议。</w:t>
      </w:r>
    </w:p>
    <w:bookmarkEnd w:id="3"/>
    <w:p w14:paraId="646F72A0">
      <w:pPr>
        <w:pStyle w:val="3"/>
        <w:pageBreakBefore w:val="0"/>
        <w:widowControl w:val="0"/>
        <w:numPr>
          <w:ilvl w:val="2"/>
          <w:numId w:val="0"/>
        </w:numPr>
        <w:kinsoku/>
        <w:wordWrap/>
        <w:overflowPunct/>
        <w:topLinePunct w:val="0"/>
        <w:autoSpaceDE/>
        <w:autoSpaceDN/>
        <w:bidi w:val="0"/>
        <w:adjustRightInd/>
        <w:snapToGrid/>
        <w:spacing w:before="0" w:after="0" w:line="360" w:lineRule="auto"/>
        <w:ind w:left="0" w:leftChars="0" w:firstLine="482" w:firstLineChars="0"/>
        <w:textAlignment w:val="auto"/>
        <w:rPr>
          <w:rFonts w:hint="eastAsia" w:ascii="宋体" w:hAnsi="宋体" w:eastAsia="宋体" w:cs="宋体"/>
          <w:b w:val="0"/>
          <w:bCs w:val="0"/>
          <w:sz w:val="24"/>
          <w:szCs w:val="24"/>
        </w:rPr>
      </w:pPr>
      <w:bookmarkStart w:id="8" w:name="_Toc29084"/>
      <w:r>
        <w:rPr>
          <w:rFonts w:hint="eastAsia" w:ascii="宋体" w:hAnsi="宋体" w:eastAsia="宋体" w:cs="宋体"/>
          <w:b w:val="0"/>
          <w:bCs w:val="0"/>
          <w:sz w:val="24"/>
          <w:szCs w:val="24"/>
        </w:rPr>
        <w:t>6、商用密码应用安全性评估流程</w:t>
      </w:r>
      <w:bookmarkEnd w:id="8"/>
    </w:p>
    <w:p w14:paraId="77A4334A">
      <w:pPr>
        <w:pStyle w:val="8"/>
        <w:pageBreakBefore w:val="0"/>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测评过程包括四项基本测评活动：测评准备活动、方案编制活动、现场测评活动、分析与报告编制活动：</w:t>
      </w:r>
    </w:p>
    <w:p w14:paraId="6E43BF4A">
      <w:pPr>
        <w:pStyle w:val="8"/>
        <w:pageBreakBefore w:val="0"/>
        <w:kinsoku/>
        <w:wordWrap/>
        <w:overflowPunct/>
        <w:topLinePunct w:val="0"/>
        <w:autoSpaceDE/>
        <w:autoSpaceDN/>
        <w:bidi w:val="0"/>
        <w:adjustRightInd/>
        <w:snapToGrid/>
        <w:spacing w:line="360" w:lineRule="auto"/>
        <w:ind w:left="0" w:leftChars="0" w:firstLine="482" w:firstLineChars="200"/>
        <w:jc w:val="left"/>
        <w:textAlignment w:val="auto"/>
        <w:rPr>
          <w:rFonts w:hint="eastAsia" w:ascii="宋体" w:hAnsi="宋体" w:eastAsia="宋体" w:cs="宋体"/>
          <w:b/>
          <w:sz w:val="24"/>
          <w:szCs w:val="24"/>
        </w:rPr>
      </w:pPr>
      <w:r>
        <w:rPr>
          <w:rFonts w:ascii="仿宋" w:hAnsi="仿宋" w:eastAsia="仿宋" w:cs="仿宋"/>
          <w:b/>
          <w:sz w:val="24"/>
          <w:szCs w:val="24"/>
        </w:rPr>
        <w:drawing>
          <wp:inline distT="0" distB="0" distL="114300" distR="114300">
            <wp:extent cx="4843780" cy="4822825"/>
            <wp:effectExtent l="0" t="0" r="13970" b="1587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6"/>
                    <a:stretch>
                      <a:fillRect/>
                    </a:stretch>
                  </pic:blipFill>
                  <pic:spPr>
                    <a:xfrm>
                      <a:off x="0" y="0"/>
                      <a:ext cx="4843780" cy="4822825"/>
                    </a:xfrm>
                    <a:prstGeom prst="rect">
                      <a:avLst/>
                    </a:prstGeom>
                    <a:noFill/>
                    <a:ln>
                      <a:noFill/>
                    </a:ln>
                  </pic:spPr>
                </pic:pic>
              </a:graphicData>
            </a:graphic>
          </wp:inline>
        </w:drawing>
      </w:r>
    </w:p>
    <w:p w14:paraId="1AFA8466">
      <w:pPr>
        <w:pStyle w:val="3"/>
        <w:pageBreakBefore w:val="0"/>
        <w:widowControl w:val="0"/>
        <w:numPr>
          <w:ilvl w:val="2"/>
          <w:numId w:val="0"/>
        </w:numPr>
        <w:kinsoku/>
        <w:wordWrap/>
        <w:overflowPunct/>
        <w:topLinePunct w:val="0"/>
        <w:autoSpaceDE/>
        <w:autoSpaceDN/>
        <w:bidi w:val="0"/>
        <w:adjustRightInd/>
        <w:snapToGrid/>
        <w:spacing w:before="0" w:after="0" w:line="360" w:lineRule="auto"/>
        <w:ind w:left="0" w:leftChars="0" w:firstLine="0" w:firstLineChars="0"/>
        <w:textAlignment w:val="auto"/>
        <w:rPr>
          <w:rFonts w:hint="eastAsia" w:ascii="宋体" w:hAnsi="宋体" w:eastAsia="宋体" w:cs="宋体"/>
          <w:b w:val="0"/>
          <w:bCs w:val="0"/>
          <w:sz w:val="24"/>
          <w:szCs w:val="24"/>
        </w:rPr>
      </w:pPr>
      <w:bookmarkStart w:id="9" w:name="_Toc5909"/>
      <w:r>
        <w:rPr>
          <w:rFonts w:hint="eastAsia" w:ascii="宋体" w:hAnsi="宋体" w:eastAsia="宋体" w:cs="宋体"/>
          <w:b w:val="0"/>
          <w:bCs w:val="0"/>
          <w:sz w:val="24"/>
          <w:szCs w:val="24"/>
        </w:rPr>
        <w:t>7、项目成果</w:t>
      </w:r>
      <w:bookmarkEnd w:id="9"/>
    </w:p>
    <w:tbl>
      <w:tblPr>
        <w:tblStyle w:val="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1"/>
        <w:gridCol w:w="3870"/>
        <w:gridCol w:w="1953"/>
        <w:gridCol w:w="1465"/>
        <w:gridCol w:w="867"/>
      </w:tblGrid>
      <w:tr w14:paraId="62D46B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3" w:hRule="atLeast"/>
          <w:jc w:val="center"/>
        </w:trPr>
        <w:tc>
          <w:tcPr>
            <w:tcW w:w="821" w:type="dxa"/>
            <w:noWrap w:val="0"/>
            <w:vAlign w:val="center"/>
          </w:tcPr>
          <w:p w14:paraId="0696B0C1">
            <w:pPr>
              <w:pageBreakBefore w:val="0"/>
              <w:kinsoku/>
              <w:wordWrap/>
              <w:overflowPunct/>
              <w:topLinePunct w:val="0"/>
              <w:autoSpaceDE/>
              <w:autoSpaceDN/>
              <w:bidi w:val="0"/>
              <w:adjustRightInd/>
              <w:snapToGrid/>
              <w:spacing w:line="360" w:lineRule="auto"/>
              <w:ind w:left="0" w:firstLine="0" w:firstLineChars="0"/>
              <w:jc w:val="center"/>
              <w:textAlignment w:val="auto"/>
              <w:rPr>
                <w:rFonts w:hint="eastAsia" w:ascii="宋体" w:hAnsi="宋体" w:eastAsia="宋体" w:cs="宋体"/>
                <w:b/>
                <w:bCs/>
                <w:sz w:val="24"/>
                <w:szCs w:val="24"/>
              </w:rPr>
            </w:pPr>
            <w:r>
              <w:rPr>
                <w:rFonts w:hint="eastAsia" w:ascii="宋体" w:hAnsi="宋体" w:eastAsia="宋体" w:cs="宋体"/>
                <w:b/>
                <w:bCs/>
                <w:sz w:val="24"/>
                <w:szCs w:val="24"/>
              </w:rPr>
              <w:t>序号</w:t>
            </w:r>
          </w:p>
        </w:tc>
        <w:tc>
          <w:tcPr>
            <w:tcW w:w="3870" w:type="dxa"/>
            <w:noWrap w:val="0"/>
            <w:vAlign w:val="center"/>
          </w:tcPr>
          <w:p w14:paraId="66E8C1E5">
            <w:pPr>
              <w:pageBreakBefore w:val="0"/>
              <w:kinsoku/>
              <w:wordWrap/>
              <w:overflowPunct/>
              <w:topLinePunct w:val="0"/>
              <w:autoSpaceDE/>
              <w:autoSpaceDN/>
              <w:bidi w:val="0"/>
              <w:adjustRightInd/>
              <w:snapToGrid/>
              <w:spacing w:line="360" w:lineRule="auto"/>
              <w:ind w:left="0" w:firstLine="0" w:firstLineChars="0"/>
              <w:jc w:val="center"/>
              <w:textAlignment w:val="auto"/>
              <w:rPr>
                <w:rFonts w:hint="eastAsia" w:ascii="宋体" w:hAnsi="宋体" w:eastAsia="宋体" w:cs="宋体"/>
                <w:b/>
                <w:bCs/>
                <w:sz w:val="24"/>
                <w:szCs w:val="24"/>
              </w:rPr>
            </w:pPr>
            <w:r>
              <w:rPr>
                <w:rFonts w:hint="eastAsia" w:ascii="宋体" w:hAnsi="宋体" w:eastAsia="宋体" w:cs="宋体"/>
                <w:b/>
                <w:bCs/>
                <w:sz w:val="24"/>
                <w:szCs w:val="24"/>
              </w:rPr>
              <w:t>交付成果</w:t>
            </w:r>
          </w:p>
        </w:tc>
        <w:tc>
          <w:tcPr>
            <w:tcW w:w="1953" w:type="dxa"/>
            <w:noWrap w:val="0"/>
            <w:vAlign w:val="center"/>
          </w:tcPr>
          <w:p w14:paraId="51E49B7B">
            <w:pPr>
              <w:pageBreakBefore w:val="0"/>
              <w:kinsoku/>
              <w:wordWrap/>
              <w:overflowPunct/>
              <w:topLinePunct w:val="0"/>
              <w:autoSpaceDE/>
              <w:autoSpaceDN/>
              <w:bidi w:val="0"/>
              <w:adjustRightInd/>
              <w:snapToGrid/>
              <w:spacing w:line="360" w:lineRule="auto"/>
              <w:ind w:left="0" w:firstLine="0" w:firstLineChars="0"/>
              <w:jc w:val="center"/>
              <w:textAlignment w:val="auto"/>
              <w:rPr>
                <w:rFonts w:hint="eastAsia" w:ascii="宋体" w:hAnsi="宋体" w:eastAsia="宋体" w:cs="宋体"/>
                <w:b/>
                <w:bCs/>
                <w:sz w:val="24"/>
                <w:szCs w:val="24"/>
              </w:rPr>
            </w:pPr>
            <w:r>
              <w:rPr>
                <w:rFonts w:hint="eastAsia" w:ascii="宋体" w:hAnsi="宋体" w:eastAsia="宋体" w:cs="宋体"/>
                <w:b/>
                <w:bCs/>
                <w:sz w:val="24"/>
                <w:szCs w:val="24"/>
              </w:rPr>
              <w:t>数量</w:t>
            </w:r>
          </w:p>
        </w:tc>
        <w:tc>
          <w:tcPr>
            <w:tcW w:w="1465" w:type="dxa"/>
            <w:noWrap w:val="0"/>
            <w:vAlign w:val="center"/>
          </w:tcPr>
          <w:p w14:paraId="2A516FB6">
            <w:pPr>
              <w:pageBreakBefore w:val="0"/>
              <w:kinsoku/>
              <w:wordWrap/>
              <w:overflowPunct/>
              <w:topLinePunct w:val="0"/>
              <w:autoSpaceDE/>
              <w:autoSpaceDN/>
              <w:bidi w:val="0"/>
              <w:adjustRightInd/>
              <w:snapToGrid/>
              <w:spacing w:line="360" w:lineRule="auto"/>
              <w:ind w:left="0" w:firstLine="0" w:firstLineChars="0"/>
              <w:jc w:val="center"/>
              <w:textAlignment w:val="auto"/>
              <w:rPr>
                <w:rFonts w:hint="eastAsia" w:ascii="宋体" w:hAnsi="宋体" w:eastAsia="宋体" w:cs="宋体"/>
                <w:b/>
                <w:bCs/>
                <w:sz w:val="24"/>
                <w:szCs w:val="24"/>
              </w:rPr>
            </w:pPr>
            <w:r>
              <w:rPr>
                <w:rFonts w:hint="eastAsia" w:ascii="宋体" w:hAnsi="宋体" w:eastAsia="宋体" w:cs="宋体"/>
                <w:b/>
                <w:bCs/>
                <w:sz w:val="24"/>
                <w:szCs w:val="24"/>
              </w:rPr>
              <w:t>阶段</w:t>
            </w:r>
          </w:p>
        </w:tc>
        <w:tc>
          <w:tcPr>
            <w:tcW w:w="867" w:type="dxa"/>
            <w:noWrap w:val="0"/>
            <w:vAlign w:val="center"/>
          </w:tcPr>
          <w:p w14:paraId="352ACF79">
            <w:pPr>
              <w:pageBreakBefore w:val="0"/>
              <w:kinsoku/>
              <w:wordWrap/>
              <w:overflowPunct/>
              <w:topLinePunct w:val="0"/>
              <w:autoSpaceDE/>
              <w:autoSpaceDN/>
              <w:bidi w:val="0"/>
              <w:adjustRightInd/>
              <w:snapToGrid/>
              <w:spacing w:line="360" w:lineRule="auto"/>
              <w:ind w:left="0" w:firstLine="0" w:firstLineChars="0"/>
              <w:jc w:val="center"/>
              <w:textAlignment w:val="auto"/>
              <w:rPr>
                <w:rFonts w:hint="eastAsia" w:ascii="宋体" w:hAnsi="宋体" w:eastAsia="宋体" w:cs="宋体"/>
                <w:b/>
                <w:bCs/>
                <w:sz w:val="24"/>
                <w:szCs w:val="24"/>
              </w:rPr>
            </w:pPr>
            <w:r>
              <w:rPr>
                <w:rFonts w:hint="eastAsia" w:ascii="宋体" w:hAnsi="宋体" w:eastAsia="宋体" w:cs="宋体"/>
                <w:b/>
                <w:bCs/>
                <w:sz w:val="24"/>
                <w:szCs w:val="24"/>
              </w:rPr>
              <w:t>备注</w:t>
            </w:r>
          </w:p>
        </w:tc>
      </w:tr>
      <w:tr w14:paraId="56C139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3" w:hRule="atLeast"/>
          <w:jc w:val="center"/>
        </w:trPr>
        <w:tc>
          <w:tcPr>
            <w:tcW w:w="821" w:type="dxa"/>
            <w:noWrap w:val="0"/>
            <w:vAlign w:val="center"/>
          </w:tcPr>
          <w:p w14:paraId="532D4738">
            <w:pPr>
              <w:pageBreakBefore w:val="0"/>
              <w:kinsoku/>
              <w:wordWrap/>
              <w:overflowPunct/>
              <w:topLinePunct w:val="0"/>
              <w:autoSpaceDE/>
              <w:autoSpaceDN/>
              <w:bidi w:val="0"/>
              <w:adjustRightInd/>
              <w:snapToGrid/>
              <w:spacing w:line="360" w:lineRule="auto"/>
              <w:ind w:left="0" w:firstLine="0" w:firstLineChars="0"/>
              <w:jc w:val="center"/>
              <w:textAlignment w:val="auto"/>
              <w:rPr>
                <w:rFonts w:hint="eastAsia" w:ascii="宋体" w:hAnsi="宋体" w:eastAsia="宋体" w:cs="宋体"/>
                <w:b/>
                <w:bCs/>
                <w:sz w:val="24"/>
                <w:szCs w:val="24"/>
              </w:rPr>
            </w:pPr>
            <w:r>
              <w:rPr>
                <w:rFonts w:hint="eastAsia" w:ascii="宋体" w:hAnsi="宋体" w:eastAsia="宋体" w:cs="宋体"/>
                <w:b/>
                <w:bCs/>
                <w:sz w:val="24"/>
                <w:szCs w:val="24"/>
              </w:rPr>
              <w:t>1</w:t>
            </w:r>
          </w:p>
        </w:tc>
        <w:tc>
          <w:tcPr>
            <w:tcW w:w="3870" w:type="dxa"/>
            <w:noWrap w:val="0"/>
            <w:vAlign w:val="center"/>
          </w:tcPr>
          <w:p w14:paraId="20DC318C">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sz w:val="24"/>
                <w:szCs w:val="24"/>
              </w:rPr>
            </w:pPr>
            <w:r>
              <w:rPr>
                <w:rFonts w:hint="eastAsia" w:ascii="宋体" w:hAnsi="宋体" w:eastAsia="宋体" w:cs="宋体"/>
                <w:sz w:val="24"/>
                <w:szCs w:val="24"/>
              </w:rPr>
              <w:t>《商用密码应用安全性评估测评方案》</w:t>
            </w:r>
          </w:p>
        </w:tc>
        <w:tc>
          <w:tcPr>
            <w:tcW w:w="1953" w:type="dxa"/>
            <w:noWrap w:val="0"/>
            <w:vAlign w:val="center"/>
          </w:tcPr>
          <w:p w14:paraId="03FE5B7D">
            <w:pPr>
              <w:pageBreakBefore w:val="0"/>
              <w:kinsoku/>
              <w:wordWrap/>
              <w:overflowPunct/>
              <w:topLinePunct w:val="0"/>
              <w:autoSpaceDE/>
              <w:autoSpaceDN/>
              <w:bidi w:val="0"/>
              <w:adjustRightInd/>
              <w:snapToGrid/>
              <w:spacing w:line="360" w:lineRule="auto"/>
              <w:ind w:left="0" w:firstLine="0" w:firstLineChars="0"/>
              <w:textAlignment w:val="auto"/>
              <w:rPr>
                <w:rFonts w:hint="eastAsia" w:ascii="宋体" w:hAnsi="宋体" w:eastAsia="宋体" w:cs="宋体"/>
                <w:sz w:val="24"/>
                <w:szCs w:val="24"/>
              </w:rPr>
            </w:pPr>
            <w:r>
              <w:rPr>
                <w:rFonts w:hint="eastAsia" w:ascii="宋体" w:hAnsi="宋体" w:eastAsia="宋体" w:cs="宋体"/>
                <w:sz w:val="24"/>
                <w:szCs w:val="24"/>
              </w:rPr>
              <w:t>每个系统各一份</w:t>
            </w:r>
          </w:p>
        </w:tc>
        <w:tc>
          <w:tcPr>
            <w:tcW w:w="1465" w:type="dxa"/>
            <w:vMerge w:val="restart"/>
            <w:noWrap w:val="0"/>
            <w:vAlign w:val="center"/>
          </w:tcPr>
          <w:p w14:paraId="54C3D16B">
            <w:pPr>
              <w:pageBreakBefore w:val="0"/>
              <w:kinsoku/>
              <w:wordWrap/>
              <w:overflowPunct/>
              <w:topLinePunct w:val="0"/>
              <w:autoSpaceDE/>
              <w:autoSpaceDN/>
              <w:bidi w:val="0"/>
              <w:adjustRightInd/>
              <w:snapToGrid/>
              <w:spacing w:line="360" w:lineRule="auto"/>
              <w:ind w:left="0" w:firstLine="0" w:firstLineChars="0"/>
              <w:textAlignment w:val="auto"/>
              <w:rPr>
                <w:rFonts w:hint="eastAsia" w:ascii="宋体" w:hAnsi="宋体" w:eastAsia="宋体" w:cs="宋体"/>
                <w:sz w:val="24"/>
                <w:szCs w:val="24"/>
              </w:rPr>
            </w:pPr>
            <w:r>
              <w:rPr>
                <w:rFonts w:hint="eastAsia" w:ascii="宋体" w:hAnsi="宋体" w:eastAsia="宋体" w:cs="宋体"/>
                <w:sz w:val="24"/>
                <w:szCs w:val="24"/>
              </w:rPr>
              <w:t>实施阶段</w:t>
            </w:r>
          </w:p>
        </w:tc>
        <w:tc>
          <w:tcPr>
            <w:tcW w:w="867" w:type="dxa"/>
            <w:vMerge w:val="restart"/>
            <w:noWrap w:val="0"/>
            <w:vAlign w:val="center"/>
          </w:tcPr>
          <w:p w14:paraId="5F9B3EDF">
            <w:pPr>
              <w:pageBreakBefore w:val="0"/>
              <w:kinsoku/>
              <w:wordWrap/>
              <w:overflowPunct/>
              <w:topLinePunct w:val="0"/>
              <w:autoSpaceDE/>
              <w:autoSpaceDN/>
              <w:bidi w:val="0"/>
              <w:adjustRightInd/>
              <w:snapToGrid/>
              <w:spacing w:line="360" w:lineRule="auto"/>
              <w:ind w:left="0" w:firstLine="0" w:firstLineChars="0"/>
              <w:textAlignment w:val="auto"/>
              <w:rPr>
                <w:rFonts w:hint="eastAsia" w:ascii="宋体" w:hAnsi="宋体" w:eastAsia="宋体" w:cs="宋体"/>
                <w:sz w:val="24"/>
                <w:szCs w:val="24"/>
              </w:rPr>
            </w:pPr>
          </w:p>
        </w:tc>
      </w:tr>
      <w:tr w14:paraId="489F74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3" w:hRule="atLeast"/>
          <w:jc w:val="center"/>
        </w:trPr>
        <w:tc>
          <w:tcPr>
            <w:tcW w:w="821" w:type="dxa"/>
            <w:noWrap w:val="0"/>
            <w:vAlign w:val="center"/>
          </w:tcPr>
          <w:p w14:paraId="09E672AF">
            <w:pPr>
              <w:pageBreakBefore w:val="0"/>
              <w:kinsoku/>
              <w:wordWrap/>
              <w:overflowPunct/>
              <w:topLinePunct w:val="0"/>
              <w:autoSpaceDE/>
              <w:autoSpaceDN/>
              <w:bidi w:val="0"/>
              <w:adjustRightInd/>
              <w:snapToGrid/>
              <w:spacing w:line="360" w:lineRule="auto"/>
              <w:ind w:left="0" w:firstLine="0" w:firstLineChars="0"/>
              <w:jc w:val="center"/>
              <w:textAlignment w:val="auto"/>
              <w:rPr>
                <w:rFonts w:hint="eastAsia" w:ascii="宋体" w:hAnsi="宋体" w:eastAsia="宋体" w:cs="宋体"/>
                <w:b/>
                <w:bCs/>
                <w:sz w:val="24"/>
                <w:szCs w:val="24"/>
              </w:rPr>
            </w:pPr>
            <w:r>
              <w:rPr>
                <w:rFonts w:hint="eastAsia" w:ascii="宋体" w:hAnsi="宋体" w:eastAsia="宋体" w:cs="宋体"/>
                <w:b/>
                <w:bCs/>
                <w:sz w:val="24"/>
                <w:szCs w:val="24"/>
              </w:rPr>
              <w:t>2</w:t>
            </w:r>
          </w:p>
        </w:tc>
        <w:tc>
          <w:tcPr>
            <w:tcW w:w="3870" w:type="dxa"/>
            <w:noWrap w:val="0"/>
            <w:vAlign w:val="center"/>
          </w:tcPr>
          <w:p w14:paraId="2551AA1E">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sz w:val="24"/>
                <w:szCs w:val="24"/>
              </w:rPr>
            </w:pPr>
            <w:r>
              <w:rPr>
                <w:rFonts w:hint="eastAsia" w:ascii="宋体" w:hAnsi="宋体" w:eastAsia="宋体" w:cs="宋体"/>
                <w:sz w:val="24"/>
                <w:szCs w:val="24"/>
              </w:rPr>
              <w:t>《商用密码应用安全性评估现状整改建议》</w:t>
            </w:r>
          </w:p>
        </w:tc>
        <w:tc>
          <w:tcPr>
            <w:tcW w:w="1953" w:type="dxa"/>
            <w:noWrap w:val="0"/>
            <w:vAlign w:val="center"/>
          </w:tcPr>
          <w:p w14:paraId="19F8B4B8">
            <w:pPr>
              <w:pageBreakBefore w:val="0"/>
              <w:kinsoku/>
              <w:wordWrap/>
              <w:overflowPunct/>
              <w:topLinePunct w:val="0"/>
              <w:autoSpaceDE/>
              <w:autoSpaceDN/>
              <w:bidi w:val="0"/>
              <w:adjustRightInd/>
              <w:snapToGrid/>
              <w:spacing w:line="360" w:lineRule="auto"/>
              <w:ind w:left="0" w:firstLine="0" w:firstLineChars="0"/>
              <w:textAlignment w:val="auto"/>
              <w:rPr>
                <w:rFonts w:hint="eastAsia" w:ascii="宋体" w:hAnsi="宋体" w:eastAsia="宋体" w:cs="宋体"/>
                <w:sz w:val="24"/>
                <w:szCs w:val="24"/>
              </w:rPr>
            </w:pPr>
            <w:r>
              <w:rPr>
                <w:rFonts w:hint="eastAsia" w:ascii="宋体" w:hAnsi="宋体" w:eastAsia="宋体" w:cs="宋体"/>
                <w:sz w:val="24"/>
                <w:szCs w:val="24"/>
              </w:rPr>
              <w:t>每个系统各一份</w:t>
            </w:r>
          </w:p>
        </w:tc>
        <w:tc>
          <w:tcPr>
            <w:tcW w:w="1465" w:type="dxa"/>
            <w:vMerge w:val="continue"/>
            <w:noWrap w:val="0"/>
            <w:vAlign w:val="center"/>
          </w:tcPr>
          <w:p w14:paraId="500A0F66">
            <w:pPr>
              <w:pageBreakBefore w:val="0"/>
              <w:kinsoku/>
              <w:wordWrap/>
              <w:overflowPunct/>
              <w:topLinePunct w:val="0"/>
              <w:autoSpaceDE/>
              <w:autoSpaceDN/>
              <w:bidi w:val="0"/>
              <w:adjustRightInd/>
              <w:snapToGrid/>
              <w:spacing w:line="360" w:lineRule="auto"/>
              <w:ind w:left="0" w:firstLine="0" w:firstLineChars="0"/>
              <w:textAlignment w:val="auto"/>
              <w:rPr>
                <w:rFonts w:hint="eastAsia" w:ascii="宋体" w:hAnsi="宋体" w:eastAsia="宋体" w:cs="宋体"/>
                <w:sz w:val="24"/>
                <w:szCs w:val="24"/>
              </w:rPr>
            </w:pPr>
          </w:p>
        </w:tc>
        <w:tc>
          <w:tcPr>
            <w:tcW w:w="867" w:type="dxa"/>
            <w:vMerge w:val="continue"/>
            <w:noWrap w:val="0"/>
            <w:vAlign w:val="center"/>
          </w:tcPr>
          <w:p w14:paraId="0709207A">
            <w:pPr>
              <w:pageBreakBefore w:val="0"/>
              <w:kinsoku/>
              <w:wordWrap/>
              <w:overflowPunct/>
              <w:topLinePunct w:val="0"/>
              <w:autoSpaceDE/>
              <w:autoSpaceDN/>
              <w:bidi w:val="0"/>
              <w:adjustRightInd/>
              <w:snapToGrid/>
              <w:spacing w:line="360" w:lineRule="auto"/>
              <w:ind w:left="0" w:firstLine="0" w:firstLineChars="0"/>
              <w:textAlignment w:val="auto"/>
              <w:rPr>
                <w:rFonts w:hint="eastAsia" w:ascii="宋体" w:hAnsi="宋体" w:eastAsia="宋体" w:cs="宋体"/>
                <w:sz w:val="24"/>
                <w:szCs w:val="24"/>
              </w:rPr>
            </w:pPr>
          </w:p>
        </w:tc>
      </w:tr>
      <w:tr w14:paraId="2D1FAC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3" w:hRule="atLeast"/>
          <w:jc w:val="center"/>
        </w:trPr>
        <w:tc>
          <w:tcPr>
            <w:tcW w:w="821" w:type="dxa"/>
            <w:noWrap w:val="0"/>
            <w:vAlign w:val="center"/>
          </w:tcPr>
          <w:p w14:paraId="6B64E555">
            <w:pPr>
              <w:pageBreakBefore w:val="0"/>
              <w:kinsoku/>
              <w:wordWrap/>
              <w:overflowPunct/>
              <w:topLinePunct w:val="0"/>
              <w:autoSpaceDE/>
              <w:autoSpaceDN/>
              <w:bidi w:val="0"/>
              <w:adjustRightInd/>
              <w:snapToGrid/>
              <w:spacing w:line="360" w:lineRule="auto"/>
              <w:ind w:left="0" w:firstLine="0" w:firstLineChars="0"/>
              <w:jc w:val="center"/>
              <w:textAlignment w:val="auto"/>
              <w:rPr>
                <w:rFonts w:hint="eastAsia" w:ascii="宋体" w:hAnsi="宋体" w:eastAsia="宋体" w:cs="宋体"/>
                <w:b/>
                <w:bCs/>
                <w:sz w:val="24"/>
                <w:szCs w:val="24"/>
              </w:rPr>
            </w:pPr>
            <w:r>
              <w:rPr>
                <w:rFonts w:hint="eastAsia" w:ascii="宋体" w:hAnsi="宋体" w:eastAsia="宋体" w:cs="宋体"/>
                <w:b/>
                <w:bCs/>
                <w:sz w:val="24"/>
                <w:szCs w:val="24"/>
              </w:rPr>
              <w:t>3</w:t>
            </w:r>
          </w:p>
        </w:tc>
        <w:tc>
          <w:tcPr>
            <w:tcW w:w="3870" w:type="dxa"/>
            <w:noWrap w:val="0"/>
            <w:vAlign w:val="center"/>
          </w:tcPr>
          <w:p w14:paraId="4A6BE93C">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sz w:val="24"/>
                <w:szCs w:val="24"/>
              </w:rPr>
            </w:pPr>
            <w:r>
              <w:rPr>
                <w:rFonts w:hint="eastAsia" w:ascii="宋体" w:hAnsi="宋体" w:eastAsia="宋体" w:cs="宋体"/>
                <w:sz w:val="24"/>
                <w:szCs w:val="24"/>
              </w:rPr>
              <w:t>《商用密码应用安全性评估方案测评报告》</w:t>
            </w:r>
          </w:p>
          <w:p w14:paraId="24479BA3">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sz w:val="24"/>
                <w:szCs w:val="24"/>
              </w:rPr>
            </w:pPr>
            <w:r>
              <w:rPr>
                <w:rFonts w:hint="eastAsia" w:ascii="宋体" w:hAnsi="宋体" w:eastAsia="宋体" w:cs="宋体"/>
                <w:sz w:val="24"/>
                <w:szCs w:val="24"/>
              </w:rPr>
              <w:t>《商用密码应用安全性评估系统测评报告》</w:t>
            </w:r>
          </w:p>
        </w:tc>
        <w:tc>
          <w:tcPr>
            <w:tcW w:w="1953" w:type="dxa"/>
            <w:noWrap w:val="0"/>
            <w:vAlign w:val="center"/>
          </w:tcPr>
          <w:p w14:paraId="773671BB">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sz w:val="24"/>
                <w:szCs w:val="24"/>
              </w:rPr>
            </w:pPr>
            <w:r>
              <w:rPr>
                <w:rFonts w:hint="eastAsia" w:ascii="宋体" w:hAnsi="宋体" w:eastAsia="宋体" w:cs="宋体"/>
                <w:sz w:val="24"/>
                <w:szCs w:val="24"/>
              </w:rPr>
              <w:t>每个系统各一份</w:t>
            </w:r>
          </w:p>
        </w:tc>
        <w:tc>
          <w:tcPr>
            <w:tcW w:w="1465" w:type="dxa"/>
            <w:vMerge w:val="restart"/>
            <w:noWrap w:val="0"/>
            <w:vAlign w:val="center"/>
          </w:tcPr>
          <w:p w14:paraId="578FFC68">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sz w:val="24"/>
                <w:szCs w:val="24"/>
              </w:rPr>
            </w:pPr>
            <w:r>
              <w:rPr>
                <w:rFonts w:hint="eastAsia" w:ascii="宋体" w:hAnsi="宋体" w:eastAsia="宋体" w:cs="宋体"/>
                <w:sz w:val="24"/>
                <w:szCs w:val="24"/>
              </w:rPr>
              <w:t>验收阶段</w:t>
            </w:r>
          </w:p>
        </w:tc>
        <w:tc>
          <w:tcPr>
            <w:tcW w:w="867" w:type="dxa"/>
            <w:vMerge w:val="restart"/>
            <w:noWrap w:val="0"/>
            <w:vAlign w:val="top"/>
          </w:tcPr>
          <w:p w14:paraId="0B4A1EF7">
            <w:pPr>
              <w:pageBreakBefore w:val="0"/>
              <w:kinsoku/>
              <w:wordWrap/>
              <w:overflowPunct/>
              <w:topLinePunct w:val="0"/>
              <w:autoSpaceDE/>
              <w:autoSpaceDN/>
              <w:bidi w:val="0"/>
              <w:adjustRightInd/>
              <w:snapToGrid/>
              <w:spacing w:line="360" w:lineRule="auto"/>
              <w:ind w:left="0" w:firstLine="0" w:firstLineChars="0"/>
              <w:textAlignment w:val="auto"/>
              <w:rPr>
                <w:rFonts w:hint="eastAsia" w:ascii="宋体" w:hAnsi="宋体" w:eastAsia="宋体" w:cs="宋体"/>
                <w:sz w:val="24"/>
                <w:szCs w:val="24"/>
              </w:rPr>
            </w:pPr>
          </w:p>
        </w:tc>
      </w:tr>
      <w:tr w14:paraId="65A72B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66" w:hRule="atLeast"/>
          <w:jc w:val="center"/>
        </w:trPr>
        <w:tc>
          <w:tcPr>
            <w:tcW w:w="821" w:type="dxa"/>
            <w:noWrap w:val="0"/>
            <w:vAlign w:val="center"/>
          </w:tcPr>
          <w:p w14:paraId="7BDAE5D6">
            <w:pPr>
              <w:pageBreakBefore w:val="0"/>
              <w:kinsoku/>
              <w:wordWrap/>
              <w:overflowPunct/>
              <w:topLinePunct w:val="0"/>
              <w:autoSpaceDE/>
              <w:autoSpaceDN/>
              <w:bidi w:val="0"/>
              <w:adjustRightInd/>
              <w:snapToGrid/>
              <w:spacing w:line="360" w:lineRule="auto"/>
              <w:ind w:left="0" w:firstLine="0" w:firstLineChars="0"/>
              <w:jc w:val="center"/>
              <w:textAlignment w:val="auto"/>
              <w:rPr>
                <w:rFonts w:hint="eastAsia" w:ascii="宋体" w:hAnsi="宋体" w:eastAsia="宋体" w:cs="宋体"/>
                <w:b/>
                <w:bCs/>
                <w:sz w:val="24"/>
                <w:szCs w:val="24"/>
              </w:rPr>
            </w:pPr>
            <w:r>
              <w:rPr>
                <w:rFonts w:hint="eastAsia" w:ascii="宋体" w:hAnsi="宋体" w:eastAsia="宋体" w:cs="宋体"/>
                <w:b/>
                <w:bCs/>
                <w:sz w:val="24"/>
                <w:szCs w:val="24"/>
              </w:rPr>
              <w:t>4</w:t>
            </w:r>
          </w:p>
        </w:tc>
        <w:tc>
          <w:tcPr>
            <w:tcW w:w="3870" w:type="dxa"/>
            <w:noWrap w:val="0"/>
            <w:vAlign w:val="center"/>
          </w:tcPr>
          <w:p w14:paraId="04E0953A">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sz w:val="24"/>
                <w:szCs w:val="24"/>
              </w:rPr>
            </w:pPr>
            <w:r>
              <w:rPr>
                <w:rFonts w:hint="eastAsia" w:ascii="宋体" w:hAnsi="宋体" w:eastAsia="宋体" w:cs="宋体"/>
                <w:sz w:val="24"/>
                <w:szCs w:val="24"/>
              </w:rPr>
              <w:t>协助甲方填报《商用密码应用安全性评估备案表》（包含方案备案与系统备案），并获得省级密码管理部门出具的备案证明文件</w:t>
            </w:r>
          </w:p>
        </w:tc>
        <w:tc>
          <w:tcPr>
            <w:tcW w:w="1953" w:type="dxa"/>
            <w:noWrap w:val="0"/>
            <w:vAlign w:val="center"/>
          </w:tcPr>
          <w:p w14:paraId="0F853377">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sz w:val="24"/>
                <w:szCs w:val="24"/>
              </w:rPr>
            </w:pPr>
            <w:r>
              <w:rPr>
                <w:rFonts w:hint="eastAsia" w:ascii="宋体" w:hAnsi="宋体" w:eastAsia="宋体" w:cs="宋体"/>
                <w:sz w:val="24"/>
                <w:szCs w:val="24"/>
              </w:rPr>
              <w:t>每个系统各一份</w:t>
            </w:r>
          </w:p>
        </w:tc>
        <w:tc>
          <w:tcPr>
            <w:tcW w:w="1465" w:type="dxa"/>
            <w:vMerge w:val="continue"/>
            <w:noWrap w:val="0"/>
            <w:vAlign w:val="top"/>
          </w:tcPr>
          <w:p w14:paraId="4C81B09E">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sz w:val="24"/>
                <w:szCs w:val="24"/>
              </w:rPr>
            </w:pPr>
          </w:p>
        </w:tc>
        <w:tc>
          <w:tcPr>
            <w:tcW w:w="867" w:type="dxa"/>
            <w:vMerge w:val="continue"/>
            <w:noWrap w:val="0"/>
            <w:vAlign w:val="top"/>
          </w:tcPr>
          <w:p w14:paraId="1462D396">
            <w:pPr>
              <w:pageBreakBefore w:val="0"/>
              <w:kinsoku/>
              <w:wordWrap/>
              <w:overflowPunct/>
              <w:topLinePunct w:val="0"/>
              <w:autoSpaceDE/>
              <w:autoSpaceDN/>
              <w:bidi w:val="0"/>
              <w:adjustRightInd/>
              <w:snapToGrid/>
              <w:spacing w:line="360" w:lineRule="auto"/>
              <w:ind w:left="0" w:firstLine="0" w:firstLineChars="0"/>
              <w:textAlignment w:val="auto"/>
              <w:rPr>
                <w:rFonts w:hint="eastAsia" w:ascii="宋体" w:hAnsi="宋体" w:eastAsia="宋体" w:cs="宋体"/>
                <w:sz w:val="24"/>
                <w:szCs w:val="24"/>
              </w:rPr>
            </w:pPr>
          </w:p>
        </w:tc>
      </w:tr>
    </w:tbl>
    <w:p w14:paraId="49CFBF1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p>
    <w:p w14:paraId="29123A57">
      <w:bookmarkStart w:id="10" w:name="_GoBack"/>
      <w:bookmarkEnd w:id="10"/>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仿宋">
    <w:altName w:val="仿宋"/>
    <w:panose1 w:val="02010600040101010101"/>
    <w:charset w:val="86"/>
    <w:family w:val="auto"/>
    <w:pitch w:val="default"/>
    <w:sig w:usb0="00000000" w:usb1="00000000" w:usb2="00000000" w:usb3="00000000" w:csb0="0004009F" w:csb1="DFD70000"/>
  </w:font>
  <w:font w:name="等线">
    <w:panose1 w:val="02010600030101010101"/>
    <w:charset w:val="86"/>
    <w:family w:val="auto"/>
    <w:pitch w:val="default"/>
    <w:sig w:usb0="A00002BF" w:usb1="38CF7CFA" w:usb2="00000016" w:usb3="00000000" w:csb0="0004000F" w:csb1="00000000"/>
  </w:font>
  <w:font w:name="仿宋">
    <w:panose1 w:val="02010609060101010101"/>
    <w:charset w:val="86"/>
    <w:family w:val="auto"/>
    <w:pitch w:val="default"/>
    <w:sig w:usb0="800002BF" w:usb1="38CF7CFA" w:usb2="00000016" w:usb3="00000000" w:csb0="00040001" w:csb1="00000000"/>
  </w:font>
  <w:font w:name="KSOF0B7949D1">
    <w:panose1 w:val="02010609060101010101"/>
    <w:charset w:val="86"/>
    <w:family w:val="auto"/>
    <w:pitch w:val="default"/>
    <w:sig w:usb0="00000001" w:usb1="00000000" w:usb2="00000000"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24" w:lineRule="auto"/>
      </w:pPr>
      <w:r>
        <w:separator/>
      </w:r>
    </w:p>
  </w:footnote>
  <w:footnote w:type="continuationSeparator" w:id="1">
    <w:p>
      <w:pPr>
        <w:spacing w:line="324"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3"/>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DF82595"/>
    <w:rsid w:val="7DF8259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nhideWhenUsed="0" w:uiPriority="9"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qFormat="1" w:uiPriority="99"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3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24" w:lineRule="auto"/>
      <w:jc w:val="both"/>
    </w:pPr>
    <w:rPr>
      <w:rFonts w:ascii="Times New Roman" w:hAnsi="Times New Roman" w:eastAsia="宋体" w:cs="Times New Roman"/>
      <w:kern w:val="2"/>
      <w:sz w:val="21"/>
      <w:szCs w:val="24"/>
      <w:lang w:val="en-US" w:eastAsia="zh-CN" w:bidi="ar-SA"/>
    </w:rPr>
  </w:style>
  <w:style w:type="paragraph" w:styleId="2">
    <w:name w:val="heading 2"/>
    <w:basedOn w:val="1"/>
    <w:next w:val="1"/>
    <w:qFormat/>
    <w:uiPriority w:val="9"/>
    <w:pPr>
      <w:keepNext/>
      <w:keepLines/>
      <w:spacing w:before="120" w:beforeLines="0" w:after="120" w:afterLines="0" w:line="360" w:lineRule="auto"/>
      <w:jc w:val="center"/>
      <w:outlineLvl w:val="1"/>
    </w:pPr>
    <w:rPr>
      <w:rFonts w:ascii="Arial" w:hAnsi="Arial"/>
      <w:b/>
      <w:bCs/>
      <w:sz w:val="28"/>
      <w:szCs w:val="32"/>
    </w:rPr>
  </w:style>
  <w:style w:type="paragraph" w:styleId="3">
    <w:name w:val="heading 3"/>
    <w:basedOn w:val="1"/>
    <w:next w:val="1"/>
    <w:qFormat/>
    <w:uiPriority w:val="9"/>
    <w:pPr>
      <w:keepNext/>
      <w:keepLines/>
      <w:spacing w:before="120" w:beforeLines="0" w:after="120" w:afterLines="0" w:line="360" w:lineRule="auto"/>
      <w:ind w:firstLine="200" w:firstLineChars="200"/>
      <w:outlineLvl w:val="2"/>
    </w:pPr>
    <w:rPr>
      <w:rFonts w:eastAsia="黑体"/>
      <w:b/>
      <w:bCs/>
      <w:szCs w:val="32"/>
    </w:rPr>
  </w:style>
  <w:style w:type="character" w:default="1" w:styleId="7">
    <w:name w:val="Default Paragraph Font"/>
    <w:semiHidden/>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4">
    <w:name w:val="Body Text 3"/>
    <w:basedOn w:val="1"/>
    <w:unhideWhenUsed/>
    <w:qFormat/>
    <w:uiPriority w:val="99"/>
    <w:pPr>
      <w:spacing w:after="120"/>
    </w:pPr>
    <w:rPr>
      <w:sz w:val="16"/>
      <w:szCs w:val="16"/>
    </w:rPr>
  </w:style>
  <w:style w:type="table" w:styleId="6">
    <w:name w:val="Table Grid"/>
    <w:basedOn w:val="5"/>
    <w:qFormat/>
    <w:uiPriority w:val="39"/>
    <w:rPr>
      <w:rFonts w:ascii="等线" w:hAnsi="等线" w:eastAsia="等线"/>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8">
    <w:name w:val="fs-4-first-line-indent-2"/>
    <w:basedOn w:val="1"/>
    <w:qFormat/>
    <w:uiPriority w:val="0"/>
    <w:pPr>
      <w:widowControl/>
      <w:ind w:firstLine="480"/>
      <w:jc w:val="left"/>
    </w:pPr>
    <w:rPr>
      <w:rFonts w:ascii="华文仿宋" w:hAnsi="华文仿宋" w:eastAsia="华文仿宋"/>
      <w:kern w:val="0"/>
      <w:sz w:val="24"/>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0</Words>
  <Characters>0</Characters>
  <Lines>0</Lines>
  <Paragraphs>0</Paragraphs>
  <TotalTime>0</TotalTime>
  <ScaleCrop>false</ScaleCrop>
  <LinksUpToDate>false</LinksUpToDate>
  <CharactersWithSpaces>0</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2026-10-08T06:14:00Z</dcterms:created>
  <dc:creator>默.</dc:creator>
  <cp:lastModifiedBy>默.</cp:lastModifiedBy>
  <dcterms:modified xsi:type="dcterms:W3CDTF">2026-10-08T06:14:48Z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0396D6642E3C4EED8870268F2341FDFF_11</vt:lpwstr>
  </property>
  <property fmtid="{D5CDD505-2E9C-101B-9397-08002B2CF9AE}" pid="4" name="KSOTemplateDocerSaveRecord">
    <vt:lpwstr>eyJoZGlkIjoiNjNkY2ZhYjhmY2Y3N2I4NmM4N2NjMGUyYzM2ZDYxZWIiLCJ1c2VySWQiOiI0MjU4NjcyNzgifQ==</vt:lpwstr>
  </property>
</Properties>
</file>