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A5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服务范围：</w:t>
      </w:r>
    </w:p>
    <w:p w14:paraId="7857D9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本次采购适用范围包括但不限于以下内容：污水处理站在线系统调试、安全运行管理、污水处理药剂采购及使用、设备维修维护、噪声、废气、水质检测、污水井栅渣清掏及处置、运行记录及档案管理、排污许可证证后管理、危废上报系统平台维护等。同时，四所沿线卫生所日常运维工作包括：污泥清掏、噪声、废气、水质检测并出具检测报告、药剂采购、设备维修维护等。</w:t>
      </w:r>
    </w:p>
    <w:p w14:paraId="1F371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要求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：</w:t>
      </w:r>
    </w:p>
    <w:p w14:paraId="3C0A0790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1.技术参数要求:</w:t>
      </w:r>
    </w:p>
    <w:p w14:paraId="72B4E689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（1）项目负责人须持有国家注册电气工程师、注册环保工程师或</w:t>
      </w:r>
      <w:r>
        <w:rPr>
          <w:rFonts w:hint="eastAsia" w:ascii="宋体" w:hAnsi="宋体" w:eastAsia="宋体" w:cs="宋体"/>
          <w:szCs w:val="21"/>
          <w:highlight w:val="none"/>
        </w:rPr>
        <w:t>注册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环评工程师有效资格证书。拟投入本项目团队总人数不少于6人，其中须包含环保类工程师及机电等特种作业操作人员（相关人员须持有特种作业操作证书）。</w:t>
      </w:r>
    </w:p>
    <w:p w14:paraId="222625D0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（2）污水处理设施的运行与维护要求如下：</w:t>
      </w:r>
    </w:p>
    <w:p w14:paraId="75565B24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①污水站须配备不少于3名专职人员24小时值守，运维方应确保医院排水满足环保要求。</w:t>
      </w:r>
    </w:p>
    <w:p w14:paraId="6CEAA82F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②运维方负责污水站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四所沿线卫生所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设备设施、污泥清掏、日常运行、管理、维护、维修、检测及记录等工作，各项操作须符合国家相关标准，满足三甲医院评审要求，保障污水站长期稳定运行。</w:t>
      </w:r>
    </w:p>
    <w:p w14:paraId="739E2A52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③出水水质须稳定达到《医疗机构水污染物排放标准》（GB18466-2005）及《污水排入城镇下水道水质标准》（GB/T 31962-2015）中预处理排放标准限值；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并符合</w:t>
      </w:r>
      <w:r>
        <w:rPr>
          <w:rFonts w:hint="eastAsia" w:ascii="宋体" w:hAnsi="宋体" w:eastAsia="宋体" w:cs="宋体"/>
          <w:szCs w:val="21"/>
        </w:rPr>
        <w:t>《水污染源在线监测系统 (CODCr、NH3-N 等) 运行技术规范》</w:t>
      </w:r>
      <w:r>
        <w:rPr>
          <w:rFonts w:hint="eastAsia" w:ascii="宋体" w:hAnsi="宋体" w:eastAsia="宋体" w:cs="宋体"/>
          <w:szCs w:val="21"/>
          <w:lang w:eastAsia="zh-CN"/>
        </w:rPr>
        <w:t>（</w:t>
      </w:r>
      <w:r>
        <w:rPr>
          <w:rFonts w:hint="eastAsia" w:ascii="宋体" w:hAnsi="宋体" w:eastAsia="宋体" w:cs="宋体"/>
          <w:szCs w:val="21"/>
        </w:rPr>
        <w:t>HJ 355-2019</w:t>
      </w:r>
      <w:r>
        <w:rPr>
          <w:rFonts w:hint="eastAsia" w:ascii="宋体" w:hAnsi="宋体" w:eastAsia="宋体" w:cs="宋体"/>
          <w:szCs w:val="21"/>
          <w:lang w:eastAsia="zh-CN"/>
        </w:rPr>
        <w:t>）</w:t>
      </w:r>
      <w:r>
        <w:rPr>
          <w:rFonts w:hint="eastAsia" w:ascii="宋体" w:hAnsi="宋体" w:eastAsia="宋体" w:cs="宋体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Cs w:val="21"/>
        </w:rPr>
        <w:t>《水污染源在线监测系统 (CODCr、NH3-N 等) 数据有效性判别技术规范》</w:t>
      </w:r>
      <w:r>
        <w:rPr>
          <w:rFonts w:hint="eastAsia" w:ascii="宋体" w:hAnsi="宋体" w:eastAsia="宋体" w:cs="宋体"/>
          <w:szCs w:val="21"/>
          <w:lang w:eastAsia="zh-CN"/>
        </w:rPr>
        <w:t>（</w:t>
      </w:r>
      <w:r>
        <w:rPr>
          <w:rFonts w:hint="eastAsia" w:ascii="宋体" w:hAnsi="宋体" w:eastAsia="宋体" w:cs="宋体"/>
          <w:szCs w:val="21"/>
        </w:rPr>
        <w:t>HJ 356-2019</w:t>
      </w:r>
      <w:r>
        <w:rPr>
          <w:rFonts w:hint="eastAsia" w:ascii="宋体" w:hAnsi="宋体" w:eastAsia="宋体" w:cs="宋体"/>
          <w:szCs w:val="21"/>
          <w:lang w:eastAsia="zh-CN"/>
        </w:rPr>
        <w:t>）</w:t>
      </w:r>
      <w:r>
        <w:rPr>
          <w:rFonts w:hint="eastAsia" w:ascii="宋体" w:hAnsi="宋体" w:eastAsia="宋体" w:cs="宋体"/>
          <w:szCs w:val="21"/>
          <w:lang w:val="en-US" w:eastAsia="zh-CN"/>
        </w:rPr>
        <w:t>标准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。同时，运维方负责在线监测设备的日常维护、药剂添加及数据校准工作。</w:t>
      </w:r>
    </w:p>
    <w:p w14:paraId="2DC5BFC4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④维护内容包括但不限于易损配件、机油、黄油、润滑油、污水处理药剂等的采购与更换。单台/次设施设备损坏维修费用在1000元（含）以内的，由运维方承担；超出1000元的，由院方承担。</w:t>
      </w:r>
    </w:p>
    <w:p w14:paraId="1AE474AB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⑤维修方面，所有设备发生损坏时须及时修理或更换，确保设备正常运行、出水稳定达标排放。</w:t>
      </w:r>
    </w:p>
    <w:p w14:paraId="598A014F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⑥管理内容包括人员配置安排、规章制度制定及台账资料管理。供应商若未遵守国家法律法规及安全条例，造成重大人员伤亡或重大设备损失的，采购人有权终止合同，相关责任及后果由成交供应商承担。</w:t>
      </w:r>
    </w:p>
    <w:p w14:paraId="67FABA21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（3）提供全方位的环保技术咨询服务，包括：</w:t>
      </w:r>
    </w:p>
    <w:p w14:paraId="240EFEAC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①服务期内，如涉及排污许可证变更或重新申领，协助完成相关工作。</w:t>
      </w:r>
    </w:p>
    <w:p w14:paraId="449783FE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②服务期内完成医院排污许可证后管理工作，包括但不限于：制定规范的自行监测方案，严格按照国家法律法规及排污许可证要求开展全部监测内容（含监测指标、频次），出具规范的例行监测报告，并负责自行监测数据整理及上传；完成排污许可证要求的季报、年报、固废信息填报等工作。</w:t>
      </w:r>
    </w:p>
    <w:p w14:paraId="24F0C75B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③协助完善污染治理设施运行管理台账及相关记录。</w:t>
      </w:r>
    </w:p>
    <w:p w14:paraId="43202D91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④提供全方位的环保技术咨询、环保预查及技术诊断服务。针对环保管理部门及甲方现场检查中提出的问题，须提出整改建议，做好技术解释及沟通协调工作，满足排污许可证现场核查要求。</w:t>
      </w:r>
    </w:p>
    <w:p w14:paraId="76093644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2.质量要求:</w:t>
      </w:r>
    </w:p>
    <w:p w14:paraId="73FFF2FA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确保医院污水处理设备全年365天达标运行，在国家、省、市、区环保部门检查中均能符合环保要求。如在各级检查或抽样检测中发现排放不达标行为，服务商须承担由此造成的一切经济损失及法律责任。</w:t>
      </w:r>
    </w:p>
    <w:p w14:paraId="17D0DA16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3.零配件及耗材要求:</w:t>
      </w:r>
    </w:p>
    <w:p w14:paraId="3040F525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委托运营服务单位须配备相应的设备维护零配件及耗材，包括但不限于：机械密封、轴承、密封圈、空气滤芯、三角带、耐高温润滑脂、耐磨机油、劳保用品、余氯分析仪试剂等。</w:t>
      </w:r>
    </w:p>
    <w:p w14:paraId="1A70BD77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4.安装环境与场地要求:</w:t>
      </w:r>
    </w:p>
    <w:p w14:paraId="675DE698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运维方须安排人员24小时现场值守，全面负责污水处理站运维管理，按期向院方报告污水站运维管理情况，办理相关环保例行管理手续，向环保部门报送运行记录资料，并接受环保、卫生、市政等管理部门的日常检查。</w:t>
      </w:r>
    </w:p>
    <w:p w14:paraId="21764628">
      <w:pPr>
        <w:pStyle w:val="2"/>
        <w:spacing w:line="640" w:lineRule="exact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标准:</w:t>
      </w:r>
    </w:p>
    <w:p w14:paraId="2E7A91C0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（1）服务内容完成后，运维方须先进行自检，自检合格后邀请院方进行验收。院方确认自检内容后，组织双方进行最终验收，验收时运维方应派员参加，共同确认验收结果。</w:t>
      </w:r>
    </w:p>
    <w:p w14:paraId="3A4F0E8D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（2）运维方向院方提交服务实施过程中的全部资料，包括但不限于：运行管理台账、维修记录、水质检测报告、执行报告、自行监测方案等。</w:t>
      </w:r>
    </w:p>
    <w:p w14:paraId="19835EF3">
      <w:pPr>
        <w:pStyle w:val="2"/>
        <w:spacing w:line="640" w:lineRule="exact"/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（3）验收依据包括：</w:t>
      </w:r>
    </w:p>
    <w:p w14:paraId="29C71D65">
      <w:pPr>
        <w:pStyle w:val="2"/>
        <w:spacing w:line="640" w:lineRule="exact"/>
        <w:ind w:firstLine="630" w:firstLineChars="300"/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①合同及附件文本；</w:t>
      </w:r>
    </w:p>
    <w:p w14:paraId="618BB99F">
      <w:pPr>
        <w:pStyle w:val="2"/>
        <w:spacing w:line="640" w:lineRule="exact"/>
        <w:ind w:firstLine="640"/>
        <w:jc w:val="left"/>
        <w:rPr>
          <w:rFonts w:hint="default" w:ascii="宋体" w:hAnsi="宋体" w:eastAsia="宋体" w:cs="宋体"/>
          <w:b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②国家现行相关标准及规范，即《医疗机构水污染物排放标准》（GB18466-2005）、《污水排入城镇下水道水质标准》（GB/T 31962-2015）、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符合</w:t>
      </w:r>
      <w:r>
        <w:rPr>
          <w:rFonts w:hint="eastAsia" w:ascii="宋体" w:hAnsi="宋体" w:eastAsia="宋体" w:cs="宋体"/>
          <w:szCs w:val="21"/>
        </w:rPr>
        <w:t>《水污染源在线监测系统 (CODCr、NH3-N 等) 运行技术规范》</w:t>
      </w:r>
      <w:r>
        <w:rPr>
          <w:rFonts w:hint="eastAsia" w:ascii="宋体" w:hAnsi="宋体" w:eastAsia="宋体" w:cs="宋体"/>
          <w:szCs w:val="21"/>
          <w:lang w:eastAsia="zh-CN"/>
        </w:rPr>
        <w:t>（</w:t>
      </w:r>
      <w:r>
        <w:rPr>
          <w:rFonts w:hint="eastAsia" w:ascii="宋体" w:hAnsi="宋体" w:eastAsia="宋体" w:cs="宋体"/>
          <w:szCs w:val="21"/>
        </w:rPr>
        <w:t>HJ 355-2019</w:t>
      </w:r>
      <w:r>
        <w:rPr>
          <w:rFonts w:hint="eastAsia" w:ascii="宋体" w:hAnsi="宋体" w:eastAsia="宋体" w:cs="宋体"/>
          <w:szCs w:val="21"/>
          <w:lang w:eastAsia="zh-CN"/>
        </w:rPr>
        <w:t>）</w:t>
      </w:r>
      <w:r>
        <w:rPr>
          <w:rFonts w:hint="eastAsia" w:ascii="宋体" w:hAnsi="宋体" w:eastAsia="宋体" w:cs="宋体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Cs w:val="21"/>
        </w:rPr>
        <w:t>《水污染源在线监测系统 (CODCr、NH3-N 等) 数据有效性判别技术规范》</w:t>
      </w:r>
      <w:r>
        <w:rPr>
          <w:rFonts w:hint="eastAsia" w:ascii="宋体" w:hAnsi="宋体" w:eastAsia="宋体" w:cs="宋体"/>
          <w:szCs w:val="21"/>
          <w:lang w:eastAsia="zh-CN"/>
        </w:rPr>
        <w:t>（</w:t>
      </w:r>
      <w:r>
        <w:rPr>
          <w:rFonts w:hint="eastAsia" w:ascii="宋体" w:hAnsi="宋体" w:eastAsia="宋体" w:cs="宋体"/>
          <w:szCs w:val="21"/>
        </w:rPr>
        <w:t>HJ 356-2019</w:t>
      </w:r>
      <w:r>
        <w:rPr>
          <w:rFonts w:hint="eastAsia" w:ascii="宋体" w:hAnsi="宋体" w:eastAsia="宋体" w:cs="宋体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相关要求。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</w:p>
    <w:p w14:paraId="1C6FC83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FE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2026-09-17T07:21:36Z</dcterms:created>
  <dc:creator>Administrator</dc:creator>
  <cp:lastModifiedBy> </cp:lastModifiedBy>
  <dcterms:modified xsi:type="dcterms:W3CDTF">2026-09-17T07:23:30Z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eyJoZGlkIjoiYWY1MWEyM2RmNDRlZThhZGQ5ZjhhZjg1ZjFjN2M0MGQiLCJ1c2VySWQiOiIyNjk2NzEwODAifQ==</vt:lpwstr>
  </property>
  <property fmtid="{D5CDD505-2E9C-101B-9397-08002B2CF9AE}" pid="4" name="ICV">
    <vt:lpwstr>450EEA62E1DD4BDDB50A732E3B7707E3_12</vt:lpwstr>
  </property>
</Properties>
</file>