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0177B3">
      <w:pPr>
        <w:tabs>
          <w:tab w:val="left" w:pos="735"/>
        </w:tabs>
        <w:autoSpaceDE w:val="0"/>
        <w:autoSpaceDN w:val="0"/>
        <w:adjustRightInd w:val="0"/>
        <w:snapToGrid w:val="0"/>
        <w:spacing w:before="312" w:beforeLines="100" w:line="360" w:lineRule="auto"/>
        <w:jc w:val="center"/>
        <w:outlineLvl w:val="1"/>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拟签订的合同文本</w:t>
      </w:r>
    </w:p>
    <w:p w14:paraId="7B4E7EE6">
      <w:pPr>
        <w:tabs>
          <w:tab w:val="left" w:pos="735"/>
        </w:tabs>
        <w:autoSpaceDE w:val="0"/>
        <w:autoSpaceDN w:val="0"/>
        <w:adjustRightInd w:val="0"/>
        <w:snapToGrid w:val="0"/>
        <w:spacing w:before="312" w:beforeLines="100" w:line="360" w:lineRule="auto"/>
        <w:rPr>
          <w:rFonts w:hint="eastAsia" w:ascii="仿宋" w:hAnsi="仿宋" w:eastAsia="仿宋" w:cs="仿宋"/>
          <w:b/>
          <w:bCs/>
          <w:sz w:val="24"/>
          <w:szCs w:val="24"/>
          <w:lang w:val="zh-CN"/>
        </w:rPr>
      </w:pPr>
      <w:r>
        <w:rPr>
          <w:rFonts w:hint="eastAsia" w:ascii="仿宋" w:hAnsi="仿宋" w:eastAsia="仿宋" w:cs="仿宋"/>
          <w:b/>
          <w:bCs/>
          <w:sz w:val="24"/>
          <w:szCs w:val="24"/>
          <w:lang w:val="zh-CN"/>
        </w:rPr>
        <w:t>甲方：</w:t>
      </w:r>
      <w:r>
        <w:rPr>
          <w:rFonts w:hint="eastAsia" w:ascii="仿宋" w:hAnsi="仿宋" w:eastAsia="仿宋" w:cs="仿宋"/>
          <w:bCs/>
          <w:sz w:val="24"/>
          <w:szCs w:val="24"/>
          <w:lang w:val="zh-CN"/>
        </w:rPr>
        <w:t>（前款所称采购人）     住所：</w:t>
      </w:r>
    </w:p>
    <w:p w14:paraId="2CDFC2CB">
      <w:pPr>
        <w:tabs>
          <w:tab w:val="left" w:pos="735"/>
        </w:tabs>
        <w:autoSpaceDE w:val="0"/>
        <w:autoSpaceDN w:val="0"/>
        <w:adjustRightInd w:val="0"/>
        <w:snapToGrid w:val="0"/>
        <w:spacing w:line="360" w:lineRule="auto"/>
        <w:rPr>
          <w:rFonts w:hint="eastAsia" w:ascii="仿宋" w:hAnsi="仿宋" w:eastAsia="仿宋" w:cs="仿宋"/>
          <w:bCs/>
          <w:sz w:val="24"/>
          <w:szCs w:val="24"/>
          <w:lang w:val="zh-CN"/>
        </w:rPr>
      </w:pPr>
      <w:r>
        <w:rPr>
          <w:rFonts w:hint="eastAsia" w:ascii="仿宋" w:hAnsi="仿宋" w:eastAsia="仿宋" w:cs="仿宋"/>
          <w:b/>
          <w:bCs/>
          <w:sz w:val="24"/>
          <w:szCs w:val="24"/>
          <w:lang w:val="zh-CN"/>
        </w:rPr>
        <w:t>乙方：</w:t>
      </w:r>
      <w:r>
        <w:rPr>
          <w:rFonts w:hint="eastAsia" w:ascii="仿宋" w:hAnsi="仿宋" w:eastAsia="仿宋" w:cs="仿宋"/>
          <w:bCs/>
          <w:sz w:val="24"/>
          <w:szCs w:val="24"/>
          <w:lang w:val="zh-CN"/>
        </w:rPr>
        <w:t>（前款所称中标人）     住所：</w:t>
      </w:r>
    </w:p>
    <w:p w14:paraId="581FFBC9">
      <w:pPr>
        <w:pStyle w:val="2"/>
        <w:rPr>
          <w:rFonts w:hint="eastAsia" w:ascii="仿宋" w:hAnsi="仿宋" w:eastAsia="仿宋" w:cs="仿宋"/>
          <w:sz w:val="24"/>
          <w:szCs w:val="24"/>
          <w:lang w:val="zh-CN"/>
        </w:rPr>
      </w:pPr>
    </w:p>
    <w:p w14:paraId="1A35300B">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一、合同内容（标的、数量、质量等）:</w:t>
      </w:r>
    </w:p>
    <w:p w14:paraId="1EE9ED25">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二、合同价款</w:t>
      </w:r>
    </w:p>
    <w:p w14:paraId="7523AB75">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1、合同总价：</w:t>
      </w:r>
    </w:p>
    <w:p w14:paraId="5222CFA3">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2、合同总价包括：</w:t>
      </w:r>
    </w:p>
    <w:p w14:paraId="1AF1F7E4">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3、合同为固定总价合同，不受市场价变化的影响。</w:t>
      </w:r>
    </w:p>
    <w:p w14:paraId="66E26146">
      <w:pPr>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三、合同结算</w:t>
      </w:r>
    </w:p>
    <w:p w14:paraId="55A04865">
      <w:pPr>
        <w:adjustRightInd w:val="0"/>
        <w:snapToGrid w:val="0"/>
        <w:spacing w:line="360" w:lineRule="auto"/>
        <w:ind w:firstLine="482" w:firstLineChars="200"/>
        <w:rPr>
          <w:rFonts w:hint="eastAsia" w:eastAsia="仿宋"/>
          <w:b/>
          <w:sz w:val="24"/>
          <w:highlight w:val="none"/>
          <w:lang w:val="en-US" w:eastAsia="zh-CN"/>
        </w:rPr>
      </w:pPr>
      <w:r>
        <w:rPr>
          <w:rFonts w:hint="eastAsia" w:eastAsia="仿宋"/>
          <w:b/>
          <w:sz w:val="24"/>
          <w:highlight w:val="none"/>
          <w:lang w:val="en-US" w:eastAsia="zh-CN"/>
        </w:rPr>
        <w:t>货到现场、安装调试、培训完毕经验收合格并交付使用 ，达到付款条件起40个工作日内，支付合同总金额的100.0%</w:t>
      </w:r>
    </w:p>
    <w:p w14:paraId="2845A908">
      <w:pPr>
        <w:adjustRightInd w:val="0"/>
        <w:snapToGrid w:val="0"/>
        <w:spacing w:line="360" w:lineRule="auto"/>
        <w:ind w:firstLine="482" w:firstLineChars="200"/>
        <w:rPr>
          <w:rFonts w:hint="eastAsia" w:eastAsia="仿宋"/>
          <w:b/>
          <w:sz w:val="24"/>
          <w:highlight w:val="none"/>
        </w:rPr>
      </w:pPr>
      <w:r>
        <w:rPr>
          <w:rFonts w:hint="eastAsia" w:eastAsia="仿宋"/>
          <w:b/>
          <w:sz w:val="24"/>
          <w:highlight w:val="none"/>
        </w:rPr>
        <w:t>注：如中标人为符合财库〔2020〕46号中规定的中小企业，合同签订后支付合同总价的40%作为预付款，货到现场、安装调试、培训完毕经验收合格并交付使用，满足支付条件后两个月内付至合同金额的 100%。</w:t>
      </w:r>
    </w:p>
    <w:p w14:paraId="2ED0C731">
      <w:pPr>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四、</w:t>
      </w:r>
      <w:r>
        <w:rPr>
          <w:rFonts w:hint="eastAsia" w:ascii="仿宋" w:hAnsi="仿宋" w:eastAsia="仿宋" w:cs="仿宋"/>
          <w:sz w:val="24"/>
          <w:szCs w:val="24"/>
          <w:highlight w:val="none"/>
          <w:lang w:val="en-US" w:eastAsia="zh-CN"/>
        </w:rPr>
        <w:t>交货期</w:t>
      </w:r>
      <w:r>
        <w:rPr>
          <w:rFonts w:hint="eastAsia" w:ascii="仿宋" w:hAnsi="仿宋" w:eastAsia="仿宋" w:cs="仿宋"/>
          <w:sz w:val="24"/>
          <w:szCs w:val="24"/>
          <w:highlight w:val="none"/>
        </w:rPr>
        <w:t>、地点:</w:t>
      </w:r>
    </w:p>
    <w:p w14:paraId="5CAE7F79">
      <w:pPr>
        <w:adjustRightInd w:val="0"/>
        <w:snapToGrid w:val="0"/>
        <w:spacing w:line="360" w:lineRule="auto"/>
        <w:ind w:firstLine="480" w:firstLineChars="200"/>
        <w:rPr>
          <w:rFonts w:hint="eastAsia" w:ascii="仿宋" w:hAnsi="仿宋" w:eastAsia="仿宋" w:cs="仿宋"/>
          <w:b/>
          <w:bCs/>
          <w:sz w:val="24"/>
          <w:szCs w:val="24"/>
          <w:highlight w:val="none"/>
          <w:lang w:val="en-US" w:eastAsia="zh-CN"/>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交货期</w:t>
      </w:r>
      <w:r>
        <w:rPr>
          <w:rFonts w:hint="eastAsia" w:ascii="仿宋" w:hAnsi="仿宋" w:eastAsia="仿宋" w:cs="仿宋"/>
          <w:sz w:val="24"/>
          <w:szCs w:val="24"/>
          <w:highlight w:val="none"/>
        </w:rPr>
        <w:t>：</w:t>
      </w:r>
      <w:r>
        <w:rPr>
          <w:rFonts w:hint="eastAsia" w:ascii="仿宋" w:hAnsi="仿宋" w:eastAsia="仿宋" w:cs="仿宋"/>
          <w:b/>
          <w:bCs/>
          <w:sz w:val="24"/>
          <w:szCs w:val="24"/>
          <w:highlight w:val="none"/>
          <w:lang w:val="en-US" w:eastAsia="zh-CN"/>
        </w:rPr>
        <w:t>合同签订后60个日历日内交货。</w:t>
      </w:r>
      <w:bookmarkStart w:id="0" w:name="_GoBack"/>
      <w:bookmarkEnd w:id="0"/>
    </w:p>
    <w:p w14:paraId="283374C6">
      <w:pPr>
        <w:adjustRightInd w:val="0"/>
        <w:snapToGrid w:val="0"/>
        <w:spacing w:line="360" w:lineRule="auto"/>
        <w:ind w:firstLine="480" w:firstLineChars="200"/>
        <w:rPr>
          <w:rFonts w:hint="default" w:ascii="仿宋" w:hAnsi="仿宋" w:eastAsia="仿宋" w:cs="仿宋"/>
          <w:sz w:val="24"/>
          <w:szCs w:val="24"/>
          <w:lang w:val="en-US" w:eastAsia="zh-CN"/>
        </w:rPr>
      </w:pPr>
      <w:r>
        <w:rPr>
          <w:rFonts w:hint="eastAsia" w:ascii="仿宋" w:hAnsi="仿宋" w:eastAsia="仿宋" w:cs="仿宋"/>
          <w:sz w:val="24"/>
          <w:szCs w:val="24"/>
        </w:rPr>
        <w:t>2、地点：</w:t>
      </w:r>
      <w:r>
        <w:rPr>
          <w:rFonts w:hint="eastAsia" w:ascii="仿宋" w:hAnsi="仿宋" w:eastAsia="仿宋" w:cs="仿宋"/>
          <w:b/>
          <w:bCs/>
          <w:sz w:val="24"/>
          <w:szCs w:val="24"/>
          <w:lang w:val="en-US" w:eastAsia="zh-CN"/>
        </w:rPr>
        <w:t>甲方指定地点</w:t>
      </w:r>
    </w:p>
    <w:p w14:paraId="55DB5322">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五、技术服务</w:t>
      </w:r>
    </w:p>
    <w:p w14:paraId="00F49EBC">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1、对技术服务的要求：</w:t>
      </w:r>
    </w:p>
    <w:p w14:paraId="736FD699">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2、技术资料：</w:t>
      </w:r>
    </w:p>
    <w:p w14:paraId="44A103D3">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3、技术培训：</w:t>
      </w:r>
    </w:p>
    <w:p w14:paraId="07F9C4CC">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3-1、</w:t>
      </w:r>
      <w:r>
        <w:rPr>
          <w:rFonts w:hint="eastAsia" w:ascii="仿宋" w:hAnsi="仿宋" w:eastAsia="仿宋" w:cs="仿宋"/>
          <w:sz w:val="24"/>
          <w:szCs w:val="24"/>
        </w:rPr>
        <w:t>应包括设备(产品)使用操作、保养、维修等培训内容。乙方需为甲方免费培训相关技术人员，培训服务以受培训人员熟练掌握相应技能为原则。</w:t>
      </w:r>
    </w:p>
    <w:p w14:paraId="7196F2B3">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3-2、</w:t>
      </w:r>
      <w:r>
        <w:rPr>
          <w:rFonts w:hint="eastAsia" w:ascii="仿宋" w:hAnsi="仿宋" w:eastAsia="仿宋" w:cs="仿宋"/>
          <w:sz w:val="24"/>
          <w:szCs w:val="24"/>
        </w:rPr>
        <w:t>乙方应当提供甲方相关主管人员的培训，应使其可以完成对整体系统的正常运行的宏观管理。此项培训必须包括原厂商相关项目的标准培训。</w:t>
      </w:r>
    </w:p>
    <w:p w14:paraId="3557083B">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3-3、</w:t>
      </w:r>
      <w:r>
        <w:rPr>
          <w:rFonts w:hint="eastAsia" w:ascii="仿宋" w:hAnsi="仿宋" w:eastAsia="仿宋" w:cs="仿宋"/>
          <w:sz w:val="24"/>
          <w:szCs w:val="24"/>
        </w:rPr>
        <w:t>培训内容应当包括设备(产品)使用及维修各个方面的培训。</w:t>
      </w:r>
    </w:p>
    <w:p w14:paraId="4008BAEF">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4、售后服务</w:t>
      </w:r>
    </w:p>
    <w:p w14:paraId="7E22A47B">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4-1、乙方在接到甲方电话通知后在</w:t>
      </w:r>
      <w:r>
        <w:rPr>
          <w:rFonts w:hint="eastAsia" w:ascii="仿宋" w:hAnsi="仿宋" w:eastAsia="仿宋" w:cs="仿宋"/>
          <w:sz w:val="24"/>
          <w:szCs w:val="24"/>
          <w:u w:val="single"/>
        </w:rPr>
        <w:t xml:space="preserve">   </w:t>
      </w:r>
      <w:r>
        <w:rPr>
          <w:rFonts w:hint="eastAsia" w:ascii="仿宋" w:hAnsi="仿宋" w:eastAsia="仿宋" w:cs="仿宋"/>
          <w:sz w:val="24"/>
          <w:szCs w:val="24"/>
        </w:rPr>
        <w:t>小时内派出合格的服务人员到达现场进行服务，承担相应费用。</w:t>
      </w:r>
    </w:p>
    <w:p w14:paraId="47E4F239">
      <w:pPr>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rPr>
        <w:t>4-2、如果乙方在收到通知后两天内没有弥补缺陷，甲方可采取必要的补救措施，但其风险和费用将由乙方承担，甲方根据合同规定对乙方行使的其它权力</w:t>
      </w:r>
      <w:r>
        <w:rPr>
          <w:rFonts w:hint="eastAsia" w:ascii="仿宋" w:hAnsi="仿宋" w:eastAsia="仿宋" w:cs="仿宋"/>
          <w:sz w:val="24"/>
          <w:szCs w:val="24"/>
          <w:highlight w:val="none"/>
        </w:rPr>
        <w:t>不受影响。</w:t>
      </w:r>
    </w:p>
    <w:p w14:paraId="3A15D2C7">
      <w:pPr>
        <w:adjustRightInd w:val="0"/>
        <w:snapToGrid w:val="0"/>
        <w:spacing w:line="360" w:lineRule="auto"/>
        <w:ind w:firstLine="482" w:firstLineChars="200"/>
        <w:rPr>
          <w:rFonts w:hint="eastAsia" w:ascii="仿宋" w:hAnsi="仿宋" w:eastAsia="仿宋" w:cs="仿宋"/>
          <w:b/>
          <w:bCs/>
          <w:sz w:val="24"/>
          <w:szCs w:val="24"/>
          <w:highlight w:val="none"/>
          <w:lang w:val="en-US" w:eastAsia="zh-CN"/>
        </w:rPr>
      </w:pPr>
      <w:r>
        <w:rPr>
          <w:rFonts w:hint="eastAsia" w:ascii="仿宋" w:hAnsi="仿宋" w:eastAsia="仿宋" w:cs="仿宋"/>
          <w:b/>
          <w:bCs/>
          <w:color w:val="auto"/>
          <w:sz w:val="24"/>
          <w:szCs w:val="24"/>
          <w:highlight w:val="none"/>
          <w:lang w:val="en-US" w:eastAsia="zh-CN"/>
        </w:rPr>
        <w:t>5、质量保证：所有设备</w:t>
      </w:r>
      <w:r>
        <w:rPr>
          <w:rFonts w:hint="eastAsia" w:ascii="仿宋" w:hAnsi="仿宋" w:eastAsia="仿宋" w:cs="仿宋"/>
          <w:b/>
          <w:bCs/>
          <w:sz w:val="24"/>
          <w:szCs w:val="24"/>
          <w:highlight w:val="none"/>
          <w:lang w:val="en-US" w:eastAsia="zh-CN"/>
        </w:rPr>
        <w:t>质保期：≥3年</w:t>
      </w:r>
    </w:p>
    <w:p w14:paraId="48A13A94">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六、验收</w:t>
      </w:r>
    </w:p>
    <w:p w14:paraId="49A75B1A">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1、验收：乙方完成服务内容后，向甲方提出验收申请，甲方接到乙方验收申请后组织验收（必要时可聘请相应专家或委托相应部门验收），验收合格后，出具使用验收合格证明。</w:t>
      </w:r>
    </w:p>
    <w:p w14:paraId="4AE1677E">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2、最终验收：最终验收结果作为付款依据，乙方填写验收单，并向甲方提交实施过程中的所有资料，以便甲方日后管理和维护。</w:t>
      </w:r>
    </w:p>
    <w:p w14:paraId="47C21498">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3、质保期满后：由乙方出具质保期运行质量报告，若存在质量问题，应按相应规定协商处理。</w:t>
      </w:r>
    </w:p>
    <w:p w14:paraId="130FAB2C">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4、验收依据：</w:t>
      </w:r>
    </w:p>
    <w:p w14:paraId="00258509">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4-1、合同文本、合同附件、招标文件、投标文件。</w:t>
      </w:r>
    </w:p>
    <w:p w14:paraId="14AB425A">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4-2、国内相应的标准、规范。</w:t>
      </w:r>
    </w:p>
    <w:p w14:paraId="0A045B15">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七</w:t>
      </w:r>
      <w:r>
        <w:rPr>
          <w:rFonts w:hint="eastAsia" w:ascii="仿宋" w:hAnsi="仿宋" w:eastAsia="仿宋" w:cs="仿宋"/>
          <w:sz w:val="24"/>
          <w:szCs w:val="24"/>
        </w:rPr>
        <w:t>、违约责任</w:t>
      </w:r>
    </w:p>
    <w:p w14:paraId="3AB70C8B">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1、按《中华人民共和国民法典》中的相关条款执行。</w:t>
      </w:r>
    </w:p>
    <w:p w14:paraId="3167DC22">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2、乙方履约延误</w:t>
      </w:r>
    </w:p>
    <w:p w14:paraId="7FBD4478">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2-1、如乙方事先未征得甲方同意并得到甲方的谅解而单方面延迟执行合同，将按违约终止合同。</w:t>
      </w:r>
    </w:p>
    <w:p w14:paraId="18964B44">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零点五（0.5%）计收，直至提供服务为止。误期赔偿费的最高限额为合同价格的百分之五（5%）。一旦达到误期赔偿费的最高限额，甲方可终止合同。</w:t>
      </w:r>
    </w:p>
    <w:p w14:paraId="073FC3D4">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3、违约终止合同：未按合同要求提供服务或不能满足技术要求，甲方会同监督机构有权终止合同，对乙方违约行为进行追究，同时按政府采购法的有关规定进行相应的处罚。</w:t>
      </w:r>
    </w:p>
    <w:p w14:paraId="293EDDDF">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八</w:t>
      </w:r>
      <w:r>
        <w:rPr>
          <w:rFonts w:hint="eastAsia" w:ascii="仿宋" w:hAnsi="仿宋" w:eastAsia="仿宋" w:cs="仿宋"/>
          <w:sz w:val="24"/>
          <w:szCs w:val="24"/>
        </w:rPr>
        <w:t>、合同组成</w:t>
      </w:r>
    </w:p>
    <w:p w14:paraId="41895D33">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1、中标通知书</w:t>
      </w:r>
    </w:p>
    <w:p w14:paraId="6CAB6381">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2、合同文件</w:t>
      </w:r>
    </w:p>
    <w:p w14:paraId="495C1DF8">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3、国家相关规范及标准</w:t>
      </w:r>
    </w:p>
    <w:p w14:paraId="4599881E">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4、招标文件</w:t>
      </w:r>
    </w:p>
    <w:p w14:paraId="4A3AC13E">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5、投标文件</w:t>
      </w:r>
    </w:p>
    <w:p w14:paraId="070332EE">
      <w:pPr>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九</w:t>
      </w:r>
      <w:r>
        <w:rPr>
          <w:rFonts w:hint="eastAsia" w:ascii="仿宋" w:hAnsi="仿宋" w:eastAsia="仿宋" w:cs="仿宋"/>
          <w:sz w:val="24"/>
          <w:szCs w:val="24"/>
          <w:highlight w:val="none"/>
        </w:rPr>
        <w:t>、解决争议的方法</w:t>
      </w:r>
    </w:p>
    <w:p w14:paraId="0A2C853A">
      <w:pPr>
        <w:widowControl/>
        <w:autoSpaceDE w:val="0"/>
        <w:autoSpaceDN w:val="0"/>
        <w:snapToGrid w:val="0"/>
        <w:spacing w:line="360" w:lineRule="auto"/>
        <w:ind w:right="-110" w:firstLine="480" w:firstLineChars="200"/>
        <w:textAlignment w:val="bottom"/>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凡因本合同引起的或与本合同有关的争议，双方应友好协商解决。协商不成时，双方均同意采用以下第（</w:t>
      </w:r>
      <w:r>
        <w:rPr>
          <w:rFonts w:hint="eastAsia" w:ascii="仿宋" w:hAnsi="仿宋" w:eastAsia="仿宋" w:cs="仿宋"/>
          <w:kern w:val="0"/>
          <w:sz w:val="24"/>
          <w:szCs w:val="24"/>
          <w:highlight w:val="none"/>
          <w:lang w:val="en-US" w:eastAsia="zh-CN"/>
        </w:rPr>
        <w:t>1</w:t>
      </w:r>
      <w:r>
        <w:rPr>
          <w:rFonts w:hint="eastAsia" w:ascii="仿宋" w:hAnsi="仿宋" w:eastAsia="仿宋" w:cs="仿宋"/>
          <w:kern w:val="0"/>
          <w:sz w:val="24"/>
          <w:szCs w:val="24"/>
          <w:highlight w:val="none"/>
        </w:rPr>
        <w:t>）种争议解决方式：</w:t>
      </w:r>
    </w:p>
    <w:p w14:paraId="2457966B">
      <w:pPr>
        <w:widowControl/>
        <w:autoSpaceDE w:val="0"/>
        <w:autoSpaceDN w:val="0"/>
        <w:snapToGrid w:val="0"/>
        <w:spacing w:line="360" w:lineRule="auto"/>
        <w:ind w:right="-110" w:firstLine="480" w:firstLineChars="200"/>
        <w:textAlignment w:val="bottom"/>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1、甲、乙双方均同意向（甲方所在地人民法院）提起诉讼。</w:t>
      </w:r>
    </w:p>
    <w:p w14:paraId="2EAA461D">
      <w:pPr>
        <w:widowControl/>
        <w:autoSpaceDE w:val="0"/>
        <w:autoSpaceDN w:val="0"/>
        <w:snapToGrid w:val="0"/>
        <w:spacing w:line="360" w:lineRule="auto"/>
        <w:ind w:right="-110" w:firstLine="480" w:firstLineChars="200"/>
        <w:textAlignment w:val="bottom"/>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2、甲、乙双方均同意向（</w:t>
      </w:r>
      <w:r>
        <w:rPr>
          <w:rFonts w:hint="eastAsia" w:ascii="仿宋" w:hAnsi="仿宋" w:eastAsia="仿宋" w:cs="仿宋"/>
          <w:kern w:val="0"/>
          <w:sz w:val="24"/>
          <w:szCs w:val="24"/>
          <w:highlight w:val="none"/>
        </w:rPr>
        <w:fldChar w:fldCharType="begin"/>
      </w:r>
      <w:r>
        <w:rPr>
          <w:rFonts w:hint="eastAsia" w:ascii="仿宋" w:hAnsi="仿宋" w:eastAsia="仿宋" w:cs="仿宋"/>
          <w:kern w:val="0"/>
          <w:sz w:val="24"/>
          <w:szCs w:val="24"/>
          <w:highlight w:val="none"/>
        </w:rPr>
        <w:instrText xml:space="preserve"> HYPERLINK "http://www.baidu.com/s?wd=%E4%BB%B2%E8%A3%81%E5%A7%94%E5%91%98%E4%BC%9A&amp;tn=SE_PcZhidaonwhc_ngpagmjz&amp;rsv_dl=gh_pc_zhidao" \t "_blank" </w:instrText>
      </w:r>
      <w:r>
        <w:rPr>
          <w:rFonts w:hint="eastAsia" w:ascii="仿宋" w:hAnsi="仿宋" w:eastAsia="仿宋" w:cs="仿宋"/>
          <w:kern w:val="0"/>
          <w:sz w:val="24"/>
          <w:szCs w:val="24"/>
          <w:highlight w:val="none"/>
        </w:rPr>
        <w:fldChar w:fldCharType="separate"/>
      </w:r>
      <w:r>
        <w:rPr>
          <w:rFonts w:hint="eastAsia" w:ascii="仿宋" w:hAnsi="仿宋" w:eastAsia="仿宋" w:cs="仿宋"/>
          <w:kern w:val="0"/>
          <w:sz w:val="24"/>
          <w:szCs w:val="24"/>
          <w:highlight w:val="none"/>
        </w:rPr>
        <w:t>仲裁委员会</w:t>
      </w:r>
      <w:r>
        <w:rPr>
          <w:rFonts w:hint="eastAsia" w:ascii="仿宋" w:hAnsi="仿宋" w:eastAsia="仿宋" w:cs="仿宋"/>
          <w:kern w:val="0"/>
          <w:sz w:val="24"/>
          <w:szCs w:val="24"/>
          <w:highlight w:val="none"/>
        </w:rPr>
        <w:fldChar w:fldCharType="end"/>
      </w:r>
      <w:r>
        <w:rPr>
          <w:rFonts w:hint="eastAsia" w:ascii="仿宋" w:hAnsi="仿宋" w:eastAsia="仿宋" w:cs="仿宋"/>
          <w:kern w:val="0"/>
          <w:sz w:val="24"/>
          <w:szCs w:val="24"/>
          <w:highlight w:val="none"/>
        </w:rPr>
        <w:t>）提起仲裁。</w:t>
      </w:r>
    </w:p>
    <w:p w14:paraId="76549010">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十、合同生效及其它</w:t>
      </w:r>
    </w:p>
    <w:p w14:paraId="2CEA1215">
      <w:pPr>
        <w:widowControl/>
        <w:autoSpaceDE w:val="0"/>
        <w:autoSpaceDN w:val="0"/>
        <w:snapToGrid w:val="0"/>
        <w:spacing w:line="360" w:lineRule="auto"/>
        <w:ind w:right="-110" w:firstLine="480" w:firstLineChars="200"/>
        <w:textAlignment w:val="bottom"/>
        <w:rPr>
          <w:rFonts w:hint="eastAsia" w:ascii="仿宋" w:hAnsi="仿宋" w:eastAsia="仿宋" w:cs="仿宋"/>
          <w:kern w:val="0"/>
          <w:sz w:val="24"/>
          <w:szCs w:val="24"/>
        </w:rPr>
      </w:pPr>
      <w:r>
        <w:rPr>
          <w:rFonts w:hint="eastAsia" w:ascii="仿宋" w:hAnsi="仿宋" w:eastAsia="仿宋" w:cs="仿宋"/>
          <w:kern w:val="0"/>
          <w:sz w:val="24"/>
          <w:szCs w:val="24"/>
        </w:rPr>
        <w:t>1、合同未尽事宜、由甲、乙双方协商，作为合同补充，与原合同具有同等法律效力。</w:t>
      </w:r>
    </w:p>
    <w:p w14:paraId="3FF94D69">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kern w:val="0"/>
          <w:sz w:val="24"/>
          <w:szCs w:val="24"/>
        </w:rPr>
      </w:pPr>
      <w:r>
        <w:rPr>
          <w:rFonts w:hint="eastAsia" w:ascii="仿宋" w:hAnsi="仿宋" w:eastAsia="仿宋" w:cs="仿宋"/>
          <w:kern w:val="0"/>
          <w:sz w:val="24"/>
          <w:szCs w:val="24"/>
        </w:rPr>
        <w:t>2、 本合同正本一式</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份，甲方、乙方双方分别执</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份，</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备案</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份。</w:t>
      </w:r>
    </w:p>
    <w:p w14:paraId="1DEE9B86">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kern w:val="0"/>
          <w:sz w:val="24"/>
          <w:szCs w:val="24"/>
        </w:rPr>
      </w:pPr>
      <w:r>
        <w:rPr>
          <w:rFonts w:hint="eastAsia" w:ascii="仿宋" w:hAnsi="仿宋" w:eastAsia="仿宋" w:cs="仿宋"/>
          <w:kern w:val="0"/>
          <w:sz w:val="24"/>
          <w:szCs w:val="24"/>
        </w:rPr>
        <w:t>3、合同经甲乙双方盖章、签字后生效，合同签订地点为</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w:t>
      </w:r>
    </w:p>
    <w:p w14:paraId="4ECD8A47">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kern w:val="0"/>
          <w:sz w:val="24"/>
          <w:szCs w:val="24"/>
        </w:rPr>
      </w:pPr>
      <w:r>
        <w:rPr>
          <w:rFonts w:hint="eastAsia" w:ascii="仿宋" w:hAnsi="仿宋" w:eastAsia="仿宋" w:cs="仿宋"/>
          <w:kern w:val="0"/>
          <w:sz w:val="24"/>
          <w:szCs w:val="24"/>
        </w:rPr>
        <w:t>4、生效时间：</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年</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月</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日</w:t>
      </w:r>
    </w:p>
    <w:p w14:paraId="11279137">
      <w:pPr>
        <w:widowControl/>
        <w:tabs>
          <w:tab w:val="left" w:pos="8391"/>
        </w:tabs>
        <w:autoSpaceDE w:val="0"/>
        <w:autoSpaceDN w:val="0"/>
        <w:snapToGrid w:val="0"/>
        <w:spacing w:line="360" w:lineRule="auto"/>
        <w:ind w:right="-69" w:firstLine="840" w:firstLineChars="350"/>
        <w:textAlignment w:val="bottom"/>
        <w:rPr>
          <w:rFonts w:hint="eastAsia" w:ascii="仿宋" w:hAnsi="仿宋" w:eastAsia="仿宋" w:cs="仿宋"/>
          <w:kern w:val="0"/>
          <w:sz w:val="24"/>
          <w:szCs w:val="24"/>
        </w:rPr>
      </w:pPr>
    </w:p>
    <w:tbl>
      <w:tblPr>
        <w:tblStyle w:val="3"/>
        <w:tblW w:w="0" w:type="auto"/>
        <w:jc w:val="center"/>
        <w:tblLayout w:type="fixed"/>
        <w:tblCellMar>
          <w:top w:w="0" w:type="dxa"/>
          <w:left w:w="108" w:type="dxa"/>
          <w:bottom w:w="0" w:type="dxa"/>
          <w:right w:w="108" w:type="dxa"/>
        </w:tblCellMar>
      </w:tblPr>
      <w:tblGrid>
        <w:gridCol w:w="4643"/>
        <w:gridCol w:w="4643"/>
      </w:tblGrid>
      <w:tr w14:paraId="158C4A07">
        <w:tblPrEx>
          <w:tblCellMar>
            <w:top w:w="0" w:type="dxa"/>
            <w:left w:w="108" w:type="dxa"/>
            <w:bottom w:w="0" w:type="dxa"/>
            <w:right w:w="108" w:type="dxa"/>
          </w:tblCellMar>
        </w:tblPrEx>
        <w:trPr>
          <w:jc w:val="center"/>
        </w:trPr>
        <w:tc>
          <w:tcPr>
            <w:tcW w:w="4643" w:type="dxa"/>
            <w:noWrap w:val="0"/>
            <w:vAlign w:val="top"/>
          </w:tcPr>
          <w:p w14:paraId="5E655A95">
            <w:pPr>
              <w:widowControl/>
              <w:autoSpaceDE w:val="0"/>
              <w:autoSpaceDN w:val="0"/>
              <w:snapToGrid w:val="0"/>
              <w:spacing w:line="360" w:lineRule="auto"/>
              <w:ind w:right="-154"/>
              <w:textAlignment w:val="bottom"/>
              <w:rPr>
                <w:rFonts w:hint="eastAsia" w:ascii="仿宋" w:hAnsi="仿宋" w:eastAsia="仿宋" w:cs="仿宋"/>
                <w:kern w:val="0"/>
                <w:sz w:val="24"/>
                <w:szCs w:val="24"/>
              </w:rPr>
            </w:pPr>
            <w:r>
              <w:rPr>
                <w:rFonts w:hint="eastAsia" w:ascii="仿宋" w:hAnsi="仿宋" w:eastAsia="仿宋" w:cs="仿宋"/>
                <w:kern w:val="0"/>
                <w:sz w:val="24"/>
                <w:szCs w:val="24"/>
              </w:rPr>
              <w:t>甲方名称</w:t>
            </w:r>
            <w:r>
              <w:rPr>
                <w:rFonts w:hint="eastAsia" w:ascii="仿宋" w:hAnsi="仿宋" w:eastAsia="仿宋" w:cs="仿宋"/>
                <w:spacing w:val="-20"/>
                <w:kern w:val="0"/>
                <w:sz w:val="24"/>
                <w:szCs w:val="24"/>
              </w:rPr>
              <w:t>（盖章）</w:t>
            </w:r>
            <w:r>
              <w:rPr>
                <w:rFonts w:hint="eastAsia" w:ascii="仿宋" w:hAnsi="仿宋" w:eastAsia="仿宋" w:cs="仿宋"/>
                <w:kern w:val="0"/>
                <w:sz w:val="24"/>
                <w:szCs w:val="24"/>
              </w:rPr>
              <w:t>:</w:t>
            </w:r>
          </w:p>
          <w:p w14:paraId="4CF9A6D1">
            <w:pPr>
              <w:widowControl/>
              <w:autoSpaceDE w:val="0"/>
              <w:autoSpaceDN w:val="0"/>
              <w:snapToGrid w:val="0"/>
              <w:spacing w:line="360" w:lineRule="auto"/>
              <w:ind w:right="-154"/>
              <w:textAlignment w:val="bottom"/>
              <w:rPr>
                <w:rFonts w:hint="eastAsia" w:ascii="仿宋" w:hAnsi="仿宋" w:eastAsia="仿宋" w:cs="仿宋"/>
                <w:kern w:val="0"/>
                <w:sz w:val="24"/>
                <w:szCs w:val="24"/>
              </w:rPr>
            </w:pPr>
            <w:r>
              <w:rPr>
                <w:rFonts w:hint="eastAsia" w:ascii="仿宋" w:hAnsi="仿宋" w:eastAsia="仿宋" w:cs="仿宋"/>
                <w:kern w:val="0"/>
                <w:sz w:val="24"/>
                <w:szCs w:val="24"/>
              </w:rPr>
              <w:t>地址：</w:t>
            </w:r>
          </w:p>
          <w:p w14:paraId="5F9FD8CE">
            <w:pPr>
              <w:widowControl/>
              <w:autoSpaceDE w:val="0"/>
              <w:autoSpaceDN w:val="0"/>
              <w:snapToGrid w:val="0"/>
              <w:spacing w:line="360" w:lineRule="auto"/>
              <w:ind w:right="-154"/>
              <w:textAlignment w:val="bottom"/>
              <w:rPr>
                <w:rFonts w:hint="eastAsia" w:ascii="仿宋" w:hAnsi="仿宋" w:eastAsia="仿宋" w:cs="仿宋"/>
                <w:kern w:val="0"/>
                <w:sz w:val="24"/>
                <w:szCs w:val="24"/>
              </w:rPr>
            </w:pPr>
            <w:r>
              <w:rPr>
                <w:rFonts w:hint="eastAsia" w:ascii="仿宋" w:hAnsi="仿宋" w:eastAsia="仿宋" w:cs="仿宋"/>
                <w:kern w:val="0"/>
                <w:sz w:val="24"/>
                <w:szCs w:val="24"/>
              </w:rPr>
              <w:t>代表人（签字）：</w:t>
            </w:r>
          </w:p>
          <w:p w14:paraId="686515C0">
            <w:pPr>
              <w:widowControl/>
              <w:autoSpaceDE w:val="0"/>
              <w:autoSpaceDN w:val="0"/>
              <w:snapToGrid w:val="0"/>
              <w:spacing w:line="360" w:lineRule="auto"/>
              <w:ind w:right="-154"/>
              <w:textAlignment w:val="bottom"/>
              <w:rPr>
                <w:rFonts w:hint="eastAsia" w:ascii="仿宋" w:hAnsi="仿宋" w:eastAsia="仿宋" w:cs="仿宋"/>
                <w:kern w:val="0"/>
                <w:sz w:val="24"/>
                <w:szCs w:val="24"/>
              </w:rPr>
            </w:pPr>
            <w:r>
              <w:rPr>
                <w:rFonts w:hint="eastAsia" w:ascii="仿宋" w:hAnsi="仿宋" w:eastAsia="仿宋" w:cs="仿宋"/>
                <w:kern w:val="0"/>
                <w:sz w:val="24"/>
                <w:szCs w:val="24"/>
              </w:rPr>
              <w:t>电话：</w:t>
            </w:r>
          </w:p>
          <w:p w14:paraId="72D99136">
            <w:pPr>
              <w:widowControl/>
              <w:autoSpaceDE w:val="0"/>
              <w:autoSpaceDN w:val="0"/>
              <w:snapToGrid w:val="0"/>
              <w:spacing w:line="360" w:lineRule="auto"/>
              <w:ind w:right="-154"/>
              <w:textAlignment w:val="bottom"/>
              <w:rPr>
                <w:rFonts w:hint="eastAsia" w:ascii="仿宋" w:hAnsi="仿宋" w:eastAsia="仿宋" w:cs="仿宋"/>
                <w:kern w:val="0"/>
                <w:sz w:val="24"/>
                <w:szCs w:val="24"/>
              </w:rPr>
            </w:pPr>
            <w:r>
              <w:rPr>
                <w:rFonts w:hint="eastAsia" w:ascii="仿宋" w:hAnsi="仿宋" w:eastAsia="仿宋" w:cs="仿宋"/>
                <w:kern w:val="0"/>
                <w:sz w:val="24"/>
                <w:szCs w:val="24"/>
              </w:rPr>
              <w:t>开户银行：</w:t>
            </w:r>
          </w:p>
          <w:p w14:paraId="0B449976">
            <w:pPr>
              <w:widowControl/>
              <w:autoSpaceDE w:val="0"/>
              <w:autoSpaceDN w:val="0"/>
              <w:snapToGrid w:val="0"/>
              <w:spacing w:line="360" w:lineRule="auto"/>
              <w:ind w:right="-154"/>
              <w:textAlignment w:val="bottom"/>
              <w:rPr>
                <w:rFonts w:hint="eastAsia" w:ascii="仿宋" w:hAnsi="仿宋" w:eastAsia="仿宋" w:cs="仿宋"/>
                <w:kern w:val="0"/>
                <w:sz w:val="24"/>
                <w:szCs w:val="24"/>
              </w:rPr>
            </w:pPr>
            <w:r>
              <w:rPr>
                <w:rFonts w:hint="eastAsia" w:ascii="仿宋" w:hAnsi="仿宋" w:eastAsia="仿宋" w:cs="仿宋"/>
                <w:kern w:val="0"/>
                <w:sz w:val="24"/>
                <w:szCs w:val="24"/>
              </w:rPr>
              <w:t>账号：</w:t>
            </w:r>
          </w:p>
        </w:tc>
        <w:tc>
          <w:tcPr>
            <w:tcW w:w="4643" w:type="dxa"/>
            <w:noWrap w:val="0"/>
            <w:vAlign w:val="top"/>
          </w:tcPr>
          <w:p w14:paraId="69DDCA13">
            <w:pPr>
              <w:widowControl/>
              <w:autoSpaceDE w:val="0"/>
              <w:autoSpaceDN w:val="0"/>
              <w:snapToGrid w:val="0"/>
              <w:spacing w:line="360" w:lineRule="auto"/>
              <w:ind w:right="-154"/>
              <w:textAlignment w:val="bottom"/>
              <w:rPr>
                <w:rFonts w:hint="eastAsia" w:ascii="仿宋" w:hAnsi="仿宋" w:eastAsia="仿宋" w:cs="仿宋"/>
                <w:kern w:val="0"/>
                <w:sz w:val="24"/>
                <w:szCs w:val="24"/>
              </w:rPr>
            </w:pPr>
            <w:r>
              <w:rPr>
                <w:rFonts w:hint="eastAsia" w:ascii="仿宋" w:hAnsi="仿宋" w:eastAsia="仿宋" w:cs="仿宋"/>
                <w:kern w:val="0"/>
                <w:sz w:val="24"/>
                <w:szCs w:val="24"/>
              </w:rPr>
              <w:t>乙方名称</w:t>
            </w:r>
            <w:r>
              <w:rPr>
                <w:rFonts w:hint="eastAsia" w:ascii="仿宋" w:hAnsi="仿宋" w:eastAsia="仿宋" w:cs="仿宋"/>
                <w:spacing w:val="-20"/>
                <w:kern w:val="0"/>
                <w:sz w:val="24"/>
                <w:szCs w:val="24"/>
              </w:rPr>
              <w:t>（盖章）</w:t>
            </w:r>
            <w:r>
              <w:rPr>
                <w:rFonts w:hint="eastAsia" w:ascii="仿宋" w:hAnsi="仿宋" w:eastAsia="仿宋" w:cs="仿宋"/>
                <w:kern w:val="0"/>
                <w:sz w:val="24"/>
                <w:szCs w:val="24"/>
              </w:rPr>
              <w:t>:</w:t>
            </w:r>
          </w:p>
          <w:p w14:paraId="514D0363">
            <w:pPr>
              <w:widowControl/>
              <w:autoSpaceDE w:val="0"/>
              <w:autoSpaceDN w:val="0"/>
              <w:snapToGrid w:val="0"/>
              <w:spacing w:line="360" w:lineRule="auto"/>
              <w:ind w:right="-154"/>
              <w:textAlignment w:val="bottom"/>
              <w:rPr>
                <w:rFonts w:hint="eastAsia" w:ascii="仿宋" w:hAnsi="仿宋" w:eastAsia="仿宋" w:cs="仿宋"/>
                <w:kern w:val="0"/>
                <w:sz w:val="24"/>
                <w:szCs w:val="24"/>
              </w:rPr>
            </w:pPr>
            <w:r>
              <w:rPr>
                <w:rFonts w:hint="eastAsia" w:ascii="仿宋" w:hAnsi="仿宋" w:eastAsia="仿宋" w:cs="仿宋"/>
                <w:kern w:val="0"/>
                <w:sz w:val="24"/>
                <w:szCs w:val="24"/>
              </w:rPr>
              <w:t>地址：</w:t>
            </w:r>
          </w:p>
          <w:p w14:paraId="723AD604">
            <w:pPr>
              <w:widowControl/>
              <w:autoSpaceDE w:val="0"/>
              <w:autoSpaceDN w:val="0"/>
              <w:snapToGrid w:val="0"/>
              <w:spacing w:line="360" w:lineRule="auto"/>
              <w:ind w:right="-154"/>
              <w:textAlignment w:val="bottom"/>
              <w:rPr>
                <w:rFonts w:hint="eastAsia" w:ascii="仿宋" w:hAnsi="仿宋" w:eastAsia="仿宋" w:cs="仿宋"/>
                <w:kern w:val="0"/>
                <w:sz w:val="24"/>
                <w:szCs w:val="24"/>
              </w:rPr>
            </w:pPr>
            <w:r>
              <w:rPr>
                <w:rFonts w:hint="eastAsia" w:ascii="仿宋" w:hAnsi="仿宋" w:eastAsia="仿宋" w:cs="仿宋"/>
                <w:kern w:val="0"/>
                <w:sz w:val="24"/>
                <w:szCs w:val="24"/>
              </w:rPr>
              <w:t>代表人（签字）：</w:t>
            </w:r>
          </w:p>
          <w:p w14:paraId="2DC56111">
            <w:pPr>
              <w:widowControl/>
              <w:autoSpaceDE w:val="0"/>
              <w:autoSpaceDN w:val="0"/>
              <w:snapToGrid w:val="0"/>
              <w:spacing w:line="360" w:lineRule="auto"/>
              <w:ind w:right="-154"/>
              <w:textAlignment w:val="bottom"/>
              <w:rPr>
                <w:rFonts w:hint="eastAsia" w:ascii="仿宋" w:hAnsi="仿宋" w:eastAsia="仿宋" w:cs="仿宋"/>
                <w:kern w:val="0"/>
                <w:sz w:val="24"/>
                <w:szCs w:val="24"/>
              </w:rPr>
            </w:pPr>
            <w:r>
              <w:rPr>
                <w:rFonts w:hint="eastAsia" w:ascii="仿宋" w:hAnsi="仿宋" w:eastAsia="仿宋" w:cs="仿宋"/>
                <w:kern w:val="0"/>
                <w:sz w:val="24"/>
                <w:szCs w:val="24"/>
              </w:rPr>
              <w:t>电话：</w:t>
            </w:r>
          </w:p>
          <w:p w14:paraId="4447FFEF">
            <w:pPr>
              <w:widowControl/>
              <w:autoSpaceDE w:val="0"/>
              <w:autoSpaceDN w:val="0"/>
              <w:snapToGrid w:val="0"/>
              <w:spacing w:line="360" w:lineRule="auto"/>
              <w:ind w:right="-154"/>
              <w:textAlignment w:val="bottom"/>
              <w:rPr>
                <w:rFonts w:hint="eastAsia" w:ascii="仿宋" w:hAnsi="仿宋" w:eastAsia="仿宋" w:cs="仿宋"/>
                <w:kern w:val="0"/>
                <w:sz w:val="24"/>
                <w:szCs w:val="24"/>
              </w:rPr>
            </w:pPr>
            <w:r>
              <w:rPr>
                <w:rFonts w:hint="eastAsia" w:ascii="仿宋" w:hAnsi="仿宋" w:eastAsia="仿宋" w:cs="仿宋"/>
                <w:kern w:val="0"/>
                <w:sz w:val="24"/>
                <w:szCs w:val="24"/>
              </w:rPr>
              <w:t>开户银行：</w:t>
            </w:r>
          </w:p>
          <w:p w14:paraId="6104D144">
            <w:pPr>
              <w:widowControl/>
              <w:autoSpaceDE w:val="0"/>
              <w:autoSpaceDN w:val="0"/>
              <w:snapToGrid w:val="0"/>
              <w:spacing w:line="360" w:lineRule="auto"/>
              <w:ind w:right="-154"/>
              <w:textAlignment w:val="bottom"/>
              <w:rPr>
                <w:rFonts w:hint="eastAsia" w:ascii="仿宋" w:hAnsi="仿宋" w:eastAsia="仿宋" w:cs="仿宋"/>
                <w:kern w:val="0"/>
                <w:sz w:val="24"/>
                <w:szCs w:val="24"/>
              </w:rPr>
            </w:pPr>
            <w:r>
              <w:rPr>
                <w:rFonts w:hint="eastAsia" w:ascii="仿宋" w:hAnsi="仿宋" w:eastAsia="仿宋" w:cs="仿宋"/>
                <w:kern w:val="0"/>
                <w:sz w:val="24"/>
                <w:szCs w:val="24"/>
              </w:rPr>
              <w:t>账号：</w:t>
            </w:r>
          </w:p>
        </w:tc>
      </w:tr>
    </w:tbl>
    <w:p w14:paraId="4FBB5BF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4057DB"/>
    <w:rsid w:val="0C73715F"/>
    <w:rsid w:val="152359C3"/>
    <w:rsid w:val="222E0BB2"/>
    <w:rsid w:val="2E4057DB"/>
    <w:rsid w:val="39465D0E"/>
    <w:rsid w:val="420C68C5"/>
    <w:rsid w:val="42F73E67"/>
    <w:rsid w:val="49861236"/>
    <w:rsid w:val="4CCC75F4"/>
    <w:rsid w:val="4CEA67EB"/>
    <w:rsid w:val="513419B6"/>
    <w:rsid w:val="53C02053"/>
    <w:rsid w:val="56A23932"/>
    <w:rsid w:val="5EB511BC"/>
    <w:rsid w:val="61E733D1"/>
    <w:rsid w:val="6A9053E9"/>
    <w:rsid w:val="6BFC4687"/>
    <w:rsid w:val="6E185FDB"/>
    <w:rsid w:val="74D06143"/>
    <w:rsid w:val="774C33C7"/>
    <w:rsid w:val="7DA83C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tabs>
        <w:tab w:val="left" w:pos="567"/>
      </w:tabs>
      <w:spacing w:before="120" w:line="22" w:lineRule="atLeast"/>
    </w:pPr>
    <w:rPr>
      <w:rFonts w:ascii="宋体" w:hAnsi="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1521</Words>
  <Characters>1559</Characters>
  <Lines>0</Lines>
  <Paragraphs>0</Paragraphs>
  <TotalTime>49</TotalTime>
  <ScaleCrop>false</ScaleCrop>
  <LinksUpToDate>false</LinksUpToDate>
  <CharactersWithSpaces>1598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2026-05-21T13:04:00Z</dcterms:created>
  <dc:creator>招标四部</dc:creator>
  <cp:lastModifiedBy>招标四部</cp:lastModifiedBy>
  <dcterms:modified xsi:type="dcterms:W3CDTF">2026-05-27T07:20:22Z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76304E0FA82D4EBFAE9368E7A70E36B8_11</vt:lpwstr>
  </property>
  <property fmtid="{D5CDD505-2E9C-101B-9397-08002B2CF9AE}" pid="4" name="KSOTemplateDocerSaveRecord">
    <vt:lpwstr>eyJoZGlkIjoiZGE2MDUyNWI4ZWQwNzdjN2ZkOTgyMzU3YmFmM2U5NzAiLCJ1c2VySWQiOiIyNDEwNjE3OTEifQ==</vt:lpwstr>
  </property>
</Properties>
</file>