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5AC5FB">
      <w:pPr>
        <w:pStyle w:val="6"/>
        <w:spacing w:line="460" w:lineRule="exact"/>
        <w:ind w:left="0"/>
        <w:rPr>
          <w:rFonts w:hint="eastAsia" w:ascii="宋体" w:hAnsi="宋体" w:cs="宋体"/>
          <w:b/>
          <w:lang w:eastAsia="zh-CN"/>
        </w:rPr>
      </w:pPr>
      <w:r>
        <w:rPr>
          <w:rFonts w:hint="eastAsia" w:ascii="宋体" w:hAnsi="宋体" w:cs="宋体"/>
          <w:b/>
          <w:lang w:eastAsia="zh-CN"/>
        </w:rPr>
        <w:t>一、排版设计</w:t>
      </w:r>
    </w:p>
    <w:p w14:paraId="6E43462F">
      <w:pPr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内文由方正书版11.0版本排版 ，公式手录检查。图片由CorelDRAW做图、Photoshop修图、校样校稿次数一般为3-5次（必要时可增加次数）直到甲方满意为止。</w:t>
      </w:r>
    </w:p>
    <w:p w14:paraId="7D2DBCBA">
      <w:pPr>
        <w:pStyle w:val="3"/>
        <w:spacing w:line="460" w:lineRule="exact"/>
        <w:jc w:val="left"/>
        <w:rPr>
          <w:rFonts w:hint="eastAsia"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</w:rPr>
        <w:t>二、印刷规格</w:t>
      </w:r>
    </w:p>
    <w:p w14:paraId="7090569D">
      <w:pPr>
        <w:pStyle w:val="3"/>
        <w:spacing w:line="460" w:lineRule="exact"/>
        <w:ind w:left="44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（1）开本：210×297mm；</w:t>
      </w:r>
    </w:p>
    <w:p w14:paraId="5C3319E7">
      <w:pPr>
        <w:pStyle w:val="3"/>
        <w:spacing w:line="460" w:lineRule="exact"/>
        <w:ind w:left="44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（2）内文纸质：</w:t>
      </w:r>
      <w:bookmarkStart w:id="0" w:name="_Hlk231980772"/>
      <w:r>
        <w:rPr>
          <w:rFonts w:hint="eastAsia" w:hAnsi="宋体" w:cs="宋体"/>
          <w:sz w:val="24"/>
          <w:szCs w:val="24"/>
        </w:rPr>
        <w:t>80g纯质，单色印刷</w:t>
      </w:r>
      <w:bookmarkEnd w:id="0"/>
      <w:r>
        <w:rPr>
          <w:rFonts w:hint="eastAsia" w:hAnsi="宋体" w:cs="宋体"/>
          <w:sz w:val="24"/>
          <w:szCs w:val="24"/>
        </w:rPr>
        <w:t xml:space="preserve">； </w:t>
      </w:r>
    </w:p>
    <w:p w14:paraId="6DBDF764">
      <w:pPr>
        <w:pStyle w:val="3"/>
        <w:spacing w:line="460" w:lineRule="exact"/>
        <w:ind w:left="44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（3）封面纸质及印刷色彩：200g铜，单面四色印刷，每期正背套单色,覆亚膜；</w:t>
      </w:r>
    </w:p>
    <w:p w14:paraId="1BD04822">
      <w:pPr>
        <w:pStyle w:val="3"/>
        <w:spacing w:line="460" w:lineRule="exact"/>
        <w:ind w:left="44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（4）装订方式：左边胶订；</w:t>
      </w:r>
    </w:p>
    <w:p w14:paraId="461CE262">
      <w:pPr>
        <w:pStyle w:val="3"/>
        <w:spacing w:line="460" w:lineRule="exact"/>
        <w:ind w:left="44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（5）包装方式：打捆；</w:t>
      </w:r>
    </w:p>
    <w:p w14:paraId="62A9C2D4">
      <w:pPr>
        <w:pStyle w:val="3"/>
        <w:spacing w:line="460" w:lineRule="exact"/>
        <w:ind w:left="440"/>
        <w:jc w:val="lef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>（6）印刷数量: 每年共12期,每期内文共174页,彩色封面2页,每期印刷1000本。</w:t>
      </w:r>
    </w:p>
    <w:p w14:paraId="102EF8D8">
      <w:pPr>
        <w:spacing w:line="460" w:lineRule="exact"/>
        <w:rPr>
          <w:rFonts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三、服务期限与质量要求</w:t>
      </w:r>
    </w:p>
    <w:p w14:paraId="556F3423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1.服务期限：</w:t>
      </w:r>
      <w:r>
        <w:rPr>
          <w:rFonts w:hint="eastAsia" w:ascii="宋体" w:hAnsi="宋体" w:cs="宋体"/>
          <w:kern w:val="0"/>
          <w:sz w:val="24"/>
          <w:highlight w:val="none"/>
          <w:shd w:val="clear" w:color="auto" w:fill="FFFFFF"/>
          <w:lang w:bidi="ar"/>
        </w:rPr>
        <w:t>出版社和采购人签字定稿后15日内按月交付当月全部成品。</w:t>
      </w:r>
    </w:p>
    <w:p w14:paraId="6A18B40B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2.印刷要达到与原稿基本一致。印刷文字清晰，不断笔画，整版（整册书）墨色均匀一致，版面洁净，无明显脏痕。</w:t>
      </w:r>
    </w:p>
    <w:p w14:paraId="407D1FB7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3.印刷图片网点清晰结实、不变形，不出龟纹、不糊版。层次清楚分明，反差适中、图像不虚、清晰度好。</w:t>
      </w:r>
    </w:p>
    <w:p w14:paraId="63944840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4.文字清秀，版心居中，正反版面上下、左右误差不超过2mm。</w:t>
      </w:r>
    </w:p>
    <w:p w14:paraId="383DE03B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5.彩页颜色还原自然，墨色饱和适中，色相纯正，不偏色，网点清晰、光洁，角度准确无重影。</w:t>
      </w:r>
    </w:p>
    <w:p w14:paraId="198A444B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6.不允许封面缩页、露色、露白，不允许书芯缩页；覆膜光亮平整，无皱折、起泡及卷曲。书壳平整，包边坚实、牢固，压槽深、宽适度，使封皮可自然平展。</w:t>
      </w:r>
    </w:p>
    <w:p w14:paraId="4F13265B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7.装订工艺符合精装图书有关行业规范及国家标准。</w:t>
      </w:r>
    </w:p>
    <w:p w14:paraId="29E00897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8.图书印刷成品均应符合国家有关图书质量管理标准。</w:t>
      </w:r>
    </w:p>
    <w:p w14:paraId="4ACC4256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9.保密要求：供应商对服务过程中知悉的采购人所有文件、资料及版面内容等承担严格保密义务，不得以任何形式向第三方泄露、传播或用于本项目以外的用途。供应商须指定专人负责文件资料的接收、保管与清退，项目验收合格后，所有电子及纸质文件须在采购人确认下彻底删除或销毁，不得留存备份。供应商须与参与本项目的所有人员签订保密协议，因泄密造成损失的，由供应商承担全部法律责任及经济赔偿，保密义务长期有效。</w:t>
      </w:r>
    </w:p>
    <w:p w14:paraId="0275E2AC">
      <w:pPr>
        <w:spacing w:line="46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10.不合格品处理：成品以采购人签字确认的定稿样稿及合同约定的技术参数、质量标准为验收依据。采购人有权对成品进行不低于5%比例的抽检，合格率低于95%时，可要求逐册检验。凡存在内容错漏、印刷质量不符、装订不合格或因运输包装造成损坏的，均视为不合格品，供应商须在5个工作日内无条件免费返工或重印，并承担由此产生的全部费用。返工后仍不合格的，采购人有权拒收、扣减相应费用或解除合同。因返工延误交货的，按合同违约条款处理，全部损耗由供应商自行承担。</w:t>
      </w:r>
    </w:p>
    <w:p w14:paraId="0A8F564E">
      <w:pPr>
        <w:spacing w:line="460" w:lineRule="exact"/>
        <w:ind w:firstLine="480" w:firstLineChars="200"/>
        <w:rPr>
          <w:rFonts w:ascii="宋体" w:hAnsi="宋体"/>
          <w:sz w:val="24"/>
          <w:highlight w:val="yellow"/>
        </w:rPr>
      </w:pPr>
    </w:p>
    <w:p w14:paraId="3062A25C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401D33"/>
    <w:rsid w:val="5A401D33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6">
    <w:name w:val="List Paragraph"/>
    <w:basedOn w:val="1"/>
    <w:qFormat/>
    <w:uiPriority w:val="0"/>
    <w:pPr>
      <w:widowControl/>
      <w:spacing w:line="240" w:lineRule="auto"/>
      <w:ind w:left="720"/>
      <w:contextualSpacing/>
      <w:jc w:val="left"/>
    </w:pPr>
    <w:rPr>
      <w:rFonts w:ascii="Calibri" w:hAnsi="Calibri"/>
      <w:kern w:val="0"/>
      <w:sz w:val="24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2026-06-25T07:40:00Z</dcterms:created>
  <dc:creator>123</dc:creator>
  <cp:lastModifiedBy>123</cp:lastModifiedBy>
  <dcterms:modified xsi:type="dcterms:W3CDTF">2026-06-25T07:41:04Z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7F306142AFCC411794420AC88346F8F0_11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