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版本号：DQB-2026015-CS20260508001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省政府门户网站英文版、多媒体栏目及政务新媒体运营服务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DQB-2026015-CS</w:t>
      </w:r>
      <w:r>
        <w:br/>
      </w:r>
      <w:r>
        <w:br/>
      </w:r>
      <w:r>
        <w:br/>
      </w:r>
    </w:p>
    <w:p>
      <w:pPr>
        <w:pStyle w:val="null3"/>
        <w:jc w:val="center"/>
        <w:outlineLvl w:val="2"/>
      </w:pPr>
      <w:r>
        <w:rPr>
          <w:rFonts w:ascii="仿宋_GB2312" w:hAnsi="仿宋_GB2312" w:cs="仿宋_GB2312" w:eastAsia="仿宋_GB2312"/>
          <w:sz w:val="28"/>
          <w:b/>
        </w:rPr>
        <w:t>省政府办公厅机关</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省政府办公厅机关</w:t>
      </w:r>
      <w:r>
        <w:rPr>
          <w:rFonts w:ascii="仿宋_GB2312" w:hAnsi="仿宋_GB2312" w:cs="仿宋_GB2312" w:eastAsia="仿宋_GB2312"/>
        </w:rPr>
        <w:t>委托，拟对</w:t>
      </w:r>
      <w:r>
        <w:rPr>
          <w:rFonts w:ascii="仿宋_GB2312" w:hAnsi="仿宋_GB2312" w:cs="仿宋_GB2312" w:eastAsia="仿宋_GB2312"/>
        </w:rPr>
        <w:t>省政府门户网站英文版、多媒体栏目及政务新媒体运营服务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DQB-2026015-CS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省政府门户网站英文版、多媒体栏目及政务新媒体运营服务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省政府门户网站英文版、多媒体栏目及政务新媒体运营服务。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1、营业执照等主体资格证明文件：具有独立承担民事责任的能力。提供注册登记凭证（营业执照、其他组织经营的合法凭证、自然人的身份证明文件）。</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3、必需的设备和专业技术能力：具有履行合同所必需的设备和专业技术能力。提供声明文件。</w:t>
      </w:r>
    </w:p>
    <w:p>
      <w:pPr>
        <w:pStyle w:val="null3"/>
      </w:pPr>
      <w:r>
        <w:rPr>
          <w:rFonts w:ascii="仿宋_GB2312" w:hAnsi="仿宋_GB2312" w:cs="仿宋_GB2312" w:eastAsia="仿宋_GB2312"/>
        </w:rPr>
        <w:t>4、税收缴纳证明：具有依法缴纳税收的良好记录。提供缴费所属日期为投标截止时间前6个月内任一月份（投标截止时间当月不计入）的缴费凭据或税务机关出具的完税证明/在法规范围内不需提供的应出具书面说明和证明文件；/或具有依法缴纳税收的诚信声明；以上两种形式的资料提供任何一种即可。</w:t>
      </w:r>
    </w:p>
    <w:p>
      <w:pPr>
        <w:pStyle w:val="null3"/>
      </w:pPr>
      <w:r>
        <w:rPr>
          <w:rFonts w:ascii="仿宋_GB2312" w:hAnsi="仿宋_GB2312" w:cs="仿宋_GB2312" w:eastAsia="仿宋_GB2312"/>
        </w:rPr>
        <w:t>5、社保缴纳证明：具有依法缴纳社会保障资金的良好记录。提供缴费所属日期为投标截止时间前6个月内任一月份（投标截止时间当月不计入）的缴费凭据或社保机关出具的缴费证明/在法规范围内不需提供的应出具书面说明和证明文件；/或具有依法缴纳社会保障资金的缴纳记录的诚信声明；以上两种形式的资料提供任何一种即可。</w:t>
      </w:r>
    </w:p>
    <w:p>
      <w:pPr>
        <w:pStyle w:val="null3"/>
      </w:pPr>
      <w:r>
        <w:rPr>
          <w:rFonts w:ascii="仿宋_GB2312" w:hAnsi="仿宋_GB2312" w:cs="仿宋_GB2312" w:eastAsia="仿宋_GB2312"/>
        </w:rPr>
        <w:t>6、近三年无重大违法、违纪书面声明：参加政府采购活动前3年内在经营活动中没有重大违法记录的书面声明。</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法定代表人授权委托书：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9、本项目不接受联合体投标，不允许分包：投标供应商应提供《非联合体不分包投标声明》，视为独立投标，不分包。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1、营业执照等主体资格证明文件：具有独立承担民事责任的能力。提供注册登记凭证（营业执照、其他组织经营的合法凭证、自然人的身份证明文件）。</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3、必需的设备和专业技术能力：具有履行合同所必需的设备和专业技术能力。提供声明文件。</w:t>
      </w:r>
    </w:p>
    <w:p>
      <w:pPr>
        <w:pStyle w:val="null3"/>
      </w:pPr>
      <w:r>
        <w:rPr>
          <w:rFonts w:ascii="仿宋_GB2312" w:hAnsi="仿宋_GB2312" w:cs="仿宋_GB2312" w:eastAsia="仿宋_GB2312"/>
        </w:rPr>
        <w:t>4、税收缴纳证明：具有依法缴纳税收的良好记录。提供缴费所属日期为投标截止时间前6个月内任一月份（投标截止时间当月不计入）的缴费凭据或税务机关出具的完税证明/在法规范围内不需提供的应出具书面说明和证明文件；/或具有依法缴纳税收的诚信声明；以上两种形式的资料提供任何一种即可。</w:t>
      </w:r>
    </w:p>
    <w:p>
      <w:pPr>
        <w:pStyle w:val="null3"/>
      </w:pPr>
      <w:r>
        <w:rPr>
          <w:rFonts w:ascii="仿宋_GB2312" w:hAnsi="仿宋_GB2312" w:cs="仿宋_GB2312" w:eastAsia="仿宋_GB2312"/>
        </w:rPr>
        <w:t>5、社保缴纳证明：具有依法缴纳社会保障资金的良好记录。提供缴费所属日期为投标截止时间前6个月内任一月份（投标截止时间当月不计入）的缴费凭据或社保机关出具的缴费证明/在法规范围内不需提供的应出具书面说明和证明文件；/或具有依法缴纳社会保障资金的缴纳记录的诚信声明；以上两种形式的资料提供任何一种即可。</w:t>
      </w:r>
    </w:p>
    <w:p>
      <w:pPr>
        <w:pStyle w:val="null3"/>
      </w:pPr>
      <w:r>
        <w:rPr>
          <w:rFonts w:ascii="仿宋_GB2312" w:hAnsi="仿宋_GB2312" w:cs="仿宋_GB2312" w:eastAsia="仿宋_GB2312"/>
        </w:rPr>
        <w:t>6、近三年无重大违法、违纪书面声明：参加政府采购活动前3年内在经营活动中没有重大违法记录的书面声明。</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法定代表人授权委托书：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9、本项目不接受联合体投标，不允许分包：投标供应商应提供《非联合体不分包投标声明》，视为独立投标，不分包。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1、营业执照等主体资格证明文件：具有独立承担民事责任的能力。提供注册登记凭证（营业执照、其他组织经营的合法凭证、自然人的身份证明文件）。</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3、必需的设备和专业技术能力：具有履行合同所必需的设备和专业技术能力。提供声明文件。</w:t>
      </w:r>
    </w:p>
    <w:p>
      <w:pPr>
        <w:pStyle w:val="null3"/>
      </w:pPr>
      <w:r>
        <w:rPr>
          <w:rFonts w:ascii="仿宋_GB2312" w:hAnsi="仿宋_GB2312" w:cs="仿宋_GB2312" w:eastAsia="仿宋_GB2312"/>
        </w:rPr>
        <w:t>4、税收缴纳证明：具有依法缴纳税收的良好记录。提供缴费所属日期为投标截止时间前6个月内任一月份（投标截止时间当月不计入）的缴费凭据或税务机关出具的完税证明/在法规范围内不需提供的应出具书面说明和证明文件；/或具有依法缴纳税收的诚信声明；以上两种形式的资料提供任何一种即可。</w:t>
      </w:r>
    </w:p>
    <w:p>
      <w:pPr>
        <w:pStyle w:val="null3"/>
      </w:pPr>
      <w:r>
        <w:rPr>
          <w:rFonts w:ascii="仿宋_GB2312" w:hAnsi="仿宋_GB2312" w:cs="仿宋_GB2312" w:eastAsia="仿宋_GB2312"/>
        </w:rPr>
        <w:t>5、社保缴纳证明：具有依法缴纳社会保障资金的良好记录。提供缴费所属日期为投标截止时间前6个月内任一月份（投标截止时间当月不计入）的缴费凭据或社保机关出具的缴费证明/在法规范围内不需提供的应出具书面说明和证明文件；/或具有依法缴纳社会保障资金的缴纳记录的诚信声明；以上两种形式的资料提供任何一种即可。</w:t>
      </w:r>
    </w:p>
    <w:p>
      <w:pPr>
        <w:pStyle w:val="null3"/>
      </w:pPr>
      <w:r>
        <w:rPr>
          <w:rFonts w:ascii="仿宋_GB2312" w:hAnsi="仿宋_GB2312" w:cs="仿宋_GB2312" w:eastAsia="仿宋_GB2312"/>
        </w:rPr>
        <w:t>6、近三年无重大违法、违纪书面声明：参加政府采购活动前3年内在经营活动中没有重大违法记录的书面声明。</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法定代表人授权委托书：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9、本项目不接受联合体投标，不允许分包：投标供应商应提供《非联合体不分包投标声明》，视为独立投标，不分包。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省政府办公厅机关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陕西省西安市新城区省政府大院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029-63912334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姜仕路、李寅辰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采购包1：985,000.00元</w:t>
            </w:r>
          </w:p>
          <w:p>
            <w:pPr>
              <w:pStyle w:val="null3"/>
            </w:pPr>
            <w:r>
              <w:rPr>
                <w:rFonts w:ascii="仿宋_GB2312" w:hAnsi="仿宋_GB2312" w:cs="仿宋_GB2312" w:eastAsia="仿宋_GB2312"/>
              </w:rPr>
              <w:t>采购包2：835,000.00元</w:t>
            </w:r>
          </w:p>
          <w:p>
            <w:pPr>
              <w:pStyle w:val="null3"/>
            </w:pPr>
            <w:r>
              <w:rPr>
                <w:rFonts w:ascii="仿宋_GB2312" w:hAnsi="仿宋_GB2312" w:cs="仿宋_GB2312" w:eastAsia="仿宋_GB2312"/>
              </w:rPr>
              <w:t>采购包3：800,000.00元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无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无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采购包1保证金金额：19,000.00元</w:t>
            </w:r>
          </w:p>
          <w:p>
            <w:pPr>
              <w:pStyle w:val="null3"/>
            </w:pPr>
            <w:r>
              <w:rPr>
                <w:rFonts w:ascii="仿宋_GB2312" w:hAnsi="仿宋_GB2312" w:cs="仿宋_GB2312" w:eastAsia="仿宋_GB2312"/>
              </w:rPr>
              <w:t>采购包2保证金金额：16,700.00元</w:t>
            </w:r>
          </w:p>
          <w:p>
            <w:pPr>
              <w:pStyle w:val="null3"/>
            </w:pPr>
            <w:r>
              <w:rPr>
                <w:rFonts w:ascii="仿宋_GB2312" w:hAnsi="仿宋_GB2312" w:cs="仿宋_GB2312" w:eastAsia="仿宋_GB2312"/>
              </w:rPr>
              <w:t>采购包3保证金金额：16,000.00元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银行账号：52880188000157646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 号）、《国家发展和改革委员会办公厅关于招标代理服务收费有关问题的通知》（发改办价格〔2003〕857 号）规定向中标（成交）供应商收取代理服务费。采购失败的，不产生招标代理费。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省政府办公厅机关</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省政府办公厅机关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省政府办公厅机关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联系人：姜仕路、李寅辰</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为适应省政府对外宣传工作新形势新任务新要求，更高标准、更高质效持续做好省政府门户网站英文版、多媒体栏目和“陕西发布”微博、微信发布工作，计划采购如下服务： 1.“陕西发布”微博微信基础运营服务，策划设计制作专题，开展粉丝主题活动。 2.省政府门户网站英文版基础运营服务，策划设计制作专题，建立健全审读机制，提出翻译和网站建设的意见建议。 3.省政府门户网站多媒体栏目运营服务，聚焦政策文件解读、重要会议解读、公众关注热点回应等方面，优化“视频”栏目架构，采编制作相关视频、图片。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985,000.00</w:t>
      </w:r>
    </w:p>
    <w:p>
      <w:pPr>
        <w:pStyle w:val="null3"/>
      </w:pPr>
      <w:r>
        <w:rPr>
          <w:rFonts w:ascii="仿宋_GB2312" w:hAnsi="仿宋_GB2312" w:cs="仿宋_GB2312" w:eastAsia="仿宋_GB2312"/>
        </w:rPr>
        <w:t>采购包最高限价（元）: 985,000.00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"陕西发布"微博微信运营服务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985,000.00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835,000.00</w:t>
      </w:r>
    </w:p>
    <w:p>
      <w:pPr>
        <w:pStyle w:val="null3"/>
      </w:pPr>
      <w:r>
        <w:rPr>
          <w:rFonts w:ascii="仿宋_GB2312" w:hAnsi="仿宋_GB2312" w:cs="仿宋_GB2312" w:eastAsia="仿宋_GB2312"/>
        </w:rPr>
        <w:t>采购包最高限价（元）: 835,000.00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陕西省政府门户网站英文版运营服务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835,000.00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省政府门户网站多媒体栏目运营服务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标的名称："陕西发布"微博微信运营服务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信息技术服务：“陕西发布”微博、微信栏目优化、页面架构、自定义菜单开发、专栏设计、页面美化等。</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团队服务保障：按“三审三校”要求，组建“陕西发布”微博微信专职运营团队，做好微博、微信平台日常运营及管理。共不少于</w:t>
            </w:r>
            <w:r>
              <w:rPr>
                <w:rFonts w:ascii="仿宋_GB2312" w:hAnsi="仿宋_GB2312" w:cs="仿宋_GB2312" w:eastAsia="仿宋_GB2312"/>
                <w:sz w:val="21"/>
              </w:rPr>
              <w:t>6人，至少</w:t>
            </w:r>
            <w:r>
              <w:rPr>
                <w:rFonts w:ascii="仿宋_GB2312" w:hAnsi="仿宋_GB2312" w:cs="仿宋_GB2312" w:eastAsia="仿宋_GB2312"/>
                <w:sz w:val="21"/>
              </w:rPr>
              <w:t>含</w:t>
            </w:r>
            <w:r>
              <w:rPr>
                <w:rFonts w:ascii="仿宋_GB2312" w:hAnsi="仿宋_GB2312" w:cs="仿宋_GB2312" w:eastAsia="仿宋_GB2312"/>
                <w:sz w:val="21"/>
              </w:rPr>
              <w:t>2</w:t>
            </w:r>
            <w:r>
              <w:rPr>
                <w:rFonts w:ascii="仿宋_GB2312" w:hAnsi="仿宋_GB2312" w:cs="仿宋_GB2312" w:eastAsia="仿宋_GB2312"/>
                <w:sz w:val="21"/>
              </w:rPr>
              <w:t>名专职编辑，2名审核人员，1名终审人员，另需</w:t>
            </w:r>
            <w:r>
              <w:rPr>
                <w:rFonts w:ascii="仿宋_GB2312" w:hAnsi="仿宋_GB2312" w:cs="仿宋_GB2312" w:eastAsia="仿宋_GB2312"/>
                <w:sz w:val="21"/>
              </w:rPr>
              <w:t>1名美工负责图片海报等设计制作。</w:t>
            </w:r>
          </w:p>
          <w:p>
            <w:pPr>
              <w:pStyle w:val="null3"/>
            </w:pPr>
            <w:r>
              <w:rPr>
                <w:rFonts w:ascii="仿宋_GB2312" w:hAnsi="仿宋_GB2312" w:cs="仿宋_GB2312" w:eastAsia="仿宋_GB2312"/>
                <w:sz w:val="21"/>
              </w:rPr>
              <w:t>专职编辑（</w:t>
            </w:r>
            <w:r>
              <w:rPr>
                <w:rFonts w:ascii="仿宋_GB2312" w:hAnsi="仿宋_GB2312" w:cs="仿宋_GB2312" w:eastAsia="仿宋_GB2312"/>
                <w:sz w:val="21"/>
              </w:rPr>
              <w:t>2</w:t>
            </w:r>
            <w:r>
              <w:rPr>
                <w:rFonts w:ascii="仿宋_GB2312" w:hAnsi="仿宋_GB2312" w:cs="仿宋_GB2312" w:eastAsia="仿宋_GB2312"/>
                <w:sz w:val="21"/>
              </w:rPr>
              <w:t>名）：负责日常信息的筛选、编排、校对，以及原创内容的策划与撰写，需具备扎实的文字功底、政务信息敏感度和新媒体运营经验，能够熟练运用微信公众号、微博等各类新媒体编辑工具，并能熟练应用海报、长图、H5、动图、小视频、直播等宣传形式。</w:t>
            </w:r>
          </w:p>
          <w:p>
            <w:pPr>
              <w:pStyle w:val="null3"/>
            </w:pPr>
            <w:r>
              <w:rPr>
                <w:rFonts w:ascii="仿宋_GB2312" w:hAnsi="仿宋_GB2312" w:cs="仿宋_GB2312" w:eastAsia="仿宋_GB2312"/>
                <w:sz w:val="21"/>
              </w:rPr>
              <w:t>审核人员（2名）：承担信息初审工作，严格把控政治关、法律关、政策关、保密关和文字关，确保发布内容准确无误、合规合法。审核人员需熟悉政务工作流程，具备较强的风险防范意识和审核能力。</w:t>
            </w:r>
          </w:p>
          <w:p>
            <w:pPr>
              <w:pStyle w:val="null3"/>
            </w:pPr>
            <w:r>
              <w:rPr>
                <w:rFonts w:ascii="仿宋_GB2312" w:hAnsi="仿宋_GB2312" w:cs="仿宋_GB2312" w:eastAsia="仿宋_GB2312"/>
                <w:sz w:val="21"/>
              </w:rPr>
              <w:t>终审人员（1名）：负责信息的最终审核，拥有政务信息发布终审权限，需具备丰富的政务工作经验和较高的政治素养，能够对复杂信息进行精准判断和决策。</w:t>
            </w:r>
          </w:p>
          <w:p>
            <w:pPr>
              <w:pStyle w:val="null3"/>
              <w:jc w:val="both"/>
            </w:pPr>
            <w:r>
              <w:rPr>
                <w:rFonts w:ascii="仿宋_GB2312" w:hAnsi="仿宋_GB2312" w:cs="仿宋_GB2312" w:eastAsia="仿宋_GB2312"/>
                <w:sz w:val="21"/>
              </w:rPr>
              <w:t>美工（1名）：负责图片海报等设计制作。</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运营服务：“陕西发布”微博、微信不分节假日推送信息，需7*24小时值班，如遇紧急重要稿件需及时发布，并做好应急处置等工作。“陕西发布”微信每日发布不少于三组（早晨组、中午组、晚间组），服务期共发布不少于7000条；“陕西发布”微博服务期共发布不少于15000条。内容涵盖政务要闻、政策解读、民生资讯、服务信息等，注重内容的多样性和实用性。对发布内容进行精细化编辑、排版与校对、审核，确保内容准确、格式美观、阅读体验流畅。</w:t>
            </w:r>
          </w:p>
          <w:p>
            <w:pPr>
              <w:pStyle w:val="null3"/>
              <w:jc w:val="both"/>
            </w:pPr>
            <w:r>
              <w:rPr>
                <w:rFonts w:ascii="仿宋_GB2312" w:hAnsi="仿宋_GB2312" w:cs="仿宋_GB2312" w:eastAsia="仿宋_GB2312"/>
                <w:sz w:val="21"/>
              </w:rPr>
              <w:t>信息发布流程：值班编辑每日筛选重要</w:t>
            </w:r>
            <w:r>
              <w:rPr>
                <w:rFonts w:ascii="仿宋_GB2312" w:hAnsi="仿宋_GB2312" w:cs="仿宋_GB2312" w:eastAsia="仿宋_GB2312"/>
                <w:sz w:val="21"/>
              </w:rPr>
              <w:t>信息，进行编排、校对后形成信息预览稿；审核人员对预览稿进行初审，提出修改意见或审核意见；终审人员对初审通过的稿件进行最终审核，审核通过后，交由“陕西发布”微博微信主管单位审核，通过后再由责任编辑发布。</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粉丝活动：聚焦我省热点政策解读、政务公开、公众关注热点等方面，策划开展粉丝主题活动，创新宣传方式，拓宽宣传渠道，增强“陕西发布”微博微信的影响力、传播力。共计开展不少于2场粉丝主题活动，至少包含</w:t>
            </w:r>
            <w:r>
              <w:rPr>
                <w:rFonts w:ascii="仿宋_GB2312" w:hAnsi="仿宋_GB2312" w:cs="仿宋_GB2312" w:eastAsia="仿宋_GB2312"/>
                <w:sz w:val="21"/>
              </w:rPr>
              <w:t>1场线下活动</w:t>
            </w:r>
            <w:r>
              <w:rPr>
                <w:rFonts w:ascii="仿宋_GB2312" w:hAnsi="仿宋_GB2312" w:cs="仿宋_GB2312" w:eastAsia="仿宋_GB2312"/>
                <w:sz w:val="21"/>
              </w:rPr>
              <w:t>。</w:t>
            </w:r>
          </w:p>
          <w:p>
            <w:pPr>
              <w:pStyle w:val="null3"/>
            </w:pPr>
            <w:r>
              <w:rPr>
                <w:rFonts w:ascii="仿宋_GB2312" w:hAnsi="仿宋_GB2312" w:cs="仿宋_GB2312" w:eastAsia="仿宋_GB2312"/>
                <w:sz w:val="21"/>
              </w:rPr>
              <w:t>选题策划：活动选题需紧密围绕我省政务公开、政策解读、政务服务和民生需求，例如“民生政策面对面”“政务服务体验行”等，充分吸引粉丝兴趣和参与热情。</w:t>
            </w:r>
          </w:p>
          <w:p>
            <w:pPr>
              <w:pStyle w:val="null3"/>
            </w:pPr>
            <w:r>
              <w:rPr>
                <w:rFonts w:ascii="仿宋_GB2312" w:hAnsi="仿宋_GB2312" w:cs="仿宋_GB2312" w:eastAsia="仿宋_GB2312"/>
                <w:sz w:val="21"/>
              </w:rPr>
              <w:t>活动实施：活动需注重线上线下协同，线上通过微博微信平台开展政策解读直播、互动问答、话题讨论等活动，线下可组织粉丝走进政务服务大厅、重点项目现场等，实地了解政务工作开展情况，增强粉丝对政务工作的认同感和信任感。</w:t>
            </w:r>
          </w:p>
          <w:p>
            <w:pPr>
              <w:pStyle w:val="null3"/>
              <w:jc w:val="both"/>
            </w:pPr>
            <w:r>
              <w:rPr>
                <w:rFonts w:ascii="仿宋_GB2312" w:hAnsi="仿宋_GB2312" w:cs="仿宋_GB2312" w:eastAsia="仿宋_GB2312"/>
                <w:sz w:val="21"/>
              </w:rPr>
              <w:t>宣传引领：活动过程中需做好正面宣传引导，及时回应粉丝关切，传递政务工作的正能量，提升“陕西发布”微博微信的亲和力和公信力。</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原创专题制作推送：服务省政府宣传工作需要，紧密围绕政务公开、政策解读和重要政务活动，策划制作不少于4次形式新颖、内容丰富的原创特色专题专栏。例如，在春节、国庆等重要节假日策划“陕西政务民生成绩单”专题，在省两会期间策划“聚焦两会·解读政策”“聚焦政府工作报告”专题等。</w:t>
            </w:r>
          </w:p>
          <w:p>
            <w:pPr>
              <w:pStyle w:val="null3"/>
            </w:pPr>
            <w:r>
              <w:rPr>
                <w:rFonts w:ascii="仿宋_GB2312" w:hAnsi="仿宋_GB2312" w:cs="仿宋_GB2312" w:eastAsia="仿宋_GB2312"/>
                <w:sz w:val="21"/>
              </w:rPr>
              <w:t>主题海报制作：制作主题海报不少于30次，海报需设计精美、主题鲜明，符合政务宣传的严谨性和新媒体传播的视觉化要求，能够直观传递政务信息和活动主题。海报内容需与平台发布信息同步，增强信息传播的立体感和吸引力。</w:t>
            </w:r>
          </w:p>
          <w:p>
            <w:pPr>
              <w:pStyle w:val="null3"/>
              <w:jc w:val="both"/>
            </w:pPr>
            <w:r>
              <w:rPr>
                <w:rFonts w:ascii="仿宋_GB2312" w:hAnsi="仿宋_GB2312" w:cs="仿宋_GB2312" w:eastAsia="仿宋_GB2312"/>
                <w:sz w:val="21"/>
              </w:rPr>
              <w:t>信息同步推送：专题内容和主题海报发布时，需在“陕西发布”微博、微信同步推送，并设计制作网页专题页面，在省政府门户网站同步发布，实现多平台联动传播。</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用户评论、留言、转发、微博热搜榜单等</w:t>
            </w:r>
            <w:r>
              <w:rPr>
                <w:rFonts w:ascii="仿宋_GB2312" w:hAnsi="仿宋_GB2312" w:cs="仿宋_GB2312" w:eastAsia="仿宋_GB2312"/>
                <w:sz w:val="21"/>
              </w:rPr>
              <w:t>处置反馈：及时关注用户评论、留言、转发、微博热搜榜单等情况，</w:t>
            </w:r>
            <w:r>
              <w:rPr>
                <w:rFonts w:ascii="仿宋_GB2312" w:hAnsi="仿宋_GB2312" w:cs="仿宋_GB2312" w:eastAsia="仿宋_GB2312"/>
                <w:sz w:val="21"/>
              </w:rPr>
              <w:t>7*24小时值班，</w:t>
            </w:r>
            <w:r>
              <w:rPr>
                <w:rFonts w:ascii="仿宋_GB2312" w:hAnsi="仿宋_GB2312" w:cs="仿宋_GB2312" w:eastAsia="仿宋_GB2312"/>
                <w:sz w:val="21"/>
              </w:rPr>
              <w:t>第一时间反馈处置。</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数据监测总结：每月梳理总结发布量、粉丝量、评论留言等重要数据，提出优化改进方案。及时响应提供统计数据、工作总结等。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标的名称：陕西省政府门户网站英文版运营服务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基础运营服务</w:t>
            </w:r>
          </w:p>
          <w:p>
            <w:pPr>
              <w:pStyle w:val="null3"/>
              <w:jc w:val="both"/>
            </w:pPr>
            <w:r>
              <w:rPr>
                <w:rFonts w:ascii="仿宋_GB2312" w:hAnsi="仿宋_GB2312" w:cs="仿宋_GB2312" w:eastAsia="仿宋_GB2312"/>
                <w:sz w:val="21"/>
              </w:rPr>
              <w:t>陕西省政府门户网站英文版块网站框架设置、页面优化、内容策划、语言翻译、社会调研、专家审读、宣传推广等一体化运维保障服务工作，确保英文稿件零政治差错、翻译准确。成立专业化运维服务团队，含6名专职编辑，2名审核人员，1名终审。采用“三审三校”的审核机制，确保英文稿件零政治差错、翻译准确。实行7×24小时安全值班制度。</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基础运营量化指标</w:t>
            </w:r>
          </w:p>
          <w:p>
            <w:pPr>
              <w:pStyle w:val="null3"/>
              <w:jc w:val="both"/>
            </w:pPr>
            <w:r>
              <w:rPr>
                <w:rFonts w:ascii="仿宋_GB2312" w:hAnsi="仿宋_GB2312" w:cs="仿宋_GB2312" w:eastAsia="仿宋_GB2312"/>
                <w:sz w:val="21"/>
              </w:rPr>
              <w:t>网站翻译与内容维护：具体包括稿件收集、编译、外国专家改稿、资深编辑审核、编辑页面维护等工作。全年信息搜集、翻译、审校与发布不少于600条，翻译量不少于60万字。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网站内容策划指标</w:t>
            </w:r>
          </w:p>
          <w:p>
            <w:pPr>
              <w:pStyle w:val="null3"/>
            </w:pPr>
            <w:r>
              <w:rPr>
                <w:rFonts w:ascii="仿宋_GB2312" w:hAnsi="仿宋_GB2312" w:cs="仿宋_GB2312" w:eastAsia="仿宋_GB2312"/>
                <w:sz w:val="21"/>
              </w:rPr>
              <w:t>重点栏目策划与报道：包括陕西自贸区、文化旅游、商贸投资、本地服务、陕西简介、国际会议、博览会、赛事、国家级非物质文化遗产、热点专题等模块的策划与报道，制作原创英文专题、中英视频不少于16个；</w:t>
            </w:r>
          </w:p>
          <w:p>
            <w:pPr>
              <w:pStyle w:val="null3"/>
            </w:pPr>
            <w:r>
              <w:rPr>
                <w:rFonts w:ascii="仿宋_GB2312" w:hAnsi="仿宋_GB2312" w:cs="仿宋_GB2312" w:eastAsia="仿宋_GB2312"/>
                <w:sz w:val="21"/>
              </w:rPr>
              <w:t>多媒体报道服务；</w:t>
            </w:r>
          </w:p>
          <w:p>
            <w:pPr>
              <w:pStyle w:val="null3"/>
            </w:pPr>
            <w:r>
              <w:rPr>
                <w:rFonts w:ascii="仿宋_GB2312" w:hAnsi="仿宋_GB2312" w:cs="仿宋_GB2312" w:eastAsia="仿宋_GB2312"/>
                <w:sz w:val="21"/>
              </w:rPr>
              <w:t>协助完成网站社会研究、调研等任务；</w:t>
            </w:r>
          </w:p>
          <w:p>
            <w:pPr>
              <w:pStyle w:val="null3"/>
              <w:jc w:val="both"/>
            </w:pPr>
            <w:r>
              <w:rPr>
                <w:rFonts w:ascii="仿宋_GB2312" w:hAnsi="仿宋_GB2312" w:cs="仿宋_GB2312" w:eastAsia="仿宋_GB2312"/>
                <w:sz w:val="21"/>
              </w:rPr>
              <w:t>扩大网站对外推广宣传等。</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建立</w:t>
            </w:r>
            <w:r>
              <w:rPr>
                <w:rFonts w:ascii="仿宋_GB2312" w:hAnsi="仿宋_GB2312" w:cs="仿宋_GB2312" w:eastAsia="仿宋_GB2312"/>
                <w:sz w:val="21"/>
              </w:rPr>
              <w:t>专家审读</w:t>
            </w:r>
            <w:r>
              <w:rPr>
                <w:rFonts w:ascii="仿宋_GB2312" w:hAnsi="仿宋_GB2312" w:cs="仿宋_GB2312" w:eastAsia="仿宋_GB2312"/>
                <w:sz w:val="21"/>
              </w:rPr>
              <w:t>机制</w:t>
            </w:r>
          </w:p>
          <w:p>
            <w:pPr>
              <w:pStyle w:val="null3"/>
            </w:pPr>
            <w:r>
              <w:rPr>
                <w:rFonts w:ascii="仿宋_GB2312" w:hAnsi="仿宋_GB2312" w:cs="仿宋_GB2312" w:eastAsia="仿宋_GB2312"/>
                <w:sz w:val="21"/>
              </w:rPr>
              <w:t>重点内容专项审读：涉及重大政策、敏感信息、重要活动的内容，</w:t>
            </w:r>
            <w:r>
              <w:rPr>
                <w:rFonts w:ascii="仿宋_GB2312" w:hAnsi="仿宋_GB2312" w:cs="仿宋_GB2312" w:eastAsia="仿宋_GB2312"/>
                <w:sz w:val="21"/>
              </w:rPr>
              <w:t>进行</w:t>
            </w:r>
            <w:r>
              <w:rPr>
                <w:rFonts w:ascii="仿宋_GB2312" w:hAnsi="仿宋_GB2312" w:cs="仿宋_GB2312" w:eastAsia="仿宋_GB2312"/>
                <w:sz w:val="21"/>
              </w:rPr>
              <w:t>审读</w:t>
            </w:r>
            <w:r>
              <w:rPr>
                <w:rFonts w:ascii="仿宋_GB2312" w:hAnsi="仿宋_GB2312" w:cs="仿宋_GB2312" w:eastAsia="仿宋_GB2312"/>
                <w:sz w:val="21"/>
              </w:rPr>
              <w:t>，</w:t>
            </w:r>
            <w:r>
              <w:rPr>
                <w:rFonts w:ascii="仿宋_GB2312" w:hAnsi="仿宋_GB2312" w:cs="仿宋_GB2312" w:eastAsia="仿宋_GB2312"/>
                <w:sz w:val="21"/>
              </w:rPr>
              <w:t>确保无偏差。</w:t>
            </w:r>
          </w:p>
          <w:p>
            <w:pPr>
              <w:pStyle w:val="null3"/>
              <w:jc w:val="both"/>
            </w:pPr>
            <w:r>
              <w:rPr>
                <w:rFonts w:ascii="仿宋_GB2312" w:hAnsi="仿宋_GB2312" w:cs="仿宋_GB2312" w:eastAsia="仿宋_GB2312"/>
                <w:sz w:val="21"/>
              </w:rPr>
              <w:t>组建专家团队，聘请的专家不少于8名，全年提出翻译和网站建设的意见建议不少于10次。</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标的名称：省政府门户网站多媒体栏目运营服务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4"/>
              </w:rPr>
              <w:t>技术要求：</w:t>
            </w:r>
          </w:p>
          <w:p>
            <w:pPr>
              <w:pStyle w:val="null3"/>
              <w:spacing w:before="105" w:after="105"/>
              <w:jc w:val="left"/>
            </w:pPr>
            <w:r>
              <w:rPr>
                <w:rFonts w:ascii="仿宋_GB2312" w:hAnsi="仿宋_GB2312" w:cs="仿宋_GB2312" w:eastAsia="仿宋_GB2312"/>
                <w:sz w:val="21"/>
              </w:rPr>
              <w:t xml:space="preserve">        1.围绕省委、省政府中心工作，聚焦政策文件解读、重要会议解读、公众关注热点回应等方面，策划制作政策解读视频不少于24期，其中包括动漫动画制作以及新闻专题片，具体分配比例根据采购人需求进行划分。视频主题为采购人规定的政策文件解读、重要会议解读、公众关注热点回应等方向，与主要内容相关的源信息由采购人协调相关方提供。若因其他特殊需要，经采购人同意，可延长或缩短视频时长。供应商首先应根据采购人提供的源信息完成信息梳理和整合，形成动漫动画视频和新闻专题的构想：包括但不限于分镜脚本、主要文案（字幕或解说）、标题创意、视频总体视觉风格等。之后，供应商应在不侵犯他人版权的前提下，完成满足视频内容发布所需的镜头拍摄、动漫制作以及所有其他展示元素。最后，收到采购人提供的源信息后，供应商应在5个工作日内提交初稿，对采购人的审核意见，供应商应在2个工作日内完成修改反馈，对重大活动、重要会议等紧急事项，按采购人时限要求完成。</w:t>
            </w:r>
          </w:p>
          <w:p>
            <w:pPr>
              <w:pStyle w:val="null3"/>
              <w:spacing w:before="105" w:after="105"/>
              <w:jc w:val="left"/>
            </w:pPr>
            <w:r>
              <w:rPr>
                <w:rFonts w:ascii="仿宋_GB2312" w:hAnsi="仿宋_GB2312" w:cs="仿宋_GB2312" w:eastAsia="仿宋_GB2312"/>
                <w:sz w:val="21"/>
              </w:rPr>
              <w:t xml:space="preserve">    2.制作图片不少于60期，均为静态长图。图片主题为采购人规定的政策文件解读、重要会议解读、公众关注热点回应等方向，与主要内容相关的源信息由采购人协调相关方提供。供应商首先应根据采购人提供的源信息完成内容梳理和整合，形成静态长图构想：包括但不限于主要文案、标题创意、排版风格等，并获得采购人认可。之后，供应商应在不侵犯他人版权的前提下，按采购人认可的标准完成满足图片内容发布所需的所有其他展示元素或展示图片的设计、拍摄或获取。最后，收到采购人提供的源信息后，供应商应在5个工作日内提交初稿，对采购人的审核意见，供应商应在2个工作日内完成修改反馈，对重大活动、重要会议等紧急事项，按采购人时限要求完成。</w:t>
            </w:r>
          </w:p>
          <w:p>
            <w:pPr>
              <w:pStyle w:val="null3"/>
              <w:spacing w:before="105" w:after="105"/>
              <w:jc w:val="left"/>
            </w:pPr>
            <w:r>
              <w:rPr>
                <w:rFonts w:ascii="仿宋_GB2312" w:hAnsi="仿宋_GB2312" w:cs="仿宋_GB2312" w:eastAsia="仿宋_GB2312"/>
                <w:sz w:val="21"/>
              </w:rPr>
              <w:t xml:space="preserve">     3.优化调整“视频”栏目架构，围绕央视涉陕新闻、大美陕西、专题视频、市县视频等内容，采编或制作相关视频全年不少于360期。视频主题为采购人规定的央视涉陕新闻、大美陕西、专题视频、市县视频等方向。主要内容相关的源信息由供应商提供，供应商应在不侵犯他人版权的前提下，按采购人认可的标准完成视频内容和视频格式的修改后，直至采购人同意发布方可上传至指定门户网站。供应商应按采购人要求，对相关视频进行采集、筛选、编校、格式转换、封面制作、标题优化及上线适配，并确保全年稳定更新。</w:t>
            </w:r>
          </w:p>
          <w:p>
            <w:pPr>
              <w:pStyle w:val="null3"/>
              <w:spacing w:before="105" w:after="105"/>
              <w:jc w:val="left"/>
            </w:pPr>
            <w:r>
              <w:rPr>
                <w:rFonts w:ascii="仿宋_GB2312" w:hAnsi="仿宋_GB2312" w:cs="仿宋_GB2312" w:eastAsia="仿宋_GB2312"/>
                <w:sz w:val="21"/>
              </w:rPr>
              <w:t xml:space="preserve">     4.以上视频内容和图片内容制作可在采购人认可的前提下，由供应商形成双周性、月度性或季度性的固定模板、标准化版式、常态化制作机制、阶段性内容生产模板，以便各方高效完成内容生产工作。</w:t>
            </w:r>
          </w:p>
          <w:p>
            <w:pPr>
              <w:pStyle w:val="null3"/>
              <w:spacing w:before="105" w:after="105"/>
              <w:jc w:val="left"/>
            </w:pPr>
            <w:r>
              <w:rPr>
                <w:rFonts w:ascii="仿宋_GB2312" w:hAnsi="仿宋_GB2312" w:cs="仿宋_GB2312" w:eastAsia="仿宋_GB2312"/>
                <w:sz w:val="21"/>
              </w:rPr>
              <w:t xml:space="preserve">     5.人员配置:成立专项项目团队，项目经理负责制，定岗定责、专人专项服务。</w:t>
            </w:r>
          </w:p>
          <w:p>
            <w:pPr>
              <w:pStyle w:val="null3"/>
              <w:spacing w:before="105" w:after="105"/>
              <w:jc w:val="left"/>
            </w:pPr>
            <w:r>
              <w:rPr>
                <w:rFonts w:ascii="仿宋_GB2312" w:hAnsi="仿宋_GB2312" w:cs="仿宋_GB2312" w:eastAsia="仿宋_GB2312"/>
                <w:sz w:val="21"/>
              </w:rPr>
              <w:t xml:space="preserve">     （1）项目负责人1名：统筹项目管理、内外对接、质量审核、进度把控;</w:t>
            </w:r>
          </w:p>
          <w:p>
            <w:pPr>
              <w:pStyle w:val="null3"/>
              <w:spacing w:before="105" w:after="105"/>
              <w:jc w:val="left"/>
            </w:pPr>
            <w:r>
              <w:rPr>
                <w:rFonts w:ascii="仿宋_GB2312" w:hAnsi="仿宋_GB2312" w:cs="仿宋_GB2312" w:eastAsia="仿宋_GB2312"/>
                <w:sz w:val="21"/>
              </w:rPr>
              <w:t xml:space="preserve">     （2）网站运营专员2名：网站运维、内容更新、安全巡检、日常维护;</w:t>
            </w:r>
          </w:p>
          <w:p>
            <w:pPr>
              <w:pStyle w:val="null3"/>
              <w:spacing w:before="105" w:after="105"/>
              <w:jc w:val="left"/>
            </w:pPr>
            <w:r>
              <w:rPr>
                <w:rFonts w:ascii="仿宋_GB2312" w:hAnsi="仿宋_GB2312" w:cs="仿宋_GB2312" w:eastAsia="仿宋_GB2312"/>
                <w:sz w:val="21"/>
              </w:rPr>
              <w:t xml:space="preserve">     （3）文案编导1名：文案策划、视频脚本、文稿撰写、创意设计;</w:t>
            </w:r>
          </w:p>
          <w:p>
            <w:pPr>
              <w:pStyle w:val="null3"/>
              <w:spacing w:before="105" w:after="105"/>
              <w:jc w:val="left"/>
            </w:pPr>
            <w:r>
              <w:rPr>
                <w:rFonts w:ascii="仿宋_GB2312" w:hAnsi="仿宋_GB2312" w:cs="仿宋_GB2312" w:eastAsia="仿宋_GB2312"/>
                <w:sz w:val="21"/>
              </w:rPr>
              <w:t xml:space="preserve">     （4）摄像师2名：实景拍摄、画面取景、灯光收音、现场录制;</w:t>
            </w:r>
          </w:p>
          <w:p>
            <w:pPr>
              <w:pStyle w:val="null3"/>
              <w:spacing w:before="105" w:after="105"/>
              <w:jc w:val="left"/>
            </w:pPr>
            <w:r>
              <w:rPr>
                <w:rFonts w:ascii="仿宋_GB2312" w:hAnsi="仿宋_GB2312" w:cs="仿宋_GB2312" w:eastAsia="仿宋_GB2312"/>
                <w:sz w:val="21"/>
              </w:rPr>
              <w:t xml:space="preserve">     （5）后期剪辑1名：视频剪辑、包装调色、字幕特效、成片制作;</w:t>
            </w:r>
          </w:p>
          <w:p>
            <w:pPr>
              <w:pStyle w:val="null3"/>
              <w:spacing w:before="105" w:after="105"/>
              <w:jc w:val="left"/>
            </w:pPr>
            <w:r>
              <w:rPr>
                <w:rFonts w:ascii="仿宋_GB2312" w:hAnsi="仿宋_GB2312" w:cs="仿宋_GB2312" w:eastAsia="仿宋_GB2312"/>
                <w:sz w:val="21"/>
              </w:rPr>
              <w:t xml:space="preserve">     （6）其他供应商认为应配备的人员;</w:t>
            </w:r>
          </w:p>
          <w:p>
            <w:pPr>
              <w:pStyle w:val="null3"/>
              <w:spacing w:before="105" w:after="105"/>
              <w:jc w:val="both"/>
            </w:pPr>
            <w:r>
              <w:rPr>
                <w:rFonts w:ascii="仿宋_GB2312" w:hAnsi="仿宋_GB2312" w:cs="仿宋_GB2312" w:eastAsia="仿宋_GB2312"/>
                <w:sz w:val="21"/>
              </w:rPr>
              <w:t>人员保障</w:t>
            </w:r>
            <w:r>
              <w:rPr>
                <w:rFonts w:ascii="仿宋_GB2312" w:hAnsi="仿宋_GB2312" w:cs="仿宋_GB2312" w:eastAsia="仿宋_GB2312"/>
                <w:sz w:val="21"/>
              </w:rPr>
              <w:t>:团队经验成熟，实操案例丰富。项目期间人员稳定，不随意更换人员，高效完成网站运营、视频制作全部服务。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所配备人员充足且专业能力满足采购需求，可保证本项目顺利实施。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所配备人员充足且专业能力满足采购需求，可保证本项目顺利实施。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所配备人员充足且专业能力满足采购需求，可保证本项目顺利实施。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所提供设施设备充足先进，满足检验要求，可保证本项目顺利实施。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所提供设施设备充足先进，满足检验要求，可保证本项目顺利实施。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所提供设施设备充足先进，满足检验要求，可保证本项目顺利实施。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自合同签订之日起至2026年12月31日。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按照磋商文件、响应文件、合同及国家相关标准执行。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按照磋商文件、响应文件、合同及国家相关标准执行。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按照磋商文件、响应文件、合同及国家相关标准执行。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合同签订后，采购人履行完毕内部审批后(采购人付款前，成交供应商应向采购人开具符合采购人要求的等额正式增值税普通发票。因成交供应商迟延提供发票或提供发票不符合采购人要求，导致采购人逾期付款的，由成交供应商自行承担责任，采购人不承担逾期付款的违约责任）</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待服务内容完成，履约验收通过后，采购人履行完毕内部审批后(采购人付款前，成交供应商应向采购人开具符合采购人要求的等额正式增值税普通发票。因成交供应商迟延提供发票或提供发票不符合采购人要求，导致采购人逾期付款的，由成交供应商自行承担责任，采购人不承担逾期付款的违约责任）</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1.合同签订后，采购人履行完毕内部审批后(采购人付款前，成交供应商应向采购人开具符合采购人要求的等额正式增值税普通发票。因成交供应商迟延提供发票或提供发票不符合采购人要求，导致采购人逾期付款的，由成交供应商自行承担责任，采购人不承担逾期付款的违约责任）</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 xml:space="preserve">2.待服务内容完成，履约验收通过后，采购人履行完毕内部审批后(采购人付款前，成交供应商应向采购人开具符合采购人要求的等额正式增值税普通发票。因成交供应商迟延提供发票或提供发票不符合采购人要求，导致采购人逾期付款的，由成交供应商自行承担责任，采购人不承担逾期付款的违约责任）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1.合同签订后，采购人履行完毕内部审批后(采购人付款前，成交供应商应向采购人开具符合采购人要求的等额正式增值税普通发票。因成交供应商迟延提供发票或提供发票不符合采购人要求，导致采购人逾期付款的，由成交供应商自行承担责任，采购人不承担逾期付款的违约责任）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2.待服务内容完成，履约验收通过后，采购人履行完毕内部审批后(采购人付款前，成交供应商应向采购人开具符合采购人要求的等额正式增值税普通发票。因成交供应商迟延提供发票或提供发票不符合采购人要求，导致采购人逾期付款的，由成交供应商自行承担责任，采购人不承担逾期付款的违约责任）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凡因本合同引起的或与本合同相关的任何争议，由双方友好协商解决。协商不成时，双方均有权向采购人所在地有管辖权的人民法院提起诉讼解决。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凡因本合同引起的或与本合同相关的任何争议，由双方友好协商解决。协商不成时，双方均有权向采购人所在地有管辖权的人民法院提起诉讼解决。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凡因本合同引起的或与本合同相关的任何争议，由双方友好协商解决。协商不成时，双方均有权向采购人所在地有管辖权的人民法院提起诉讼解决。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（1）落实异常低价审查 （1.1）评审中出现下列情形之一的，评标委员会应当启动异常低价投标（响应）审查程序： （1.1.1）投标（响应）报价低于全部通过符合性审查供应商投标（响应）报价平均值65%的，即投标（响应）报价&lt;全部通过符合性审查供应商投标（响应）报价平均值×65%； （1.1.2）投标（响应）报价低于通过符合性审查的次低报价供应商投标（响应）报价65%的，即投标（响应）报价&lt;通过符合性审查的次低报价供应商投标（响应）报价×65%； （1.1.3）投标（响应）报价低于采购项目最高限价65%的，即投标（响应）报价&lt;采购项目最高限价×65%； （1.1.4）评标委员会基于专业判断，认为供应商报价过低，有可能影响产品质量或者不能诚信履约的其他情形。 （1.2）相关法律法规对供应商报价有规定的，从其规定。 （1.3）评标委员会启动异常低价投标（响应）审查后，属于（1.1）中第（1.1.1）项至第（1.1.4）项情形的，应当要求相关供应商在评审现场合理的时间内对投标（响应）价格作出解释，提供项目具体成本测算等与报价合理性相关的书面说明及必要的证明材料，包括但不限于原材料成本、人工成本、制造费用等。其中，属于第（1.1.3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异常低价投标（响应）审查的启动原因、审查意见和审查结果应当在评审报告中记录，并随供应商提供的相关书面说明及证明材料，以及评标委员会有关互联网浏览、查询历史一并归档。 （2）供应商需要在线提交所有通过电子化交易平台实施的政府采购项目的响应文件，同时，线下提交纸质响应文件贰份；若电子响应文件与纸质响应文件不一致的，以电子响应文件为准；响应文件装订成册密封（在书脊处标明项目名称、供应商名称（机打或手写均可），逐页标注连页码），在封口处加盖供应商公章；纸质响应文件递交截止时间与线上开评标时间一致；纸质响应文件可邮寄递交，应于递交响应文件截止时间前邮寄到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具有独立承担民事责任的能力。提供注册登记凭证（营业执照、其他组织经营的合法凭证、自然人的身份证明文件）。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具有履行合同所必需的设备和专业技术能力。提供声明文件。</w:t>
            </w:r>
          </w:p>
        </w:tc>
        <w:tc>
          <w:tcPr>
            <w:tcW w:type="dxa" w:w="1661"/>
          </w:tcPr>
          <w:p>
            <w:pPr>
              <w:pStyle w:val="null3"/>
            </w:pPr>
            <w:r>
              <w:rPr>
                <w:rFonts w:ascii="仿宋_GB2312" w:hAnsi="仿宋_GB2312" w:cs="仿宋_GB2312" w:eastAsia="仿宋_GB2312"/>
              </w:rPr>
              <w:t>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具有依法缴纳税收的良好记录。提供缴费所属日期为投标截止时间前6个月内任一月份（投标截止时间当月不计入）的缴费凭据或税务机关出具的完税证明/在法规范围内不需提供的应出具书面说明和证明文件；/或具有依法缴纳税收的诚信声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具有依法缴纳社会保障资金的良好记录。提供缴费所属日期为投标截止时间前6个月内任一月份（投标截止时间当月不计入）的缴费凭据或社保机关出具的缴费证明/在法规范围内不需提供的应出具书面说明和证明文件；/或具有依法缴纳社会保障资金的缴纳记录的诚信声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非联合体不分包响应声明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具有独立承担民事责任的能力。提供注册登记凭证（营业执照、其他组织经营的合法凭证、自然人的身份证明文件）。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具有履行合同所必需的设备和专业技术能力。提供声明文件。</w:t>
            </w:r>
          </w:p>
        </w:tc>
        <w:tc>
          <w:tcPr>
            <w:tcW w:type="dxa" w:w="1661"/>
          </w:tcPr>
          <w:p>
            <w:pPr>
              <w:pStyle w:val="null3"/>
            </w:pPr>
            <w:r>
              <w:rPr>
                <w:rFonts w:ascii="仿宋_GB2312" w:hAnsi="仿宋_GB2312" w:cs="仿宋_GB2312" w:eastAsia="仿宋_GB2312"/>
              </w:rPr>
              <w:t>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具有依法缴纳税收的良好记录。提供缴费所属日期为投标截止时间前6个月内任一月份（投标截止时间当月不计入）的缴费凭据或税务机关出具的完税证明/在法规范围内不需提供的应出具书面说明和证明文件；/或具有依法缴纳税收的诚信声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具有依法缴纳社会保障资金的良好记录。提供缴费所属日期为投标截止时间前6个月内任一月份（投标截止时间当月不计入）的缴费凭据或社保机关出具的缴费证明/在法规范围内不需提供的应出具书面说明和证明文件；/或具有依法缴纳社会保障资金的缴纳记录的诚信声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非联合体不分包响应声明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具有独立承担民事责任的能力。提供注册登记凭证（营业执照、其他组织经营的合法凭证、自然人的身份证明文件）。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具有履行合同所必需的设备和专业技术能力。提供声明文件。</w:t>
            </w:r>
          </w:p>
        </w:tc>
        <w:tc>
          <w:tcPr>
            <w:tcW w:type="dxa" w:w="1661"/>
          </w:tcPr>
          <w:p>
            <w:pPr>
              <w:pStyle w:val="null3"/>
            </w:pPr>
            <w:r>
              <w:rPr>
                <w:rFonts w:ascii="仿宋_GB2312" w:hAnsi="仿宋_GB2312" w:cs="仿宋_GB2312" w:eastAsia="仿宋_GB2312"/>
              </w:rPr>
              <w:t>声明函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具有依法缴纳税收的良好记录。提供缴费所属日期为投标截止时间前6个月内任一月份（投标截止时间当月不计入）的缴费凭据或税务机关出具的完税证明/在法规范围内不需提供的应出具书面说明和证明文件；/或具有依法缴纳税收的诚信声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具有依法缴纳社会保障资金的良好记录。提供缴费所属日期为投标截止时间前6个月内任一月份（投标截止时间当月不计入）的缴费凭据或社保机关出具的缴费证明/在法规范围内不需提供的应出具书面说明和证明文件；/或具有依法缴纳社会保障资金的缴纳记录的诚信声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非联合体不分包响应声明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响应文件封面、响应函、法定代表人（负责人）授权委托书三处的项目名称、项目编号、标段（如有）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 （2）响应报价表填写符合要求；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完全理解接受并签署磋商文件商务条款响应表。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带“★”的项完全满足</w:t>
            </w:r>
          </w:p>
        </w:tc>
        <w:tc>
          <w:tcPr>
            <w:tcW w:type="dxa" w:w="3322"/>
          </w:tcPr>
          <w:p>
            <w:pPr>
              <w:pStyle w:val="null3"/>
            </w:pPr>
            <w:r>
              <w:rPr>
                <w:rFonts w:ascii="仿宋_GB2312" w:hAnsi="仿宋_GB2312" w:cs="仿宋_GB2312" w:eastAsia="仿宋_GB2312"/>
              </w:rPr>
              <w:t>带“★”的项完全满足。</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服务内容及服务邀请应答表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响应文件封面、响应函、法定代表人（负责人）授权委托书三处的项目名称、项目编号、标段（如有）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 （2）响应报价表填写符合要求；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完全理解接受并签署磋商文件商务条款响应表。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服务内容及服务邀请应答表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响应文件封面、响应函、法定代表人（负责人）授权委托书三处的项目名称、项目编号、标段（如有）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 （2）响应报价表填写符合要求；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完全理解接受并签署磋商文件商务条款响应表。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服务内容及服务邀请应答表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投标人提供针对本项目的项目理解，包括1、项目核心需求理解；2、项目背景及行业现状认知；3、项目实施重难点识别。 评审标准：对项目理解全面、深刻、准确、思路清晰，符合本项目采购需求、可行性强，满足磋商文件中“技术参数与性能指标”要求，能保障本项目实施得9分；评审内容每缺一项扣3分，评审内容每有一处缺陷未完全响应评审标准的扣1分。 说明：缺陷是指内容不合理、虽有内容但不完善、内容表述前后不一致、套用其他项目方案或与项目需求不匹配及其他不利于项目实施等任意一种情形。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提供针对本项目的服务方案，包括但不限于：1、信息技术服务方案；2、运营服务方案；3、粉丝活动方案；4、原创专题制作推送方案；5、用户评论、留言、转发、微博热搜榜单等处置反馈方案；6、数据监测总结方案。 评审标准：方案各部分内容全面详细、阐述条理清晰详尽、符合本项目采购需求、可行性强，满足磋商文件中“技术参数与性能指标”相关要求，能保障项目整体落地得18分；评审内容每缺一项扣3分，评审内容每有一处缺陷未完全响应评审标准的扣1分， 说明：缺陷是指内容不合理、虽有内容但不完善、内容表述前后不一致、套用其他项目方案或与项目需求不匹配及其他不利于项目实施等任意一种情形。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投标人提供针对本项目的应急方案，包括1、应急处置流程；2、应急响应机制；3、应急处置措施；4、应急保障；5、应急复盘优化。 评审标准：应急方案各部分内容全面详细、阐述条理清晰详尽、符合本项目实际情况及采购需求，能有效应对项目各类突发情况、保障项目顺利推进得10分；评审内容每缺一项扣2分，评审内容每有一处缺陷未完全响应评审标准的扣1分， 说明：缺陷是指内容不合理、虽有内容但不完善、内容表述前后不一致、套用其他项目方案或与项目需求不匹配及其他不利于项目实施等任意一种情形。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团队能力和人员资质</w:t>
            </w:r>
          </w:p>
        </w:tc>
        <w:tc>
          <w:tcPr>
            <w:tcW w:type="dxa" w:w="2492"/>
          </w:tcPr>
          <w:p>
            <w:pPr>
              <w:pStyle w:val="null3"/>
            </w:pPr>
            <w:r>
              <w:rPr>
                <w:rFonts w:ascii="仿宋_GB2312" w:hAnsi="仿宋_GB2312" w:cs="仿宋_GB2312" w:eastAsia="仿宋_GB2312"/>
              </w:rPr>
              <w:t>投标人提供针对本项目的团队能力和人员资质情况说明，包括：1、团队整体架构；2、项目负责人情况说明；3、团队人员情况说明。 评审标准： 团队整体架构：内容全面详细、阐述条理清晰、满足本项目实施需求、架构稳定，人员总数不少于6人，至少含2名专职编辑，2名审核人员，1名终审人员，1名美工，满足磋商文件中“技术参数与性能指标”相关要求，得6分；每缺一项或一人扣1分，扣完为止；未提供得0分。 项目负责人：应具有专业技术职称资格中级及以上职称，未提供得0分。具备该职称后，有5年（含）以上新媒体或网站等宣传平台运营负责经验的得4分，3-4年负责经验的得3分，1-2年负责经验的得2分，无负责经验的得0分。 团队人员：应提供完整的人员配置清单（至少包含：姓名、年龄、学历、职称、岗位职责等），未提供得0分。每提供1份专业技术职称资格中级及以上职称的，得2分，此项最高计8分。 注：相同人员或相同证书不重复计分，须同时提供以上人员相关职称证书、学历证书、经验证明，并加盖公章，未提供或提供不全的，对应条款不得分。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保密服务承诺</w:t>
            </w:r>
          </w:p>
        </w:tc>
        <w:tc>
          <w:tcPr>
            <w:tcW w:type="dxa" w:w="2492"/>
          </w:tcPr>
          <w:p>
            <w:pPr>
              <w:pStyle w:val="null3"/>
            </w:pPr>
            <w:r>
              <w:rPr>
                <w:rFonts w:ascii="仿宋_GB2312" w:hAnsi="仿宋_GB2312" w:cs="仿宋_GB2312" w:eastAsia="仿宋_GB2312"/>
              </w:rPr>
              <w:t>投标人提供针对本项目的保密服务承诺，包括1、保密责任明确承诺和保密违约处理承诺；2、保密管理制度说明；3、保密措施具体方案。 评审标准：保密服务承诺各部分内容全面详细、阐述条理清晰详尽、符合本项目保密需求，能有效保障本项目相关信息安全得3分；评审内容每缺一项扣1分，评审内容每有一处缺陷未完全响应评审标准的扣0.5分， 说明：缺陷是指内容不合理、虽有内容但不完善、内容表述前后不一致、套用其他项目方案或与项目需求不匹配及其他不利于项目实施等任意一种情形。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2023年1月1日至今（以合同签订日期为准），新媒体运营或专题专栏设计制作或网络传播或主题宣传活动等相关运营服务业绩。 评审标准：提供1个业绩计2分，最高得10分。 赋分依据：合同（或协议）扫描件。扫描件至少含首页、双方签字盖章页、反映实施内容页、反映签署日期页。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获奖证明</w:t>
            </w:r>
          </w:p>
        </w:tc>
        <w:tc>
          <w:tcPr>
            <w:tcW w:type="dxa" w:w="2492"/>
          </w:tcPr>
          <w:p>
            <w:pPr>
              <w:pStyle w:val="null3"/>
            </w:pPr>
            <w:r>
              <w:rPr>
                <w:rFonts w:ascii="仿宋_GB2312" w:hAnsi="仿宋_GB2312" w:cs="仿宋_GB2312" w:eastAsia="仿宋_GB2312"/>
              </w:rPr>
              <w:t>2023年1月1日至今，投标人或投标人参与过的，与本采购包所需服务类似或相关的服务、产品、成果获得的相关业务类奖项。需提供获奖证明、参与证明和服务、产品、成果生产证明相关材料。 评审标准：提供1个获奖证明计2分，最高得10分。 赋分依据：获奖证明、参与证明和服务、产品、成果生产证明相关材料。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投标人提供运营服务质量保障措施内容，至少包括:1、运营服务质量管理；2、沟通保障机制；3、运营技术管理；4、服务绩效考核指标及评价；5、风险管控；6、运营制度和流程。 评审标准：服务质量保障措施内容全面详细、阐述条理清晰详尽、符合本项目实施需求，能保障项目高效推进得12分；评审内容每缺一项扣2分，评审内容每有一处缺陷未完全响应评审标准的扣1分， 说明：缺陷是指内容不合理、虽有内容但不完善、内容表述前后不一致、套用其他项目方案或与项目需求不匹配及其他不利于项目实施等任意一种情形。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的有效最终报价且磋商价格最低的磋商报价为磋商基准价，其价格分为满分。其他供应商的价格分统一按照下列公式计算：磋商报价得分=（磋商基准价／磋商报价）×10；计算分数时四舍五入取小数点后两位。注：符合磋商文件规定的中小企业、监狱企业、残疾人企业优惠条件的供应商，给予10%的价格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投标人提供针对本项目的项目理解，包括1、项目核心需求理解；2、项目背景及行业现状认知；3、项目实施重难点识别。 评审标准：方案各部分内容全面详细、阐述条理清晰详尽、符合本项目采购需求，能保障本项目实施得12分；评审内容每缺一项扣4分，评审内容每有一处缺陷未完全响应评审标准的扣1分。 说明：缺陷是指内容不合理、虽有内容但不完善、内容表述前后不一致、套用其他项目方案或与项目需求不匹配及其他不利于项目实施等任意一种情形。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提供针对本项目的服务方案，包括1、基础运营服务；2、网站翻译与内容维护；3、重点栏目策划与报道；4、多媒体报道服务；5、协助完成网站社会研究、调研等任务；6、扩大网站对外推广宣传等;7、建立专家审读机制。 评审标准：方案各部分内容全面详细、阐述条理清晰详尽、符合本项目服务采购需求，能充分体现对本项目的理解、保障本项目服务高质量落地，最高得14分；评审内容每缺一项扣2分，评审内容每有一处缺陷未完全响应评审标准的扣1分； 说明：缺陷是指内容不合理、虽有内容但不完善、内容表述前后不一致、套用其他项目方案或与项目需求不匹配及其他不利于项目实施等任意一种情形。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投标人提供针对本项目的应急方案，包括1、应急响应机制；2、应急处置流程；3、应急处置措施。 评审标准：应急方案各部分内容全面详细、阐述条理清晰详尽、符合本项目实际情况及采购需求，能有效应对项目各类突发情况、保障项目顺利推进得9分；评审内容每缺一项扣3分，评审内容每有一处缺陷未完全响应评审标准的扣1分， 说明：缺陷是指内容不合理、虽有内容但不完善、内容表述前后不一致、套用其他项目方案或与项目需求不匹配及其他不利于项目实施等任意一种情形。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团队力量</w:t>
            </w:r>
          </w:p>
        </w:tc>
        <w:tc>
          <w:tcPr>
            <w:tcW w:type="dxa" w:w="2492"/>
          </w:tcPr>
          <w:p>
            <w:pPr>
              <w:pStyle w:val="null3"/>
            </w:pPr>
            <w:r>
              <w:rPr>
                <w:rFonts w:ascii="仿宋_GB2312" w:hAnsi="仿宋_GB2312" w:cs="仿宋_GB2312" w:eastAsia="仿宋_GB2312"/>
              </w:rPr>
              <w:t>投标人提供针对本项目的团队组织架构，包括1、团队整体架构设置；2、项目负责人职责；3、核心成员配置及分工；4、团队人员业务能力说明。 评审标准：团队组织架构各部分内容全面详细、阐述条理清晰详尽、符合本项目实施需求，能保障项目高效推进得12分；评审内容每缺一项扣3分，评审内容每有一处缺陷未完全响应评审标准的扣1分， 说明：缺陷是指内容不合理、虽有内容但不完善、内容表述前后不一致、套用其他项目方案或与项目需求不匹配及其他不利于项目实施等任意一种情形。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人员资质</w:t>
            </w:r>
          </w:p>
        </w:tc>
        <w:tc>
          <w:tcPr>
            <w:tcW w:type="dxa" w:w="2492"/>
          </w:tcPr>
          <w:p>
            <w:pPr>
              <w:pStyle w:val="null3"/>
            </w:pPr>
            <w:r>
              <w:rPr>
                <w:rFonts w:ascii="仿宋_GB2312" w:hAnsi="仿宋_GB2312" w:cs="仿宋_GB2312" w:eastAsia="仿宋_GB2312"/>
              </w:rPr>
              <w:t>1.项目负责人（满分4分）。 具备5年及以上相关工作经历，并持有新闻采编从业资格证书的，计4分。同时满足5年及以上相关工作经历且持有新闻采编从业资格证书两项条件，得4分；仅满足其中一项条件，得2分；不满足任意一项条件，得0分。 团队成员（满分3分）。 具备3年及以上相关工作经历，并持有新闻采编从业资格证书的，计3分,未提供不得分。 3、相关资格证书（满分2分）。提供英语类专业资格证书，计1分，满分2分。 注：所有人员均需提供相应证书佐证，未提供者不予计分。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1.2023年1月1日至今（以合同签订日期为准），网站运营运维类业绩。 评审标准：提供1个业绩计3分，最高得9分。 2.2023年1月1日至今（以合同签订日期为准），国际传播类业绩。 评审标准：提供1个业绩计3分，最高得3分。 赋分依据：合同（或协议）扫描件。扫描件至少含首页、双方签字盖章页、反映实施内容页、反映签署日期页。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投标人提供针对本项目的团队组织架构，包括:1、运营服务质量管理；2、沟通保障机制；3、运营技术管理；4、风险管控；5、运营制度和流程。 评审标准：服务质量保障措施内容全面详细、阐述条理清晰详尽、符合本项目实施需求，能保障项目高效推进得10分；评审内容每缺一项扣2分，评审内容每有一处缺陷未完全响应评审标准的扣1分， 说明：缺陷是指内容不合理、虽有内容但不完善、内容表述前后不一致、套用其他项目方案或与项目需求不匹配及其他不利于项目实施等任意一种情形。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保密服务承诺</w:t>
            </w:r>
          </w:p>
        </w:tc>
        <w:tc>
          <w:tcPr>
            <w:tcW w:type="dxa" w:w="2492"/>
          </w:tcPr>
          <w:p>
            <w:pPr>
              <w:pStyle w:val="null3"/>
            </w:pPr>
            <w:r>
              <w:rPr>
                <w:rFonts w:ascii="仿宋_GB2312" w:hAnsi="仿宋_GB2312" w:cs="仿宋_GB2312" w:eastAsia="仿宋_GB2312"/>
              </w:rPr>
              <w:t>投标人提供针对本项目的保密服务承诺，包括1、保密责任明确承诺和保密违约处理承诺；2、保密管理制度说明；3、保密措施具体方案。 评审标准：保密服务承诺各部分内容全面详细、阐述条理清晰详尽、符合本项目保密需求，能有效保障本项目相关信息安全得9分；评审内容每缺一项扣3分，评审内容每有一处缺陷未完全响应评审标准的扣1分， 说明：缺陷是指内容不合理、虽有内容但不完善、内容表述前后不一致、套用其他项目方案或与项目需求不匹配及其他不利于项目实施等任意一种情形。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获奖证明</w:t>
            </w:r>
          </w:p>
        </w:tc>
        <w:tc>
          <w:tcPr>
            <w:tcW w:type="dxa" w:w="2492"/>
          </w:tcPr>
          <w:p>
            <w:pPr>
              <w:pStyle w:val="null3"/>
            </w:pPr>
            <w:r>
              <w:rPr>
                <w:rFonts w:ascii="仿宋_GB2312" w:hAnsi="仿宋_GB2312" w:cs="仿宋_GB2312" w:eastAsia="仿宋_GB2312"/>
              </w:rPr>
              <w:t>2023年1月1日至今，投标人或投标人参与过的，与本采购包所需服务类似或相关的服务、产品、成果获得的相关业务类奖项（传播类奖项）。需提供获奖证明、参与证明和服务、产品、成果生产证明相关材料。 评审标准：提供1个获奖证明计1分，最高得3分。 赋分依据：获奖证明、参与证明和服务、产品、成果生产证明相关材料。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的有效最终报价且磋商价格最低的磋商报价为磋商基准价，其价格分为满分。其他供应商的价格分统一按照下列公式计算：磋商报价得分=（磋商基准价／磋商报价）×10；计算分数时四舍五入取小数点后两位。 注：符合磋商文件规定的中小企业、监狱企业、残疾人企业优惠条件的供应商，给予10%的价格扣除，用扣除后的价格参与评审。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投标人提供针对本项目的项目理解，包括1、项目核心需求理解；2、项目背景及行业现状认知；3、项目实施重难点识别。 评审标准：方案各部分内容全面详细、阐述条理清晰详尽、符合本项目采购需求，能保障本项目实施得12分；评审内容每缺一项扣4分，评审内容每有一处缺陷未完全响应评审标准的扣1分。 说明：缺陷是指内容不合理、虽有内容但不完善、内容表述前后不一致、套用其他项目方案或与项目需求不匹配及其他不利于项目实施等任意一种情形。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投标人提供针对本项目的服务方案，包括1、网站栏目内容运维；2、动漫动画策划及制作；3、专题片策划及制作；4、政策图解制作及策划5、信息审核与发布6、网站内容更新策划。 评审标准：方案各部分内容全面详细、阐述条理清晰详尽、符合本项目服务采购需求，能充分体现对本项目的理解、保障本项目服务高质量落地得12分；评审内容每缺一项扣2分，评审内容每有一处缺陷未完全响应评审标准的扣1分。 说明：缺陷是指内容不合理、虽有内容但不完善、内容表述前后不一致、套用其他项目方案或与项目需求不匹配及其他不利于项目实施等任意一种情形。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投标人提供针对本项目的应急方案，包括1、应急响应机制；2、应急处置流程；3、应急处置措施；4、应急物资保障；5、应急复盘优化。 评审标准：应急方案各部分内容全面详细、阐述条理清晰详尽、符合本项目实际情况及采购需求，能有效应对项目各类突发情况、保障项目顺利推进得15分；评审内容每缺一项扣3分，评审内容每有一处缺陷未完全响应评审标准的扣1分， 说明：缺陷是指内容不合理、虽有内容但不完善、内容表述前后不一致、套用其他项目方案或与项目需求不匹配及其他不利于项目实施等任意一种情形。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团队力量和人员资质</w:t>
            </w:r>
          </w:p>
        </w:tc>
        <w:tc>
          <w:tcPr>
            <w:tcW w:type="dxa" w:w="2492"/>
          </w:tcPr>
          <w:p>
            <w:pPr>
              <w:pStyle w:val="null3"/>
            </w:pPr>
            <w:r>
              <w:rPr>
                <w:rFonts w:ascii="仿宋_GB2312" w:hAnsi="仿宋_GB2312" w:cs="仿宋_GB2312" w:eastAsia="仿宋_GB2312"/>
              </w:rPr>
              <w:t>一、团队力量：投标人须对照“人员配置”需求提供本项目团队人员配置清单或承诺函，满分6分，每缺一项或一人扣1分，扣完为止；未提供的得 0 分； 二、人员资质：提供团队成员的资质、资格、职称、专业等相关证明。 评审标准： 1. 项目负责人持有高级及以上专业技术职称资格证书的得 3分，最高得3分； 2. 团队成员持有广播电视播音员主持人证的每 1 人得 2 分，最高得2分； 3. 团队成员持有新闻记者证的每 1 人得2分，最高得2分； 4.团队成员本科及以上学习专业为动画制作每1人得2分，最高得4分； 5.团队成员本科及以上为影视专业的，每1人得2分，最高得2分； 三、补充规则：本项累计最高得19 分，同一人员不可重复计分； 四、材料要求：1. 需同步提供上述人员资格证、职称证或相关学历专业证明，未提供或提供不全的，对应条款不得分；2. 仅提供人员配置清单或承诺函，未补充资格证明材料的，本项最高得 1 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1.2023年1月1日至今（以合同签订时间为准），完成的作品在电视台或政务传播平台等正式播出类业绩。 评审标准：提供1个业绩计2分，最高得6分。 2. 2023年1月1日至今（以合同签订时间为准），承接过政务宣传类业绩。 评审标准：提供1个业绩计4分，最高得12分。 赋分依据：合同（或协议）扫描件。扫描件至少含首页、双方签字盖章页、反映实施内容页、反映签署日期页。</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投标人提供针对本项目的团队组织架构，包括:1、运营服务质量管理；2、沟通保障机制；3、运营技术管理；4、服务绩效考核指标及评价；5、风险管控；6、运营制度和流程。 评审标准：服务质量保障措施内容全面详细、阐述条理清晰详尽、符合本项目实施需求，能保障项目高效推进得12分；评审内容每缺一项扣2分，评审内容每有一处缺陷未完全响应评审标准的扣1分， 说明：缺陷是指内容不合理、虽有内容但不完善、内容表述前后不一致、套用其他项目方案或与项目需求不匹配及其他不利于项目实施等任意一种情形。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获奖证明</w:t>
            </w:r>
          </w:p>
        </w:tc>
        <w:tc>
          <w:tcPr>
            <w:tcW w:type="dxa" w:w="2492"/>
          </w:tcPr>
          <w:p>
            <w:pPr>
              <w:pStyle w:val="null3"/>
            </w:pPr>
            <w:r>
              <w:rPr>
                <w:rFonts w:ascii="仿宋_GB2312" w:hAnsi="仿宋_GB2312" w:cs="仿宋_GB2312" w:eastAsia="仿宋_GB2312"/>
              </w:rPr>
              <w:t>2023年1月1日至今，投标人或投标人参与过的，与本采购包所需服务类似或相关的服务、产品、成果获得的相关业务类奖项。需提供获奖证明、参与证明和服务、产品、成果生产证明相关材料。 评审标准：提供1个获奖证明相关材料的计1分，最高得2分。 赋分依据：获奖证明、参与证明和服务、产品、成果生产证明相关材料。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的有效最终报价且磋商价格最低的磋商报价为磋商基准价，其价格分为满分。其他供应商的价格分统一按照下列公式计算：磋商报价得分=（磋商基准价／磋商报价）×10；计算分数时四舍五入取小数点后两位。 注：符合磋商文件规定的中小企业、监狱企业、残疾人企业优惠条件的供应商，给予10%的价格扣除，用扣除后的价格参与评审。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