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版本号：【KRDL】K2-260504220260529002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教职工体检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【KRDL】K2-2605042</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教职工体检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【KRDL】K2-2605042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教职工体检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铁路职业技术学院2026年教职工体检项目，拟为西安铁路职业技术学院教职工暂定726人（各年龄段人数见服务内容）以套餐形式采购2026年体检服务，以实际体检人数结算，具体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3、资质要求：供应商具有有效期内的《医疗机构执业许可证》、《放射诊疗许可证》及《辐射安全许可证》。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张颖怡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刘昆、常博皓、姚瑶、王昭、代光艳、王森、靳祥德、成荔、彭明杨、王莉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17791161616、029-89581311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说明：1.成交方在签订合同前须向采购人交纳合同总金额5%的履约保证金。 2.成交方无正当理由不与采购人订立合同，在签订合同时向采购人提出附加条件，或者不按照招标文件要求提交履约保证金的，取消其成交资格。 3.项目验收合格后，采购人向成交方无息退还履约保证金。 注：项目名称+履约保证金转账信息。 说明：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代理服务收费管理暂行办法的通知》(计价格[2002]1980号)、《发展改革委员会办公厅关于招标代理服务收费有关问题的通知》(发改办价格(2003)857号)以及《发展改革委关于降低部分建设项目收费标准规范收费行为等有关问题的通知》(发改价格(2011)534号)规定的标准下浮20%收取。 备注：供应商在采购代理服务费时请备注项目编号+采购代理服务费。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1.依据《健康体检管理暂行规定》及合同约定内容验收；抽查10%的体检报告，核查完整性、准确性及隐私保护情况。 2.甲方对乙方体检工作进行满意度调查，服务质量综合评价等。考核按百分制，考核满意率达到85%以上为服务达标，低于85%，为服务不达标；若当年体检服务不达标，甲方有权终止合同，若出现重大问题，甲方将依法追责，乙方予以相应赔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联系人：刘昆、常博皓</w:t>
      </w:r>
    </w:p>
    <w:p>
      <w:pPr>
        <w:pStyle w:val="null3"/>
      </w:pPr>
      <w:r>
        <w:rPr>
          <w:rFonts w:ascii="仿宋_GB2312" w:hAnsi="仿宋_GB2312" w:cs="仿宋_GB2312" w:eastAsia="仿宋_GB2312"/>
        </w:rPr>
        <w:t>联系电话：17791161616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西安铁路职业技术学院2026年教职工体检项目，拟为西安铁路职业技术学院教职工暂定726人（各年龄段人数见服务内容）以套餐形式采购2026年体检服务，以实际体检人数结算。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教职工体检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FF"/>
              </w:rPr>
              <w:t>一、</w:t>
            </w:r>
            <w:r>
              <w:rPr>
                <w:rFonts w:ascii="仿宋_GB2312" w:hAnsi="仿宋_GB2312" w:cs="仿宋_GB2312" w:eastAsia="仿宋_GB2312"/>
                <w:sz w:val="24"/>
                <w:color w:val="0000FF"/>
              </w:rPr>
              <w:t>项目概况</w:t>
            </w:r>
          </w:p>
          <w:p>
            <w:pPr>
              <w:pStyle w:val="null3"/>
              <w:ind w:firstLine="480"/>
              <w:jc w:val="both"/>
            </w:pPr>
            <w:r>
              <w:rPr>
                <w:rFonts w:ascii="仿宋_GB2312" w:hAnsi="仿宋_GB2312" w:cs="仿宋_GB2312" w:eastAsia="仿宋_GB2312"/>
                <w:sz w:val="24"/>
                <w:color w:val="0000FF"/>
              </w:rPr>
              <w:t>西安铁路职业技术学院</w:t>
            </w:r>
            <w:r>
              <w:rPr>
                <w:rFonts w:ascii="仿宋_GB2312" w:hAnsi="仿宋_GB2312" w:cs="仿宋_GB2312" w:eastAsia="仿宋_GB2312"/>
                <w:sz w:val="24"/>
                <w:color w:val="0000FF"/>
              </w:rPr>
              <w:t>2026年教职工体检项目，拟为西安铁路职业技术学院教职工约72</w:t>
            </w:r>
            <w:r>
              <w:rPr>
                <w:rFonts w:ascii="仿宋_GB2312" w:hAnsi="仿宋_GB2312" w:cs="仿宋_GB2312" w:eastAsia="仿宋_GB2312"/>
                <w:sz w:val="24"/>
                <w:color w:val="0000FF"/>
              </w:rPr>
              <w:t>6</w:t>
            </w:r>
            <w:r>
              <w:rPr>
                <w:rFonts w:ascii="仿宋_GB2312" w:hAnsi="仿宋_GB2312" w:cs="仿宋_GB2312" w:eastAsia="仿宋_GB2312"/>
                <w:sz w:val="24"/>
                <w:color w:val="0000FF"/>
              </w:rPr>
              <w:t>人（各年龄段人数见服务内容）</w:t>
            </w:r>
            <w:r>
              <w:rPr>
                <w:rFonts w:ascii="仿宋_GB2312" w:hAnsi="仿宋_GB2312" w:cs="仿宋_GB2312" w:eastAsia="仿宋_GB2312"/>
                <w:sz w:val="24"/>
                <w:color w:val="0000FF"/>
              </w:rPr>
              <w:t>以</w:t>
            </w:r>
            <w:r>
              <w:rPr>
                <w:rFonts w:ascii="仿宋_GB2312" w:hAnsi="仿宋_GB2312" w:cs="仿宋_GB2312" w:eastAsia="仿宋_GB2312"/>
                <w:sz w:val="24"/>
                <w:color w:val="0000FF"/>
              </w:rPr>
              <w:t>套餐形式</w:t>
            </w:r>
            <w:r>
              <w:rPr>
                <w:rFonts w:ascii="仿宋_GB2312" w:hAnsi="仿宋_GB2312" w:cs="仿宋_GB2312" w:eastAsia="仿宋_GB2312"/>
                <w:sz w:val="24"/>
                <w:color w:val="0000FF"/>
              </w:rPr>
              <w:t>采购</w:t>
            </w:r>
            <w:r>
              <w:rPr>
                <w:rFonts w:ascii="仿宋_GB2312" w:hAnsi="仿宋_GB2312" w:cs="仿宋_GB2312" w:eastAsia="仿宋_GB2312"/>
                <w:sz w:val="24"/>
                <w:color w:val="0000FF"/>
              </w:rPr>
              <w:t>2026年体检服务</w:t>
            </w:r>
            <w:r>
              <w:rPr>
                <w:rFonts w:ascii="仿宋_GB2312" w:hAnsi="仿宋_GB2312" w:cs="仿宋_GB2312" w:eastAsia="仿宋_GB2312"/>
                <w:sz w:val="24"/>
                <w:color w:val="0000FF"/>
              </w:rPr>
              <w:t>，以实际体检人数结算</w:t>
            </w:r>
            <w:r>
              <w:rPr>
                <w:rFonts w:ascii="仿宋_GB2312" w:hAnsi="仿宋_GB2312" w:cs="仿宋_GB2312" w:eastAsia="仿宋_GB2312"/>
                <w:sz w:val="24"/>
                <w:color w:val="0000FF"/>
              </w:rPr>
              <w:t>。体检项目见服务内容。</w:t>
            </w:r>
          </w:p>
          <w:p>
            <w:pPr>
              <w:pStyle w:val="null3"/>
              <w:ind w:firstLine="480"/>
              <w:jc w:val="both"/>
            </w:pPr>
            <w:r>
              <w:rPr>
                <w:rFonts w:ascii="仿宋_GB2312" w:hAnsi="仿宋_GB2312" w:cs="仿宋_GB2312" w:eastAsia="仿宋_GB2312"/>
                <w:sz w:val="24"/>
                <w:color w:val="0000FF"/>
              </w:rPr>
              <w:t>二、服务内容及要求</w:t>
            </w:r>
          </w:p>
          <w:p>
            <w:pPr>
              <w:pStyle w:val="null3"/>
              <w:ind w:firstLine="480"/>
              <w:jc w:val="both"/>
            </w:pPr>
            <w:r>
              <w:rPr>
                <w:rFonts w:ascii="仿宋_GB2312" w:hAnsi="仿宋_GB2312" w:cs="仿宋_GB2312" w:eastAsia="仿宋_GB2312"/>
                <w:sz w:val="24"/>
                <w:color w:val="0000FF"/>
              </w:rPr>
              <w:t>（一）服务内容</w:t>
            </w:r>
          </w:p>
          <w:tbl>
            <w:tblPr>
              <w:tblBorders>
                <w:top w:val="none" w:color="000000" w:sz="4"/>
                <w:left w:val="none" w:color="000000" w:sz="4"/>
                <w:bottom w:val="none" w:color="000000" w:sz="4"/>
                <w:right w:val="none" w:color="000000" w:sz="4"/>
                <w:insideH w:val="none"/>
                <w:insideV w:val="none"/>
              </w:tblBorders>
            </w:tblPr>
            <w:tblGrid>
              <w:gridCol w:w="203"/>
              <w:gridCol w:w="683"/>
              <w:gridCol w:w="199"/>
              <w:gridCol w:w="207"/>
              <w:gridCol w:w="902"/>
              <w:gridCol w:w="360"/>
            </w:tblGrid>
            <w:tr>
              <w:tc>
                <w:tcPr>
                  <w:tcW w:type="dxa" w:w="2554"/>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lineRule="auto" w:line="360"/>
                    <w:jc w:val="both"/>
                  </w:pPr>
                  <w:r>
                    <w:rPr>
                      <w:rFonts w:ascii="仿宋_GB2312" w:hAnsi="仿宋_GB2312" w:cs="仿宋_GB2312" w:eastAsia="仿宋_GB2312"/>
                      <w:sz w:val="24"/>
                      <w:color w:val="0000FF"/>
                    </w:rPr>
                    <w:t>1.年龄</w:t>
                  </w:r>
                  <w:r>
                    <w:rPr>
                      <w:rFonts w:ascii="仿宋_GB2312" w:hAnsi="仿宋_GB2312" w:cs="仿宋_GB2312" w:eastAsia="仿宋_GB2312"/>
                      <w:sz w:val="24"/>
                      <w:color w:val="0000FF"/>
                    </w:rPr>
                    <w:t>50岁（含）以上体检项目，约168人</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序号</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体检项目</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备注</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序号</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体检项目</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1</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身高、体重、血压</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16</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腹部彩超</w:t>
                  </w:r>
                  <w:r>
                    <w:rPr>
                      <w:rFonts w:ascii="仿宋_GB2312" w:hAnsi="仿宋_GB2312" w:cs="仿宋_GB2312" w:eastAsia="仿宋_GB2312"/>
                      <w:sz w:val="24"/>
                      <w:color w:val="0000FF"/>
                    </w:rPr>
                    <w:t>(肝、胆、脾、双肾)</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内科</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17</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十二导联心电图</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眼科</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18</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DR颈椎正侧位检查</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眼底检查</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19</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胸部螺旋</w:t>
                  </w:r>
                  <w:r>
                    <w:rPr>
                      <w:rFonts w:ascii="仿宋_GB2312" w:hAnsi="仿宋_GB2312" w:cs="仿宋_GB2312" w:eastAsia="仿宋_GB2312"/>
                      <w:sz w:val="24"/>
                      <w:color w:val="0000FF"/>
                    </w:rPr>
                    <w:t>CT</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裂隙灯检查</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头颅螺旋</w:t>
                  </w:r>
                  <w:r>
                    <w:rPr>
                      <w:rFonts w:ascii="仿宋_GB2312" w:hAnsi="仿宋_GB2312" w:cs="仿宋_GB2312" w:eastAsia="仿宋_GB2312"/>
                      <w:sz w:val="24"/>
                      <w:color w:val="0000FF"/>
                    </w:rPr>
                    <w:t>CT</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血常规</w:t>
                  </w:r>
                  <w:r>
                    <w:rPr>
                      <w:rFonts w:ascii="仿宋_GB2312" w:hAnsi="仿宋_GB2312" w:cs="仿宋_GB2312" w:eastAsia="仿宋_GB2312"/>
                      <w:sz w:val="24"/>
                      <w:color w:val="0000FF"/>
                    </w:rPr>
                    <w:t>(五分类）</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超声骨密度检测</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尿常规</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经颅多普勒检测</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肝功十项</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23</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甲状腺彩超</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肾功检测（含血尿酸）</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24</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颈动脉彩超</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血脂四项</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25</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心脏彩超</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癌胚抗原（</w:t>
                  </w:r>
                  <w:r>
                    <w:rPr>
                      <w:rFonts w:ascii="仿宋_GB2312" w:hAnsi="仿宋_GB2312" w:cs="仿宋_GB2312" w:eastAsia="仿宋_GB2312"/>
                      <w:sz w:val="24"/>
                      <w:color w:val="0000FF"/>
                    </w:rPr>
                    <w:t>CEA）定量</w:t>
                  </w:r>
                </w:p>
              </w:tc>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肿瘤</w:t>
                  </w:r>
                </w:p>
                <w:p>
                  <w:pPr>
                    <w:pStyle w:val="null3"/>
                    <w:spacing w:lineRule="auto" w:line="360"/>
                    <w:jc w:val="center"/>
                  </w:pPr>
                  <w:r>
                    <w:rPr>
                      <w:rFonts w:ascii="仿宋_GB2312" w:hAnsi="仿宋_GB2312" w:cs="仿宋_GB2312" w:eastAsia="仿宋_GB2312"/>
                      <w:sz w:val="24"/>
                      <w:color w:val="0000FF"/>
                    </w:rPr>
                    <w:t>筛查</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26</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前列腺彩超（男）</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甲胎蛋白（</w:t>
                  </w:r>
                  <w:r>
                    <w:rPr>
                      <w:rFonts w:ascii="仿宋_GB2312" w:hAnsi="仿宋_GB2312" w:cs="仿宋_GB2312" w:eastAsia="仿宋_GB2312"/>
                      <w:sz w:val="24"/>
                      <w:color w:val="0000FF"/>
                    </w:rPr>
                    <w:t>AFP）定量</w:t>
                  </w:r>
                </w:p>
              </w:tc>
              <w:tc>
                <w:tcPr>
                  <w:tcW w:type="dxa" w:w="199"/>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27</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子宫附件彩超（女）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糖链抗原（</w:t>
                  </w:r>
                  <w:r>
                    <w:rPr>
                      <w:rFonts w:ascii="仿宋_GB2312" w:hAnsi="仿宋_GB2312" w:cs="仿宋_GB2312" w:eastAsia="仿宋_GB2312"/>
                      <w:sz w:val="24"/>
                      <w:color w:val="0000FF"/>
                    </w:rPr>
                    <w:t>CA50）定量</w:t>
                  </w:r>
                </w:p>
              </w:tc>
              <w:tc>
                <w:tcPr>
                  <w:tcW w:type="dxa" w:w="199"/>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28</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乳腺彩超（女）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碳</w:t>
                  </w:r>
                  <w:r>
                    <w:rPr>
                      <w:rFonts w:ascii="仿宋_GB2312" w:hAnsi="仿宋_GB2312" w:cs="仿宋_GB2312" w:eastAsia="仿宋_GB2312"/>
                      <w:sz w:val="24"/>
                      <w:color w:val="0000FF"/>
                    </w:rPr>
                    <w:t>13幽门螺杆菌检测</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29</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妇科检查（已婚女）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空腹血糖</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30</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人乳头瘤病毒（</w:t>
                  </w:r>
                  <w:r>
                    <w:rPr>
                      <w:rFonts w:ascii="仿宋_GB2312" w:hAnsi="仿宋_GB2312" w:cs="仿宋_GB2312" w:eastAsia="仿宋_GB2312"/>
                      <w:sz w:val="24"/>
                      <w:color w:val="0000FF"/>
                    </w:rPr>
                    <w:t>HPV）基因分型检测23种（已婚女）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甲功三项</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31</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超薄液基细胞学检查（已婚女）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同型半胱氨酸</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tbl>
            <w:tblPr>
              <w:tblBorders>
                <w:top w:val="none" w:color="000000" w:sz="4"/>
                <w:left w:val="none" w:color="000000" w:sz="4"/>
                <w:bottom w:val="none" w:color="000000" w:sz="4"/>
                <w:right w:val="none" w:color="000000" w:sz="4"/>
                <w:insideH w:val="none"/>
                <w:insideV w:val="none"/>
              </w:tblBorders>
            </w:tblPr>
            <w:tblGrid>
              <w:gridCol w:w="203"/>
              <w:gridCol w:w="666"/>
              <w:gridCol w:w="215"/>
              <w:gridCol w:w="207"/>
              <w:gridCol w:w="902"/>
              <w:gridCol w:w="360"/>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lineRule="auto" w:line="360"/>
                    <w:jc w:val="both"/>
                  </w:pPr>
                  <w:r>
                    <w:rPr>
                      <w:rFonts w:ascii="仿宋_GB2312" w:hAnsi="仿宋_GB2312" w:cs="仿宋_GB2312" w:eastAsia="仿宋_GB2312"/>
                      <w:sz w:val="24"/>
                      <w:color w:val="0000FF"/>
                    </w:rPr>
                    <w:t>2.年龄</w:t>
                  </w:r>
                  <w:r>
                    <w:rPr>
                      <w:rFonts w:ascii="仿宋_GB2312" w:hAnsi="仿宋_GB2312" w:cs="仿宋_GB2312" w:eastAsia="仿宋_GB2312"/>
                      <w:sz w:val="24"/>
                      <w:color w:val="0000FF"/>
                    </w:rPr>
                    <w:t>40岁（含）-49岁体检项目，约240人</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序号</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体检项目</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备注</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序号</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体检项目</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身高、体重、血压</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腹部彩超</w:t>
                  </w:r>
                  <w:r>
                    <w:rPr>
                      <w:rFonts w:ascii="仿宋_GB2312" w:hAnsi="仿宋_GB2312" w:cs="仿宋_GB2312" w:eastAsia="仿宋_GB2312"/>
                      <w:sz w:val="24"/>
                      <w:color w:val="0000FF"/>
                    </w:rPr>
                    <w:t>(肝、胆、脾、双肾)</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内科</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16</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十二导联心电图</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眼科</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17</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DR颈椎正侧位检查</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眼底检查</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18</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胸部螺旋</w:t>
                  </w:r>
                  <w:r>
                    <w:rPr>
                      <w:rFonts w:ascii="仿宋_GB2312" w:hAnsi="仿宋_GB2312" w:cs="仿宋_GB2312" w:eastAsia="仿宋_GB2312"/>
                      <w:sz w:val="24"/>
                      <w:color w:val="0000FF"/>
                    </w:rPr>
                    <w:t>CT</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裂隙灯检查</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19</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头颅螺旋</w:t>
                  </w:r>
                  <w:r>
                    <w:rPr>
                      <w:rFonts w:ascii="仿宋_GB2312" w:hAnsi="仿宋_GB2312" w:cs="仿宋_GB2312" w:eastAsia="仿宋_GB2312"/>
                      <w:sz w:val="24"/>
                      <w:color w:val="0000FF"/>
                    </w:rPr>
                    <w:t>CT</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血常规</w:t>
                  </w:r>
                  <w:r>
                    <w:rPr>
                      <w:rFonts w:ascii="仿宋_GB2312" w:hAnsi="仿宋_GB2312" w:cs="仿宋_GB2312" w:eastAsia="仿宋_GB2312"/>
                      <w:sz w:val="24"/>
                      <w:color w:val="0000FF"/>
                    </w:rPr>
                    <w:t>(五分类）</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超声骨密度检测</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尿常规</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经颅多普勒检测</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肝功十项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甲状腺彩超</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肾功检测（含血尿酸）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23</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心脏彩超</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血脂四项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24</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前列腺彩超（男）</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癌胚抗原（</w:t>
                  </w:r>
                  <w:r>
                    <w:rPr>
                      <w:rFonts w:ascii="仿宋_GB2312" w:hAnsi="仿宋_GB2312" w:cs="仿宋_GB2312" w:eastAsia="仿宋_GB2312"/>
                      <w:sz w:val="24"/>
                      <w:color w:val="0000FF"/>
                    </w:rPr>
                    <w:t>CEA）定量</w:t>
                  </w:r>
                </w:p>
              </w:tc>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肿瘤</w:t>
                  </w:r>
                </w:p>
                <w:p>
                  <w:pPr>
                    <w:pStyle w:val="null3"/>
                    <w:spacing w:lineRule="auto" w:line="360"/>
                    <w:jc w:val="center"/>
                  </w:pPr>
                  <w:r>
                    <w:rPr>
                      <w:rFonts w:ascii="仿宋_GB2312" w:hAnsi="仿宋_GB2312" w:cs="仿宋_GB2312" w:eastAsia="仿宋_GB2312"/>
                      <w:sz w:val="24"/>
                      <w:color w:val="0000FF"/>
                    </w:rPr>
                    <w:t>筛查</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25</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子宫附件彩超（女）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甲胎蛋白（</w:t>
                  </w:r>
                  <w:r>
                    <w:rPr>
                      <w:rFonts w:ascii="仿宋_GB2312" w:hAnsi="仿宋_GB2312" w:cs="仿宋_GB2312" w:eastAsia="仿宋_GB2312"/>
                      <w:sz w:val="24"/>
                      <w:color w:val="0000FF"/>
                    </w:rPr>
                    <w:t>AFP）定量</w:t>
                  </w:r>
                </w:p>
              </w:tc>
              <w:tc>
                <w:tcPr>
                  <w:tcW w:type="dxa" w:w="215"/>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26</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乳腺彩超（女）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vMerge/>
                  <w:tcBorders>
                    <w:top w:val="none" w:color="000000" w:sz="4"/>
                    <w:left w:val="single" w:color="000000" w:sz="4"/>
                    <w:bottom w:val="single" w:color="000000" w:sz="4"/>
                    <w:right w:val="single" w:color="000000" w:sz="4"/>
                  </w:tcBorders>
                </w:tcP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糖链抗原（</w:t>
                  </w:r>
                  <w:r>
                    <w:rPr>
                      <w:rFonts w:ascii="仿宋_GB2312" w:hAnsi="仿宋_GB2312" w:cs="仿宋_GB2312" w:eastAsia="仿宋_GB2312"/>
                      <w:sz w:val="24"/>
                      <w:color w:val="0000FF"/>
                    </w:rPr>
                    <w:t>CA50）定量</w:t>
                  </w:r>
                </w:p>
              </w:tc>
              <w:tc>
                <w:tcPr>
                  <w:tcW w:type="dxa" w:w="215"/>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27</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妇科检查（已婚女）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碳</w:t>
                  </w:r>
                  <w:r>
                    <w:rPr>
                      <w:rFonts w:ascii="仿宋_GB2312" w:hAnsi="仿宋_GB2312" w:cs="仿宋_GB2312" w:eastAsia="仿宋_GB2312"/>
                      <w:sz w:val="24"/>
                      <w:color w:val="0000FF"/>
                    </w:rPr>
                    <w:t>13幽门螺杆菌检测</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28</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人乳头瘤病毒（</w:t>
                  </w:r>
                  <w:r>
                    <w:rPr>
                      <w:rFonts w:ascii="仿宋_GB2312" w:hAnsi="仿宋_GB2312" w:cs="仿宋_GB2312" w:eastAsia="仿宋_GB2312"/>
                      <w:sz w:val="24"/>
                      <w:color w:val="0000FF"/>
                    </w:rPr>
                    <w:t>HPV）基因分型检测23种（已婚女）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空腹血糖</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29</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超薄液基细胞学检查（已婚女）</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甲功三项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tbl>
            <w:tblPr>
              <w:tblBorders>
                <w:top w:val="none" w:color="000000" w:sz="4"/>
                <w:left w:val="none" w:color="000000" w:sz="4"/>
                <w:bottom w:val="none" w:color="000000" w:sz="4"/>
                <w:right w:val="none" w:color="000000" w:sz="4"/>
                <w:insideH w:val="none"/>
                <w:insideV w:val="none"/>
              </w:tblBorders>
            </w:tblPr>
            <w:tblGrid>
              <w:gridCol w:w="203"/>
              <w:gridCol w:w="663"/>
              <w:gridCol w:w="216"/>
              <w:gridCol w:w="207"/>
              <w:gridCol w:w="903"/>
              <w:gridCol w:w="361"/>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lineRule="auto" w:line="360"/>
                    <w:jc w:val="both"/>
                  </w:pPr>
                  <w:r>
                    <w:rPr>
                      <w:rFonts w:ascii="仿宋_GB2312" w:hAnsi="仿宋_GB2312" w:cs="仿宋_GB2312" w:eastAsia="仿宋_GB2312"/>
                      <w:sz w:val="24"/>
                      <w:color w:val="0000FF"/>
                    </w:rPr>
                    <w:t>3.年龄40岁以下体检项目，约318人</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序号</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体检项目</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备注</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序号</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体检项目</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1</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身高、体重、血压</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14</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十二导联心电图</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内科</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DR颈椎正侧位检查</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眼科</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16</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胸部螺旋</w:t>
                  </w:r>
                  <w:r>
                    <w:rPr>
                      <w:rFonts w:ascii="仿宋_GB2312" w:hAnsi="仿宋_GB2312" w:cs="仿宋_GB2312" w:eastAsia="仿宋_GB2312"/>
                      <w:sz w:val="24"/>
                      <w:color w:val="0000FF"/>
                    </w:rPr>
                    <w:t>CT</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眼底检查</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17</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头颅螺旋</w:t>
                  </w:r>
                  <w:r>
                    <w:rPr>
                      <w:rFonts w:ascii="仿宋_GB2312" w:hAnsi="仿宋_GB2312" w:cs="仿宋_GB2312" w:eastAsia="仿宋_GB2312"/>
                      <w:sz w:val="24"/>
                      <w:color w:val="0000FF"/>
                    </w:rPr>
                    <w:t>CT</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裂隙灯检查</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18</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超声骨密度检测</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血常规</w:t>
                  </w:r>
                  <w:r>
                    <w:rPr>
                      <w:rFonts w:ascii="仿宋_GB2312" w:hAnsi="仿宋_GB2312" w:cs="仿宋_GB2312" w:eastAsia="仿宋_GB2312"/>
                      <w:sz w:val="24"/>
                      <w:color w:val="0000FF"/>
                    </w:rPr>
                    <w:t>(五分类）</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19</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经颅多普勒检测</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尿常规</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20</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甲状腺彩超</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肝功十项</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21</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前列腺彩超（男）</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肾功检测（含血尿酸）</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22</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子宫附件彩超（女）</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10</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血脂四项</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23</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乳腺彩超（女）</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11</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碳</w:t>
                  </w:r>
                  <w:r>
                    <w:rPr>
                      <w:rFonts w:ascii="仿宋_GB2312" w:hAnsi="仿宋_GB2312" w:cs="仿宋_GB2312" w:eastAsia="仿宋_GB2312"/>
                      <w:sz w:val="24"/>
                      <w:color w:val="0000FF"/>
                    </w:rPr>
                    <w:t>13幽门螺杆菌检测</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24</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妇科检查（已婚女）</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12</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空腹血糖</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25</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人乳头瘤病毒（</w:t>
                  </w:r>
                  <w:r>
                    <w:rPr>
                      <w:rFonts w:ascii="仿宋_GB2312" w:hAnsi="仿宋_GB2312" w:cs="仿宋_GB2312" w:eastAsia="仿宋_GB2312"/>
                      <w:sz w:val="24"/>
                      <w:color w:val="0000FF"/>
                    </w:rPr>
                    <w:t>HPV）基因分型检测23种（已婚女）</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13</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腹部彩超</w:t>
                  </w:r>
                  <w:r>
                    <w:rPr>
                      <w:rFonts w:ascii="仿宋_GB2312" w:hAnsi="仿宋_GB2312" w:cs="仿宋_GB2312" w:eastAsia="仿宋_GB2312"/>
                      <w:sz w:val="24"/>
                      <w:color w:val="0000FF"/>
                    </w:rPr>
                    <w:t>(肝、胆、脾、双肾)</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26</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FF"/>
                    </w:rPr>
                    <w:t>超薄液基细胞学检查（已婚女）</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p>
              </w:tc>
            </w:tr>
          </w:tbl>
          <w:p>
            <w:pPr>
              <w:pStyle w:val="null3"/>
              <w:jc w:val="both"/>
            </w:pPr>
            <w:r>
              <w:rPr>
                <w:rFonts w:ascii="仿宋_GB2312" w:hAnsi="仿宋_GB2312" w:cs="仿宋_GB2312" w:eastAsia="仿宋_GB2312"/>
                <w:sz w:val="24"/>
                <w:color w:val="0000FF"/>
              </w:rPr>
              <w:t>（二）服务要求</w:t>
            </w:r>
          </w:p>
          <w:p>
            <w:pPr>
              <w:pStyle w:val="null3"/>
              <w:ind w:firstLine="480"/>
              <w:jc w:val="both"/>
            </w:pPr>
            <w:r>
              <w:rPr>
                <w:rFonts w:ascii="仿宋_GB2312" w:hAnsi="仿宋_GB2312" w:cs="仿宋_GB2312" w:eastAsia="仿宋_GB2312"/>
                <w:sz w:val="24"/>
                <w:color w:val="0000FF"/>
              </w:rPr>
              <w:t>1.供应商针对本项目制定具体详实可行的组织实施方案。应为本单位此次体检提供快速通道服务或相应的便捷服务，并提供免费营养早餐：面包、鸡蛋、牛奶等。</w:t>
            </w:r>
          </w:p>
          <w:p>
            <w:pPr>
              <w:pStyle w:val="null3"/>
              <w:ind w:firstLine="480"/>
              <w:jc w:val="both"/>
            </w:pPr>
            <w:r>
              <w:rPr>
                <w:rFonts w:ascii="仿宋_GB2312" w:hAnsi="仿宋_GB2312" w:cs="仿宋_GB2312" w:eastAsia="仿宋_GB2312"/>
                <w:sz w:val="24"/>
                <w:color w:val="0000FF"/>
              </w:rPr>
              <w:t>2.职工体检开始后，供应商应为体检人员提供快速、便捷的体检结果信息化查询方式，同时须以周为单位将当前阶段体检报告纸质版送达西安铁路职业技术学院工会；体检工作结束后，供应商需提供西安铁路职业技术学院本次体检结果汇总、分析报告的纸质版及电子版。</w:t>
            </w:r>
          </w:p>
          <w:p>
            <w:pPr>
              <w:pStyle w:val="null3"/>
              <w:ind w:firstLine="480"/>
              <w:jc w:val="both"/>
            </w:pPr>
            <w:r>
              <w:rPr>
                <w:rFonts w:ascii="仿宋_GB2312" w:hAnsi="仿宋_GB2312" w:cs="仿宋_GB2312" w:eastAsia="仿宋_GB2312"/>
                <w:sz w:val="24"/>
                <w:color w:val="0000FF"/>
              </w:rPr>
              <w:t>3.供应商不得以西安铁路职业技术学院实际参检人数多寡为由，提出变更套餐价格或其他要求。中标单位不得主动以任何形式向体检职工推荐、推销本次体检套餐以外的项目。职工要求增加体检项目者，给予最低优惠折扣。职工家属自愿参加本次体检者，享受与西安铁路职业技术学院职工相同的套餐价格折扣，费用由自己负担。</w:t>
            </w:r>
          </w:p>
          <w:p>
            <w:pPr>
              <w:pStyle w:val="null3"/>
              <w:ind w:firstLine="480"/>
              <w:jc w:val="both"/>
            </w:pPr>
            <w:r>
              <w:rPr>
                <w:rFonts w:ascii="仿宋_GB2312" w:hAnsi="仿宋_GB2312" w:cs="仿宋_GB2312" w:eastAsia="仿宋_GB2312"/>
                <w:sz w:val="24"/>
                <w:color w:val="0000FF"/>
              </w:rPr>
              <w:t>4.出具体检报告后，体检单位有义务向每一位体检者进行专业解析，提出健康指导意见，若有必要，可分次按照学院指定地点组织专家进行现场答疑，逐一深度解读体检报告。</w:t>
            </w:r>
          </w:p>
          <w:p>
            <w:pPr>
              <w:pStyle w:val="null3"/>
              <w:ind w:firstLine="480"/>
              <w:jc w:val="both"/>
            </w:pPr>
            <w:r>
              <w:rPr>
                <w:rFonts w:ascii="仿宋_GB2312" w:hAnsi="仿宋_GB2312" w:cs="仿宋_GB2312" w:eastAsia="仿宋_GB2312"/>
                <w:sz w:val="24"/>
                <w:color w:val="0000FF"/>
              </w:rPr>
              <w:t>5.体检机构中标后，在签订合同前要与甲方充分协商，各年龄段具体体检项目以甲方要求为准。</w:t>
            </w:r>
          </w:p>
          <w:p>
            <w:pPr>
              <w:pStyle w:val="null3"/>
              <w:ind w:firstLine="480"/>
              <w:jc w:val="both"/>
            </w:pPr>
            <w:r>
              <w:rPr>
                <w:rFonts w:ascii="仿宋_GB2312" w:hAnsi="仿宋_GB2312" w:cs="仿宋_GB2312" w:eastAsia="仿宋_GB2312"/>
                <w:sz w:val="24"/>
                <w:color w:val="0000FF"/>
              </w:rPr>
              <w:t>6.服务期内，经甲乙双方友好协商，在体检单人总价不变的前提下，甲方可以对体检项目进行微调。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主检医师需具备副主任医师及以上职称，各科室医师需持有执业医师资格证书及执业证书。护士需持有效执业证书，且具备2年以上体检岗位经验。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所有体检设备具备合格检定证书（如CT、DR需提供辐射安全许可证），符合国家医疗器械检定标准。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1.服务标准：按照《医疗质量管理办法》、《医学检验实验室质量管理规范》、《健康体检管理暂行规定》、《健康体检中心基本标准（试行）》和《健康体检中心管理规范（试行）》的要求开展健康体检服务。 2.进度要求： （1）成交单位应在合同签订后接招标人通知之日起7个日历日内安排人员（项目组成人员简历表所列）与使用单位进行安排、部署、计划。 （2）若未能在按照项目实际工作时间完成规定的义务，由此对招标人造成的延误和一切损失，由成交单位承担和赔偿。 3.成果交付要求： （1）成交单位提供本次西安铁路职业技术学院体检分析报告纸质版和电子版。纸质版要求A4纸胶印装订，封面标注单位名称及体检日期，按部门/人员分类整理。电子版报告要求PDF格式（加密传输），包含个人体检结果、异常指标解读、健康建议等。 （2）体检结束后15个工作日内完成全部报告交付。体检过程中发现重大阳性结果（如肿瘤标志物异常）需48小时内电话通知本人。 4.知识产权：人员信息数据安全所有权及相应权益归属采购学院。服务提供商不得以任何形式侵犯其所有权，否则，学院有权依法追究其法律责任，并要求服务提供商赔偿因此造成的损失。</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合同有效期为合同签订后一年。合同签订后一年内完成职工体检。</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1.依据《健康体检管理暂行规定》及合同约定内容验收；抽查10%的体检报告，核查完整性、准确性及隐私保护情况。 2.甲方对乙方体检工作进行满意度调查，服务质量综合评价等。考核按百分制，考核满意率达到85%以上为服务达标，低于85%，为服务不达标；若当年体检服务不达标，甲方有权终止合同，若出现重大问题，甲方将依法追责，乙方予以相应赔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在规定时间内完成所有职工的体检过程，并按要求提交体检汇总分析报告等资料后，开具全额发票及体检人数和详细名单，甲方按照实际体检人数及发票金额，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2.未按合同要求提供服务或服务质量不能满足技术要求，招标人有权终止合同，并对供方违约行为进行追究，同时按《中华人民共和国招投标法》的有关规定进行处罚。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1.各供应商在磋商时以填报“总价及单价”的形式自主填报磋商报价，其中“总价”为暂定总价，按照暂定人数726计算填报；“单价”以“ 元/人”进行填报。供应商所填报的磋商报价应是完成本次采购范围内所需服务的相应全部费用，包括但不限于：服务费、成果报告费、税金、利润等与之相关的一切直接费、间接费。要求的其他相关费用以本磋商文件的内容和要求作为磋商依据。 评审时以“总价”进行价格分的评审，结算时按照成交单价×实际体检人数进行据实结算。 2.根据西安市财政局《关于促进政府采购公平竞争优化营商环境的通知》（市财函[2021]431号）文中“第16条规定 供应商登记免费领取采购文件的，如不参与项目投标，应在递交响应（或相应）文件截止时间前一日以书面形式告知采购代理机构。否则，采购代理机构可以向财政部门反映情况并提供相应的佐证。供应商一年内累计出现三次该情形，将被监管部门记录失信行为”。 3.采购人向成交供应商付款前，成交供应商应向采购人开具符合采购人要求的等额发票，若因成交供应商未开具或逾期开具合法有效的发票，采购人有权顺延付款期限且不承担逾期付款责任。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供应商具有有效期内的《医疗机构执业许可证》、《放射诊疗许可证》及《辐射安全许可证》。</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按竞争性磋商文件要求签署、盖章的；</w:t>
            </w:r>
          </w:p>
        </w:tc>
        <w:tc>
          <w:tcPr>
            <w:tcW w:type="dxa" w:w="1661"/>
          </w:tcPr>
          <w:p>
            <w:pPr>
              <w:pStyle w:val="null3"/>
            </w:pPr>
            <w:r>
              <w:rPr>
                <w:rFonts w:ascii="仿宋_GB2312" w:hAnsi="仿宋_GB2312" w:cs="仿宋_GB2312" w:eastAsia="仿宋_GB2312"/>
              </w:rPr>
              <w:t>响应文件封面 法定代表人证明书及授权书.docx 标的清单 报价表 服务内容及服务邀请应答表.docx 供应商应提交的相关资格证明文件.docx 商务条款响应偏离表.docx 响应函 服务费用说明一览表.docx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响应文件封面 服务内容及服务邀请应答表.docx 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响应文件封面 标的清单 报价表 服务内容及服务邀请应答表.docx 供应商应提交的相关资格证明文件.docx 商务条款响应偏离表.docx 服务费用说明一览表.docx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竞争性磋商会议的，应出具法定代表人证明书。法定代表人授权合法授权代表参加磋商会议的，应出具法定代表人证明书、法定代表人授权书，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根据投标人针对服务要求响应情况进行评审，完全响应并满足服务要求的得20分，有一项未响应或不满足采购需求的扣2分，扣完为止。 备注：相应的各服务要求均需提供佐证材料。佐证材料为投标人认为可以佐证参数响应性的材料。投标人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供应商提供的整体服务的思路及要点需包含①核心需求把握度；②重难点深度分析；③需求适配针对性，共3项内容，每项满分3分，总分9分。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供应商提供的服务质量保障措施方案需包含①核心环节质量管控措施；②完善的售后服务体系；③人员与场地设备质量保障，共3项内容，每项满分3分，总分9分。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供应商提供的服务开展的组织措施及制度方案需包含①体检结果质量保证措施；②隐私保护措施；③体检后的结果解读与健康指导；④健康风险评估；⑤健康管理建议；共5项内容，每项满分3分，总分15分。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供应商提供的服务开展的流程及规范方案需包含①服务流程及实施；②各环节衔接保障措施；③内外部沟通机制，共3项内容，每项满分3分，总分9分。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投标人提供的服务团队配备情况需包含①人员配置情况表；②核心成员具备的专业资质及同类项目服务经验；③各流程节点岗位职责划分及岗位管理机制，共3项内容，每项满分3分，总分9分。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的项目应急预案①针对本项目提供的体检过程中发生的特殊情况(如被体检人晕针、晕血低血糖、仪器伤害等情形)；②体检中发现异常重大疾病，即刻安排会诊、住院、治疗等；③建立体检现场应急物资储备、急救人员值守及突发事态联动报备机制，明确应急联络人、对接医院绿色通道流程，应急保障体系完善健全。应急响应方案详细、清晰、科学合理；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0.8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投标人应在投标文件中提供该投标人自2023年4月1日起至今的类似业绩证明材料，每提供一份有效类似业绩证明材料的得1分，满分5分。 备注：以投标人提供的合同复印件或扫描件为准，时间以合同中所体现的时间为准。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磋商报价采用低价优先法计算，即满足磋商文件要求且最后磋商报价最低的报价为评审基准价，其价格分为满分。其他供应商的价格分统一按照下列公式计算：磋商报价得分=（评标基准价/最后磋商报价×15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详见附件：服务费用说明一览表.docx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详见附件：整体服务的思路及要点.docx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详见附件：西安铁路职业技术学院合同模板.docx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