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版本号：SXHHZFCG-26S-061620260622001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商洛市重点保护鸟类资源调查项目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SXHHZFCG-26S-0616</w:t>
      </w:r>
      <w:r>
        <w:br/>
      </w:r>
      <w:r>
        <w:br/>
      </w:r>
      <w:r>
        <w:br/>
      </w:r>
    </w:p>
    <w:p>
      <w:pPr>
        <w:pStyle w:val="null3"/>
        <w:jc w:val="center"/>
        <w:outlineLvl w:val="2"/>
      </w:pPr>
      <w:r>
        <w:rPr>
          <w:rFonts w:ascii="仿宋_GB2312" w:hAnsi="仿宋_GB2312" w:cs="仿宋_GB2312" w:eastAsia="仿宋_GB2312"/>
          <w:sz w:val="28"/>
          <w:b/>
        </w:rPr>
        <w:t>商洛市林木病虫防治检疫站</w:t>
      </w:r>
    </w:p>
    <w:p>
      <w:pPr>
        <w:pStyle w:val="null3"/>
        <w:jc w:val="center"/>
        <w:outlineLvl w:val="2"/>
      </w:pPr>
      <w:r>
        <w:rPr>
          <w:rFonts w:ascii="仿宋_GB2312" w:hAnsi="仿宋_GB2312" w:cs="仿宋_GB2312" w:eastAsia="仿宋_GB2312"/>
          <w:sz w:val="28"/>
          <w:b/>
        </w:rPr>
        <w:t>陕西昊华工程项目管理有限责任公司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陕西昊华工程项目管理有限责任公司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商洛市林木病虫防治检疫站</w:t>
      </w:r>
      <w:r>
        <w:rPr>
          <w:rFonts w:ascii="仿宋_GB2312" w:hAnsi="仿宋_GB2312" w:cs="仿宋_GB2312" w:eastAsia="仿宋_GB2312"/>
        </w:rPr>
        <w:t>委托，拟对</w:t>
      </w:r>
      <w:r>
        <w:rPr>
          <w:rFonts w:ascii="仿宋_GB2312" w:hAnsi="仿宋_GB2312" w:cs="仿宋_GB2312" w:eastAsia="仿宋_GB2312"/>
        </w:rPr>
        <w:t>商洛市重点保护鸟类资源调查项目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SXHHZFCG-26S-0616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商洛市重点保护鸟类资源调查项目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开展商洛市国家重点保护野生鸟类资源调查，主要调查境内国家一级、二级保护鸟类种类、种群和分布区域，对调查发现的极度濒危野生动物物种开展监测工作。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2、法定代表人授权：法定代表人或负责人参与磋商时需提供法定代表人或负责人资格证明书（附法定代表人或负责人身份证复印件）；（法定代表人或负责人须提供身份证原件，身份证原件可由本人持有）</w:t>
      </w:r>
    </w:p>
    <w:p>
      <w:pPr>
        <w:pStyle w:val="null3"/>
      </w:pPr>
      <w:r>
        <w:rPr>
          <w:rFonts w:ascii="仿宋_GB2312" w:hAnsi="仿宋_GB2312" w:cs="仿宋_GB2312" w:eastAsia="仿宋_GB2312"/>
        </w:rPr>
        <w:t>3、信誉要求：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财务状况：提供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提供相关证明文件的扫描件并加盖企业公章。</w:t>
      </w:r>
    </w:p>
    <w:p>
      <w:pPr>
        <w:pStyle w:val="null3"/>
      </w:pPr>
      <w:r>
        <w:rPr>
          <w:rFonts w:ascii="仿宋_GB2312" w:hAnsi="仿宋_GB2312" w:cs="仿宋_GB2312" w:eastAsia="仿宋_GB2312"/>
        </w:rPr>
        <w:t>5、 社会保障资金缴纳证明：提交响应文件截止时间前六个月内至少一个月的社会保障资金缴存单据或社保机构开具的社会保险参保缴费情况证明，单据或证明上应有社保机构或代收机构的公章或业务专用章。（依法不需要缴纳社会保障资金的供应商应提供相应文件证明），提供相关证明文件的扫描件并加盖企业公章。</w:t>
      </w:r>
    </w:p>
    <w:p>
      <w:pPr>
        <w:pStyle w:val="null3"/>
      </w:pPr>
      <w:r>
        <w:rPr>
          <w:rFonts w:ascii="仿宋_GB2312" w:hAnsi="仿宋_GB2312" w:cs="仿宋_GB2312" w:eastAsia="仿宋_GB2312"/>
        </w:rPr>
        <w:t>6、税收缴纳证明：提交响应文件截止时间前六个月内至少一个月的纳税证明或完税证明（增值税、营业税、企业所得税至少提供一种），纳税证明或完税证明上应有代收机构或税务机关的公章或业务专用章。（依法免税的供应商应提供相应文件证明 ） ，提供相关证明文件的扫描件并加盖企业公章。</w:t>
      </w:r>
    </w:p>
    <w:p>
      <w:pPr>
        <w:pStyle w:val="null3"/>
      </w:pPr>
      <w:r>
        <w:rPr>
          <w:rFonts w:ascii="仿宋_GB2312" w:hAnsi="仿宋_GB2312" w:cs="仿宋_GB2312" w:eastAsia="仿宋_GB2312"/>
        </w:rPr>
        <w:t>7、非联合体，不转包、分包承诺书：本项目不接受联合体磋商、分包、转包。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商洛市林木病虫防治检疫站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商洛市商州区北新街东段18号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商洛市林木病虫防治检疫站经办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13149147357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陕西昊华工程项目管理有限责任公司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商洛市商州区金源二路中段22号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陕西昊华经办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0914-2385559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开户名称：陕西昊华工程项目管理有限责任公司</w:t>
            </w:r>
          </w:p>
          <w:p>
            <w:pPr>
              <w:pStyle w:val="null3"/>
            </w:pPr>
            <w:r>
              <w:rPr>
                <w:rFonts w:ascii="仿宋_GB2312" w:hAnsi="仿宋_GB2312" w:cs="仿宋_GB2312" w:eastAsia="仿宋_GB2312"/>
              </w:rPr>
              <w:t>开户银行：中国银行西安西部电子商城支行</w:t>
            </w:r>
          </w:p>
          <w:p>
            <w:pPr>
              <w:pStyle w:val="null3"/>
            </w:pPr>
            <w:r>
              <w:rPr>
                <w:rFonts w:ascii="仿宋_GB2312" w:hAnsi="仿宋_GB2312" w:cs="仿宋_GB2312" w:eastAsia="仿宋_GB2312"/>
              </w:rPr>
              <w:t>银行账号：103201768510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代理服务费收费标准：招标服务费的收费标准，按国家计委计价格[2002]1980号文件执行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商洛市林木病虫防治检疫站</w:t>
      </w:r>
      <w:r>
        <w:rPr>
          <w:rFonts w:ascii="仿宋_GB2312" w:hAnsi="仿宋_GB2312" w:cs="仿宋_GB2312" w:eastAsia="仿宋_GB2312"/>
        </w:rPr>
        <w:t>和</w:t>
      </w:r>
      <w:r>
        <w:rPr>
          <w:rFonts w:ascii="仿宋_GB2312" w:hAnsi="仿宋_GB2312" w:cs="仿宋_GB2312" w:eastAsia="仿宋_GB2312"/>
        </w:rPr>
        <w:t>陕西昊华工程项目管理有限责任公司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商洛市林木病虫防治检疫站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陕西昊华工程项目管理有限责任公司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商洛市林木病虫防治检疫站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陕西昊华工程项目管理有限责任公司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（1）供应商应保证在本项目使用的任何服务和产品（包括部分使用，如涉及）时，不会 产生因第三方提出侵犯其专利权、商标权或其它知识产权而引起的法律和经济纠纷，如因专利权、商标权或其它知识产权而引 起法律和经济纠纷，由供应商承担所有相关责任。 （2）采购人享有本项目实施过程中产生的知识成果及知识产权。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依据技术参数与性能指标要求及合同约定进行验收。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陕西昊华工程项目管理有限责任公司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陕西昊华工程项目管理有限责任公司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陕西昊华工程项目管理有限责任公司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联系人：郭主任</w:t>
      </w:r>
    </w:p>
    <w:p>
      <w:pPr>
        <w:pStyle w:val="null3"/>
      </w:pPr>
      <w:r>
        <w:rPr>
          <w:rFonts w:ascii="仿宋_GB2312" w:hAnsi="仿宋_GB2312" w:cs="仿宋_GB2312" w:eastAsia="仿宋_GB2312"/>
        </w:rPr>
        <w:t>联系电话：13149147357</w:t>
      </w:r>
    </w:p>
    <w:p>
      <w:pPr>
        <w:pStyle w:val="null3"/>
      </w:pPr>
      <w:r>
        <w:rPr>
          <w:rFonts w:ascii="仿宋_GB2312" w:hAnsi="仿宋_GB2312" w:cs="仿宋_GB2312" w:eastAsia="仿宋_GB2312"/>
        </w:rPr>
        <w:t>地址：商洛市商州区北新街东段18号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联系电话：0914-2385559</w:t>
      </w:r>
    </w:p>
    <w:p>
      <w:pPr>
        <w:pStyle w:val="null3"/>
      </w:pPr>
      <w:r>
        <w:rPr>
          <w:rFonts w:ascii="仿宋_GB2312" w:hAnsi="仿宋_GB2312" w:cs="仿宋_GB2312" w:eastAsia="仿宋_GB2312"/>
        </w:rPr>
        <w:t>地址：商洛市商州区金源二路中段22号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开展商洛市国家重点保护野生鸟类资源调查，主要调查境内国家一级、二级保护鸟类种类、种群和分布区域，对调查发现的极度濒危野生动物物种开展监测工作。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商洛市重点保护鸟类资源调查项目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标的名称：商洛市重点保护鸟类资源调查项目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2"/>
              </w:rPr>
              <w:t>通过实施本项目，</w:t>
            </w:r>
            <w:r>
              <w:rPr>
                <w:rFonts w:ascii="仿宋_GB2312" w:hAnsi="仿宋_GB2312" w:cs="仿宋_GB2312" w:eastAsia="仿宋_GB2312"/>
                <w:sz w:val="32"/>
              </w:rPr>
              <w:t>准确掌握我市重点保护鸟类种群状况及生境特点，分布范围，栖息地</w:t>
            </w:r>
            <w:r>
              <w:rPr>
                <w:rFonts w:ascii="仿宋_GB2312" w:hAnsi="仿宋_GB2312" w:cs="仿宋_GB2312" w:eastAsia="仿宋_GB2312"/>
                <w:sz w:val="32"/>
              </w:rPr>
              <w:t>状况</w:t>
            </w:r>
            <w:r>
              <w:rPr>
                <w:rFonts w:ascii="仿宋_GB2312" w:hAnsi="仿宋_GB2312" w:cs="仿宋_GB2312" w:eastAsia="仿宋_GB2312"/>
                <w:sz w:val="32"/>
              </w:rPr>
              <w:t>，为后续科学保护规划和制定行动保护方案提供基础依据。同时通过对基础原始资料的收集分析，对于种群演化及动态管理分析提供基础数据。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依据技术参数与性能指标要求及合同约定进行验收。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进度款，项目实施完成且通过初步验收后 ，达到付款条件起30个工作日内，支付合同总金额的95.0%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 按《合同法》中的相关条款执行； ②未按合同要求提供服务或货物及服务质量 不能满足合同要求，甲方有权依据《合同法》有关条款及合同约定终止合同，并要求供应商承担违约责任。 解决争议的方 法：合同履行期间,若双方发生争议，可协商或由有关部门调解解决，协商或调解不成的，由当事人依法维护其合法权益。</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符合《政府采购法》第二十二条规定.docx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 xml:space="preserve">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营业执照合法有效.docx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法定代表人或负责人参与磋商时需提供法定代表人或负责人资格证明书（附法定代表人或负责人身份证复印件）；（法定代表人或负责人须提供身份证原件，身份证原件可由本人持有）</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提供相关证明文件的扫描件并加盖企业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社会保障资金缴纳证明</w:t>
            </w:r>
          </w:p>
        </w:tc>
        <w:tc>
          <w:tcPr>
            <w:tcW w:type="dxa" w:w="3322"/>
          </w:tcPr>
          <w:p>
            <w:pPr>
              <w:pStyle w:val="null3"/>
            </w:pPr>
            <w:r>
              <w:rPr>
                <w:rFonts w:ascii="仿宋_GB2312" w:hAnsi="仿宋_GB2312" w:cs="仿宋_GB2312" w:eastAsia="仿宋_GB2312"/>
              </w:rPr>
              <w:t>提交响应文件截止时间前六个月内至少一个月的社会保障资金缴存单据或社保机构开具的社会保险参保缴费情况证明，单据或证明上应有社保机构或代收机构的公章或业务专用章。（依法不需要缴纳社会保障资金的供应商应提供相应文件证明），提供相关证明文件的扫描件并加盖企业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六个月内至少一个月的纳税证明或完税证明（增值税、营业税、企业所得税至少提供一种），纳税证明或完税证明上应有代收机构或税务机关的公章或业务专用章。（依法免税的供应商应提供相应文件证明 ） ，提供相关证明文件的扫描件并加盖企业公章。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非联合体，不转包、分包承诺书</w:t>
            </w:r>
          </w:p>
        </w:tc>
        <w:tc>
          <w:tcPr>
            <w:tcW w:type="dxa" w:w="3322"/>
          </w:tcPr>
          <w:p>
            <w:pPr>
              <w:pStyle w:val="null3"/>
            </w:pPr>
            <w:r>
              <w:rPr>
                <w:rFonts w:ascii="仿宋_GB2312" w:hAnsi="仿宋_GB2312" w:cs="仿宋_GB2312" w:eastAsia="仿宋_GB2312"/>
              </w:rPr>
              <w:t>本项目不接受联合体磋商、分包、转包。</w:t>
            </w:r>
          </w:p>
        </w:tc>
        <w:tc>
          <w:tcPr>
            <w:tcW w:type="dxa" w:w="1661"/>
          </w:tcPr>
          <w:p>
            <w:pPr>
              <w:pStyle w:val="null3"/>
            </w:pPr>
            <w:r>
              <w:rPr>
                <w:rFonts w:ascii="仿宋_GB2312" w:hAnsi="仿宋_GB2312" w:cs="仿宋_GB2312" w:eastAsia="仿宋_GB2312"/>
              </w:rPr>
              <w:t>非联合体不分包响应声明函.docx.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响应文件应按磋商文件要求签字、盖章</w:t>
            </w:r>
          </w:p>
        </w:tc>
        <w:tc>
          <w:tcPr>
            <w:tcW w:type="dxa" w:w="1661"/>
          </w:tcPr>
          <w:p>
            <w:pPr>
              <w:pStyle w:val="null3"/>
            </w:pPr>
            <w:r>
              <w:rPr>
                <w:rFonts w:ascii="仿宋_GB2312" w:hAnsi="仿宋_GB2312" w:cs="仿宋_GB2312" w:eastAsia="仿宋_GB2312"/>
              </w:rPr>
              <w:t>非联合体不分包响应声明函.docx. 中小企业声明函 商务应答表 供应商应提交的相关资格证明材料 服务内容及服务要求应答表 报价表 业绩证明文件.docx 法定代表人授权书.docx 响应文件封面 陕西省政府采购投标人拒绝政府采购领域商业贿赂承诺书.docx 残疾人福利性单位声明函 服务方案 符合《政府采购法》第二十二条规定.docx 供应商认为应提供的其他证明材料.docx 标的清单 营业执照合法有效.docx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要求全面，且逐条响应，不能有负偏离，不能 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只能有唯一有效报价，不得提交选择性报价， 且报价不超过磋商文件规定的采购预算金额或 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自投标文件递交截止之日起计算不少于90天。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磋商投标保证金</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响应文件内容齐全、无遗漏或重大错误</w:t>
            </w:r>
          </w:p>
        </w:tc>
        <w:tc>
          <w:tcPr>
            <w:tcW w:type="dxa" w:w="1661"/>
          </w:tcPr>
          <w:p>
            <w:pPr>
              <w:pStyle w:val="null3"/>
            </w:pPr>
            <w:r>
              <w:rPr>
                <w:rFonts w:ascii="仿宋_GB2312" w:hAnsi="仿宋_GB2312" w:cs="仿宋_GB2312" w:eastAsia="仿宋_GB2312"/>
              </w:rPr>
              <w:t>非联合体不分包响应声明函.docx. 中小企业声明函 商务应答表 供应商应提交的相关资格证明材料 服务内容及服务要求应答表 报价表 业绩证明文件.docx 法定代表人授权书.docx 响应文件封面 陕西省政府采购投标人拒绝政府采购领域商业贿赂承诺书.docx 残疾人福利性单位声明函 服务方案 符合《政府采购法》第二十二条规定.docx 供应商认为应提供的其他证明材料.docx 标的清单 营业执照合法有效.docx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评审得分相同的，按照最后报价由低到高的顺序推荐。评审得分且最后报价相同的，按照技术指标优劣顺序推荐。评审得分且最后报价且技术指标得分均相同的，成交候选供应商并列，由采购人随机抽取确定。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总体工作思路与实施框架</w:t>
            </w:r>
          </w:p>
        </w:tc>
        <w:tc>
          <w:tcPr>
            <w:tcW w:type="dxa" w:w="2492"/>
          </w:tcPr>
          <w:p>
            <w:pPr>
              <w:pStyle w:val="null3"/>
            </w:pPr>
            <w:r>
              <w:rPr>
                <w:rFonts w:ascii="仿宋_GB2312" w:hAnsi="仿宋_GB2312" w:cs="仿宋_GB2312" w:eastAsia="仿宋_GB2312"/>
              </w:rPr>
              <w:t>（1）工作思路清晰、逻辑严谨，调查工作整体流程科学，分阶段工作目标明确，贴合项目实际重难点，整体方案针对性极强，得8-10分； （2）工作思路清晰，实施框架完整，阶段目标合理，基本贴合项目需求，无明显漏洞，得5-7分； （3）工作思路基本可行，实施框架存在缺失，阶段目标模糊，针对性一般，得3-4分； （4）思路混乱、框架缺失，方案与项目调查需求不匹配，得1-2分； 无整体实施方案，得0分。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调查内容与指标设计</w:t>
            </w:r>
          </w:p>
        </w:tc>
        <w:tc>
          <w:tcPr>
            <w:tcW w:type="dxa" w:w="2492"/>
          </w:tcPr>
          <w:p>
            <w:pPr>
              <w:pStyle w:val="null3"/>
            </w:pPr>
            <w:r>
              <w:rPr>
                <w:rFonts w:ascii="仿宋_GB2312" w:hAnsi="仿宋_GB2312" w:cs="仿宋_GB2312" w:eastAsia="仿宋_GB2312"/>
              </w:rPr>
              <w:t>全面覆盖项目要求的鸟类种类、数量、种群分布、栖息环境、迁徙动态、珍稀濒危鸟类保护现状、人为干扰因素、资源现状评估等全部调查内容，调查指标细化、科学、贴合项目需求，得8-10分；覆盖主要调查内容，指标基本完整，个别细节缺失，得5-7分；调查内容存在明显缺项，指标设计笼统，得2-4分；核心调查内容缺失，得0-1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调查技术方法与流程</w:t>
            </w:r>
          </w:p>
        </w:tc>
        <w:tc>
          <w:tcPr>
            <w:tcW w:type="dxa" w:w="2492"/>
          </w:tcPr>
          <w:p>
            <w:pPr>
              <w:pStyle w:val="null3"/>
            </w:pPr>
            <w:r>
              <w:rPr>
                <w:rFonts w:ascii="仿宋_GB2312" w:hAnsi="仿宋_GB2312" w:cs="仿宋_GB2312" w:eastAsia="仿宋_GB2312"/>
              </w:rPr>
              <w:t>熟练运用样线法、样点法、定点观测法、红外相机监测法、鸣声识别法、走访调查法等多种专业调查方式，根据区域环境差异化选用调查方法，技术流程标准化、规范化，昼夜调查、不同季节调查方案完善，可精准保障调查数据真实性、完整性，得12-15分；采用常规调查方法，流程完整，方法适配性一般，无明显缺陷，得8-11分；调查方法单一，流程存在漏洞，部分环节缺乏技术支撑，得4-7分；方法简单粗放，不符合行业规范，得1-3分；无具体调查技术方法，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数据整理与成果编制方案</w:t>
            </w:r>
          </w:p>
        </w:tc>
        <w:tc>
          <w:tcPr>
            <w:tcW w:type="dxa" w:w="2492"/>
          </w:tcPr>
          <w:p>
            <w:pPr>
              <w:pStyle w:val="null3"/>
            </w:pPr>
            <w:r>
              <w:rPr>
                <w:rFonts w:ascii="仿宋_GB2312" w:hAnsi="仿宋_GB2312" w:cs="仿宋_GB2312" w:eastAsia="仿宋_GB2312"/>
              </w:rPr>
              <w:t>明确原始数据核查、录入、统计、分析流程，数据质控方法完善，调查报告、分布图、数据表、图集等成果编制内容完整、标准规范，得6-10分；数据处理及成果编制方案基本完整，细节不足，得1-5分；无相关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项目负责人及核心技术人员</w:t>
            </w:r>
          </w:p>
        </w:tc>
        <w:tc>
          <w:tcPr>
            <w:tcW w:type="dxa" w:w="2492"/>
          </w:tcPr>
          <w:p>
            <w:pPr>
              <w:pStyle w:val="null3"/>
            </w:pPr>
            <w:r>
              <w:rPr>
                <w:rFonts w:ascii="仿宋_GB2312" w:hAnsi="仿宋_GB2312" w:cs="仿宋_GB2312" w:eastAsia="仿宋_GB2312"/>
              </w:rPr>
              <w:t>（1）项目负责人具备野生动物调查、生态监测相关中级及以上职称，拥有3年及以上同类鸟类资源调查项目从业经验，主持过省级及以上同类项目，核心技术人员专业对口、团队架构完整，分工清晰，得8-10分； （2）项目负责人具备相关职称及同类项目经验，核心人员专业对口，团队配置完整，得5-7分； （3）团队人员基本满足工作需求，经验较少，分工模糊，得2-4分； （4）人员配置不满足项目基本要求，无同类项目经验，得0-1分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调查设备与工具配置</w:t>
            </w:r>
          </w:p>
        </w:tc>
        <w:tc>
          <w:tcPr>
            <w:tcW w:type="dxa" w:w="2492"/>
          </w:tcPr>
          <w:p>
            <w:pPr>
              <w:pStyle w:val="null3"/>
            </w:pPr>
            <w:r>
              <w:rPr>
                <w:rFonts w:ascii="仿宋_GB2312" w:hAnsi="仿宋_GB2312" w:cs="仿宋_GB2312" w:eastAsia="仿宋_GB2312"/>
              </w:rPr>
              <w:t>足额配置高清望远镜、长焦相机、红外相机、GPS定位仪、录音设备、环境监测设备等专业调查设备，设备型号先进、数量充足，可满足全域、全时段调查工作，得4-5分；设备配置基本齐全，可满足常规调查需求，得2-3分；设备配置简陋，核心调查设备缺失，得1分；无设备配置说明，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质量管控保障措施</w:t>
            </w:r>
          </w:p>
        </w:tc>
        <w:tc>
          <w:tcPr>
            <w:tcW w:type="dxa" w:w="2492"/>
          </w:tcPr>
          <w:p>
            <w:pPr>
              <w:pStyle w:val="null3"/>
            </w:pPr>
            <w:r>
              <w:rPr>
                <w:rFonts w:ascii="仿宋_GB2312" w:hAnsi="仿宋_GB2312" w:cs="仿宋_GB2312" w:eastAsia="仿宋_GB2312"/>
              </w:rPr>
              <w:t>建立完善的调查前培训、调查中抽检、调查后复核的三级质量管控体系，明确数据真实性、成果准确性管控细则，质量保障机制完善、落地可行，得4-5分；具备基本质量管控措施，内容较简单，得2-3分；质量保障措施缺失、笼统，可操作性差，得1分；无质量保障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安全及应急保障措施</w:t>
            </w:r>
          </w:p>
        </w:tc>
        <w:tc>
          <w:tcPr>
            <w:tcW w:type="dxa" w:w="2492"/>
          </w:tcPr>
          <w:p>
            <w:pPr>
              <w:pStyle w:val="null3"/>
            </w:pPr>
            <w:r>
              <w:rPr>
                <w:rFonts w:ascii="仿宋_GB2312" w:hAnsi="仿宋_GB2312" w:cs="仿宋_GB2312" w:eastAsia="仿宋_GB2312"/>
              </w:rPr>
              <w:t>针对野外调查的山林、水域、极端天气、野生动物接触、野外作业安全等风险制定完善的安全防护、应急预案、后勤保障方案，内容全面、针对性强，得7-10分；具备基础安全保障措施，内容不够细化，得3-6分；保障措施简单，针对性不足，得1-2分；无安全及应急保障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企业已 完成类 似业绩</w:t>
            </w:r>
          </w:p>
        </w:tc>
        <w:tc>
          <w:tcPr>
            <w:tcW w:type="dxa" w:w="2492"/>
          </w:tcPr>
          <w:p>
            <w:pPr>
              <w:pStyle w:val="null3"/>
            </w:pPr>
            <w:r>
              <w:rPr>
                <w:rFonts w:ascii="仿宋_GB2312" w:hAnsi="仿宋_GB2312" w:cs="仿宋_GB2312" w:eastAsia="仿宋_GB2312"/>
              </w:rPr>
              <w:t>提供2023年至今企业已完成的类似工程证明材料（提供的证明材料应为中标通知书 或合同协议书），每提供1份证明材料得2.5分，最多得10分。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综合折扣率）最低的投标报价（综合折扣率）为评标基准价，其价格分为满分。其他投标人的价格分统一按照下列公式计 算：投标报价得分=（评标基准价/投标报价）×价格权值（即15%）×100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本采购不专门面向中小企业）</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详见附件：符合《政府采购法》第二十二条规定.docx</w:t>
      </w:r>
    </w:p>
    <w:p>
      <w:pPr>
        <w:pStyle w:val="null3"/>
        <w:ind w:firstLine="960"/>
      </w:pPr>
      <w:r>
        <w:rPr>
          <w:rFonts w:ascii="仿宋_GB2312" w:hAnsi="仿宋_GB2312" w:cs="仿宋_GB2312" w:eastAsia="仿宋_GB2312"/>
        </w:rPr>
        <w:t>详见附件：营业执照合法有效.docx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详见附件：供应商认为应提供的其他证明材料.docx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