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版本号：SXYZ-CS-WN-2026-00520260811001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富平县妇女儿童医院购置移动护士站综合服务采购项目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SXYZ-CS-WN-2026-005</w:t>
      </w:r>
      <w:r>
        <w:br/>
      </w:r>
      <w:r>
        <w:br/>
      </w:r>
      <w:r>
        <w:br/>
      </w:r>
    </w:p>
    <w:p>
      <w:pPr>
        <w:pStyle w:val="null3"/>
        <w:jc w:val="center"/>
        <w:outlineLvl w:val="2"/>
      </w:pPr>
      <w:r>
        <w:rPr>
          <w:rFonts w:ascii="仿宋_GB2312" w:hAnsi="仿宋_GB2312" w:cs="仿宋_GB2312" w:eastAsia="仿宋_GB2312"/>
          <w:sz w:val="28"/>
          <w:b/>
        </w:rPr>
        <w:t>富平县妇幼保健计划生育服务中心（富平县妇女儿童医院）</w:t>
      </w:r>
    </w:p>
    <w:p>
      <w:pPr>
        <w:pStyle w:val="null3"/>
        <w:jc w:val="center"/>
        <w:outlineLvl w:val="2"/>
      </w:pPr>
      <w:r>
        <w:rPr>
          <w:rFonts w:ascii="仿宋_GB2312" w:hAnsi="仿宋_GB2312" w:cs="仿宋_GB2312" w:eastAsia="仿宋_GB2312"/>
          <w:sz w:val="28"/>
          <w:b/>
        </w:rPr>
        <w:t>陕西裕泽工程项目管理有限公司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陕西裕泽工程项目管理有限公司</w:t>
      </w:r>
      <w:r>
        <w:rPr>
          <w:rFonts w:ascii="仿宋_GB2312" w:hAnsi="仿宋_GB2312" w:cs="仿宋_GB2312" w:eastAsia="仿宋_GB2312"/>
        </w:rPr>
        <w:t>（以下简称“代理机构”）受</w:t>
      </w:r>
      <w:r>
        <w:rPr>
          <w:rFonts w:ascii="仿宋_GB2312" w:hAnsi="仿宋_GB2312" w:cs="仿宋_GB2312" w:eastAsia="仿宋_GB2312"/>
        </w:rPr>
        <w:t>富平县妇幼保健计划生育服务中心（富平县妇女儿童医院）</w:t>
      </w:r>
      <w:r>
        <w:rPr>
          <w:rFonts w:ascii="仿宋_GB2312" w:hAnsi="仿宋_GB2312" w:cs="仿宋_GB2312" w:eastAsia="仿宋_GB2312"/>
        </w:rPr>
        <w:t>委托，拟对</w:t>
      </w:r>
      <w:r>
        <w:rPr>
          <w:rFonts w:ascii="仿宋_GB2312" w:hAnsi="仿宋_GB2312" w:cs="仿宋_GB2312" w:eastAsia="仿宋_GB2312"/>
        </w:rPr>
        <w:t>富平县妇女儿童医院购置移动护士站综合服务采购项目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SXYZ-CS-WN-2026-005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富平县妇女儿童医院购置移动护士站综合服务采购项目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用于一线护理人员在临床随时随地的开展相关护理工作，系统包含并不限于临床护理人员进行病人相关信息的浏览、查询、采集和传输等功能，包含移动护士站业务系统租用服务及NSIS智慧护理业务系统租用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银行、保险、石油石化、电力、运营商等特殊行业，分支机构投标需有总公司授权）；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p>
      <w:pPr>
        <w:pStyle w:val="null3"/>
      </w:pPr>
      <w:r>
        <w:rPr>
          <w:rFonts w:ascii="仿宋_GB2312" w:hAnsi="仿宋_GB2312" w:cs="仿宋_GB2312" w:eastAsia="仿宋_GB2312"/>
        </w:rPr>
        <w:t>3、税收缴纳证明：提供依法缴纳税收的良好记录（提供磋商响应文件递交截止时间前六个月内任意一个月份的缴纳凭据复印件或扫描件。依法免税或开标前一年内零申报的供应商应提供相关证明文件）；</w:t>
      </w:r>
    </w:p>
    <w:p>
      <w:pPr>
        <w:pStyle w:val="null3"/>
      </w:pPr>
      <w:r>
        <w:rPr>
          <w:rFonts w:ascii="仿宋_GB2312" w:hAnsi="仿宋_GB2312" w:cs="仿宋_GB2312" w:eastAsia="仿宋_GB2312"/>
        </w:rPr>
        <w:t>4、社会保障资金缴纳证明：提供依法缴纳社会保障资金的良好记录（提供磋商响应文件递交截止时间前六个月内任意一个月份的缴纳凭据复印件或扫描件。依法不需要缴纳社会保障资金的供应商应提供相关证明文件）；</w:t>
      </w:r>
    </w:p>
    <w:p>
      <w:pPr>
        <w:pStyle w:val="null3"/>
      </w:pPr>
      <w:r>
        <w:rPr>
          <w:rFonts w:ascii="仿宋_GB2312" w:hAnsi="仿宋_GB2312" w:cs="仿宋_GB2312" w:eastAsia="仿宋_GB2312"/>
        </w:rPr>
        <w:t>5、信誉要求：投标截止日前不得为“信用中国”网站（www.creditchina.gov.cn）中列入失信被执行人、重大税收违法失信主体和政府采购严重违法失信行为记录名单的供应商；不得为“中国政府采购网”（www.ccgp.gov.cn）政府采购严重违法失信行为信息记录名单中被财政部门禁止参加政府采购活动的供应商。（最终以采购代理机构开标现场查询结果为准）</w:t>
      </w:r>
    </w:p>
    <w:p>
      <w:pPr>
        <w:pStyle w:val="null3"/>
      </w:pPr>
      <w:r>
        <w:rPr>
          <w:rFonts w:ascii="仿宋_GB2312" w:hAnsi="仿宋_GB2312" w:cs="仿宋_GB2312" w:eastAsia="仿宋_GB2312"/>
        </w:rPr>
        <w:t>6、书面声明：（1）参加本次政府采购活动前三年内在经营活动中没有重大违纪，以及未被列入失信被执行人、重大税收违法失信主体、政府采购严重违法失信行为记录名单的书面声明；（2）提供具有履行本合同所必需的设备和专业技术能力的声明；</w:t>
      </w:r>
    </w:p>
    <w:p>
      <w:pPr>
        <w:pStyle w:val="null3"/>
      </w:pPr>
      <w:r>
        <w:rPr>
          <w:rFonts w:ascii="仿宋_GB2312" w:hAnsi="仿宋_GB2312" w:cs="仿宋_GB2312" w:eastAsia="仿宋_GB2312"/>
        </w:rPr>
        <w:t>7、磋商保证金：提供磋商保证金银行转账凭证及基本存款账户信息证明资料或金融机构、担保机构出具的保函复印件或扫描件；</w:t>
      </w:r>
    </w:p>
    <w:p>
      <w:pPr>
        <w:pStyle w:val="null3"/>
      </w:pPr>
      <w:r>
        <w:rPr>
          <w:rFonts w:ascii="仿宋_GB2312" w:hAnsi="仿宋_GB2312" w:cs="仿宋_GB2312" w:eastAsia="仿宋_GB2312"/>
        </w:rPr>
        <w:t>8、法律、行政法规规定的其他条件：法定代表人直接参加投标的，须提供法定代表人身份证明(法人身份证原件备查）；法定代表人授权代表参加投标的，须提供法定代表人授权委托书(授权代表身份证原件备查）；</w:t>
      </w:r>
    </w:p>
    <w:p>
      <w:pPr>
        <w:pStyle w:val="null3"/>
      </w:pPr>
      <w:r>
        <w:rPr>
          <w:rFonts w:ascii="仿宋_GB2312" w:hAnsi="仿宋_GB2312" w:cs="仿宋_GB2312" w:eastAsia="仿宋_GB2312"/>
        </w:rPr>
        <w:t>9、供应商企业关系关联及联合体说明：本项目不接受联合体磋商，单位负责人为同一人或者存在直接控股、管理关系的不同供应商，不得参加同一合同项下的政府采购活动。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富平县妇幼保健计划生育服务中心（富平县妇女儿童医院）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富平县城区富昌大道与来富大街交叉口</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范秀梅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0913-8208620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陕西裕泽工程项目管理有限公司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陕西省西安市莲湖区陕西省西安市莲湖区西关正街370号开元商住楼三单元2604室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李向阳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18091688358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开户名称：陕西裕泽工程项目管理有限公司</w:t>
            </w:r>
          </w:p>
          <w:p>
            <w:pPr>
              <w:pStyle w:val="null3"/>
            </w:pPr>
            <w:r>
              <w:rPr>
                <w:rFonts w:ascii="仿宋_GB2312" w:hAnsi="仿宋_GB2312" w:cs="仿宋_GB2312" w:eastAsia="仿宋_GB2312"/>
              </w:rPr>
              <w:t>开户银行：中国农业银行股份有限公司西安西稍门支行</w:t>
            </w:r>
          </w:p>
          <w:p>
            <w:pPr>
              <w:pStyle w:val="null3"/>
            </w:pPr>
            <w:r>
              <w:rPr>
                <w:rFonts w:ascii="仿宋_GB2312" w:hAnsi="仿宋_GB2312" w:cs="仿宋_GB2312" w:eastAsia="仿宋_GB2312"/>
              </w:rPr>
              <w:t>银行账号：26130101040025198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服务类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富平县妇幼保健计划生育服务中心（富平县妇女儿童医院）</w:t>
      </w:r>
      <w:r>
        <w:rPr>
          <w:rFonts w:ascii="仿宋_GB2312" w:hAnsi="仿宋_GB2312" w:cs="仿宋_GB2312" w:eastAsia="仿宋_GB2312"/>
        </w:rPr>
        <w:t>和</w:t>
      </w:r>
      <w:r>
        <w:rPr>
          <w:rFonts w:ascii="仿宋_GB2312" w:hAnsi="仿宋_GB2312" w:cs="仿宋_GB2312" w:eastAsia="仿宋_GB2312"/>
        </w:rPr>
        <w:t>陕西裕泽工程项目管理有限公司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富平县妇幼保健计划生育服务中心（富平县妇女儿童医院）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陕西裕泽工程项目管理有限公司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富平县妇幼保健计划生育服务中心（富平县妇女儿童医院）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陕西裕泽工程项目管理有限公司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详见竞争性磋商文件、采购合同及采购人要求。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陕西裕泽工程项目管理有限公司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陕西裕泽工程项目管理有限公司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陕西裕泽工程项目管理有限公司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联系人：李向阳</w:t>
      </w:r>
    </w:p>
    <w:p>
      <w:pPr>
        <w:pStyle w:val="null3"/>
      </w:pPr>
      <w:r>
        <w:rPr>
          <w:rFonts w:ascii="仿宋_GB2312" w:hAnsi="仿宋_GB2312" w:cs="仿宋_GB2312" w:eastAsia="仿宋_GB2312"/>
        </w:rPr>
        <w:t>联系电话：18091688358</w:t>
      </w:r>
    </w:p>
    <w:p>
      <w:pPr>
        <w:pStyle w:val="null3"/>
      </w:pPr>
      <w:r>
        <w:rPr>
          <w:rFonts w:ascii="仿宋_GB2312" w:hAnsi="仿宋_GB2312" w:cs="仿宋_GB2312" w:eastAsia="仿宋_GB2312"/>
        </w:rPr>
        <w:t>地址：陕西省渭南市富平县惠民小区东侧七层楼二楼</w:t>
      </w:r>
    </w:p>
    <w:p>
      <w:pPr>
        <w:pStyle w:val="null3"/>
      </w:pPr>
      <w:r>
        <w:rPr>
          <w:rFonts w:ascii="仿宋_GB2312" w:hAnsi="仿宋_GB2312" w:cs="仿宋_GB2312" w:eastAsia="仿宋_GB2312"/>
        </w:rPr>
        <w:t>邮编：711700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主要用于一线护理人员在临床随时随地的开展相关护理工作，系统包含并不限于临床护理人员进行病人相关信息的浏览、查询、采集和传输等功能，包含移动护士站业务系统租用服务及NSIS智慧护理业务系统租用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590,000.00</w:t>
      </w:r>
    </w:p>
    <w:p>
      <w:pPr>
        <w:pStyle w:val="null3"/>
      </w:pPr>
      <w:r>
        <w:rPr>
          <w:rFonts w:ascii="仿宋_GB2312" w:hAnsi="仿宋_GB2312" w:cs="仿宋_GB2312" w:eastAsia="仿宋_GB2312"/>
        </w:rPr>
        <w:t>采购包最高限价（元）: 590,000.00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富平县妇女儿童医院购置移动护士站综合服务采购项目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标的名称：富平县妇女儿童医院购置移动护士站综合服务采购项目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center"/>
            </w:pPr>
            <w:r>
              <w:rPr>
                <w:rFonts w:ascii="仿宋_GB2312" w:hAnsi="仿宋_GB2312" w:cs="仿宋_GB2312" w:eastAsia="仿宋_GB2312"/>
                <w:sz w:val="24"/>
                <w:b/>
              </w:rPr>
              <w:t>第一部分、采购内容及服务要求</w:t>
            </w:r>
          </w:p>
          <w:p>
            <w:pPr>
              <w:pStyle w:val="null3"/>
              <w:jc w:val="left"/>
            </w:pPr>
            <w:r>
              <w:rPr>
                <w:rFonts w:ascii="仿宋_GB2312" w:hAnsi="仿宋_GB2312" w:cs="仿宋_GB2312" w:eastAsia="仿宋_GB2312"/>
                <w:sz w:val="21"/>
                <w:b/>
              </w:rPr>
              <w:t>一、采购内容</w:t>
            </w:r>
          </w:p>
          <w:p>
            <w:pPr>
              <w:pStyle w:val="null3"/>
              <w:ind w:firstLine="420"/>
              <w:jc w:val="left"/>
            </w:pPr>
            <w:r>
              <w:rPr>
                <w:rFonts w:ascii="仿宋_GB2312" w:hAnsi="仿宋_GB2312" w:cs="仿宋_GB2312" w:eastAsia="仿宋_GB2312"/>
                <w:sz w:val="21"/>
              </w:rPr>
              <w:t>主要用于一线护理人员在临床随时随地的开展相关护理工作，系统</w:t>
            </w:r>
            <w:r>
              <w:rPr>
                <w:rFonts w:ascii="仿宋_GB2312" w:hAnsi="仿宋_GB2312" w:cs="仿宋_GB2312" w:eastAsia="仿宋_GB2312"/>
                <w:sz w:val="21"/>
              </w:rPr>
              <w:t>须</w:t>
            </w:r>
            <w:r>
              <w:rPr>
                <w:rFonts w:ascii="仿宋_GB2312" w:hAnsi="仿宋_GB2312" w:cs="仿宋_GB2312" w:eastAsia="仿宋_GB2312"/>
                <w:sz w:val="21"/>
              </w:rPr>
              <w:t>包含并不限于临床护理人员进行病人相关信息的浏览、查询、采集和传输等功能，包含移动护士站业务系统租用服务及NSIS智慧护理业务系统租用服务。</w:t>
            </w:r>
          </w:p>
          <w:p>
            <w:pPr>
              <w:pStyle w:val="null3"/>
              <w:jc w:val="left"/>
            </w:pPr>
            <w:r>
              <w:rPr>
                <w:rFonts w:ascii="仿宋_GB2312" w:hAnsi="仿宋_GB2312" w:cs="仿宋_GB2312" w:eastAsia="仿宋_GB2312"/>
                <w:sz w:val="21"/>
                <w:b/>
              </w:rPr>
              <w:t>二、技术要求</w:t>
            </w:r>
          </w:p>
          <w:p>
            <w:pPr>
              <w:pStyle w:val="null3"/>
              <w:ind w:firstLine="422"/>
              <w:jc w:val="left"/>
            </w:pPr>
            <w:r>
              <w:rPr>
                <w:rFonts w:ascii="仿宋_GB2312" w:hAnsi="仿宋_GB2312" w:cs="仿宋_GB2312" w:eastAsia="仿宋_GB2312"/>
                <w:sz w:val="21"/>
                <w:b/>
              </w:rPr>
              <w:t>（一）基本技术条件：</w:t>
            </w:r>
          </w:p>
          <w:p>
            <w:pPr>
              <w:pStyle w:val="null3"/>
              <w:ind w:firstLine="420"/>
              <w:jc w:val="left"/>
            </w:pPr>
            <w:r>
              <w:rPr>
                <w:rFonts w:ascii="仿宋_GB2312" w:hAnsi="仿宋_GB2312" w:cs="仿宋_GB2312" w:eastAsia="仿宋_GB2312"/>
                <w:sz w:val="21"/>
              </w:rPr>
              <w:t>1、移动护士工作站与手持均采用网络版，支持主流的网络协议</w:t>
            </w:r>
            <w:r>
              <w:rPr>
                <w:rFonts w:ascii="仿宋_GB2312" w:hAnsi="仿宋_GB2312" w:cs="仿宋_GB2312" w:eastAsia="仿宋_GB2312"/>
                <w:sz w:val="21"/>
              </w:rPr>
              <w:t>（TCP/IP、IPX/SPX、NETBIOS及混合协议等）。</w:t>
            </w:r>
          </w:p>
          <w:p>
            <w:pPr>
              <w:pStyle w:val="null3"/>
              <w:ind w:firstLine="420"/>
              <w:jc w:val="left"/>
            </w:pPr>
            <w:r>
              <w:rPr>
                <w:rFonts w:ascii="仿宋_GB2312" w:hAnsi="仿宋_GB2312" w:cs="仿宋_GB2312" w:eastAsia="仿宋_GB2312"/>
                <w:sz w:val="21"/>
              </w:rPr>
              <w:t>2、移动护士工作站具有严格的权限管理，实现有限操作，保存痕迹。应用层与数据层有访问限制，保密信息与公开信息有严密隔离等安全管理体系。</w:t>
            </w:r>
          </w:p>
          <w:p>
            <w:pPr>
              <w:pStyle w:val="null3"/>
              <w:ind w:firstLine="420"/>
              <w:jc w:val="left"/>
            </w:pPr>
            <w:r>
              <w:rPr>
                <w:rFonts w:ascii="仿宋_GB2312" w:hAnsi="仿宋_GB2312" w:cs="仿宋_GB2312" w:eastAsia="仿宋_GB2312"/>
                <w:sz w:val="21"/>
              </w:rPr>
              <w:t>3、具备科学、合理、先进的软件系统架构，并具有高度的灵活性和扩展性，充分考虑当医院业务高峰期数据库访问量巨大的情况下，整个业务系统的性能，并能满足未来五年的医院发展和信息技术发展的需要，满足医院可持续的流程优化和系统集成优化的需要。</w:t>
            </w:r>
          </w:p>
          <w:p>
            <w:pPr>
              <w:pStyle w:val="null3"/>
              <w:ind w:firstLine="420"/>
              <w:jc w:val="left"/>
            </w:pPr>
            <w:r>
              <w:rPr>
                <w:rFonts w:ascii="仿宋_GB2312" w:hAnsi="仿宋_GB2312" w:cs="仿宋_GB2312" w:eastAsia="仿宋_GB2312"/>
                <w:sz w:val="21"/>
              </w:rPr>
              <w:t>4、供应商推荐的配套硬件产品必须是当前市场的主流产品，在性能等各方面不得低于</w:t>
            </w:r>
            <w:r>
              <w:rPr>
                <w:rFonts w:ascii="仿宋_GB2312" w:hAnsi="仿宋_GB2312" w:cs="仿宋_GB2312" w:eastAsia="仿宋_GB2312"/>
                <w:sz w:val="21"/>
              </w:rPr>
              <w:t>竞争性磋商</w:t>
            </w:r>
            <w:r>
              <w:rPr>
                <w:rFonts w:ascii="仿宋_GB2312" w:hAnsi="仿宋_GB2312" w:cs="仿宋_GB2312" w:eastAsia="仿宋_GB2312"/>
                <w:sz w:val="21"/>
              </w:rPr>
              <w:t>文件所要求的各项指标。同时移动护士工作站可以适应于满足技术指标的任一厂商和规格的移动终端，无需二次开发，保护医院投资长期有效。</w:t>
            </w:r>
          </w:p>
          <w:p>
            <w:pPr>
              <w:pStyle w:val="null3"/>
              <w:ind w:firstLine="420"/>
              <w:jc w:val="left"/>
            </w:pPr>
            <w:r>
              <w:rPr>
                <w:rFonts w:ascii="仿宋_GB2312" w:hAnsi="仿宋_GB2312" w:cs="仿宋_GB2312" w:eastAsia="仿宋_GB2312"/>
                <w:sz w:val="21"/>
              </w:rPr>
              <w:t>5、提供标准化接口，方便第三方厂商按照规范将LIS、PACS多种医疗结果在移动终端进行展现。</w:t>
            </w:r>
          </w:p>
          <w:p>
            <w:pPr>
              <w:pStyle w:val="null3"/>
              <w:ind w:firstLine="420"/>
              <w:jc w:val="left"/>
            </w:pPr>
            <w:r>
              <w:rPr>
                <w:rFonts w:ascii="仿宋_GB2312" w:hAnsi="仿宋_GB2312" w:cs="仿宋_GB2312" w:eastAsia="仿宋_GB2312"/>
                <w:sz w:val="21"/>
              </w:rPr>
              <w:t>6、除了本章各包的技术规格要求以外，投标响应的技术指标均应符合相应的国家标准或国际标准。</w:t>
            </w:r>
          </w:p>
          <w:p>
            <w:pPr>
              <w:pStyle w:val="null3"/>
              <w:ind w:firstLine="420"/>
              <w:jc w:val="left"/>
            </w:pPr>
            <w:r>
              <w:rPr>
                <w:rFonts w:ascii="仿宋_GB2312" w:hAnsi="仿宋_GB2312" w:cs="仿宋_GB2312" w:eastAsia="仿宋_GB2312"/>
                <w:sz w:val="21"/>
              </w:rPr>
              <w:t>7、与现有医院信息系统对接要求：与现行HIS、CIS、LIS、PACS系统能无缝对接，对现有系统性能和稳定性无任何影响。</w:t>
            </w:r>
          </w:p>
          <w:p>
            <w:pPr>
              <w:pStyle w:val="null3"/>
              <w:ind w:firstLine="420"/>
              <w:jc w:val="left"/>
            </w:pPr>
            <w:r>
              <w:rPr>
                <w:rFonts w:ascii="仿宋_GB2312" w:hAnsi="仿宋_GB2312" w:cs="仿宋_GB2312" w:eastAsia="仿宋_GB2312"/>
                <w:sz w:val="21"/>
              </w:rPr>
              <w:t>8、与HIS、LIS、PACS、电子病历、临床路径系统使用同类数据库。</w:t>
            </w:r>
          </w:p>
          <w:p>
            <w:pPr>
              <w:pStyle w:val="null3"/>
              <w:ind w:firstLine="420"/>
              <w:jc w:val="left"/>
            </w:pPr>
            <w:r>
              <w:rPr>
                <w:rFonts w:ascii="仿宋_GB2312" w:hAnsi="仿宋_GB2312" w:cs="仿宋_GB2312" w:eastAsia="仿宋_GB2312"/>
                <w:sz w:val="21"/>
              </w:rPr>
              <w:t>9、与护士工作站融合，不需要另外登录和切换。</w:t>
            </w:r>
          </w:p>
          <w:p>
            <w:pPr>
              <w:pStyle w:val="null3"/>
              <w:ind w:firstLine="422"/>
              <w:jc w:val="left"/>
            </w:pPr>
            <w:r>
              <w:rPr>
                <w:rFonts w:ascii="仿宋_GB2312" w:hAnsi="仿宋_GB2312" w:cs="仿宋_GB2312" w:eastAsia="仿宋_GB2312"/>
                <w:sz w:val="21"/>
                <w:b/>
              </w:rPr>
              <w:t>（二）</w:t>
            </w:r>
            <w:r>
              <w:rPr>
                <w:rFonts w:ascii="仿宋_GB2312" w:hAnsi="仿宋_GB2312" w:cs="仿宋_GB2312" w:eastAsia="仿宋_GB2312"/>
                <w:sz w:val="21"/>
                <w:b/>
              </w:rPr>
              <w:t>软件</w:t>
            </w:r>
            <w:r>
              <w:rPr>
                <w:rFonts w:ascii="仿宋_GB2312" w:hAnsi="仿宋_GB2312" w:cs="仿宋_GB2312" w:eastAsia="仿宋_GB2312"/>
                <w:sz w:val="21"/>
                <w:b/>
              </w:rPr>
              <w:t>功能及</w:t>
            </w:r>
            <w:r>
              <w:rPr>
                <w:rFonts w:ascii="仿宋_GB2312" w:hAnsi="仿宋_GB2312" w:cs="仿宋_GB2312" w:eastAsia="仿宋_GB2312"/>
                <w:sz w:val="21"/>
                <w:b/>
              </w:rPr>
              <w:t>服务要求</w:t>
            </w:r>
          </w:p>
          <w:p>
            <w:pPr>
              <w:pStyle w:val="null3"/>
              <w:ind w:firstLine="422"/>
              <w:jc w:val="left"/>
            </w:pPr>
            <w:r>
              <w:rPr>
                <w:rFonts w:ascii="仿宋_GB2312" w:hAnsi="仿宋_GB2312" w:cs="仿宋_GB2312" w:eastAsia="仿宋_GB2312"/>
                <w:sz w:val="21"/>
                <w:b/>
              </w:rPr>
              <w:t>1.移动护士站系统：含软件系统一套及23</w:t>
            </w:r>
            <w:r>
              <w:rPr>
                <w:rFonts w:ascii="仿宋_GB2312" w:hAnsi="仿宋_GB2312" w:cs="仿宋_GB2312" w:eastAsia="仿宋_GB2312"/>
                <w:sz w:val="21"/>
                <w:b/>
              </w:rPr>
              <w:t>套移动护理手持系统</w:t>
            </w:r>
            <w:r>
              <w:rPr>
                <w:rFonts w:ascii="仿宋_GB2312" w:hAnsi="仿宋_GB2312" w:cs="仿宋_GB2312" w:eastAsia="仿宋_GB2312"/>
                <w:sz w:val="21"/>
                <w:b/>
              </w:rPr>
              <w:t>，</w:t>
            </w:r>
            <w:r>
              <w:rPr>
                <w:rFonts w:ascii="仿宋_GB2312" w:hAnsi="仿宋_GB2312" w:cs="仿宋_GB2312" w:eastAsia="仿宋_GB2312"/>
                <w:sz w:val="21"/>
                <w:b/>
              </w:rPr>
              <w:t>涵盖6个病区，具体如下：</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软件系统功能要求</w:t>
            </w:r>
          </w:p>
          <w:tbl>
            <w:tblPr>
              <w:tblInd w:type="dxa" w:w="90"/>
              <w:tblBorders>
                <w:top w:val="none" w:color="000000" w:sz="4"/>
                <w:left w:val="none" w:color="000000" w:sz="4"/>
                <w:bottom w:val="none" w:color="000000" w:sz="4"/>
                <w:right w:val="none" w:color="000000" w:sz="4"/>
                <w:insideH w:val="none"/>
                <w:insideV w:val="none"/>
              </w:tblBorders>
            </w:tblPr>
            <w:tblGrid>
              <w:gridCol w:w="201"/>
              <w:gridCol w:w="325"/>
              <w:gridCol w:w="2016"/>
            </w:tblGrid>
            <w:tr>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功能模块名称</w:t>
                  </w:r>
                </w:p>
              </w:tc>
              <w:tc>
                <w:tcPr>
                  <w:tcW w:type="dxa" w:w="20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具体服务要求</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待办</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（1）▲支持查看各待办事项，点击后可跳转至对应功能模块操作界面；</w:t>
                  </w:r>
                  <w:r>
                    <w:br/>
                  </w:r>
                  <w:r>
                    <w:rPr>
                      <w:rFonts w:ascii="仿宋_GB2312" w:hAnsi="仿宋_GB2312" w:cs="仿宋_GB2312" w:eastAsia="仿宋_GB2312"/>
                      <w:sz w:val="21"/>
                      <w:color w:val="000000"/>
                    </w:rPr>
                    <w:t>（2）支持查看当前患者医嘱待办任务；</w:t>
                  </w:r>
                  <w:r>
                    <w:br/>
                  </w:r>
                  <w:r>
                    <w:rPr>
                      <w:rFonts w:ascii="仿宋_GB2312" w:hAnsi="仿宋_GB2312" w:cs="仿宋_GB2312" w:eastAsia="仿宋_GB2312"/>
                      <w:sz w:val="21"/>
                      <w:color w:val="000000"/>
                    </w:rPr>
                    <w:t>（3）支持查看当前患者标本检查待办任务；</w:t>
                  </w:r>
                  <w:r>
                    <w:br/>
                  </w:r>
                  <w:r>
                    <w:rPr>
                      <w:rFonts w:ascii="仿宋_GB2312" w:hAnsi="仿宋_GB2312" w:cs="仿宋_GB2312" w:eastAsia="仿宋_GB2312"/>
                      <w:sz w:val="21"/>
                      <w:color w:val="000000"/>
                    </w:rPr>
                    <w:t>（4）支持查看当前患者体征录入待办任务；</w:t>
                  </w:r>
                  <w:r>
                    <w:br/>
                  </w:r>
                  <w:r>
                    <w:rPr>
                      <w:rFonts w:ascii="仿宋_GB2312" w:hAnsi="仿宋_GB2312" w:cs="仿宋_GB2312" w:eastAsia="仿宋_GB2312"/>
                      <w:sz w:val="21"/>
                      <w:color w:val="000000"/>
                    </w:rPr>
                    <w:t>（5）支持查看当前患者巡视待办任务；</w:t>
                  </w:r>
                  <w:r>
                    <w:br/>
                  </w:r>
                  <w:r>
                    <w:rPr>
                      <w:rFonts w:ascii="仿宋_GB2312" w:hAnsi="仿宋_GB2312" w:cs="仿宋_GB2312" w:eastAsia="仿宋_GB2312"/>
                      <w:sz w:val="21"/>
                      <w:color w:val="000000"/>
                    </w:rPr>
                    <w:t>（6）支持查看当前患者护理评估待办任务；</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患者管理</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患者一览：患者总人数，患者住院号、姓名、床号、性别、年龄、患者属性和护理级别；支持不同颜色标识护理级别；提供跌倒、坠床、压疮、导管滑脱等高风险标识；提供高温标识；提供过敏药物标识；提供预手术和手术标识；</w:t>
                  </w:r>
                  <w:r>
                    <w:br/>
                  </w:r>
                  <w:r>
                    <w:rPr>
                      <w:rFonts w:ascii="仿宋_GB2312" w:hAnsi="仿宋_GB2312" w:cs="仿宋_GB2312" w:eastAsia="仿宋_GB2312"/>
                      <w:sz w:val="21"/>
                      <w:color w:val="000000"/>
                    </w:rPr>
                    <w:t>（2）支持按患者姓名、住院号和床号模糊检索；</w:t>
                  </w:r>
                  <w:r>
                    <w:br/>
                  </w:r>
                  <w:r>
                    <w:rPr>
                      <w:rFonts w:ascii="仿宋_GB2312" w:hAnsi="仿宋_GB2312" w:cs="仿宋_GB2312" w:eastAsia="仿宋_GB2312"/>
                      <w:sz w:val="21"/>
                      <w:color w:val="000000"/>
                    </w:rPr>
                    <w:t>支持按患者分组、患者护理级别和患者属性展示患者信息；</w:t>
                  </w:r>
                  <w:r>
                    <w:br/>
                  </w:r>
                  <w:r>
                    <w:rPr>
                      <w:rFonts w:ascii="仿宋_GB2312" w:hAnsi="仿宋_GB2312" w:cs="仿宋_GB2312" w:eastAsia="仿宋_GB2312"/>
                      <w:sz w:val="21"/>
                      <w:color w:val="000000"/>
                    </w:rPr>
                    <w:t>（3）支持列表模式和简卡模式显示患者；</w:t>
                  </w:r>
                  <w:r>
                    <w:br/>
                  </w:r>
                  <w:r>
                    <w:rPr>
                      <w:rFonts w:ascii="仿宋_GB2312" w:hAnsi="仿宋_GB2312" w:cs="仿宋_GB2312" w:eastAsia="仿宋_GB2312"/>
                      <w:sz w:val="21"/>
                      <w:color w:val="000000"/>
                    </w:rPr>
                    <w:t>（4）支持扫描患者腕带信息切换患者；</w:t>
                  </w:r>
                  <w:r>
                    <w:br/>
                  </w:r>
                  <w:r>
                    <w:rPr>
                      <w:rFonts w:ascii="仿宋_GB2312" w:hAnsi="仿宋_GB2312" w:cs="仿宋_GB2312" w:eastAsia="仿宋_GB2312"/>
                      <w:sz w:val="21"/>
                      <w:color w:val="000000"/>
                    </w:rPr>
                    <w:t>（5）支持手动选择切换患者；</w:t>
                  </w:r>
                  <w:r>
                    <w:br/>
                  </w:r>
                  <w:r>
                    <w:rPr>
                      <w:rFonts w:ascii="仿宋_GB2312" w:hAnsi="仿宋_GB2312" w:cs="仿宋_GB2312" w:eastAsia="仿宋_GB2312"/>
                      <w:sz w:val="21"/>
                      <w:color w:val="000000"/>
                    </w:rPr>
                    <w:t>（6）支持自定义显示患者属性，如：药物过敏、发热患者、欠费患者等（显示内容可后台编辑）；</w:t>
                  </w:r>
                  <w:r>
                    <w:br/>
                  </w:r>
                  <w:r>
                    <w:rPr>
                      <w:rFonts w:ascii="仿宋_GB2312" w:hAnsi="仿宋_GB2312" w:cs="仿宋_GB2312" w:eastAsia="仿宋_GB2312"/>
                      <w:sz w:val="21"/>
                      <w:color w:val="000000"/>
                    </w:rPr>
                    <w:t>（7）▲支持智能显示患者属性图标：根据患者当前状态自动生成或消失；</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医嘱管理</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（1）支持当前患者医嘱一览，展示长期和临时医嘱已核查和未核查数量、医嘱详情、是否过期、医嘱开始时间、应执行时间、警示药品提醒、用法、频率、当前执行次数、核查执行记录等信息；</w:t>
                  </w:r>
                  <w:r>
                    <w:br/>
                  </w:r>
                  <w:r>
                    <w:rPr>
                      <w:rFonts w:ascii="仿宋_GB2312" w:hAnsi="仿宋_GB2312" w:cs="仿宋_GB2312" w:eastAsia="仿宋_GB2312"/>
                      <w:sz w:val="21"/>
                      <w:color w:val="000000"/>
                    </w:rPr>
                    <w:t>支持今日医嘱或明日医嘱的核查选择；支持医嘱进度浏览；</w:t>
                  </w:r>
                  <w:r>
                    <w:br/>
                  </w:r>
                  <w:r>
                    <w:rPr>
                      <w:rFonts w:ascii="仿宋_GB2312" w:hAnsi="仿宋_GB2312" w:cs="仿宋_GB2312" w:eastAsia="仿宋_GB2312"/>
                      <w:sz w:val="21"/>
                      <w:color w:val="000000"/>
                    </w:rPr>
                    <w:t>（2）支持长期医嘱和临时医嘱切换查看支持医嘱状态通过颜色区分；</w:t>
                  </w:r>
                  <w:r>
                    <w:br/>
                  </w:r>
                  <w:r>
                    <w:rPr>
                      <w:rFonts w:ascii="仿宋_GB2312" w:hAnsi="仿宋_GB2312" w:cs="仿宋_GB2312" w:eastAsia="仿宋_GB2312"/>
                      <w:sz w:val="21"/>
                      <w:color w:val="000000"/>
                    </w:rPr>
                    <w:t>高危毒麻药物有提示标识和护士执行双签名功能，医嘱执行双签时支持扫描护士工牌进行复核；</w:t>
                  </w:r>
                  <w:r>
                    <w:br/>
                  </w:r>
                  <w:r>
                    <w:rPr>
                      <w:rFonts w:ascii="仿宋_GB2312" w:hAnsi="仿宋_GB2312" w:cs="仿宋_GB2312" w:eastAsia="仿宋_GB2312"/>
                      <w:sz w:val="21"/>
                      <w:color w:val="000000"/>
                    </w:rPr>
                    <w:t>（3）摆药管理：可以同时对病区所有患者进行摆药，并根据实际情况设置摆药节点，如摆药、核对、配药等；查询页面展示摆药情况；当前患者医嘱一览，展示长期和临时医嘱已核查和未核查数量、医嘱详情、是否过期、医嘱开始时间、应执行时间、警示药品提醒、用法、频率、当前执行次数、核查执行记录等信息；支持停止医嘱、异常医嘱不予执行；支持扫描医嘱瓶签自动切换患者；</w:t>
                  </w:r>
                  <w:r>
                    <w:br/>
                  </w:r>
                  <w:r>
                    <w:rPr>
                      <w:rFonts w:ascii="仿宋_GB2312" w:hAnsi="仿宋_GB2312" w:cs="仿宋_GB2312" w:eastAsia="仿宋_GB2312"/>
                      <w:sz w:val="21"/>
                      <w:color w:val="000000"/>
                    </w:rPr>
                    <w:t>（4）医嘱执行：支持统一扫码功能，在主界面根据不同的条码和状态进入对应的功能列表；支持配液核对医嘱用法类型选择；支持扫描患者腕带或床头卡切换患者，并刷新医嘱；支持对特殊药物的显示提醒（警示、高危、防外渗、跌倒、敏感和特别提醒类药物），执行提示；支持医嘱当前次数执行记录的查看，以及医嘱所有执行记录查看；支持单路/多路输液；支持医嘱批量执行功能；支持扫描患者腕带或床头卡校验患者后才可执行医嘱功能；</w:t>
                  </w:r>
                  <w:r>
                    <w:br/>
                  </w:r>
                  <w:r>
                    <w:rPr>
                      <w:rFonts w:ascii="仿宋_GB2312" w:hAnsi="仿宋_GB2312" w:cs="仿宋_GB2312" w:eastAsia="仿宋_GB2312"/>
                      <w:sz w:val="21"/>
                      <w:color w:val="000000"/>
                    </w:rPr>
                    <w:t>（5）▲支持扫描未配液核对的医嘱自动跳转到配液核对界面并执行；</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标本管理</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（1）支持当前患者标本一览功能，展示标本检查内容、检查科室、申请时间，核对状态等信息；</w:t>
                  </w:r>
                  <w:r>
                    <w:br/>
                  </w:r>
                  <w:r>
                    <w:rPr>
                      <w:rFonts w:ascii="仿宋_GB2312" w:hAnsi="仿宋_GB2312" w:cs="仿宋_GB2312" w:eastAsia="仿宋_GB2312"/>
                      <w:sz w:val="21"/>
                      <w:color w:val="000000"/>
                    </w:rPr>
                    <w:t>（2）支持扫描核对功能；</w:t>
                  </w:r>
                  <w:r>
                    <w:br/>
                  </w:r>
                  <w:r>
                    <w:rPr>
                      <w:rFonts w:ascii="仿宋_GB2312" w:hAnsi="仿宋_GB2312" w:cs="仿宋_GB2312" w:eastAsia="仿宋_GB2312"/>
                      <w:sz w:val="21"/>
                      <w:color w:val="000000"/>
                    </w:rPr>
                    <w:t>（3）支持当前科室未复核标本详情和数量展示；</w:t>
                  </w:r>
                  <w:r>
                    <w:br/>
                  </w:r>
                  <w:r>
                    <w:rPr>
                      <w:rFonts w:ascii="仿宋_GB2312" w:hAnsi="仿宋_GB2312" w:cs="仿宋_GB2312" w:eastAsia="仿宋_GB2312"/>
                      <w:sz w:val="21"/>
                      <w:color w:val="000000"/>
                    </w:rPr>
                    <w:t>（4）支持患者姓名、床号、检查名称、送检物、检查科室、申请时间、复核人内容显示；</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体征管理</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（1）支持录入体征时，点击下一项跳转到下一项体征录入项实现快速录入功能；</w:t>
                  </w:r>
                  <w:r>
                    <w:br/>
                  </w:r>
                  <w:r>
                    <w:rPr>
                      <w:rFonts w:ascii="仿宋_GB2312" w:hAnsi="仿宋_GB2312" w:cs="仿宋_GB2312" w:eastAsia="仿宋_GB2312"/>
                      <w:sz w:val="21"/>
                      <w:color w:val="000000"/>
                    </w:rPr>
                    <w:t>（2）支持录入体征项时，录入值的大小值和异常值范围判断功能；</w:t>
                  </w:r>
                  <w:r>
                    <w:br/>
                  </w:r>
                  <w:r>
                    <w:rPr>
                      <w:rFonts w:ascii="仿宋_GB2312" w:hAnsi="仿宋_GB2312" w:cs="仿宋_GB2312" w:eastAsia="仿宋_GB2312"/>
                      <w:sz w:val="21"/>
                      <w:color w:val="000000"/>
                    </w:rPr>
                    <w:t>（3）提供历史查看功能，查看已录入的体征项；</w:t>
                  </w:r>
                  <w:r>
                    <w:br/>
                  </w:r>
                  <w:r>
                    <w:rPr>
                      <w:rFonts w:ascii="仿宋_GB2312" w:hAnsi="仿宋_GB2312" w:cs="仿宋_GB2312" w:eastAsia="仿宋_GB2312"/>
                      <w:sz w:val="21"/>
                      <w:color w:val="000000"/>
                    </w:rPr>
                    <w:t>支持根据不同模板和归属时间来筛选要录入的体征项功能；</w:t>
                  </w:r>
                  <w:r>
                    <w:br/>
                  </w:r>
                  <w:r>
                    <w:rPr>
                      <w:rFonts w:ascii="仿宋_GB2312" w:hAnsi="仿宋_GB2312" w:cs="仿宋_GB2312" w:eastAsia="仿宋_GB2312"/>
                      <w:sz w:val="21"/>
                      <w:color w:val="000000"/>
                    </w:rPr>
                    <w:t>（4）提供秒表计时器，计算器等功能；</w:t>
                  </w:r>
                  <w:r>
                    <w:br/>
                  </w:r>
                  <w:r>
                    <w:rPr>
                      <w:rFonts w:ascii="仿宋_GB2312" w:hAnsi="仿宋_GB2312" w:cs="仿宋_GB2312" w:eastAsia="仿宋_GB2312"/>
                      <w:sz w:val="21"/>
                      <w:color w:val="000000"/>
                    </w:rPr>
                    <w:t>（5）支持同时录入多名患者的多项体征；</w:t>
                  </w:r>
                  <w:r>
                    <w:br/>
                  </w:r>
                  <w:r>
                    <w:rPr>
                      <w:rFonts w:ascii="仿宋_GB2312" w:hAnsi="仿宋_GB2312" w:cs="仿宋_GB2312" w:eastAsia="仿宋_GB2312"/>
                      <w:sz w:val="21"/>
                      <w:color w:val="000000"/>
                    </w:rPr>
                    <w:t>支持录入体征时，键盘可以从上到下，从左到右切换患者或者录入体征项功能，便于用户快速操作；</w:t>
                  </w:r>
                  <w:r>
                    <w:br/>
                  </w:r>
                  <w:r>
                    <w:rPr>
                      <w:rFonts w:ascii="仿宋_GB2312" w:hAnsi="仿宋_GB2312" w:cs="仿宋_GB2312" w:eastAsia="仿宋_GB2312"/>
                      <w:sz w:val="21"/>
                      <w:color w:val="000000"/>
                    </w:rPr>
                    <w:t>（6）支持录入体征项时的异常值校验判断功能；</w:t>
                  </w:r>
                  <w:r>
                    <w:br/>
                  </w:r>
                  <w:r>
                    <w:rPr>
                      <w:rFonts w:ascii="仿宋_GB2312" w:hAnsi="仿宋_GB2312" w:cs="仿宋_GB2312" w:eastAsia="仿宋_GB2312"/>
                      <w:sz w:val="21"/>
                      <w:color w:val="000000"/>
                    </w:rPr>
                    <w:t>支持录入体征时允许护士更改录入时间或者和录入归属时间功能；</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护理文书</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（1）▲支持当前科室可用的全部护理文书（护理记录单和护理评估单）一览；</w:t>
                  </w:r>
                  <w:r>
                    <w:br/>
                  </w:r>
                  <w:r>
                    <w:rPr>
                      <w:rFonts w:ascii="仿宋_GB2312" w:hAnsi="仿宋_GB2312" w:cs="仿宋_GB2312" w:eastAsia="仿宋_GB2312"/>
                      <w:sz w:val="21"/>
                      <w:color w:val="000000"/>
                    </w:rPr>
                    <w:t>（2）支持护理文书添加、查看、编辑和删除；</w:t>
                  </w:r>
                  <w:r>
                    <w:br/>
                  </w:r>
                  <w:r>
                    <w:rPr>
                      <w:rFonts w:ascii="仿宋_GB2312" w:hAnsi="仿宋_GB2312" w:cs="仿宋_GB2312" w:eastAsia="仿宋_GB2312"/>
                      <w:sz w:val="21"/>
                      <w:color w:val="000000"/>
                    </w:rPr>
                    <w:t>支持护理记录单数据添加（如记录时间、入量、出量管道、吸氧、病 情观察、录入护士等项目）支持 单选、多选、输入等交互类型；</w:t>
                  </w:r>
                  <w:r>
                    <w:br/>
                  </w:r>
                  <w:r>
                    <w:rPr>
                      <w:rFonts w:ascii="仿宋_GB2312" w:hAnsi="仿宋_GB2312" w:cs="仿宋_GB2312" w:eastAsia="仿宋_GB2312"/>
                      <w:sz w:val="21"/>
                      <w:color w:val="000000"/>
                    </w:rPr>
                    <w:t>（3）支持针对护理记录单输入类型的多样化和方便护理记录，提供护理记录多编辑功能，如：入量中包含更加详细的项目（输液、口服、鼻饲、饮食、饮水等），并根据患者病情，护士可以动态添加录入项。</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巡视管理</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（1）支持展示巡视项目；</w:t>
                  </w:r>
                  <w:r>
                    <w:br/>
                  </w:r>
                  <w:r>
                    <w:rPr>
                      <w:rFonts w:ascii="仿宋_GB2312" w:hAnsi="仿宋_GB2312" w:cs="仿宋_GB2312" w:eastAsia="仿宋_GB2312"/>
                      <w:sz w:val="21"/>
                      <w:color w:val="000000"/>
                    </w:rPr>
                    <w:t>（2）支持巡视录入时间设置；</w:t>
                  </w:r>
                  <w:r>
                    <w:br/>
                  </w:r>
                  <w:r>
                    <w:rPr>
                      <w:rFonts w:ascii="仿宋_GB2312" w:hAnsi="仿宋_GB2312" w:cs="仿宋_GB2312" w:eastAsia="仿宋_GB2312"/>
                      <w:sz w:val="21"/>
                      <w:color w:val="000000"/>
                    </w:rPr>
                    <w:t>（3）支持手动保存或扫描患者腕带、床头卡保存</w:t>
                  </w:r>
                  <w:r>
                    <w:br/>
                  </w:r>
                  <w:r>
                    <w:rPr>
                      <w:rFonts w:ascii="仿宋_GB2312" w:hAnsi="仿宋_GB2312" w:cs="仿宋_GB2312" w:eastAsia="仿宋_GB2312"/>
                      <w:sz w:val="21"/>
                      <w:color w:val="000000"/>
                    </w:rPr>
                    <w:t>支持历史巡视记录查询，如：巡视时间、巡视护士、巡视项目；</w:t>
                  </w:r>
                  <w:r>
                    <w:br/>
                  </w:r>
                  <w:r>
                    <w:rPr>
                      <w:rFonts w:ascii="仿宋_GB2312" w:hAnsi="仿宋_GB2312" w:cs="仿宋_GB2312" w:eastAsia="仿宋_GB2312"/>
                      <w:sz w:val="21"/>
                      <w:color w:val="000000"/>
                    </w:rPr>
                    <w:t>（4）支持按照护理级别进行定时巡视（每次开始定时巡视之前需先选择待巡视的患者的护理级别）；</w:t>
                  </w:r>
                  <w:r>
                    <w:br/>
                  </w:r>
                  <w:r>
                    <w:rPr>
                      <w:rFonts w:ascii="仿宋_GB2312" w:hAnsi="仿宋_GB2312" w:cs="仿宋_GB2312" w:eastAsia="仿宋_GB2312"/>
                      <w:sz w:val="21"/>
                      <w:color w:val="000000"/>
                    </w:rPr>
                    <w:t>（5）自动巡视记录生成：能够根据输液执行和输液完成自动生成相应巡视记录，能够将输血巡视作为巡视记录。</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系统管理</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（1）当前登录用户信息、病区信息、系统版本展示；</w:t>
                  </w:r>
                  <w:r>
                    <w:br/>
                  </w:r>
                  <w:r>
                    <w:rPr>
                      <w:rFonts w:ascii="仿宋_GB2312" w:hAnsi="仿宋_GB2312" w:cs="仿宋_GB2312" w:eastAsia="仿宋_GB2312"/>
                      <w:sz w:val="21"/>
                      <w:color w:val="000000"/>
                    </w:rPr>
                    <w:t>（2）支持上传运行日志和错误日志。</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扫码即达管理</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（1）▲支持扫描输液瓶签二维码、病人腕带二维码、标本条码、输血条码等自动进入不同的执行操作界面；</w:t>
                  </w:r>
                  <w:r>
                    <w:br/>
                  </w:r>
                  <w:r>
                    <w:rPr>
                      <w:rFonts w:ascii="仿宋_GB2312" w:hAnsi="仿宋_GB2312" w:cs="仿宋_GB2312" w:eastAsia="仿宋_GB2312"/>
                      <w:sz w:val="21"/>
                      <w:color w:val="000000"/>
                    </w:rPr>
                    <w:t>（2）支持根据医嘱状态的不同，进行不同的执行操作界面；</w:t>
                  </w:r>
                  <w:r>
                    <w:br/>
                  </w:r>
                  <w:r>
                    <w:rPr>
                      <w:rFonts w:ascii="仿宋_GB2312" w:hAnsi="仿宋_GB2312" w:cs="仿宋_GB2312" w:eastAsia="仿宋_GB2312"/>
                      <w:sz w:val="21"/>
                      <w:color w:val="000000"/>
                    </w:rPr>
                    <w:t>（3）支持在软件首页不同界面进行扫码识别。</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皮试医嘱管理</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（1）支持扫码执行后设计闹钟提醒，可自定时设置时间，默认20分钟；</w:t>
                  </w:r>
                  <w:r>
                    <w:br/>
                  </w:r>
                  <w:r>
                    <w:rPr>
                      <w:rFonts w:ascii="仿宋_GB2312" w:hAnsi="仿宋_GB2312" w:cs="仿宋_GB2312" w:eastAsia="仿宋_GB2312"/>
                      <w:sz w:val="21"/>
                      <w:color w:val="000000"/>
                    </w:rPr>
                    <w:t>（2）支持时间提醒，弹出皮试结果录入界面。</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血糖管理</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（1）支持快速录入血糖记录单。</w:t>
                  </w:r>
                </w:p>
              </w:tc>
            </w:tr>
          </w:tbl>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2</w:t>
            </w:r>
            <w:r>
              <w:rPr>
                <w:rFonts w:ascii="仿宋_GB2312" w:hAnsi="仿宋_GB2312" w:cs="仿宋_GB2312" w:eastAsia="仿宋_GB2312"/>
                <w:sz w:val="21"/>
                <w:b/>
              </w:rPr>
              <w:t>）</w:t>
            </w:r>
            <w:r>
              <w:rPr>
                <w:rFonts w:ascii="仿宋_GB2312" w:hAnsi="仿宋_GB2312" w:cs="仿宋_GB2312" w:eastAsia="仿宋_GB2312"/>
                <w:sz w:val="21"/>
                <w:b/>
              </w:rPr>
              <w:t>23套移动护理手持系统要求：</w:t>
            </w:r>
          </w:p>
          <w:tbl>
            <w:tblPr>
              <w:tblInd w:type="dxa" w:w="90"/>
              <w:tblBorders>
                <w:top w:val="none" w:color="000000" w:sz="4"/>
                <w:left w:val="none" w:color="000000" w:sz="4"/>
                <w:bottom w:val="none" w:color="000000" w:sz="4"/>
                <w:right w:val="none" w:color="000000" w:sz="4"/>
                <w:insideH w:val="none"/>
                <w:insideV w:val="none"/>
              </w:tblBorders>
            </w:tblPr>
            <w:tblGrid>
              <w:gridCol w:w="203"/>
              <w:gridCol w:w="325"/>
              <w:gridCol w:w="2019"/>
            </w:tblGrid>
            <w:tr>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移动护理手持系统</w:t>
                  </w:r>
                </w:p>
              </w:tc>
              <w:tc>
                <w:tcPr>
                  <w:tcW w:type="dxa" w:w="20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需满足环境要求：</w:t>
                  </w:r>
                  <w:r>
                    <w:br/>
                  </w:r>
                  <w:r>
                    <w:rPr>
                      <w:rFonts w:ascii="仿宋_GB2312" w:hAnsi="仿宋_GB2312" w:cs="仿宋_GB2312" w:eastAsia="仿宋_GB2312"/>
                      <w:sz w:val="21"/>
                      <w:color w:val="000000"/>
                    </w:rPr>
                    <w:t>(1)▲处理器：≥8核，主频≥2.4GHz高性能处理器；</w:t>
                  </w:r>
                  <w:r>
                    <w:br/>
                  </w:r>
                  <w:r>
                    <w:rPr>
                      <w:rFonts w:ascii="仿宋_GB2312" w:hAnsi="仿宋_GB2312" w:cs="仿宋_GB2312" w:eastAsia="仿宋_GB2312"/>
                      <w:sz w:val="21"/>
                      <w:color w:val="000000"/>
                    </w:rPr>
                    <w:t>(2)▲操作系统：≥Android 14.0或以上，须提移动医疗操作系统软件著作权证书；</w:t>
                  </w:r>
                  <w:r>
                    <w:br/>
                  </w:r>
                  <w:r>
                    <w:rPr>
                      <w:rFonts w:ascii="仿宋_GB2312" w:hAnsi="仿宋_GB2312" w:cs="仿宋_GB2312" w:eastAsia="仿宋_GB2312"/>
                      <w:sz w:val="21"/>
                      <w:color w:val="000000"/>
                    </w:rPr>
                    <w:t>(3)▲存储器：≥64GB ROM+6GB RAM，最大可支持512G外部储存，；</w:t>
                  </w:r>
                  <w:r>
                    <w:br/>
                  </w:r>
                  <w:r>
                    <w:rPr>
                      <w:rFonts w:ascii="仿宋_GB2312" w:hAnsi="仿宋_GB2312" w:cs="仿宋_GB2312" w:eastAsia="仿宋_GB2312"/>
                      <w:sz w:val="21"/>
                      <w:color w:val="000000"/>
                    </w:rPr>
                    <w:t>(4)▲显示：≥6.0英寸；分辨率：≥2160*1080像素，IPS。</w:t>
                  </w:r>
                  <w:r>
                    <w:br/>
                  </w:r>
                  <w:r>
                    <w:rPr>
                      <w:rFonts w:ascii="仿宋_GB2312" w:hAnsi="仿宋_GB2312" w:cs="仿宋_GB2312" w:eastAsia="仿宋_GB2312"/>
                      <w:sz w:val="21"/>
                      <w:color w:val="000000"/>
                    </w:rPr>
                    <w:t>(5)▲摄像头：后置≥1600万摄像头，前置≥800万像素，支持自动对焦；</w:t>
                  </w:r>
                  <w:r>
                    <w:br/>
                  </w:r>
                  <w:r>
                    <w:rPr>
                      <w:rFonts w:ascii="仿宋_GB2312" w:hAnsi="仿宋_GB2312" w:cs="仿宋_GB2312" w:eastAsia="仿宋_GB2312"/>
                      <w:sz w:val="21"/>
                      <w:color w:val="000000"/>
                    </w:rPr>
                    <w:t>(6)SIM：三选二SIM卡槽，支持双卡双待；</w:t>
                  </w:r>
                  <w:r>
                    <w:br/>
                  </w:r>
                  <w:r>
                    <w:rPr>
                      <w:rFonts w:ascii="仿宋_GB2312" w:hAnsi="仿宋_GB2312" w:cs="仿宋_GB2312" w:eastAsia="仿宋_GB2312"/>
                      <w:sz w:val="21"/>
                      <w:color w:val="000000"/>
                    </w:rPr>
                    <w:t>(7)▲电池：≥ 5100mAh锂离子电池，为便于后期更换，可不借助其他工具徒手自行拆卸电池,并支持换电池状态下设备不关机重启；</w:t>
                  </w:r>
                  <w:r>
                    <w:br/>
                  </w:r>
                  <w:r>
                    <w:rPr>
                      <w:rFonts w:ascii="仿宋_GB2312" w:hAnsi="仿宋_GB2312" w:cs="仿宋_GB2312" w:eastAsia="仿宋_GB2312"/>
                      <w:sz w:val="21"/>
                      <w:color w:val="000000"/>
                    </w:rPr>
                    <w:t>(8)触摸：工业级电容屏，支持湿手操作/多点触控/手套模式；</w:t>
                  </w:r>
                  <w:r>
                    <w:br/>
                  </w:r>
                  <w:r>
                    <w:rPr>
                      <w:rFonts w:ascii="仿宋_GB2312" w:hAnsi="仿宋_GB2312" w:cs="仿宋_GB2312" w:eastAsia="仿宋_GB2312"/>
                      <w:sz w:val="21"/>
                      <w:color w:val="000000"/>
                    </w:rPr>
                    <w:t>(9)提示：大功率喇叭/振动提示/LED提示/音频提示；</w:t>
                  </w:r>
                  <w:r>
                    <w:br/>
                  </w:r>
                  <w:r>
                    <w:rPr>
                      <w:rFonts w:ascii="仿宋_GB2312" w:hAnsi="仿宋_GB2312" w:cs="仿宋_GB2312" w:eastAsia="仿宋_GB2312"/>
                      <w:sz w:val="21"/>
                      <w:color w:val="000000"/>
                    </w:rPr>
                    <w:t>(10)接口：Type-C的USB 接口；</w:t>
                  </w:r>
                  <w:r>
                    <w:br/>
                  </w:r>
                  <w:r>
                    <w:rPr>
                      <w:rFonts w:ascii="仿宋_GB2312" w:hAnsi="仿宋_GB2312" w:cs="仿宋_GB2312" w:eastAsia="仿宋_GB2312"/>
                      <w:sz w:val="21"/>
                      <w:color w:val="000000"/>
                    </w:rPr>
                    <w:t>(11)重量：≤300g（含电池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(12)条码引擎：支持国际通用的一维条码与二维条码；</w:t>
                  </w:r>
                  <w:r>
                    <w:br/>
                  </w:r>
                  <w:r>
                    <w:rPr>
                      <w:rFonts w:ascii="仿宋_GB2312" w:hAnsi="仿宋_GB2312" w:cs="仿宋_GB2312" w:eastAsia="仿宋_GB2312"/>
                      <w:sz w:val="21"/>
                      <w:color w:val="000000"/>
                    </w:rPr>
                    <w:t>(13)指纹识别：标配指纹识别</w:t>
                  </w:r>
                  <w:r>
                    <w:rPr>
                      <w:rFonts w:ascii="仿宋_GB2312" w:hAnsi="仿宋_GB2312" w:cs="仿宋_GB2312" w:eastAsia="仿宋_GB2312"/>
                      <w:sz w:val="21"/>
                    </w:rPr>
                    <w:t>（为方便使用，指纹识别模块须在机器侧面）；</w:t>
                  </w:r>
                  <w:r>
                    <w:br/>
                  </w:r>
                  <w:r>
                    <w:rPr>
                      <w:rFonts w:ascii="仿宋_GB2312" w:hAnsi="仿宋_GB2312" w:cs="仿宋_GB2312" w:eastAsia="仿宋_GB2312"/>
                      <w:sz w:val="21"/>
                      <w:color w:val="000000"/>
                    </w:rPr>
                    <w:t>(14)定位/导航：GPS/AGPS/北斗/伽利略；/GLONASS/QZSS；支持 L1+L5 双频，支持 SBAS；</w:t>
                  </w:r>
                  <w:r>
                    <w:br/>
                  </w:r>
                  <w:r>
                    <w:rPr>
                      <w:rFonts w:ascii="仿宋_GB2312" w:hAnsi="仿宋_GB2312" w:cs="仿宋_GB2312" w:eastAsia="仿宋_GB2312"/>
                      <w:sz w:val="21"/>
                      <w:color w:val="000000"/>
                    </w:rPr>
                    <w:t>(15)网络制式：5G全网通，兼容移动、电信、联通；</w:t>
                  </w:r>
                  <w:r>
                    <w:br/>
                  </w:r>
                  <w:r>
                    <w:rPr>
                      <w:rFonts w:ascii="仿宋_GB2312" w:hAnsi="仿宋_GB2312" w:cs="仿宋_GB2312" w:eastAsia="仿宋_GB2312"/>
                      <w:sz w:val="21"/>
                      <w:color w:val="000000"/>
                    </w:rPr>
                    <w:t>(16)▲WLAN：Wi-Fi 6；Wi-Fi 802.11 a/b/g/n/r/ac/ax/d/e/h/i/j/k/v/w(2.4G+5G双频)，支持快速漫游；</w:t>
                  </w:r>
                  <w:r>
                    <w:br/>
                  </w:r>
                  <w:r>
                    <w:rPr>
                      <w:rFonts w:ascii="仿宋_GB2312" w:hAnsi="仿宋_GB2312" w:cs="仿宋_GB2312" w:eastAsia="仿宋_GB2312"/>
                      <w:sz w:val="21"/>
                      <w:color w:val="000000"/>
                    </w:rPr>
                    <w:t>(17)蓝牙：≥Bluetooth 5.2 LE；</w:t>
                  </w:r>
                </w:p>
              </w:tc>
            </w:tr>
          </w:tbl>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NSIS智慧护理业务系统：含软件系统一套及6</w:t>
            </w:r>
            <w:r>
              <w:rPr>
                <w:rFonts w:ascii="仿宋_GB2312" w:hAnsi="仿宋_GB2312" w:cs="仿宋_GB2312" w:eastAsia="仿宋_GB2312"/>
                <w:sz w:val="21"/>
                <w:b/>
              </w:rPr>
              <w:t>套</w:t>
            </w:r>
            <w:r>
              <w:rPr>
                <w:rFonts w:ascii="仿宋_GB2312" w:hAnsi="仿宋_GB2312" w:cs="仿宋_GB2312" w:eastAsia="仿宋_GB2312"/>
                <w:sz w:val="21"/>
                <w:b/>
              </w:rPr>
              <w:t>显示系统服务</w:t>
            </w:r>
            <w:r>
              <w:rPr>
                <w:rFonts w:ascii="仿宋_GB2312" w:hAnsi="仿宋_GB2312" w:cs="仿宋_GB2312" w:eastAsia="仿宋_GB2312"/>
                <w:sz w:val="21"/>
                <w:b/>
              </w:rPr>
              <w:t>，</w:t>
            </w:r>
            <w:r>
              <w:rPr>
                <w:rFonts w:ascii="仿宋_GB2312" w:hAnsi="仿宋_GB2312" w:cs="仿宋_GB2312" w:eastAsia="仿宋_GB2312"/>
                <w:sz w:val="21"/>
                <w:b/>
              </w:rPr>
              <w:t>涵盖6个病区，具体如下：</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软件系统功能要求</w:t>
            </w:r>
          </w:p>
          <w:tbl>
            <w:tblPr>
              <w:tblInd w:type="dxa" w:w="90"/>
              <w:tblBorders>
                <w:top w:val="none" w:color="000000" w:sz="4"/>
                <w:left w:val="none" w:color="000000" w:sz="4"/>
                <w:bottom w:val="none" w:color="000000" w:sz="4"/>
                <w:right w:val="none" w:color="000000" w:sz="4"/>
                <w:insideH w:val="none"/>
                <w:insideV w:val="none"/>
              </w:tblBorders>
            </w:tblPr>
            <w:tblGrid>
              <w:gridCol w:w="203"/>
              <w:gridCol w:w="325"/>
              <w:gridCol w:w="2019"/>
            </w:tblGrid>
            <w:tr>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护理项目显示</w:t>
                  </w:r>
                </w:p>
              </w:tc>
              <w:tc>
                <w:tcPr>
                  <w:tcW w:type="dxa" w:w="20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通过医疗专业语义分析和分类，自动获取临床患者医嘱信息和患者床号信息，根据科室病区的护理工作需要或重点关注的护理项目，进行数据和信息重构，将护理项目和任务整理分类，并智能展现在护士站大屏上。病区内护理项目及医嘱执行任务，一目了然。方便护士长把握科室医嘱工作总量及执行状况，同时方便护士高效快速查看病区护理项目内容，指导辅助护理作业，能快速响应最新的业务变化。</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▲护理项目提醒</w:t>
                  </w:r>
                </w:p>
              </w:tc>
              <w:tc>
                <w:tcPr>
                  <w:tcW w:type="dxa" w:w="2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（1）支持对护理项目内显示的床位患者，快速进行特殊自定义状态的图标标注和醒目显示；</w:t>
                  </w:r>
                  <w:r>
                    <w:br/>
                  </w:r>
                  <w:r>
                    <w:rPr>
                      <w:rFonts w:ascii="仿宋_GB2312" w:hAnsi="仿宋_GB2312" w:cs="仿宋_GB2312" w:eastAsia="仿宋_GB2312"/>
                      <w:sz w:val="21"/>
                      <w:color w:val="000000"/>
                    </w:rPr>
                    <w:t>（2）支持对某护理项目内具体床位患者，设置短期任务定时提醒。通过语音播报提醒方式，更加便捷有效地提醒值班护士对医嘱的执行。</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▲护士交班</w:t>
                  </w:r>
                </w:p>
              </w:tc>
              <w:tc>
                <w:tcPr>
                  <w:tcW w:type="dxa" w:w="2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通过智能化的交班模板，自动提取部分需要交班的数据与信息，解决每日临床护理中交班的抄写核对过程，能够快速生成每日交班内容，并结构化的在大屏端显示，让交班护士快速完成交班内容，提高护士交班的工作效率和交班信息的准确度。</w:t>
                  </w:r>
                  <w:r>
                    <w:br/>
                  </w:r>
                  <w:r>
                    <w:rPr>
                      <w:rFonts w:ascii="仿宋_GB2312" w:hAnsi="仿宋_GB2312" w:cs="仿宋_GB2312" w:eastAsia="仿宋_GB2312"/>
                      <w:sz w:val="21"/>
                      <w:color w:val="000000"/>
                    </w:rPr>
                    <w:t>（2）支持不同科室配置不同的交班时间段。</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软件界面</w:t>
                  </w:r>
                </w:p>
              </w:tc>
              <w:tc>
                <w:tcPr>
                  <w:tcW w:type="dxa" w:w="2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（1）支持换肤：支持夜间模式，及适配不同科室风格的界面配色方案。</w:t>
                  </w:r>
                  <w:r>
                    <w:br/>
                  </w:r>
                  <w:r>
                    <w:rPr>
                      <w:rFonts w:ascii="仿宋_GB2312" w:hAnsi="仿宋_GB2312" w:cs="仿宋_GB2312" w:eastAsia="仿宋_GB2312"/>
                      <w:sz w:val="21"/>
                      <w:color w:val="000000"/>
                    </w:rPr>
                    <w:t>（2）具有现代软件界面风格，界面显示切换支持动态动画效果；</w:t>
                  </w:r>
                  <w:r>
                    <w:br/>
                  </w:r>
                  <w:r>
                    <w:rPr>
                      <w:rFonts w:ascii="仿宋_GB2312" w:hAnsi="仿宋_GB2312" w:cs="仿宋_GB2312" w:eastAsia="仿宋_GB2312"/>
                      <w:sz w:val="21"/>
                      <w:color w:val="000000"/>
                    </w:rPr>
                    <w:t>（3）主界面支持多点触控手势滑动控制，可快速切换护士交班和床位一览界面内容；</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护士长便签</w:t>
                  </w:r>
                </w:p>
              </w:tc>
              <w:tc>
                <w:tcPr>
                  <w:tcW w:type="dxa" w:w="2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科室重要的通知信息或病人的重要护理信息由护士长通知，并可将重要的信息放大锁定在屏幕，重点提醒护士。</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通知消息</w:t>
                  </w:r>
                </w:p>
              </w:tc>
              <w:tc>
                <w:tcPr>
                  <w:tcW w:type="dxa" w:w="2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由护理部下达的培训、通知等重要内容，间歇性滚动播放，并支持添加附件，避免了护理部一一电话告知。解决了护理部下发的重要通知或护理培训信息快速广播的需求，确保了通知信息被科室所有护士获得。</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便签管理</w:t>
                  </w:r>
                </w:p>
              </w:tc>
              <w:tc>
                <w:tcPr>
                  <w:tcW w:type="dxa" w:w="2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显示科室的部分提醒或备忘便签内容，可多页并列显示，并支持手动拖动和缩放，方便护士将备忘信息随手书写，并方便其他护士查看。</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电子床位卡</w:t>
                  </w:r>
                </w:p>
              </w:tc>
              <w:tc>
                <w:tcPr>
                  <w:tcW w:type="dxa" w:w="2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能够以颜色、状态文字标注来区别各床位患者病情和护理等级等信息，护士或护士长查看时一目了然，不再需要靠近查看。能够显示患者的详细信息，护士能够快速方便的获得需要内容。</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值班医生</w:t>
                  </w:r>
                </w:p>
              </w:tc>
              <w:tc>
                <w:tcPr>
                  <w:tcW w:type="dxa" w:w="2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提供快速获取值班医生信息的渠道，不再需要给护士长或其他护士打电话询问当日的值班医生，能在紧急状况中快速获取信息。</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借出物管理</w:t>
                  </w:r>
                </w:p>
              </w:tc>
              <w:tc>
                <w:tcPr>
                  <w:tcW w:type="dxa" w:w="2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科室借出与借入物品的快速管理记录，避免遗忘和科室财务损失。</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换床管理</w:t>
                  </w:r>
                </w:p>
              </w:tc>
              <w:tc>
                <w:tcPr>
                  <w:tcW w:type="dxa" w:w="2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显示科室换床、加床及占床信息，护士不再需要抄写或记录，既能快速录入信息，又能即刻显示该条换床信息。</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排班与留言</w:t>
                  </w:r>
                </w:p>
              </w:tc>
              <w:tc>
                <w:tcPr>
                  <w:tcW w:type="dxa" w:w="2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展示护士当天、一周的排班情况和护士责任管床信息，护士可查看个人班次详细，并且可与交班护士交接工作和留言。</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护士快速教育</w:t>
                  </w:r>
                </w:p>
              </w:tc>
              <w:tc>
                <w:tcPr>
                  <w:tcW w:type="dxa" w:w="2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提供科室培训和小型会议投影的需求，同时方便护士碎片时间的学习，科室可将积累的课件、文档、视频共享、展示播放给护士学习。</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电子白板</w:t>
                  </w:r>
                </w:p>
              </w:tc>
              <w:tc>
                <w:tcPr>
                  <w:tcW w:type="dxa" w:w="2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模拟实物白板的功能，可对屏幕书写笔触的样式笔触颜色自定义选择；方便科室做培训和小型讨论或会议使用，并可将电子白板书写的内容保存下来。并且有历史快速查询功能。</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▲重点项目打印</w:t>
                  </w:r>
                </w:p>
              </w:tc>
              <w:tc>
                <w:tcPr>
                  <w:tcW w:type="dxa" w:w="2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（1）根据科室配置，可将高频次和多病人执行的医嘱打印出来，方便护士统计和执行，代替手动劳动，避免了抄写信息过程中产生的遗漏或错误，同时提高了护士工作效率。</w:t>
                  </w:r>
                  <w:r>
                    <w:br/>
                  </w:r>
                  <w:r>
                    <w:rPr>
                      <w:rFonts w:ascii="仿宋_GB2312" w:hAnsi="仿宋_GB2312" w:cs="仿宋_GB2312" w:eastAsia="仿宋_GB2312"/>
                      <w:sz w:val="21"/>
                      <w:color w:val="000000"/>
                    </w:rPr>
                    <w:t>（2）支持多种打印模板配置，可根据需要由技术人员根据科室需求实际情况，在实施期来添加（例如：责医/用药方式/剂量等）</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屏保</w:t>
                  </w:r>
                </w:p>
              </w:tc>
              <w:tc>
                <w:tcPr>
                  <w:tcW w:type="dxa" w:w="2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支持锁屏显示屏保图片内容，输入密码口令解锁</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电话簿</w:t>
                  </w:r>
                </w:p>
              </w:tc>
              <w:tc>
                <w:tcPr>
                  <w:tcW w:type="dxa" w:w="2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可分类显示常用联系方式，进行快速查看，例如订餐、维修、其他科室、人员的通讯录等。</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触屏输入法</w:t>
                  </w:r>
                </w:p>
              </w:tc>
              <w:tc>
                <w:tcPr>
                  <w:tcW w:type="dxa" w:w="2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在触摸大屏端软件部分功能内输入文字时，支持常用词快速输入方法，减少触屏端输入文字的不便捷性。</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与HIS系统对接支持</w:t>
                  </w:r>
                </w:p>
              </w:tc>
              <w:tc>
                <w:tcPr>
                  <w:tcW w:type="dxa" w:w="2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支持数据库视图方式、Webservice接口方式对接医院的HIS系统。</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自动更新</w:t>
                  </w:r>
                </w:p>
              </w:tc>
              <w:tc>
                <w:tcPr>
                  <w:tcW w:type="dxa" w:w="2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支持后台放置更新包，一键自动升级所有大屏程序。</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投屏</w:t>
                  </w:r>
                </w:p>
              </w:tc>
              <w:tc>
                <w:tcPr>
                  <w:tcW w:type="dxa" w:w="2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具备手机投屏功能</w:t>
                  </w:r>
                </w:p>
              </w:tc>
            </w:tr>
          </w:tbl>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2</w:t>
            </w:r>
            <w:r>
              <w:rPr>
                <w:rFonts w:ascii="仿宋_GB2312" w:hAnsi="仿宋_GB2312" w:cs="仿宋_GB2312" w:eastAsia="仿宋_GB2312"/>
                <w:sz w:val="21"/>
                <w:b/>
              </w:rPr>
              <w:t>）</w:t>
            </w:r>
            <w:r>
              <w:rPr>
                <w:rFonts w:ascii="仿宋_GB2312" w:hAnsi="仿宋_GB2312" w:cs="仿宋_GB2312" w:eastAsia="仿宋_GB2312"/>
                <w:sz w:val="21"/>
                <w:b/>
              </w:rPr>
              <w:t>6</w:t>
            </w:r>
            <w:r>
              <w:rPr>
                <w:rFonts w:ascii="仿宋_GB2312" w:hAnsi="仿宋_GB2312" w:cs="仿宋_GB2312" w:eastAsia="仿宋_GB2312"/>
                <w:sz w:val="21"/>
                <w:b/>
              </w:rPr>
              <w:t>套</w:t>
            </w:r>
            <w:r>
              <w:rPr>
                <w:rFonts w:ascii="仿宋_GB2312" w:hAnsi="仿宋_GB2312" w:cs="仿宋_GB2312" w:eastAsia="仿宋_GB2312"/>
                <w:sz w:val="21"/>
                <w:b/>
              </w:rPr>
              <w:t>显示系统服务</w:t>
            </w:r>
            <w:r>
              <w:rPr>
                <w:rFonts w:ascii="仿宋_GB2312" w:hAnsi="仿宋_GB2312" w:cs="仿宋_GB2312" w:eastAsia="仿宋_GB2312"/>
                <w:sz w:val="21"/>
                <w:b/>
              </w:rPr>
              <w:t>要求</w:t>
            </w:r>
            <w:r>
              <w:rPr>
                <w:rFonts w:ascii="仿宋_GB2312" w:hAnsi="仿宋_GB2312" w:cs="仿宋_GB2312" w:eastAsia="仿宋_GB2312"/>
                <w:sz w:val="21"/>
                <w:b/>
              </w:rPr>
              <w:t>：</w:t>
            </w:r>
          </w:p>
          <w:tbl>
            <w:tblPr>
              <w:tblInd w:type="dxa" w:w="90"/>
              <w:tblBorders>
                <w:top w:val="none" w:color="000000" w:sz="4"/>
                <w:left w:val="none" w:color="000000" w:sz="4"/>
                <w:bottom w:val="none" w:color="000000" w:sz="4"/>
                <w:right w:val="none" w:color="000000" w:sz="4"/>
                <w:insideH w:val="none"/>
                <w:insideV w:val="none"/>
              </w:tblBorders>
            </w:tblPr>
            <w:tblGrid>
              <w:gridCol w:w="202"/>
              <w:gridCol w:w="326"/>
              <w:gridCol w:w="2015"/>
            </w:tblGrid>
            <w:tr>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显示系统服务</w:t>
                  </w:r>
                </w:p>
              </w:tc>
              <w:tc>
                <w:tcPr>
                  <w:tcW w:type="dxa" w:w="20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（1）屏幕：尺寸≥75英寸，亮度≥350cd/㎡，可视角度为≥178°，对比度≥4000：1，显示比例：16:9。</w:t>
                  </w:r>
                  <w:r>
                    <w:br/>
                  </w:r>
                  <w:r>
                    <w:rPr>
                      <w:rFonts w:ascii="仿宋_GB2312" w:hAnsi="仿宋_GB2312" w:cs="仿宋_GB2312" w:eastAsia="仿宋_GB2312"/>
                      <w:sz w:val="21"/>
                      <w:color w:val="000000"/>
                    </w:rPr>
                    <w:t>屏幕分辨率≥3840×2160，满足全高清分辨率显示要求。</w:t>
                  </w:r>
                  <w:r>
                    <w:br/>
                  </w:r>
                  <w:r>
                    <w:rPr>
                      <w:rFonts w:ascii="仿宋_GB2312" w:hAnsi="仿宋_GB2312" w:cs="仿宋_GB2312" w:eastAsia="仿宋_GB2312"/>
                      <w:sz w:val="21"/>
                      <w:color w:val="000000"/>
                    </w:rPr>
                    <w:t>（2）整机采用防眩光玻璃面板，玻璃透过率不低于85% ,玻璃面板硬度≥7H，屏占比≥85%。</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触摸书写系统</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红外识别原理，触摸点数≥15，最小识别物 ≤ 3mm， 相应时间&lt;18毫秒</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内置系统</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（1）内存≥4GB ；</w:t>
                  </w:r>
                  <w:r>
                    <w:br/>
                  </w:r>
                  <w:r>
                    <w:rPr>
                      <w:rFonts w:ascii="仿宋_GB2312" w:hAnsi="仿宋_GB2312" w:cs="仿宋_GB2312" w:eastAsia="仿宋_GB2312"/>
                      <w:sz w:val="21"/>
                      <w:color w:val="000000"/>
                    </w:rPr>
                    <w:t>（2）硬盘≥128G M.2；</w:t>
                  </w:r>
                  <w:r>
                    <w:br/>
                  </w:r>
                  <w:r>
                    <w:rPr>
                      <w:rFonts w:ascii="仿宋_GB2312" w:hAnsi="仿宋_GB2312" w:cs="仿宋_GB2312" w:eastAsia="仿宋_GB2312"/>
                      <w:sz w:val="21"/>
                      <w:color w:val="000000"/>
                    </w:rPr>
                    <w:t>（3）显示≥1*HDMI；</w:t>
                  </w:r>
                  <w:r>
                    <w:br/>
                  </w:r>
                  <w:r>
                    <w:rPr>
                      <w:rFonts w:ascii="仿宋_GB2312" w:hAnsi="仿宋_GB2312" w:cs="仿宋_GB2312" w:eastAsia="仿宋_GB2312"/>
                      <w:sz w:val="21"/>
                      <w:color w:val="000000"/>
                    </w:rPr>
                    <w:t>（4）网口≥1*RJ45；</w:t>
                  </w:r>
                  <w:r>
                    <w:br/>
                  </w:r>
                  <w:r>
                    <w:rPr>
                      <w:rFonts w:ascii="仿宋_GB2312" w:hAnsi="仿宋_GB2312" w:cs="仿宋_GB2312" w:eastAsia="仿宋_GB2312"/>
                      <w:sz w:val="21"/>
                      <w:color w:val="000000"/>
                    </w:rPr>
                    <w:t>（5）音频≥1*Line out,1*Mic in；</w:t>
                  </w:r>
                  <w:r>
                    <w:br/>
                  </w:r>
                  <w:r>
                    <w:rPr>
                      <w:rFonts w:ascii="仿宋_GB2312" w:hAnsi="仿宋_GB2312" w:cs="仿宋_GB2312" w:eastAsia="仿宋_GB2312"/>
                      <w:sz w:val="21"/>
                      <w:color w:val="000000"/>
                    </w:rPr>
                    <w:t>（6）USB 2*USB3.0 , 2*USB2.0，1*USB Type-C3.1 GEN1</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输入输出端口</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输入端子:≥2路HDMI；≥3路 USB 2.0；≥1路USB 3.0; ≥1路RJ45；</w:t>
                  </w:r>
                  <w:r>
                    <w:br/>
                  </w:r>
                  <w:r>
                    <w:rPr>
                      <w:rFonts w:ascii="仿宋_GB2312" w:hAnsi="仿宋_GB2312" w:cs="仿宋_GB2312" w:eastAsia="仿宋_GB2312"/>
                      <w:sz w:val="21"/>
                      <w:color w:val="000000"/>
                    </w:rPr>
                    <w:t>输出端子：≥1路HDMI OUT; ≥1路LINE OUT；</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环境适应</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整机在0℃—40℃环境下可正常工作，在-20℃—60℃的环境下可正常贮存且贮存后功能无损。</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电源要求</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100-240V~50/60Hz，待机功耗≤0.5W</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整机设计</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内置高清摄像头 ≥ 1080P  800万像素；</w:t>
                  </w:r>
                  <w:r>
                    <w:br/>
                  </w:r>
                  <w:r>
                    <w:rPr>
                      <w:rFonts w:ascii="仿宋_GB2312" w:hAnsi="仿宋_GB2312" w:cs="仿宋_GB2312" w:eastAsia="仿宋_GB2312"/>
                      <w:sz w:val="21"/>
                      <w:color w:val="000000"/>
                    </w:rPr>
                    <w:t>（2）内置麦克风≥ 4个麦克风，有效拾音距离≥6米。</w:t>
                  </w:r>
                  <w:r>
                    <w:br/>
                  </w:r>
                  <w:r>
                    <w:rPr>
                      <w:rFonts w:ascii="仿宋_GB2312" w:hAnsi="仿宋_GB2312" w:cs="仿宋_GB2312" w:eastAsia="仿宋_GB2312"/>
                      <w:sz w:val="21"/>
                      <w:color w:val="000000"/>
                    </w:rPr>
                    <w:t>（3）机身具备GB/T 2423.17-2008第2部分防盐雾锈蚀特性，避免长期使用过程中生锈老化。</w:t>
                  </w:r>
                  <w:r>
                    <w:br/>
                  </w:r>
                  <w:r>
                    <w:rPr>
                      <w:rFonts w:ascii="仿宋_GB2312" w:hAnsi="仿宋_GB2312" w:cs="仿宋_GB2312" w:eastAsia="仿宋_GB2312"/>
                      <w:sz w:val="21"/>
                      <w:color w:val="000000"/>
                    </w:rPr>
                    <w:t>（4）整机产品机身为金属外壳，满足GB4943.1-2011标准中的防火要求，有效避免产品意外燃烧，确保环境安全。</w:t>
                  </w:r>
                  <w:r>
                    <w:br/>
                  </w:r>
                  <w:r>
                    <w:rPr>
                      <w:rFonts w:ascii="仿宋_GB2312" w:hAnsi="仿宋_GB2312" w:cs="仿宋_GB2312" w:eastAsia="仿宋_GB2312"/>
                      <w:sz w:val="21"/>
                      <w:color w:val="000000"/>
                    </w:rPr>
                    <w:t>（5）整机符合GB/T 17626.5-2008浪涌（冲击）抗扰度、GB/T 17626.2-2006静电放电抗扰度、GB/T 17626.3-2006射频电磁场辐射抗扰度、GB/T 17626.4-2008电快速瞬变脉冲群抗扰度、GB/T 17626.6-2008射频场感应的传导抗扰度、GB/T 17626.11-2008电压暂降、短时中断和电压变化抗扰度等要求，确保整机使用安全。产品符合强制性产品认证制度，需具备CCC强制认证。</w:t>
                  </w:r>
                </w:p>
              </w:tc>
            </w:tr>
          </w:tbl>
          <w:p>
            <w:pPr>
              <w:pStyle w:val="null3"/>
              <w:jc w:val="both"/>
            </w:pPr>
            <w:r>
              <w:rPr>
                <w:rFonts w:ascii="仿宋_GB2312" w:hAnsi="仿宋_GB2312" w:cs="仿宋_GB2312" w:eastAsia="仿宋_GB2312"/>
                <w:sz w:val="21"/>
                <w:b/>
              </w:rPr>
              <w:t>（三）无线网络</w:t>
            </w:r>
          </w:p>
          <w:p>
            <w:pPr>
              <w:pStyle w:val="null3"/>
              <w:ind w:firstLine="310"/>
              <w:jc w:val="both"/>
            </w:pPr>
            <w:r>
              <w:rPr>
                <w:rFonts w:ascii="仿宋_GB2312" w:hAnsi="仿宋_GB2312" w:cs="仿宋_GB2312" w:eastAsia="仿宋_GB2312"/>
                <w:sz w:val="21"/>
              </w:rPr>
              <w:t>1、采用5G网络，</w:t>
            </w:r>
            <w:r>
              <w:rPr>
                <w:rFonts w:ascii="仿宋_GB2312" w:hAnsi="仿宋_GB2312" w:cs="仿宋_GB2312" w:eastAsia="仿宋_GB2312"/>
                <w:sz w:val="21"/>
              </w:rPr>
              <w:t>成交</w:t>
            </w:r>
            <w:r>
              <w:rPr>
                <w:rFonts w:ascii="仿宋_GB2312" w:hAnsi="仿宋_GB2312" w:cs="仿宋_GB2312" w:eastAsia="仿宋_GB2312"/>
                <w:sz w:val="21"/>
              </w:rPr>
              <w:t>供应商承担自合同签订之日起所有手持终端三年的5G网络流量费用；</w:t>
            </w:r>
          </w:p>
          <w:p>
            <w:pPr>
              <w:pStyle w:val="null3"/>
              <w:ind w:firstLine="310"/>
              <w:jc w:val="both"/>
            </w:pPr>
            <w:r>
              <w:rPr>
                <w:rFonts w:ascii="仿宋_GB2312" w:hAnsi="仿宋_GB2312" w:cs="仿宋_GB2312" w:eastAsia="仿宋_GB2312"/>
                <w:sz w:val="21"/>
              </w:rPr>
              <w:t>2、</w:t>
            </w:r>
            <w:r>
              <w:rPr>
                <w:rFonts w:ascii="仿宋_GB2312" w:hAnsi="仿宋_GB2312" w:cs="仿宋_GB2312" w:eastAsia="仿宋_GB2312"/>
                <w:sz w:val="21"/>
              </w:rPr>
              <w:t>成交</w:t>
            </w:r>
            <w:r>
              <w:rPr>
                <w:rFonts w:ascii="仿宋_GB2312" w:hAnsi="仿宋_GB2312" w:cs="仿宋_GB2312" w:eastAsia="仿宋_GB2312"/>
                <w:sz w:val="21"/>
              </w:rPr>
              <w:t>供应商承担自合同签订之日起三年的有线专用通道</w:t>
            </w:r>
            <w:r>
              <w:rPr>
                <w:rFonts w:ascii="仿宋_GB2312" w:hAnsi="仿宋_GB2312" w:cs="仿宋_GB2312" w:eastAsia="仿宋_GB2312"/>
                <w:sz w:val="21"/>
              </w:rPr>
              <w:t>专线费用。</w:t>
            </w:r>
          </w:p>
          <w:p>
            <w:pPr>
              <w:pStyle w:val="null3"/>
              <w:jc w:val="left"/>
              <w:outlineLvl w:val="1"/>
            </w:pPr>
            <w:r>
              <w:rPr>
                <w:rFonts w:ascii="仿宋_GB2312" w:hAnsi="仿宋_GB2312" w:cs="仿宋_GB2312" w:eastAsia="仿宋_GB2312"/>
                <w:sz w:val="21"/>
                <w:b/>
              </w:rPr>
              <w:t>三、服务要求</w:t>
            </w:r>
          </w:p>
          <w:p>
            <w:pPr>
              <w:pStyle w:val="null3"/>
              <w:ind w:firstLine="422"/>
              <w:jc w:val="both"/>
            </w:pPr>
            <w:r>
              <w:rPr>
                <w:rFonts w:ascii="仿宋_GB2312" w:hAnsi="仿宋_GB2312" w:cs="仿宋_GB2312" w:eastAsia="仿宋_GB2312"/>
                <w:sz w:val="21"/>
                <w:b/>
              </w:rPr>
              <w:t>(一)信息安全要求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所有患者诊疗、护理原始数据本地服务器存储，不云端留存患者隐私信息，保障医疗数据安全。</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服务</w:t>
            </w:r>
            <w:r>
              <w:rPr>
                <w:rFonts w:ascii="仿宋_GB2312" w:hAnsi="仿宋_GB2312" w:cs="仿宋_GB2312" w:eastAsia="仿宋_GB2312"/>
                <w:sz w:val="21"/>
              </w:rPr>
              <w:t>期</w:t>
            </w:r>
            <w:r>
              <w:rPr>
                <w:rFonts w:ascii="仿宋_GB2312" w:hAnsi="仿宋_GB2312" w:cs="仿宋_GB2312" w:eastAsia="仿宋_GB2312"/>
                <w:sz w:val="21"/>
              </w:rPr>
              <w:t>结束，供方不得留存、拷贝、带走任何院内患者护理数据；签订数据保密协议，</w:t>
            </w:r>
            <w:r>
              <w:rPr>
                <w:rFonts w:ascii="仿宋_GB2312" w:hAnsi="仿宋_GB2312" w:cs="仿宋_GB2312" w:eastAsia="仿宋_GB2312"/>
                <w:sz w:val="21"/>
              </w:rPr>
              <w:t>服务</w:t>
            </w:r>
            <w:r>
              <w:rPr>
                <w:rFonts w:ascii="仿宋_GB2312" w:hAnsi="仿宋_GB2312" w:cs="仿宋_GB2312" w:eastAsia="仿宋_GB2312"/>
                <w:sz w:val="21"/>
              </w:rPr>
              <w:t>期满完成数据销毁承诺；</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备份文件留存医院本地服务器，供方无</w:t>
            </w:r>
            <w:r>
              <w:rPr>
                <w:rFonts w:ascii="仿宋_GB2312" w:hAnsi="仿宋_GB2312" w:cs="仿宋_GB2312" w:eastAsia="仿宋_GB2312"/>
                <w:sz w:val="21"/>
              </w:rPr>
              <w:t>权私自导出、外传医疗隐私数据；</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所有运维操作、远程登录必须经院方信息科授权，全程留痕审计日志，院方可随时查阅。</w:t>
            </w:r>
          </w:p>
          <w:p>
            <w:pPr>
              <w:pStyle w:val="null3"/>
              <w:ind w:firstLine="312"/>
              <w:jc w:val="both"/>
            </w:pPr>
            <w:r>
              <w:rPr>
                <w:rFonts w:ascii="仿宋_GB2312" w:hAnsi="仿宋_GB2312" w:cs="仿宋_GB2312" w:eastAsia="仿宋_GB2312"/>
                <w:sz w:val="21"/>
                <w:b/>
              </w:rPr>
              <w:t>（二）技术支持与维护服务</w:t>
            </w:r>
          </w:p>
          <w:p>
            <w:pPr>
              <w:pStyle w:val="null3"/>
              <w:ind w:firstLine="310"/>
              <w:jc w:val="both"/>
            </w:pPr>
            <w:r>
              <w:rPr>
                <w:rFonts w:ascii="仿宋_GB2312" w:hAnsi="仿宋_GB2312" w:cs="仿宋_GB2312" w:eastAsia="仿宋_GB2312"/>
                <w:sz w:val="21"/>
              </w:rPr>
              <w:t>1、在项目的实施过程中提供以下软件支持的服务：</w:t>
            </w:r>
          </w:p>
          <w:p>
            <w:pPr>
              <w:pStyle w:val="null3"/>
              <w:ind w:firstLine="310"/>
              <w:jc w:val="both"/>
            </w:pPr>
            <w:r>
              <w:rPr>
                <w:rFonts w:ascii="仿宋_GB2312" w:hAnsi="仿宋_GB2312" w:cs="仿宋_GB2312" w:eastAsia="仿宋_GB2312"/>
                <w:sz w:val="21"/>
              </w:rPr>
              <w:t>（1）对影响到应用系统平稳作业的问题解答与分析，并提出解决方案；</w:t>
            </w:r>
          </w:p>
          <w:p>
            <w:pPr>
              <w:pStyle w:val="null3"/>
              <w:ind w:firstLine="310"/>
              <w:jc w:val="both"/>
            </w:pPr>
            <w:r>
              <w:rPr>
                <w:rFonts w:ascii="仿宋_GB2312" w:hAnsi="仿宋_GB2312" w:cs="仿宋_GB2312" w:eastAsia="仿宋_GB2312"/>
                <w:sz w:val="21"/>
              </w:rPr>
              <w:t>（2）数据库的管理；</w:t>
            </w:r>
          </w:p>
          <w:p>
            <w:pPr>
              <w:pStyle w:val="null3"/>
              <w:ind w:firstLine="310"/>
              <w:jc w:val="both"/>
            </w:pPr>
            <w:r>
              <w:rPr>
                <w:rFonts w:ascii="仿宋_GB2312" w:hAnsi="仿宋_GB2312" w:cs="仿宋_GB2312" w:eastAsia="仿宋_GB2312"/>
                <w:sz w:val="21"/>
              </w:rPr>
              <w:t>（3）定期进行程序错误的修改、维护、实施；</w:t>
            </w:r>
          </w:p>
          <w:p>
            <w:pPr>
              <w:pStyle w:val="null3"/>
              <w:ind w:firstLine="310"/>
              <w:jc w:val="both"/>
            </w:pPr>
            <w:r>
              <w:rPr>
                <w:rFonts w:ascii="仿宋_GB2312" w:hAnsi="仿宋_GB2312" w:cs="仿宋_GB2312" w:eastAsia="仿宋_GB2312"/>
                <w:sz w:val="21"/>
              </w:rPr>
              <w:t>（4）对所有的维护活动进行记录，并形成规范的文档，例如记录时间、地点、原因等，最后还要注明完成的时间和人员；</w:t>
            </w:r>
          </w:p>
          <w:p>
            <w:pPr>
              <w:pStyle w:val="null3"/>
              <w:ind w:firstLine="310"/>
              <w:jc w:val="both"/>
            </w:pPr>
            <w:r>
              <w:rPr>
                <w:rFonts w:ascii="仿宋_GB2312" w:hAnsi="仿宋_GB2312" w:cs="仿宋_GB2312" w:eastAsia="仿宋_GB2312"/>
                <w:sz w:val="21"/>
              </w:rPr>
              <w:t>（5）提供7×24小时的现场维护和故障解决；</w:t>
            </w:r>
          </w:p>
          <w:p>
            <w:pPr>
              <w:pStyle w:val="null3"/>
              <w:ind w:firstLine="310"/>
              <w:jc w:val="both"/>
            </w:pPr>
            <w:r>
              <w:rPr>
                <w:rFonts w:ascii="仿宋_GB2312" w:hAnsi="仿宋_GB2312" w:cs="仿宋_GB2312" w:eastAsia="仿宋_GB2312"/>
                <w:sz w:val="21"/>
              </w:rPr>
              <w:t>2、提供系统维护服务，维护服务包含但不局限与以下几点：</w:t>
            </w:r>
          </w:p>
          <w:p>
            <w:pPr>
              <w:pStyle w:val="null3"/>
              <w:ind w:firstLine="310"/>
              <w:jc w:val="both"/>
            </w:pPr>
            <w:r>
              <w:rPr>
                <w:rFonts w:ascii="仿宋_GB2312" w:hAnsi="仿宋_GB2312" w:cs="仿宋_GB2312" w:eastAsia="仿宋_GB2312"/>
                <w:sz w:val="21"/>
              </w:rPr>
              <w:t>（1）管理、维护、软硬件的技术以及其他系统的接口；</w:t>
            </w:r>
          </w:p>
          <w:p>
            <w:pPr>
              <w:pStyle w:val="null3"/>
              <w:ind w:firstLine="310"/>
              <w:jc w:val="both"/>
            </w:pPr>
            <w:r>
              <w:rPr>
                <w:rFonts w:ascii="仿宋_GB2312" w:hAnsi="仿宋_GB2312" w:cs="仿宋_GB2312" w:eastAsia="仿宋_GB2312"/>
                <w:sz w:val="21"/>
              </w:rPr>
              <w:t>（2）修正应用软件的错误；</w:t>
            </w:r>
          </w:p>
          <w:p>
            <w:pPr>
              <w:pStyle w:val="null3"/>
              <w:ind w:firstLine="310"/>
              <w:jc w:val="both"/>
            </w:pPr>
            <w:r>
              <w:rPr>
                <w:rFonts w:ascii="仿宋_GB2312" w:hAnsi="仿宋_GB2312" w:cs="仿宋_GB2312" w:eastAsia="仿宋_GB2312"/>
                <w:sz w:val="21"/>
              </w:rPr>
              <w:t>（3）问题解答、问题分析、与其他合作方的协作；</w:t>
            </w:r>
          </w:p>
          <w:p>
            <w:pPr>
              <w:pStyle w:val="null3"/>
              <w:ind w:firstLine="310"/>
              <w:jc w:val="both"/>
            </w:pPr>
            <w:r>
              <w:rPr>
                <w:rFonts w:ascii="仿宋_GB2312" w:hAnsi="仿宋_GB2312" w:cs="仿宋_GB2312" w:eastAsia="仿宋_GB2312"/>
                <w:sz w:val="21"/>
              </w:rPr>
              <w:t>（4）协助解决硬件和网络的故障；</w:t>
            </w:r>
          </w:p>
          <w:p>
            <w:pPr>
              <w:pStyle w:val="null3"/>
              <w:ind w:firstLine="310"/>
              <w:jc w:val="both"/>
            </w:pPr>
            <w:r>
              <w:rPr>
                <w:rFonts w:ascii="仿宋_GB2312" w:hAnsi="仿宋_GB2312" w:cs="仿宋_GB2312" w:eastAsia="仿宋_GB2312"/>
                <w:sz w:val="21"/>
              </w:rPr>
              <w:t>（5）维护和执行的服务必须满足系统的操作；</w:t>
            </w:r>
          </w:p>
          <w:p>
            <w:pPr>
              <w:pStyle w:val="null3"/>
              <w:ind w:firstLine="310"/>
              <w:jc w:val="both"/>
            </w:pPr>
            <w:r>
              <w:rPr>
                <w:rFonts w:ascii="仿宋_GB2312" w:hAnsi="仿宋_GB2312" w:cs="仿宋_GB2312" w:eastAsia="仿宋_GB2312"/>
                <w:sz w:val="21"/>
              </w:rPr>
              <w:t>（6）数据库的管理和性能调优必须达到规定标准；</w:t>
            </w:r>
          </w:p>
          <w:p>
            <w:pPr>
              <w:pStyle w:val="null3"/>
              <w:ind w:firstLine="310"/>
              <w:jc w:val="both"/>
            </w:pPr>
            <w:r>
              <w:rPr>
                <w:rFonts w:ascii="仿宋_GB2312" w:hAnsi="仿宋_GB2312" w:cs="仿宋_GB2312" w:eastAsia="仿宋_GB2312"/>
                <w:sz w:val="21"/>
              </w:rPr>
              <w:t>（7）对本院系统的每一次改变或是升级都必须对需求进行检查；</w:t>
            </w:r>
          </w:p>
          <w:p>
            <w:pPr>
              <w:pStyle w:val="null3"/>
              <w:ind w:firstLine="310"/>
              <w:jc w:val="both"/>
            </w:pPr>
            <w:r>
              <w:rPr>
                <w:rFonts w:ascii="仿宋_GB2312" w:hAnsi="仿宋_GB2312" w:cs="仿宋_GB2312" w:eastAsia="仿宋_GB2312"/>
                <w:sz w:val="21"/>
              </w:rPr>
              <w:t>（8）依据系统运行提出的修改建议，供应商也有责任和义务完成对所提出的建议进行系统改造；</w:t>
            </w:r>
          </w:p>
          <w:p>
            <w:pPr>
              <w:pStyle w:val="null3"/>
              <w:ind w:firstLine="312"/>
              <w:jc w:val="both"/>
            </w:pP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服务</w:t>
            </w:r>
            <w:r>
              <w:rPr>
                <w:rFonts w:ascii="仿宋_GB2312" w:hAnsi="仿宋_GB2312" w:cs="仿宋_GB2312" w:eastAsia="仿宋_GB2312"/>
                <w:sz w:val="21"/>
                <w:b/>
              </w:rPr>
              <w:t>全周期服务要求</w:t>
            </w:r>
          </w:p>
          <w:p>
            <w:pPr>
              <w:pStyle w:val="null3"/>
              <w:ind w:firstLine="422"/>
            </w:pPr>
            <w:r>
              <w:rPr>
                <w:rFonts w:ascii="仿宋_GB2312" w:hAnsi="仿宋_GB2312" w:cs="仿宋_GB2312" w:eastAsia="仿宋_GB2312"/>
                <w:sz w:val="21"/>
                <w:b/>
                <w:color w:val="000000"/>
              </w:rPr>
              <w:t xml:space="preserve">1. </w:t>
            </w:r>
            <w:r>
              <w:rPr>
                <w:rFonts w:ascii="仿宋_GB2312" w:hAnsi="仿宋_GB2312" w:cs="仿宋_GB2312" w:eastAsia="仿宋_GB2312"/>
                <w:sz w:val="21"/>
                <w:b/>
                <w:color w:val="000000"/>
              </w:rPr>
              <w:t>服务</w:t>
            </w:r>
            <w:r>
              <w:rPr>
                <w:rFonts w:ascii="仿宋_GB2312" w:hAnsi="仿宋_GB2312" w:cs="仿宋_GB2312" w:eastAsia="仿宋_GB2312"/>
                <w:sz w:val="21"/>
                <w:b/>
                <w:color w:val="000000"/>
              </w:rPr>
              <w:t>期系统版本与功能服务</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）服务有效期内，提供永</w:t>
            </w:r>
            <w:r>
              <w:rPr>
                <w:rFonts w:ascii="仿宋_GB2312" w:hAnsi="仿宋_GB2312" w:cs="仿宋_GB2312" w:eastAsia="仿宋_GB2312"/>
                <w:sz w:val="21"/>
                <w:color w:val="000000"/>
              </w:rPr>
              <w:t>久免费版本迭代、新增标准护理功能模块升级，不得额外收取升级、接口调试、需求微调费用；</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）医院因临床流程、院内 HIS/LIS 系统改版产生的对接适配工作，由供应商免费实施，不限调试次数；</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）系统权限按需增减：病区新增 / 缩减护士账号、调整角色权限、新增护理模板（评估单、交班模板、打印模板）全部免费配置；</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服务期</w:t>
            </w:r>
            <w:r>
              <w:rPr>
                <w:rFonts w:ascii="仿宋_GB2312" w:hAnsi="仿宋_GB2312" w:cs="仿宋_GB2312" w:eastAsia="仿宋_GB2312"/>
                <w:sz w:val="21"/>
                <w:color w:val="000000"/>
              </w:rPr>
              <w:t>到期前 30 天，提供完整系统数据导出工具，支持患者护理记录、巡视、医嘱执行、交班台账全量本地导出，保障数据归属医院。</w:t>
            </w:r>
          </w:p>
          <w:p>
            <w:pPr>
              <w:pStyle w:val="null3"/>
              <w:ind w:firstLine="422"/>
            </w:pPr>
            <w:r>
              <w:rPr>
                <w:rFonts w:ascii="仿宋_GB2312" w:hAnsi="仿宋_GB2312" w:cs="仿宋_GB2312" w:eastAsia="仿宋_GB2312"/>
                <w:sz w:val="21"/>
                <w:b/>
                <w:color w:val="000000"/>
              </w:rPr>
              <w:t>2. 配套服务</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服务</w:t>
            </w:r>
            <w:r>
              <w:rPr>
                <w:rFonts w:ascii="仿宋_GB2312" w:hAnsi="仿宋_GB2312" w:cs="仿宋_GB2312" w:eastAsia="仿宋_GB2312"/>
                <w:sz w:val="21"/>
                <w:color w:val="000000"/>
              </w:rPr>
              <w:t>期内所有硬件免</w:t>
            </w:r>
            <w:r>
              <w:rPr>
                <w:rFonts w:ascii="仿宋_GB2312" w:hAnsi="仿宋_GB2312" w:cs="仿宋_GB2312" w:eastAsia="仿宋_GB2312"/>
                <w:sz w:val="21"/>
                <w:color w:val="000000"/>
              </w:rPr>
              <w:t>费维修、免费更换配件（电池、屏幕、充电配件、麦克风、摄像头等损耗件）；</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）手持终端故障</w:t>
            </w:r>
            <w:r>
              <w:rPr>
                <w:rFonts w:ascii="仿宋_GB2312" w:hAnsi="仿宋_GB2312" w:cs="仿宋_GB2312" w:eastAsia="仿宋_GB2312"/>
                <w:sz w:val="21"/>
                <w:color w:val="000000"/>
              </w:rPr>
              <w:t>1</w:t>
            </w:r>
            <w:r>
              <w:rPr>
                <w:rFonts w:ascii="仿宋_GB2312" w:hAnsi="仿宋_GB2312" w:cs="仿宋_GB2312" w:eastAsia="仿宋_GB2312"/>
                <w:sz w:val="21"/>
                <w:color w:val="000000"/>
              </w:rPr>
              <w:t>小时内到场，无法现场修复的，</w:t>
            </w:r>
            <w:r>
              <w:rPr>
                <w:rFonts w:ascii="仿宋_GB2312" w:hAnsi="仿宋_GB2312" w:cs="仿宋_GB2312" w:eastAsia="仿宋_GB2312"/>
                <w:sz w:val="21"/>
                <w:color w:val="000000"/>
              </w:rPr>
              <w:t>12</w:t>
            </w:r>
            <w:r>
              <w:rPr>
                <w:rFonts w:ascii="仿宋_GB2312" w:hAnsi="仿宋_GB2312" w:cs="仿宋_GB2312" w:eastAsia="仿宋_GB2312"/>
                <w:sz w:val="21"/>
                <w:color w:val="000000"/>
              </w:rPr>
              <w:t>小时内提供备用机替换，不影响临床护理作业；护理大屏故障，</w:t>
            </w:r>
            <w:r>
              <w:rPr>
                <w:rFonts w:ascii="仿宋_GB2312" w:hAnsi="仿宋_GB2312" w:cs="仿宋_GB2312" w:eastAsia="仿宋_GB2312"/>
                <w:sz w:val="21"/>
                <w:color w:val="000000"/>
              </w:rPr>
              <w:t>1</w:t>
            </w:r>
            <w:r>
              <w:rPr>
                <w:rFonts w:ascii="仿宋_GB2312" w:hAnsi="仿宋_GB2312" w:cs="仿宋_GB2312" w:eastAsia="仿宋_GB2312"/>
                <w:sz w:val="21"/>
                <w:color w:val="000000"/>
              </w:rPr>
              <w:t>小时内到场维修，重大故障</w:t>
            </w:r>
            <w:r>
              <w:rPr>
                <w:rFonts w:ascii="仿宋_GB2312" w:hAnsi="仿宋_GB2312" w:cs="仿宋_GB2312" w:eastAsia="仿宋_GB2312"/>
                <w:sz w:val="21"/>
                <w:color w:val="000000"/>
              </w:rPr>
              <w:t>24</w:t>
            </w:r>
            <w:r>
              <w:rPr>
                <w:rFonts w:ascii="仿宋_GB2312" w:hAnsi="仿宋_GB2312" w:cs="仿宋_GB2312" w:eastAsia="仿宋_GB2312"/>
                <w:sz w:val="21"/>
                <w:color w:val="000000"/>
              </w:rPr>
              <w:t>小时内提供临时替换大屏；</w:t>
            </w:r>
          </w:p>
          <w:p>
            <w:pPr>
              <w:pStyle w:val="null3"/>
              <w:ind w:firstLine="422"/>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3</w:t>
            </w:r>
            <w:r>
              <w:rPr>
                <w:rFonts w:ascii="仿宋_GB2312" w:hAnsi="仿宋_GB2312" w:cs="仿宋_GB2312" w:eastAsia="仿宋_GB2312"/>
                <w:sz w:val="21"/>
                <w:b/>
                <w:color w:val="000000"/>
              </w:rPr>
              <w:t>）定期巡检：</w:t>
            </w:r>
            <w:r>
              <w:rPr>
                <w:rFonts w:ascii="仿宋_GB2312" w:hAnsi="仿宋_GB2312" w:cs="仿宋_GB2312" w:eastAsia="仿宋_GB2312"/>
                <w:sz w:val="21"/>
                <w:color w:val="000000"/>
              </w:rPr>
              <w:t>每季度上门 1 次软硬件全面巡检，清理系统缓存、检测终端电池、校准大屏触摸、核查网络连通性，出具纸质巡检报告交院方存档；</w:t>
            </w:r>
          </w:p>
          <w:p>
            <w:pPr>
              <w:pStyle w:val="null3"/>
              <w:ind w:firstLine="422"/>
            </w:pPr>
            <w:r>
              <w:rPr>
                <w:rFonts w:ascii="仿宋_GB2312" w:hAnsi="仿宋_GB2312" w:cs="仿宋_GB2312" w:eastAsia="仿宋_GB2312"/>
                <w:sz w:val="21"/>
                <w:b/>
                <w:color w:val="000000"/>
              </w:rPr>
              <w:t>3. 培训服务</w:t>
            </w:r>
          </w:p>
          <w:p>
            <w:pPr>
              <w:pStyle w:val="null3"/>
              <w:ind w:firstLine="422"/>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上线实施培训：全覆盖护士长、责任护士、信息科，分病区分批实操教学，确保全员独立操作；</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）常态化复训：每年不少于</w:t>
            </w:r>
            <w:r>
              <w:rPr>
                <w:rFonts w:ascii="仿宋_GB2312" w:hAnsi="仿宋_GB2312" w:cs="仿宋_GB2312" w:eastAsia="仿宋_GB2312"/>
                <w:sz w:val="21"/>
                <w:color w:val="000000"/>
              </w:rPr>
              <w:t xml:space="preserve"> 2 次全院集中复训；病区人员轮岗、新护士入职，供方免费上门一对一培训；</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）专项培训：系统升级、新增功能上线后，2 个工作日内组织专项操作培训。</w:t>
            </w:r>
          </w:p>
          <w:p>
            <w:pPr>
              <w:pStyle w:val="null3"/>
              <w:ind w:firstLine="422"/>
            </w:pPr>
            <w:r>
              <w:rPr>
                <w:rFonts w:ascii="仿宋_GB2312" w:hAnsi="仿宋_GB2312" w:cs="仿宋_GB2312" w:eastAsia="仿宋_GB2312"/>
                <w:sz w:val="21"/>
                <w:b/>
                <w:color w:val="000000"/>
              </w:rPr>
              <w:t>4. 网络配套</w:t>
            </w:r>
            <w:r>
              <w:rPr>
                <w:rFonts w:ascii="仿宋_GB2312" w:hAnsi="仿宋_GB2312" w:cs="仿宋_GB2312" w:eastAsia="仿宋_GB2312"/>
                <w:sz w:val="21"/>
                <w:b/>
                <w:color w:val="000000"/>
              </w:rPr>
              <w:t>要求</w:t>
            </w:r>
          </w:p>
          <w:p>
            <w:pPr>
              <w:pStyle w:val="null3"/>
              <w:ind w:firstLine="420"/>
            </w:pPr>
            <w:r>
              <w:rPr>
                <w:rFonts w:ascii="仿宋_GB2312" w:hAnsi="仿宋_GB2312" w:cs="仿宋_GB2312" w:eastAsia="仿宋_GB2312"/>
                <w:sz w:val="21"/>
                <w:color w:val="000000"/>
              </w:rPr>
              <w:t>三年 5G 流量、10M 有线专线全程保障不间断，若出现断网、限速，供方</w:t>
            </w:r>
            <w:r>
              <w:rPr>
                <w:rFonts w:ascii="仿宋_GB2312" w:hAnsi="仿宋_GB2312" w:cs="仿宋_GB2312" w:eastAsia="仿宋_GB2312"/>
                <w:sz w:val="21"/>
                <w:color w:val="000000"/>
              </w:rPr>
              <w:t>4</w:t>
            </w:r>
            <w:r>
              <w:rPr>
                <w:rFonts w:ascii="仿宋_GB2312" w:hAnsi="仿宋_GB2312" w:cs="仿宋_GB2312" w:eastAsia="仿宋_GB2312"/>
                <w:sz w:val="21"/>
                <w:color w:val="000000"/>
              </w:rPr>
              <w:t>小时内排查修复；产生的流量超额、专线续费全部由供方承担；</w:t>
            </w:r>
          </w:p>
          <w:p>
            <w:pPr>
              <w:pStyle w:val="null3"/>
              <w:ind w:firstLine="420"/>
            </w:pPr>
            <w:r>
              <w:rPr>
                <w:rFonts w:ascii="仿宋_GB2312" w:hAnsi="仿宋_GB2312" w:cs="仿宋_GB2312" w:eastAsia="仿宋_GB2312"/>
                <w:sz w:val="21"/>
                <w:color w:val="000000"/>
              </w:rPr>
              <w:t>服务</w:t>
            </w:r>
            <w:r>
              <w:rPr>
                <w:rFonts w:ascii="仿宋_GB2312" w:hAnsi="仿宋_GB2312" w:cs="仿宋_GB2312" w:eastAsia="仿宋_GB2312"/>
                <w:sz w:val="21"/>
                <w:color w:val="000000"/>
              </w:rPr>
              <w:t>期内因医院</w:t>
            </w:r>
            <w:r>
              <w:rPr>
                <w:rFonts w:ascii="仿宋_GB2312" w:hAnsi="仿宋_GB2312" w:cs="仿宋_GB2312" w:eastAsia="仿宋_GB2312"/>
                <w:sz w:val="21"/>
                <w:color w:val="000000"/>
              </w:rPr>
              <w:t>病区调整，供方免费配合完成手持终端网络配置、大屏专线点位迁移。</w:t>
            </w:r>
          </w:p>
          <w:p>
            <w:pPr>
              <w:pStyle w:val="null3"/>
              <w:ind w:firstLine="312"/>
              <w:jc w:val="both"/>
            </w:pPr>
            <w:r>
              <w:rPr>
                <w:rFonts w:ascii="仿宋_GB2312" w:hAnsi="仿宋_GB2312" w:cs="仿宋_GB2312" w:eastAsia="仿宋_GB2312"/>
                <w:sz w:val="21"/>
                <w:b/>
              </w:rPr>
              <w:t>（</w:t>
            </w:r>
            <w:r>
              <w:rPr>
                <w:rFonts w:ascii="仿宋_GB2312" w:hAnsi="仿宋_GB2312" w:cs="仿宋_GB2312" w:eastAsia="仿宋_GB2312"/>
                <w:sz w:val="21"/>
                <w:b/>
              </w:rPr>
              <w:t>五</w:t>
            </w:r>
            <w:r>
              <w:rPr>
                <w:rFonts w:ascii="仿宋_GB2312" w:hAnsi="仿宋_GB2312" w:cs="仿宋_GB2312" w:eastAsia="仿宋_GB2312"/>
                <w:sz w:val="21"/>
                <w:b/>
              </w:rPr>
              <w:t>）</w:t>
            </w:r>
            <w:r>
              <w:rPr>
                <w:rFonts w:ascii="仿宋_GB2312" w:hAnsi="仿宋_GB2312" w:cs="仿宋_GB2312" w:eastAsia="仿宋_GB2312"/>
                <w:sz w:val="21"/>
                <w:b/>
              </w:rPr>
              <w:t>对供应商技术人员要求</w:t>
            </w:r>
          </w:p>
          <w:p>
            <w:pPr>
              <w:pStyle w:val="null3"/>
              <w:ind w:firstLine="312"/>
              <w:jc w:val="both"/>
            </w:pPr>
            <w:r>
              <w:rPr>
                <w:rFonts w:ascii="仿宋_GB2312" w:hAnsi="仿宋_GB2312" w:cs="仿宋_GB2312" w:eastAsia="仿宋_GB2312"/>
                <w:sz w:val="21"/>
                <w:b/>
              </w:rPr>
              <w:t>1. 项目人员配置要求</w:t>
            </w:r>
          </w:p>
          <w:p>
            <w:pPr>
              <w:pStyle w:val="null3"/>
              <w:ind w:firstLine="31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合同签订后7个工作日内，固定配备</w:t>
            </w:r>
            <w:r>
              <w:rPr>
                <w:rFonts w:ascii="仿宋_GB2312" w:hAnsi="仿宋_GB2312" w:cs="仿宋_GB2312" w:eastAsia="仿宋_GB2312"/>
                <w:sz w:val="21"/>
              </w:rPr>
              <w:t>1</w:t>
            </w:r>
            <w:r>
              <w:rPr>
                <w:rFonts w:ascii="仿宋_GB2312" w:hAnsi="仿宋_GB2312" w:cs="仿宋_GB2312" w:eastAsia="仿宋_GB2312"/>
                <w:sz w:val="21"/>
              </w:rPr>
              <w:t>名专职技术工程师，负责两套系统日常问题处理、病区巡检、护士培训；</w:t>
            </w:r>
          </w:p>
          <w:p>
            <w:pPr>
              <w:pStyle w:val="null3"/>
              <w:ind w:firstLine="31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配备1名后台开发对接工程师，专职负责 HIS/LIS 接口适配、系统功能调整，响应时限≤24 小时；</w:t>
            </w:r>
          </w:p>
          <w:p>
            <w:pPr>
              <w:pStyle w:val="null3"/>
              <w:ind w:firstLine="31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项目负责人1名，统筹实施、巡检、售后、培训工作。</w:t>
            </w:r>
          </w:p>
          <w:p>
            <w:pPr>
              <w:pStyle w:val="null3"/>
              <w:ind w:firstLine="312"/>
              <w:jc w:val="both"/>
            </w:pPr>
            <w:r>
              <w:rPr>
                <w:rFonts w:ascii="仿宋_GB2312" w:hAnsi="仿宋_GB2312" w:cs="仿宋_GB2312" w:eastAsia="仿宋_GB2312"/>
                <w:sz w:val="21"/>
                <w:b/>
              </w:rPr>
              <w:t>2. 人员</w:t>
            </w:r>
            <w:r>
              <w:rPr>
                <w:rFonts w:ascii="仿宋_GB2312" w:hAnsi="仿宋_GB2312" w:cs="仿宋_GB2312" w:eastAsia="仿宋_GB2312"/>
                <w:sz w:val="21"/>
                <w:b/>
              </w:rPr>
              <w:t>技术能力</w:t>
            </w:r>
            <w:r>
              <w:rPr>
                <w:rFonts w:ascii="仿宋_GB2312" w:hAnsi="仿宋_GB2312" w:cs="仿宋_GB2312" w:eastAsia="仿宋_GB2312"/>
                <w:sz w:val="21"/>
                <w:b/>
              </w:rPr>
              <w:t>要求</w:t>
            </w:r>
          </w:p>
          <w:p>
            <w:pPr>
              <w:pStyle w:val="null3"/>
              <w:ind w:firstLine="31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专职技术工程师：具备医疗护理信息化项目实施经验，熟悉移动护理、智慧大屏系统，能独立处理终端硬件故障、软件报错、网络调试；</w:t>
            </w:r>
          </w:p>
          <w:p>
            <w:pPr>
              <w:pStyle w:val="null3"/>
              <w:ind w:firstLine="31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对接开发人员：具备医院多系统集成开发经验，熟悉 HIS、电子病历数据库对接规范；</w:t>
            </w:r>
          </w:p>
          <w:p>
            <w:pPr>
              <w:pStyle w:val="null3"/>
              <w:ind w:firstLine="31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所有进场人员</w:t>
            </w:r>
            <w:r>
              <w:rPr>
                <w:rFonts w:ascii="仿宋_GB2312" w:hAnsi="仿宋_GB2312" w:cs="仿宋_GB2312" w:eastAsia="仿宋_GB2312"/>
                <w:sz w:val="21"/>
              </w:rPr>
              <w:t>须</w:t>
            </w:r>
            <w:r>
              <w:rPr>
                <w:rFonts w:ascii="仿宋_GB2312" w:hAnsi="仿宋_GB2312" w:cs="仿宋_GB2312" w:eastAsia="仿宋_GB2312"/>
                <w:sz w:val="21"/>
              </w:rPr>
              <w:t>签订保密承诺书，方可进入病区、信息机房；</w:t>
            </w:r>
          </w:p>
          <w:p>
            <w:pPr>
              <w:pStyle w:val="null3"/>
              <w:ind w:firstLine="31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人员更换：若需调换</w:t>
            </w:r>
            <w:r>
              <w:rPr>
                <w:rFonts w:ascii="仿宋_GB2312" w:hAnsi="仿宋_GB2312" w:cs="仿宋_GB2312" w:eastAsia="仿宋_GB2312"/>
                <w:sz w:val="21"/>
              </w:rPr>
              <w:t>技术</w:t>
            </w:r>
            <w:r>
              <w:rPr>
                <w:rFonts w:ascii="仿宋_GB2312" w:hAnsi="仿宋_GB2312" w:cs="仿宋_GB2312" w:eastAsia="仿宋_GB2312"/>
                <w:sz w:val="21"/>
              </w:rPr>
              <w:t>工程师，须提前 7 天书面告知医院，经院方考核同意后方可更换，新旧人员完成完整工作交接，不得出现空档期。</w:t>
            </w:r>
          </w:p>
          <w:p>
            <w:pPr>
              <w:pStyle w:val="null3"/>
              <w:ind w:firstLine="312"/>
              <w:jc w:val="both"/>
            </w:pPr>
            <w:r>
              <w:rPr>
                <w:rFonts w:ascii="仿宋_GB2312" w:hAnsi="仿宋_GB2312" w:cs="仿宋_GB2312" w:eastAsia="仿宋_GB2312"/>
                <w:sz w:val="21"/>
                <w:b/>
              </w:rPr>
              <w:t>3. 人员考核</w:t>
            </w:r>
            <w:r>
              <w:rPr>
                <w:rFonts w:ascii="仿宋_GB2312" w:hAnsi="仿宋_GB2312" w:cs="仿宋_GB2312" w:eastAsia="仿宋_GB2312"/>
                <w:sz w:val="21"/>
              </w:rPr>
              <w:t>：每月医院对驻场人员服务态度、故障处理效率、培训完成情况进行评价，连续两次评价不合格，供方3日内完成人员替换。</w:t>
            </w:r>
          </w:p>
          <w:p>
            <w:pPr>
              <w:pStyle w:val="null3"/>
              <w:ind w:firstLine="312"/>
              <w:jc w:val="both"/>
            </w:pPr>
            <w:r>
              <w:rPr>
                <w:rFonts w:ascii="仿宋_GB2312" w:hAnsi="仿宋_GB2312" w:cs="仿宋_GB2312" w:eastAsia="仿宋_GB2312"/>
                <w:sz w:val="21"/>
                <w:b/>
              </w:rPr>
              <w:t>4. 人员服务行为规范</w:t>
            </w:r>
          </w:p>
          <w:p>
            <w:pPr>
              <w:pStyle w:val="null3"/>
              <w:ind w:firstLine="31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进入病区需遵守医院院感、护理管理规定，穿戴工作服、口罩，不随意触碰医疗设备、患者私人物品；</w:t>
            </w:r>
          </w:p>
          <w:p>
            <w:pPr>
              <w:pStyle w:val="null3"/>
              <w:ind w:firstLine="31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不得向医护推销其他软硬件产品，不泄露医院内部业务、患者隐私；</w:t>
            </w:r>
          </w:p>
          <w:p>
            <w:pPr>
              <w:pStyle w:val="null3"/>
              <w:ind w:firstLine="31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所有与临床科室沟通、故障处理、培训工作，做好书面记录。</w:t>
            </w:r>
          </w:p>
          <w:p>
            <w:pPr>
              <w:pStyle w:val="null3"/>
              <w:numPr>
                <w:ilvl w:val="0"/>
                <w:numId w:val="2"/>
              </w:numPr>
              <w:jc w:val="center"/>
            </w:pPr>
            <w:r>
              <w:rPr>
                <w:rFonts w:ascii="仿宋_GB2312" w:hAnsi="仿宋_GB2312" w:cs="仿宋_GB2312" w:eastAsia="仿宋_GB2312"/>
                <w:sz w:val="24"/>
                <w:b/>
              </w:rPr>
              <w:t>商务要求</w:t>
            </w:r>
          </w:p>
          <w:p>
            <w:pPr>
              <w:pStyle w:val="null3"/>
              <w:ind w:firstLine="310"/>
              <w:jc w:val="both"/>
            </w:pPr>
            <w:r>
              <w:rPr>
                <w:rFonts w:ascii="仿宋_GB2312" w:hAnsi="仿宋_GB2312" w:cs="仿宋_GB2312" w:eastAsia="仿宋_GB2312"/>
                <w:sz w:val="21"/>
              </w:rPr>
              <w:t>1、交付地点：</w:t>
            </w:r>
            <w:r>
              <w:rPr>
                <w:rFonts w:ascii="仿宋_GB2312" w:hAnsi="仿宋_GB2312" w:cs="仿宋_GB2312" w:eastAsia="仿宋_GB2312"/>
                <w:sz w:val="21"/>
              </w:rPr>
              <w:t>富平县妇女儿童医院，</w:t>
            </w:r>
            <w:r>
              <w:rPr>
                <w:rFonts w:ascii="仿宋_GB2312" w:hAnsi="仿宋_GB2312" w:cs="仿宋_GB2312" w:eastAsia="仿宋_GB2312"/>
                <w:sz w:val="21"/>
              </w:rPr>
              <w:t>采购人指定地点。</w:t>
            </w:r>
          </w:p>
          <w:p>
            <w:pPr>
              <w:pStyle w:val="null3"/>
              <w:ind w:firstLine="310"/>
              <w:jc w:val="both"/>
            </w:pPr>
            <w:r>
              <w:rPr>
                <w:rFonts w:ascii="仿宋_GB2312" w:hAnsi="仿宋_GB2312" w:cs="仿宋_GB2312" w:eastAsia="仿宋_GB2312"/>
                <w:sz w:val="21"/>
              </w:rPr>
              <w:t>2、交付期：自合同签订后10个日历日内完成所有系统的上线运行，保证系统与HIS、LIS、电子病历等相关应用接口的连接顺畅。</w:t>
            </w:r>
          </w:p>
          <w:p>
            <w:pPr>
              <w:pStyle w:val="null3"/>
              <w:ind w:firstLine="310"/>
              <w:jc w:val="both"/>
            </w:pPr>
            <w:r>
              <w:rPr>
                <w:rFonts w:ascii="仿宋_GB2312" w:hAnsi="仿宋_GB2312" w:cs="仿宋_GB2312" w:eastAsia="仿宋_GB2312"/>
                <w:sz w:val="21"/>
              </w:rPr>
              <w:t>3.</w:t>
            </w:r>
            <w:r>
              <w:rPr>
                <w:rFonts w:ascii="仿宋_GB2312" w:hAnsi="仿宋_GB2312" w:cs="仿宋_GB2312" w:eastAsia="仿宋_GB2312"/>
                <w:sz w:val="21"/>
              </w:rPr>
              <w:t>服务</w:t>
            </w:r>
            <w:r>
              <w:rPr>
                <w:rFonts w:ascii="仿宋_GB2312" w:hAnsi="仿宋_GB2312" w:cs="仿宋_GB2312" w:eastAsia="仿宋_GB2312"/>
                <w:sz w:val="21"/>
              </w:rPr>
              <w:t>期：3年</w:t>
            </w:r>
          </w:p>
          <w:p>
            <w:pPr>
              <w:pStyle w:val="null3"/>
              <w:ind w:firstLine="310"/>
              <w:jc w:val="both"/>
            </w:pPr>
            <w:r>
              <w:rPr>
                <w:rFonts w:ascii="仿宋_GB2312" w:hAnsi="仿宋_GB2312" w:cs="仿宋_GB2312" w:eastAsia="仿宋_GB2312"/>
                <w:sz w:val="21"/>
              </w:rPr>
              <w:t>设备出现问题及时维修或更换，若设备未能及时维修或更换的，需要及时更换成备用机，需要返回厂家或者存在质量问题，在</w:t>
            </w:r>
            <w:r>
              <w:rPr>
                <w:rFonts w:ascii="仿宋_GB2312" w:hAnsi="仿宋_GB2312" w:cs="仿宋_GB2312" w:eastAsia="仿宋_GB2312"/>
                <w:sz w:val="21"/>
              </w:rPr>
              <w:t>服务</w:t>
            </w:r>
            <w:r>
              <w:rPr>
                <w:rFonts w:ascii="仿宋_GB2312" w:hAnsi="仿宋_GB2312" w:cs="仿宋_GB2312" w:eastAsia="仿宋_GB2312"/>
                <w:sz w:val="21"/>
              </w:rPr>
              <w:t>期内更换，保证临床使用，若未能及时维修或更换产品所造成的所有责任</w:t>
            </w:r>
            <w:r>
              <w:rPr>
                <w:rFonts w:ascii="仿宋_GB2312" w:hAnsi="仿宋_GB2312" w:cs="仿宋_GB2312" w:eastAsia="仿宋_GB2312"/>
                <w:sz w:val="21"/>
              </w:rPr>
              <w:t>及费用由</w:t>
            </w:r>
            <w:r>
              <w:rPr>
                <w:rFonts w:ascii="仿宋_GB2312" w:hAnsi="仿宋_GB2312" w:cs="仿宋_GB2312" w:eastAsia="仿宋_GB2312"/>
                <w:sz w:val="21"/>
              </w:rPr>
              <w:t>成交</w:t>
            </w:r>
            <w:r>
              <w:rPr>
                <w:rFonts w:ascii="仿宋_GB2312" w:hAnsi="仿宋_GB2312" w:cs="仿宋_GB2312" w:eastAsia="仿宋_GB2312"/>
                <w:sz w:val="21"/>
              </w:rPr>
              <w:t>单位自行承担。</w:t>
            </w:r>
          </w:p>
          <w:p>
            <w:pPr>
              <w:pStyle w:val="null3"/>
              <w:ind w:firstLine="310"/>
              <w:jc w:val="both"/>
            </w:pPr>
            <w:r>
              <w:rPr>
                <w:rFonts w:ascii="仿宋_GB2312" w:hAnsi="仿宋_GB2312" w:cs="仿宋_GB2312" w:eastAsia="仿宋_GB2312"/>
                <w:sz w:val="21"/>
              </w:rPr>
              <w:t>4.付款方式：</w:t>
            </w:r>
          </w:p>
          <w:p>
            <w:pPr>
              <w:pStyle w:val="null3"/>
              <w:ind w:firstLine="310"/>
              <w:jc w:val="both"/>
            </w:pPr>
            <w:r>
              <w:rPr>
                <w:rFonts w:ascii="仿宋_GB2312" w:hAnsi="仿宋_GB2312" w:cs="仿宋_GB2312" w:eastAsia="仿宋_GB2312"/>
                <w:sz w:val="21"/>
              </w:rPr>
              <w:t>（1）终验合格后付合同金额的</w:t>
            </w:r>
            <w:r>
              <w:rPr>
                <w:rFonts w:ascii="仿宋_GB2312" w:hAnsi="仿宋_GB2312" w:cs="仿宋_GB2312" w:eastAsia="仿宋_GB2312"/>
                <w:sz w:val="21"/>
              </w:rPr>
              <w:t>6</w:t>
            </w:r>
            <w:r>
              <w:rPr>
                <w:rFonts w:ascii="仿宋_GB2312" w:hAnsi="仿宋_GB2312" w:cs="仿宋_GB2312" w:eastAsia="仿宋_GB2312"/>
                <w:sz w:val="21"/>
              </w:rPr>
              <w:t>0%；合同满一年付合同金额的</w:t>
            </w:r>
            <w:r>
              <w:rPr>
                <w:rFonts w:ascii="仿宋_GB2312" w:hAnsi="仿宋_GB2312" w:cs="仿宋_GB2312" w:eastAsia="仿宋_GB2312"/>
                <w:sz w:val="21"/>
              </w:rPr>
              <w:t>3</w:t>
            </w:r>
            <w:r>
              <w:rPr>
                <w:rFonts w:ascii="仿宋_GB2312" w:hAnsi="仿宋_GB2312" w:cs="仿宋_GB2312" w:eastAsia="仿宋_GB2312"/>
                <w:sz w:val="21"/>
              </w:rPr>
              <w:t>0%，剩余10%</w:t>
            </w:r>
            <w:r>
              <w:rPr>
                <w:rFonts w:ascii="仿宋_GB2312" w:hAnsi="仿宋_GB2312" w:cs="仿宋_GB2312" w:eastAsia="仿宋_GB2312"/>
                <w:sz w:val="21"/>
              </w:rPr>
              <w:t>三年</w:t>
            </w:r>
            <w:r>
              <w:rPr>
                <w:rFonts w:ascii="仿宋_GB2312" w:hAnsi="仿宋_GB2312" w:cs="仿宋_GB2312" w:eastAsia="仿宋_GB2312"/>
                <w:sz w:val="21"/>
              </w:rPr>
              <w:t>服务</w:t>
            </w:r>
            <w:r>
              <w:rPr>
                <w:rFonts w:ascii="仿宋_GB2312" w:hAnsi="仿宋_GB2312" w:cs="仿宋_GB2312" w:eastAsia="仿宋_GB2312"/>
                <w:sz w:val="21"/>
              </w:rPr>
              <w:t>期结</w:t>
            </w:r>
            <w:r>
              <w:rPr>
                <w:rFonts w:ascii="仿宋_GB2312" w:hAnsi="仿宋_GB2312" w:cs="仿宋_GB2312" w:eastAsia="仿宋_GB2312"/>
                <w:sz w:val="21"/>
              </w:rPr>
              <w:t>束后，一次性支付，乙方提供正式发票。</w:t>
            </w:r>
          </w:p>
          <w:p>
            <w:pPr>
              <w:pStyle w:val="null3"/>
              <w:ind w:firstLine="310"/>
              <w:jc w:val="both"/>
            </w:pPr>
            <w:r>
              <w:rPr>
                <w:rFonts w:ascii="仿宋_GB2312" w:hAnsi="仿宋_GB2312" w:cs="仿宋_GB2312" w:eastAsia="仿宋_GB2312"/>
                <w:sz w:val="21"/>
              </w:rPr>
              <w:t>（2）支付方式：银行转账。</w:t>
            </w:r>
          </w:p>
          <w:p>
            <w:pPr>
              <w:pStyle w:val="null3"/>
              <w:ind w:firstLine="310"/>
              <w:jc w:val="both"/>
            </w:pPr>
            <w:r>
              <w:rPr>
                <w:rFonts w:ascii="仿宋_GB2312" w:hAnsi="仿宋_GB2312" w:cs="仿宋_GB2312" w:eastAsia="仿宋_GB2312"/>
                <w:sz w:val="21"/>
              </w:rPr>
              <w:t>5.知识产权：采购人在中华人民共和国境内使用投标人提供的货物及服务时免受第三方提出的侵犯其专利权或其它知识产权的起诉。如果第三方提出侵权指控，投标人应承担由此而引起的一切法律责任和费用。</w:t>
            </w:r>
          </w:p>
          <w:p>
            <w:pPr>
              <w:pStyle w:val="null3"/>
              <w:ind w:firstLine="310"/>
              <w:jc w:val="both"/>
            </w:pPr>
            <w:r>
              <w:rPr>
                <w:rFonts w:ascii="仿宋_GB2312" w:hAnsi="仿宋_GB2312" w:cs="仿宋_GB2312" w:eastAsia="仿宋_GB2312"/>
                <w:sz w:val="22"/>
              </w:rPr>
              <w:t>注：商务要求为实质性要求，不能负偏离。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（1）合同签订后 7 个工作日内，固定配备1名专职技术工程师，负责两套系统日常问题处理、病区巡检、护士培训； （2）配备 1 名后台开发对接工程师，专职负责 HIS/LIS 接口适配、系统功能调整，响应时限≤24 小时； （3）项目负责人 1 名，统筹实施、巡检、售后、培训工作。</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详见3.2.2采购要求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详见3.2.2采购要求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富平县妇女儿童医院，采购人指定地点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采购人应按照政府采购合同约定的技术、服务、安全标准组织对供应商每一项技术、服务、安全标准的履约情况进行验收，并出具验收书。</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进度款，终验合格后，达到付款条件起30个工作日内，支付合同总金额的60.0%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进度款，合同满一年，达到付款条件起30个工作日内，支付合同总金额的30.0%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进度款，合同满三年后，达到付款条件起30个工作日内，支付合同总金额的10.0%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详见竞争性磋商文件、采购合同及采购人要求。</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投标时供应商无需提供纸质版响应文件。成交供应商在领取成交通知书前将纸质版响应文件打印胶装2份、电子版U盘)文件2份提交至采购代理机构处，以便采购人进行留存备案等工作，成交供应商应保持响应文件纸质版内容与电子版内容完全一致，否则将承担一切法律责任。纸质版响应文件一律采用书籍(胶装)方式装订且单面或双面打印。 2、落实政府采购政策需满足的资格要求:(1)《节能产品政府采购实施意见》(财库〔2004]185号);(2) 《国务院办公厅关于建立政府强制采购节能产品制度的通知》(国办发[2007]51号);(3) 《财政部司法部关于政府采购支持监狱企业发展有关问题的通知》 (财库[2014]68号);(4)三部门联合发布《关于促进残疾人就业政府采购政策的通知》 (财库[2017]141号);(5) 《财政部发展改革委生态环境部市场监管总局关于调整优化节能产品、环境标志产品政府采购执行机制的通知》(财库[2019]9号);(6)陕西省财政厅关于印发《陕西省中小企业政府采购信用融资办法》(陕财办采[2018]23号);(7) 《陕西省财政厅关于加快推进我省中小企业政府采购信用融资工作的通知》(陕财办采[2020]15号); 《政府采购促进中小企业发展管理办法》(财库[2020]46号);(9)《关于进一步加大政府采购支持中小企业力度的通知》(财库[2022]19号);(10) 《财政部农业农村部国家乡村振兴局关于运用政府采购政策支持乡村产业振兴的通知》(财库[2021]19号);(11)陕西省财政厅《关于进一步加强政府绿色采购有关问题的通知》(陕财办[2021]29号);(12)《关于促进政府采购公平竞争优化营商环境的通知》(财库[2019]38号);(13)《陕西省财政厅关于进一步落实政府采购支持中小企业相关政策的通知》(陕财办采[2023]3号);(14) 《陕西省财政厅关于进-步优化政府采购营商环境有关事项的通知》(陕财办采[2023〕4号)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银行、保险、石油石化、电力、运营商等特殊行业，分支机构投标需有总公司授权）；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提供依法缴纳税收的良好记录（提供磋商响应文件递交截止时间前六个月内任意一个月份的缴纳凭据复印件或扫描件。依法免税或开标前一年内零申报的供应商应提供相关证明文件）；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提供依法缴纳社会保障资金的良好记录（提供磋商响应文件递交截止时间前六个月内任意一个月份的缴纳凭据复印件或扫描件。依法不需要缴纳社会保障资金的供应商应提供相关证明文件）；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失信主体和政府采购严重违法失信行为记录名单的供应商；不得为“中国政府采购网”（www.ccgp.gov.cn）政府采购严重违法失信行为信息记录名单中被财政部门禁止参加政府采购活动的供应商。（最终以采购代理机构开标现场查询结果为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参加本次政府采购活动前三年内在经营活动中没有重大违纪，以及未被列入失信被执行人、重大税收违法失信主体、政府采购严重违法失信行为记录名单的书面声明；（2）提供具有履行本合同所必需的设备和专业技术能力的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提供磋商保证金银行转账凭证及基本存款账户信息证明资料或金融机构、担保机构出具的保函复印件或扫描件；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法定代表人直接参加投标的，须提供法定代表人身份证明(法人身份证原件备查）；法定代表人授权代表参加投标的，须提供法定代表人授权委托书(授权代表身份证原件备查）；</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供应商企业关系关联及联合体说明</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响应文件盖章</w:t>
            </w:r>
          </w:p>
        </w:tc>
        <w:tc>
          <w:tcPr>
            <w:tcW w:type="dxa" w:w="3322"/>
          </w:tcPr>
          <w:p>
            <w:pPr>
              <w:pStyle w:val="null3"/>
            </w:pPr>
            <w:r>
              <w:rPr>
                <w:rFonts w:ascii="仿宋_GB2312" w:hAnsi="仿宋_GB2312" w:cs="仿宋_GB2312" w:eastAsia="仿宋_GB2312"/>
              </w:rPr>
              <w:t>响应文件盖章满足响应文件的要求</w:t>
            </w:r>
          </w:p>
        </w:tc>
        <w:tc>
          <w:tcPr>
            <w:tcW w:type="dxa" w:w="1661"/>
          </w:tcPr>
          <w:p>
            <w:pPr>
              <w:pStyle w:val="null3"/>
            </w:pPr>
            <w:r>
              <w:rPr>
                <w:rFonts w:ascii="仿宋_GB2312" w:hAnsi="仿宋_GB2312" w:cs="仿宋_GB2312" w:eastAsia="仿宋_GB2312"/>
              </w:rPr>
              <w:t>业绩一览表.docx 保密措施.docx 培训方案.docx 中小企业声明函 报价表 拟投入人员配置表.docx 商务应答表.docx 企业实力.docx 响应文件封面 供应商资格要求.docx 其他应说明的事项.docx 应急处理预案.docx 残疾人福利性单位声明函 总体服务方案.docx 标的清单 实施方案.docx 服务内容及服务要求应答表.docx 响应函 监狱企业的证明文件 服务质量保障.docx 陕西省政府采购供应商拒绝政府采购领域商业贿赂承诺书.docx.docx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w:t>
            </w:r>
          </w:p>
        </w:tc>
        <w:tc>
          <w:tcPr>
            <w:tcW w:type="dxa" w:w="3322"/>
          </w:tcPr>
          <w:p>
            <w:pPr>
              <w:pStyle w:val="null3"/>
            </w:pPr>
            <w:r>
              <w:rPr>
                <w:rFonts w:ascii="仿宋_GB2312" w:hAnsi="仿宋_GB2312" w:cs="仿宋_GB2312" w:eastAsia="仿宋_GB2312"/>
              </w:rPr>
              <w:t>响应文件法定代表人（或其他组织负责人）或其授权代表签字盖章满足招标文件的要求</w:t>
            </w:r>
          </w:p>
        </w:tc>
        <w:tc>
          <w:tcPr>
            <w:tcW w:type="dxa" w:w="1661"/>
          </w:tcPr>
          <w:p>
            <w:pPr>
              <w:pStyle w:val="null3"/>
            </w:pPr>
            <w:r>
              <w:rPr>
                <w:rFonts w:ascii="仿宋_GB2312" w:hAnsi="仿宋_GB2312" w:cs="仿宋_GB2312" w:eastAsia="仿宋_GB2312"/>
              </w:rPr>
              <w:t>响应文件封面 供应商资格要求.docx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响应文件有效期满足磋商文件的要求</w:t>
            </w:r>
          </w:p>
        </w:tc>
        <w:tc>
          <w:tcPr>
            <w:tcW w:type="dxa" w:w="1661"/>
          </w:tcPr>
          <w:p>
            <w:pPr>
              <w:pStyle w:val="null3"/>
            </w:pPr>
            <w:r>
              <w:rPr>
                <w:rFonts w:ascii="仿宋_GB2312" w:hAnsi="仿宋_GB2312" w:cs="仿宋_GB2312" w:eastAsia="仿宋_GB2312"/>
              </w:rPr>
              <w:t>响应文件封面 商务应答表.docx 服务内容及服务要求应答表.docx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响应人投标报价未出现选择性报价，未超出采购预算及最高限价</w:t>
            </w:r>
          </w:p>
        </w:tc>
        <w:tc>
          <w:tcPr>
            <w:tcW w:type="dxa" w:w="1661"/>
          </w:tcPr>
          <w:p>
            <w:pPr>
              <w:pStyle w:val="null3"/>
            </w:pPr>
            <w:r>
              <w:rPr>
                <w:rFonts w:ascii="仿宋_GB2312" w:hAnsi="仿宋_GB2312" w:cs="仿宋_GB2312" w:eastAsia="仿宋_GB2312"/>
              </w:rPr>
              <w:t>响应文件封面 标的清单 报价表 商务应答表.docx 服务内容及服务要求应答表.docx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满足或优于采购要求</w:t>
            </w:r>
          </w:p>
        </w:tc>
        <w:tc>
          <w:tcPr>
            <w:tcW w:type="dxa" w:w="1661"/>
          </w:tcPr>
          <w:p>
            <w:pPr>
              <w:pStyle w:val="null3"/>
            </w:pPr>
            <w:r>
              <w:rPr>
                <w:rFonts w:ascii="仿宋_GB2312" w:hAnsi="仿宋_GB2312" w:cs="仿宋_GB2312" w:eastAsia="仿宋_GB2312"/>
              </w:rPr>
              <w:t>响应文件封面 商务应答表.docx 服务内容及服务要求应答表.docx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无其他磋商文件或法规明确规定响应无效的事项</w:t>
            </w:r>
          </w:p>
        </w:tc>
        <w:tc>
          <w:tcPr>
            <w:tcW w:type="dxa" w:w="1661"/>
          </w:tcPr>
          <w:p>
            <w:pPr>
              <w:pStyle w:val="null3"/>
            </w:pPr>
            <w:r>
              <w:rPr>
                <w:rFonts w:ascii="仿宋_GB2312" w:hAnsi="仿宋_GB2312" w:cs="仿宋_GB2312" w:eastAsia="仿宋_GB2312"/>
              </w:rPr>
              <w:t>业绩一览表.docx 保密措施.docx 培训方案.docx 中小企业声明函 报价表 拟投入人员配置表.docx 商务应答表.docx 企业实力.docx 响应文件封面 供应商资格要求.docx 其他应说明的事项.docx 应急处理预案.docx 残疾人福利性单位声明函 总体服务方案.docx 标的清单 实施方案.docx 服务内容及服务要求应答表.docx 响应函 监狱企业的证明文件 服务质量保障.docx 陕西省政府采购供应商拒绝政府采购领域商业贿赂承诺书.docx.docx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根据产品制造商或其授权的供应商的总体情况（实力、信誉、证书等），进行综合评审 1、提供移动护理软件著作权证书、软件测试报告； 2、提供移动护理手持PDA CCC安全认证证书、工信部进网许可证书； 3、提供护理电子病历系统软件著作权证书； 4、提供护理管理系统软件著作权证书； 5、提供核心产品厂家ISO9001认证证书； 以上证书全部提供得5分，每少一项扣1分，5分扣完为止。 （提供证书复印件加盖公章）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企业实力.docx</w:t>
            </w:r>
          </w:p>
        </w:tc>
      </w:tr>
      <w:tr>
        <w:tc>
          <w:tcPr>
            <w:tcW w:type="dxa" w:w="831"/>
            <w:vMerge/>
          </w:tcPr>
          <w:p/>
        </w:tc>
        <w:tc>
          <w:tcPr>
            <w:tcW w:type="dxa" w:w="1661"/>
          </w:tcPr>
          <w:p>
            <w:pPr>
              <w:pStyle w:val="null3"/>
            </w:pPr>
            <w:r>
              <w:rPr>
                <w:rFonts w:ascii="仿宋_GB2312" w:hAnsi="仿宋_GB2312" w:cs="仿宋_GB2312" w:eastAsia="仿宋_GB2312"/>
              </w:rPr>
              <w:t>拟投入人员配置</w:t>
            </w:r>
          </w:p>
        </w:tc>
        <w:tc>
          <w:tcPr>
            <w:tcW w:type="dxa" w:w="2492"/>
          </w:tcPr>
          <w:p>
            <w:pPr>
              <w:pStyle w:val="null3"/>
            </w:pPr>
            <w:r>
              <w:rPr>
                <w:rFonts w:ascii="仿宋_GB2312" w:hAnsi="仿宋_GB2312" w:cs="仿宋_GB2312" w:eastAsia="仿宋_GB2312"/>
              </w:rPr>
              <w:t>评审内容：一、投标人根据本项目提供拟投入的实施人员配置表；包括①团队规模，项目团队配置人数≥8人，满足得2 分，不满足不得分；须提供团队配置表；②团队人员具有相关有效资质证书，每提供1份得0.5分，最高4分；③项目负责人同时具备信息系统项目管理师（高级职称）和PMP 证书，得2分；仅具备其中一项得1分；两项均无不得分。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拟投入人员配置表.docx</w:t>
            </w:r>
          </w:p>
        </w:tc>
      </w:tr>
      <w:tr>
        <w:tc>
          <w:tcPr>
            <w:tcW w:type="dxa" w:w="831"/>
            <w:vMerge/>
          </w:tcPr>
          <w:p/>
        </w:tc>
        <w:tc>
          <w:tcPr>
            <w:tcW w:type="dxa" w:w="1661"/>
          </w:tcPr>
          <w:p>
            <w:pPr>
              <w:pStyle w:val="null3"/>
            </w:pPr>
            <w:r>
              <w:rPr>
                <w:rFonts w:ascii="仿宋_GB2312" w:hAnsi="仿宋_GB2312" w:cs="仿宋_GB2312" w:eastAsia="仿宋_GB2312"/>
              </w:rPr>
              <w:t>服务内容实质性响应情况</w:t>
            </w:r>
          </w:p>
        </w:tc>
        <w:tc>
          <w:tcPr>
            <w:tcW w:type="dxa" w:w="2492"/>
          </w:tcPr>
          <w:p>
            <w:pPr>
              <w:pStyle w:val="null3"/>
            </w:pPr>
            <w:r>
              <w:rPr>
                <w:rFonts w:ascii="仿宋_GB2312" w:hAnsi="仿宋_GB2312" w:cs="仿宋_GB2312" w:eastAsia="仿宋_GB2312"/>
              </w:rPr>
              <w:t>技术参数完全响应得15分，带▲的技术参数中，每项负偏离扣1分，其他项扣0.5分，扣完为止（证明资料包括但不限于生产厂家官方网站截图或产品白皮书或第三方机构检测报告/测试报告或其他相关证明材料作为技术评审依据，未提供有效证明材料或证明材料中内容与所填报指标不一致的，该指标按不满足处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评审内容：一、投标人针对本项目提供具体可行的总体服务方案，包括①项目背景概述；②方案整体设计；③产品介绍；④软件方案及方案优势。 二、评审标准 1、根据完整性：内容必须全面，对评审内容中的各项要求有详细描述；2、可实施性：切合本项目实际情况，提出清晰、合理的内容；3、针对性：内容能够紧扣项目实际情况，内容科学合理提供相应方案。针对评审内容要求的4项，内容无缺项、无漏项且无缺陷的得12分；每有一项内容存在缺项或漏项的扣3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根据供应商的整体实施方案(医院现状)及要求，合理安排安装、调试进度计划及措施。包括：①供货方案；②项目实施管理③服务进度计划；④软件及设备进场后的调试、验收方案。 二、评审标准 1、根据完整性：内容必须全面，对评审内容中的各项要求有详细描述；2、可实施性：切合本项目实际情况，提出清晰、合理的内容；3、针对性：内容能够紧扣项目实际情况，内容科学合理提供相应方案。针对评审内容要求的4项，内容无缺项、无漏项且无缺陷的得12分；每有一项内容存在缺项或漏项的扣3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服务质量保障</w:t>
            </w:r>
          </w:p>
        </w:tc>
        <w:tc>
          <w:tcPr>
            <w:tcW w:type="dxa" w:w="2492"/>
          </w:tcPr>
          <w:p>
            <w:pPr>
              <w:pStyle w:val="null3"/>
            </w:pPr>
            <w:r>
              <w:rPr>
                <w:rFonts w:ascii="仿宋_GB2312" w:hAnsi="仿宋_GB2312" w:cs="仿宋_GB2312" w:eastAsia="仿宋_GB2312"/>
              </w:rPr>
              <w:t>评审内容：一、投标人针对本项目提供具体可行的服务质量保障，包括①服务质量保障②系统运行保障措施。 二、评审标准 1、根据完整性：内容必须全面，对评审内容中的各项要求有详细描述；2、可实施性：切合本项目实际情况，提出清晰、合理的内容；3、针对性：内容能够紧扣项目实际情况，内容科学合理提供相应方案。针对评审内容要求的2项，内容无缺项、无漏项且无缺陷的得4分；每有一项内容存在缺项或漏项的扣2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服务质量保障.docx</w:t>
            </w:r>
          </w:p>
        </w:tc>
      </w:tr>
      <w:tr>
        <w:tc>
          <w:tcPr>
            <w:tcW w:type="dxa" w:w="831"/>
            <w:vMerge/>
          </w:tcPr>
          <w:p/>
        </w:tc>
        <w:tc>
          <w:tcPr>
            <w:tcW w:type="dxa" w:w="1661"/>
          </w:tcPr>
          <w:p>
            <w:pPr>
              <w:pStyle w:val="null3"/>
            </w:pPr>
            <w:r>
              <w:rPr>
                <w:rFonts w:ascii="仿宋_GB2312" w:hAnsi="仿宋_GB2312" w:cs="仿宋_GB2312" w:eastAsia="仿宋_GB2312"/>
              </w:rPr>
              <w:t>应急处理预案</w:t>
            </w:r>
          </w:p>
        </w:tc>
        <w:tc>
          <w:tcPr>
            <w:tcW w:type="dxa" w:w="2492"/>
          </w:tcPr>
          <w:p>
            <w:pPr>
              <w:pStyle w:val="null3"/>
            </w:pPr>
            <w:r>
              <w:rPr>
                <w:rFonts w:ascii="仿宋_GB2312" w:hAnsi="仿宋_GB2312" w:cs="仿宋_GB2312" w:eastAsia="仿宋_GB2312"/>
              </w:rPr>
              <w:t>评审内容：一、投标人针对本项目提供具体可行的应急处理预案，包括①进度延误应急预案②系统故障处理措施③数据损坏处理措施④人员变动应急保障。 二、评审标准 1、根据完整性：内容必须全面，对评审内容中的各项要求有详细描述；2、可实施性：切合本项目实际情况，提出清晰、合理的内容；3、针对性：内容能够紧扣项目实际情况，内容科学合理提供相应方案。针对评审内容要求的4项，内容无缺项、无漏项且无缺陷的得8分；每有一项内容存在缺项或漏项的扣2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应急处理预案.docx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评审内容：一、投标人针对本项目提供具体可行的保密措施，包括①服务过程中接触的医院电子数据、数据库信息、患者隐私等的保密措施；②人员现场管理、行为规范及防止违规操作的应对措施。二、评审标准 1、根据完整性：内容必须全面，对评审内容中的各项要求有详细描述；2、可实施性：切合本项目实际情况，提出清晰、合理的内容；3、针对性：内容能够紧扣项目实际情况，内容科学合理提供相应方案。针对评审内容要求的2项，内容无缺项、无漏项且无缺陷的得4分；每有一项内容存在缺项或漏项的扣2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保密措施.docx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供应商针对本项目提供的培训方案，包括①培训内容及培训对象，②培训方式及培训过程安排。培训方案符合采购内容要求，每一项得2分，满分4分。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根据各供应商提供2022年1月1日至今类似项目业绩，每个业绩得2分，满分8分。未提供不得分。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竞争性磋商文件要求且投标报价最低的磋商报价为评标基准价，其价格分为满分。其他供应商的价格得分统一按照下列公式计算：磋商报价得分=（评标基准价/磋商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详见附件：保密措施.docx</w:t>
      </w:r>
    </w:p>
    <w:p>
      <w:pPr>
        <w:pStyle w:val="null3"/>
        <w:ind w:firstLine="960"/>
      </w:pPr>
      <w:r>
        <w:rPr>
          <w:rFonts w:ascii="仿宋_GB2312" w:hAnsi="仿宋_GB2312" w:cs="仿宋_GB2312" w:eastAsia="仿宋_GB2312"/>
        </w:rPr>
        <w:t>详见附件：服务质量保障.docx</w:t>
      </w:r>
    </w:p>
    <w:p>
      <w:pPr>
        <w:pStyle w:val="null3"/>
        <w:ind w:firstLine="960"/>
      </w:pPr>
      <w:r>
        <w:rPr>
          <w:rFonts w:ascii="仿宋_GB2312" w:hAnsi="仿宋_GB2312" w:cs="仿宋_GB2312" w:eastAsia="仿宋_GB2312"/>
        </w:rPr>
        <w:t>详见附件：拟投入人员配置表.docx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详见附件：其他应说明的事项.docx</w:t>
      </w:r>
    </w:p>
    <w:p>
      <w:pPr>
        <w:pStyle w:val="null3"/>
        <w:ind w:firstLine="960"/>
      </w:pPr>
      <w:r>
        <w:rPr>
          <w:rFonts w:ascii="仿宋_GB2312" w:hAnsi="仿宋_GB2312" w:cs="仿宋_GB2312" w:eastAsia="仿宋_GB2312"/>
        </w:rPr>
        <w:t>详见附件：陕西省政府采购供应商拒绝政府采购领域商业贿赂承诺书.docx.docx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详见附件：应急处理预案.docx</w:t>
      </w:r>
    </w:p>
    <w:p>
      <w:pPr>
        <w:pStyle w:val="null3"/>
        <w:ind w:firstLine="960"/>
      </w:pPr>
      <w:r>
        <w:rPr>
          <w:rFonts w:ascii="仿宋_GB2312" w:hAnsi="仿宋_GB2312" w:cs="仿宋_GB2312" w:eastAsia="仿宋_GB2312"/>
        </w:rPr>
        <w:t>详见附件：总体服务方案.docx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详见附件：企业实力.docx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