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40E60">
      <w:pPr>
        <w:pStyle w:val="5"/>
      </w:pPr>
      <w:r>
        <w:rPr>
          <w:rFonts w:ascii="仿宋_GB2312" w:hAnsi="仿宋_GB2312" w:eastAsia="仿宋_GB2312" w:cs="仿宋_GB2312"/>
        </w:rPr>
        <w:t>附件：合同格式（1）.docx</w:t>
      </w:r>
    </w:p>
    <w:p w14:paraId="4D5B6792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/>
        <w:jc w:val="center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bookmarkStart w:id="0" w:name="_Toc12153"/>
      <w:bookmarkStart w:id="1" w:name="_Toc14552"/>
      <w:r>
        <w:rPr>
          <w:rFonts w:hint="eastAsia" w:ascii="宋体" w:hAnsi="宋体" w:eastAsia="宋体" w:cs="宋体"/>
          <w:color w:val="auto"/>
          <w:highlight w:val="none"/>
        </w:rPr>
        <w:t>合同条款及格式</w:t>
      </w:r>
      <w:bookmarkEnd w:id="0"/>
      <w:bookmarkEnd w:id="1"/>
    </w:p>
    <w:p w14:paraId="56AF341E">
      <w:pPr>
        <w:numPr>
          <w:ilvl w:val="0"/>
          <w:numId w:val="0"/>
        </w:numPr>
        <w:ind w:leftChars="0"/>
        <w:jc w:val="center"/>
        <w:rPr>
          <w:rFonts w:hint="eastAsia"/>
          <w:b/>
          <w:bCs w:val="0"/>
          <w:sz w:val="28"/>
          <w:szCs w:val="28"/>
        </w:rPr>
      </w:pPr>
      <w:r>
        <w:rPr>
          <w:rFonts w:hint="eastAsia" w:ascii="宋体" w:hAnsi="宋体"/>
          <w:b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 w:val="0"/>
          <w:kern w:val="44"/>
          <w:sz w:val="28"/>
          <w:szCs w:val="28"/>
          <w:lang w:val="en-US" w:eastAsia="zh-CN" w:bidi="ar-SA"/>
        </w:rPr>
        <w:t>（此合同为参考合同，具体以甲乙双方协商为准）</w:t>
      </w:r>
    </w:p>
    <w:p w14:paraId="7E1AA2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Times New Roman"/>
          <w:color w:val="auto"/>
          <w:sz w:val="24"/>
          <w:u w:val="single"/>
          <w:lang w:val="en-US" w:eastAsia="zh-CN"/>
        </w:rPr>
      </w:pPr>
    </w:p>
    <w:p w14:paraId="463496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>富平县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>妇女儿童医院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</w:rPr>
        <w:t>以下简称甲方）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>富平县妇女儿童医院购置移动护士站综合服务采购项目</w:t>
      </w:r>
      <w:r>
        <w:rPr>
          <w:rFonts w:hint="eastAsia" w:ascii="仿宋" w:hAnsi="仿宋" w:eastAsia="仿宋" w:cs="仿宋"/>
          <w:color w:val="auto"/>
          <w:sz w:val="24"/>
        </w:rPr>
        <w:t>，在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 xml:space="preserve">  富平县财政局 </w:t>
      </w:r>
      <w:r>
        <w:rPr>
          <w:rFonts w:hint="eastAsia" w:ascii="仿宋" w:hAnsi="仿宋" w:eastAsia="仿宋" w:cs="仿宋"/>
          <w:color w:val="auto"/>
          <w:sz w:val="24"/>
        </w:rPr>
        <w:t>的监督管理下，由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>陕西裕泽工程项目管理有限公司</w:t>
      </w:r>
      <w:r>
        <w:rPr>
          <w:rFonts w:hint="eastAsia" w:ascii="仿宋" w:hAnsi="仿宋" w:eastAsia="仿宋" w:cs="仿宋"/>
          <w:color w:val="auto"/>
          <w:sz w:val="24"/>
        </w:rPr>
        <w:t>组织采购，选定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</w:rPr>
        <w:t xml:space="preserve"> (以下简称乙方）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4"/>
        </w:rPr>
        <w:t>为该项目成交供应商。依据《中华人民共和国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民法典</w:t>
      </w:r>
      <w:r>
        <w:rPr>
          <w:rFonts w:hint="eastAsia" w:ascii="仿宋" w:hAnsi="仿宋" w:eastAsia="仿宋" w:cs="仿宋"/>
          <w:color w:val="auto"/>
          <w:sz w:val="24"/>
        </w:rPr>
        <w:t>》和《中华人民共和国政府采购法》，经甲、乙双方共同协商，按下述条款和条件签署本合同。</w:t>
      </w:r>
    </w:p>
    <w:p w14:paraId="3F7192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一、合同内容</w:t>
      </w:r>
    </w:p>
    <w:p w14:paraId="5DF4E5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乙方负责按照合同确定的项目名称、服务内容、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技术服务</w:t>
      </w:r>
      <w:r>
        <w:rPr>
          <w:rFonts w:hint="eastAsia" w:ascii="仿宋" w:hAnsi="仿宋" w:eastAsia="仿宋" w:cs="仿宋"/>
          <w:color w:val="auto"/>
          <w:sz w:val="24"/>
        </w:rPr>
        <w:t>标准组织服务，确保各项服务达到要求。</w:t>
      </w:r>
    </w:p>
    <w:p w14:paraId="56F57C79">
      <w:pPr>
        <w:pStyle w:val="6"/>
        <w:rPr>
          <w:rFonts w:hint="eastAsia" w:ascii="仿宋" w:hAnsi="仿宋" w:eastAsia="仿宋" w:cs="仿宋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服务期：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>三年</w:t>
      </w:r>
      <w:r>
        <w:rPr>
          <w:rFonts w:hint="eastAsia" w:ascii="仿宋" w:hAnsi="仿宋" w:eastAsia="仿宋" w:cs="仿宋"/>
          <w:color w:val="auto"/>
          <w:sz w:val="24"/>
          <w:u w:val="none"/>
          <w:lang w:val="en-US" w:eastAsia="zh-CN"/>
        </w:rPr>
        <w:t>，2026年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u w:val="none"/>
          <w:lang w:val="en-US" w:eastAsia="zh-CN"/>
        </w:rPr>
        <w:t>日起-2029年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u w:val="none"/>
          <w:lang w:val="en-US" w:eastAsia="zh-CN"/>
        </w:rPr>
        <w:t>日止</w:t>
      </w:r>
    </w:p>
    <w:p w14:paraId="00096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二、合同价格</w:t>
      </w:r>
    </w:p>
    <w:p w14:paraId="39F94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200"/>
        <w:jc w:val="left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合同总价：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人民币       元整（¥         元） </w:t>
      </w:r>
    </w:p>
    <w:p w14:paraId="5AAB0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说明：</w:t>
      </w:r>
    </w:p>
    <w:p w14:paraId="17B61D2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合同总价包含项目报价、其他费用及应缴纳的全部税款等费用。</w:t>
      </w:r>
    </w:p>
    <w:p w14:paraId="6C943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三、合同款项支付</w:t>
      </w:r>
    </w:p>
    <w:p w14:paraId="55F37F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（一）结算单位：采购人结算，在付款前，必须开具全额或等额发票给采购人。</w:t>
      </w:r>
    </w:p>
    <w:p w14:paraId="1A119E4D">
      <w:pPr>
        <w:pageBreakBefore w:val="0"/>
        <w:kinsoku/>
        <w:wordWrap/>
        <w:overflowPunct/>
        <w:topLinePunct w:val="0"/>
        <w:bidi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（二）付款方式：</w:t>
      </w:r>
    </w:p>
    <w:p w14:paraId="65D96915">
      <w:pPr>
        <w:pageBreakBefore w:val="0"/>
        <w:kinsoku/>
        <w:wordWrap/>
        <w:overflowPunct/>
        <w:topLinePunct w:val="0"/>
        <w:bidi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  <w:t>1.合同期内采购人按月平均向成交单位支付服务费。</w:t>
      </w:r>
    </w:p>
    <w:p w14:paraId="3E677A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</w:rPr>
        <w:t>（1）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终验合格后</w:t>
      </w:r>
      <w:bookmarkStart w:id="2" w:name="_GoBack"/>
      <w:bookmarkEnd w:id="2"/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付合同金额的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0%；合同满一年付合同金额的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0%，剩余10%合同满三年后一次付清，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zh-CN"/>
        </w:rPr>
        <w:t>乙方提供正式发票。</w:t>
      </w:r>
    </w:p>
    <w:p w14:paraId="2A87D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</w:rPr>
        <w:t>（2）支付方式：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分期支付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。</w:t>
      </w:r>
    </w:p>
    <w:p w14:paraId="4C844A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</w:rPr>
        <w:t>以响应文件、澄清表（函）、合同和随服务的相关文件为准。</w:t>
      </w:r>
    </w:p>
    <w:p w14:paraId="11A114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五、</w:t>
      </w: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违约责任</w:t>
      </w:r>
    </w:p>
    <w:p w14:paraId="176B1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</w:rPr>
        <w:t>（一）按《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民法典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》中的相关条款执行。</w:t>
      </w:r>
    </w:p>
    <w:p w14:paraId="62C51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</w:rPr>
        <w:t>（二）未按合同要求提供服务或服务质量不能满足合同要求，采购人有权依据《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民法典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》有关条款及合同约定终止合同，并要求供应商承担违约责任。</w:t>
      </w:r>
    </w:p>
    <w:p w14:paraId="6E7679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六、</w:t>
      </w: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争议解决</w:t>
      </w:r>
    </w:p>
    <w:p w14:paraId="7E487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</w:rPr>
        <w:t>执行本合同中产生纠纷，由双方协商解决；协商不成，向有管辖权的人民法院提起诉讼。</w:t>
      </w:r>
    </w:p>
    <w:p w14:paraId="508BC3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七</w:t>
      </w:r>
      <w:r>
        <w:rPr>
          <w:rFonts w:hint="eastAsia" w:ascii="仿宋" w:hAnsi="仿宋" w:eastAsia="仿宋" w:cs="仿宋"/>
          <w:b/>
          <w:color w:val="auto"/>
          <w:sz w:val="24"/>
        </w:rPr>
        <w:t>、其他事项</w:t>
      </w:r>
    </w:p>
    <w:p w14:paraId="0A3EC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（一）在合同的履行期间以及履行期后，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</w:rPr>
        <w:t>可以随时检查项目的执行情况，对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sz w:val="24"/>
        </w:rPr>
        <w:t>标准进行调查核实，并对发现的问题进行处理。</w:t>
      </w:r>
    </w:p>
    <w:p w14:paraId="7111A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（二）本合同一式六份，甲方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</w:rPr>
        <w:t>四份，乙方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</w:rPr>
        <w:t>一份，采购代理机构一份，甲乙双方签字盖章后生效。</w:t>
      </w:r>
    </w:p>
    <w:p w14:paraId="017159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（三）</w:t>
      </w:r>
      <w:r>
        <w:rPr>
          <w:rFonts w:hint="eastAsia" w:ascii="仿宋" w:hAnsi="仿宋" w:eastAsia="仿宋" w:cs="仿宋"/>
          <w:bCs/>
          <w:color w:val="auto"/>
          <w:sz w:val="24"/>
        </w:rPr>
        <w:t>磋商文件、响应文件也是合同的组成部分，合同中未约定的以磋商文件、响应文件为准。</w:t>
      </w:r>
    </w:p>
    <w:p w14:paraId="0BAF1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50"/>
        <w:jc w:val="left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合同签订地点：   </w:t>
      </w:r>
    </w:p>
    <w:p w14:paraId="4E64C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50"/>
        <w:jc w:val="left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合同签订时间：    年   月    日</w:t>
      </w:r>
    </w:p>
    <w:p w14:paraId="0A3D1E75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</w:p>
    <w:p w14:paraId="5406F933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甲    方                           乙    方</w:t>
      </w:r>
    </w:p>
    <w:p w14:paraId="170806CF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单位名称：         </w:t>
      </w:r>
      <w:r>
        <w:rPr>
          <w:rFonts w:hint="eastAsia" w:ascii="仿宋" w:hAnsi="仿宋" w:eastAsia="仿宋" w:cs="仿宋"/>
          <w:color w:val="auto"/>
          <w:sz w:val="24"/>
        </w:rPr>
        <w:tab/>
      </w:r>
      <w:r>
        <w:rPr>
          <w:rFonts w:hint="eastAsia" w:ascii="仿宋" w:hAnsi="仿宋" w:eastAsia="仿宋" w:cs="仿宋"/>
          <w:color w:val="auto"/>
          <w:sz w:val="24"/>
        </w:rPr>
        <w:tab/>
      </w:r>
      <w:r>
        <w:rPr>
          <w:rFonts w:hint="eastAsia" w:ascii="仿宋" w:hAnsi="仿宋" w:eastAsia="仿宋" w:cs="仿宋"/>
          <w:color w:val="auto"/>
          <w:sz w:val="24"/>
        </w:rPr>
        <w:tab/>
      </w:r>
      <w:r>
        <w:rPr>
          <w:rFonts w:hint="eastAsia" w:ascii="仿宋" w:hAnsi="仿宋" w:eastAsia="仿宋" w:cs="仿宋"/>
          <w:color w:val="auto"/>
          <w:sz w:val="24"/>
        </w:rPr>
        <w:tab/>
      </w:r>
      <w:r>
        <w:rPr>
          <w:rFonts w:hint="eastAsia" w:ascii="仿宋" w:hAnsi="仿宋" w:eastAsia="仿宋" w:cs="仿宋"/>
          <w:color w:val="auto"/>
          <w:sz w:val="24"/>
        </w:rPr>
        <w:t xml:space="preserve">   单位名称： </w:t>
      </w:r>
    </w:p>
    <w:p w14:paraId="5A9F2B2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地   址：  </w:t>
      </w:r>
      <w:r>
        <w:rPr>
          <w:rFonts w:hint="eastAsia" w:ascii="仿宋" w:hAnsi="仿宋" w:eastAsia="仿宋" w:cs="仿宋"/>
          <w:color w:val="auto"/>
          <w:sz w:val="24"/>
        </w:rPr>
        <w:tab/>
      </w:r>
      <w:r>
        <w:rPr>
          <w:rFonts w:hint="eastAsia" w:ascii="仿宋" w:hAnsi="仿宋" w:eastAsia="仿宋" w:cs="仿宋"/>
          <w:color w:val="auto"/>
          <w:sz w:val="24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</w:rPr>
        <w:tab/>
      </w:r>
      <w:r>
        <w:rPr>
          <w:rFonts w:hint="eastAsia" w:ascii="仿宋" w:hAnsi="仿宋" w:eastAsia="仿宋" w:cs="仿宋"/>
          <w:color w:val="auto"/>
          <w:sz w:val="24"/>
        </w:rPr>
        <w:tab/>
      </w:r>
      <w:r>
        <w:rPr>
          <w:rFonts w:hint="eastAsia" w:ascii="仿宋" w:hAnsi="仿宋" w:eastAsia="仿宋" w:cs="仿宋"/>
          <w:color w:val="auto"/>
          <w:sz w:val="24"/>
        </w:rPr>
        <w:tab/>
      </w:r>
      <w:r>
        <w:rPr>
          <w:rFonts w:hint="eastAsia" w:ascii="仿宋" w:hAnsi="仿宋" w:eastAsia="仿宋" w:cs="仿宋"/>
          <w:color w:val="auto"/>
          <w:sz w:val="24"/>
        </w:rPr>
        <w:tab/>
      </w:r>
      <w:r>
        <w:rPr>
          <w:rFonts w:hint="eastAsia" w:ascii="仿宋" w:hAnsi="仿宋" w:eastAsia="仿宋" w:cs="仿宋"/>
          <w:color w:val="auto"/>
          <w:sz w:val="24"/>
        </w:rPr>
        <w:t>地    址：</w:t>
      </w:r>
    </w:p>
    <w:p w14:paraId="5100554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法人代表：                         法人代表： </w:t>
      </w:r>
    </w:p>
    <w:p w14:paraId="6962D366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联系电话：               </w:t>
      </w:r>
      <w:r>
        <w:rPr>
          <w:rFonts w:hint="eastAsia" w:ascii="仿宋" w:hAnsi="仿宋" w:eastAsia="仿宋" w:cs="仿宋"/>
          <w:color w:val="auto"/>
          <w:sz w:val="24"/>
        </w:rPr>
        <w:tab/>
      </w:r>
      <w:r>
        <w:rPr>
          <w:rFonts w:hint="eastAsia" w:ascii="仿宋" w:hAnsi="仿宋" w:eastAsia="仿宋" w:cs="仿宋"/>
          <w:color w:val="auto"/>
          <w:sz w:val="24"/>
        </w:rPr>
        <w:tab/>
      </w:r>
      <w:r>
        <w:rPr>
          <w:rFonts w:hint="eastAsia" w:ascii="仿宋" w:hAnsi="仿宋" w:eastAsia="仿宋" w:cs="仿宋"/>
          <w:color w:val="auto"/>
          <w:sz w:val="24"/>
        </w:rPr>
        <w:tab/>
      </w:r>
      <w:r>
        <w:rPr>
          <w:rFonts w:hint="eastAsia" w:ascii="仿宋" w:hAnsi="仿宋" w:eastAsia="仿宋" w:cs="仿宋"/>
          <w:color w:val="auto"/>
          <w:sz w:val="24"/>
        </w:rPr>
        <w:t xml:space="preserve">联系电话： </w:t>
      </w:r>
    </w:p>
    <w:p w14:paraId="4909F2D3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开 户 行：         </w:t>
      </w:r>
      <w:r>
        <w:rPr>
          <w:rFonts w:hint="eastAsia" w:ascii="仿宋" w:hAnsi="仿宋" w:eastAsia="仿宋" w:cs="仿宋"/>
          <w:color w:val="auto"/>
          <w:sz w:val="24"/>
        </w:rPr>
        <w:tab/>
      </w:r>
      <w:r>
        <w:rPr>
          <w:rFonts w:hint="eastAsia" w:ascii="仿宋" w:hAnsi="仿宋" w:eastAsia="仿宋" w:cs="仿宋"/>
          <w:color w:val="auto"/>
          <w:sz w:val="24"/>
        </w:rPr>
        <w:tab/>
      </w:r>
      <w:r>
        <w:rPr>
          <w:rFonts w:hint="eastAsia" w:ascii="仿宋" w:hAnsi="仿宋" w:eastAsia="仿宋" w:cs="仿宋"/>
          <w:color w:val="auto"/>
          <w:sz w:val="24"/>
        </w:rPr>
        <w:tab/>
      </w:r>
      <w:r>
        <w:rPr>
          <w:rFonts w:hint="eastAsia" w:ascii="仿宋" w:hAnsi="仿宋" w:eastAsia="仿宋" w:cs="仿宋"/>
          <w:color w:val="auto"/>
          <w:sz w:val="24"/>
        </w:rPr>
        <w:tab/>
      </w:r>
      <w:r>
        <w:rPr>
          <w:rFonts w:hint="eastAsia" w:ascii="仿宋" w:hAnsi="仿宋" w:eastAsia="仿宋" w:cs="仿宋"/>
          <w:color w:val="auto"/>
          <w:sz w:val="24"/>
        </w:rPr>
        <w:tab/>
      </w:r>
      <w:r>
        <w:rPr>
          <w:rFonts w:hint="eastAsia" w:ascii="仿宋" w:hAnsi="仿宋" w:eastAsia="仿宋" w:cs="仿宋"/>
          <w:color w:val="auto"/>
          <w:sz w:val="24"/>
        </w:rPr>
        <w:t xml:space="preserve">开 户 行： </w:t>
      </w:r>
    </w:p>
    <w:p w14:paraId="5DAEA5B2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账    号：             </w:t>
      </w:r>
      <w:r>
        <w:rPr>
          <w:rFonts w:hint="eastAsia" w:ascii="仿宋" w:hAnsi="仿宋" w:eastAsia="仿宋" w:cs="仿宋"/>
          <w:color w:val="auto"/>
          <w:sz w:val="24"/>
        </w:rPr>
        <w:tab/>
      </w:r>
      <w:r>
        <w:rPr>
          <w:rFonts w:hint="eastAsia" w:ascii="仿宋" w:hAnsi="仿宋" w:eastAsia="仿宋" w:cs="仿宋"/>
          <w:color w:val="auto"/>
          <w:sz w:val="24"/>
        </w:rPr>
        <w:tab/>
      </w:r>
      <w:r>
        <w:rPr>
          <w:rFonts w:hint="eastAsia" w:ascii="仿宋" w:hAnsi="仿宋" w:eastAsia="仿宋" w:cs="仿宋"/>
          <w:color w:val="auto"/>
          <w:sz w:val="24"/>
        </w:rPr>
        <w:tab/>
      </w:r>
      <w:r>
        <w:rPr>
          <w:rFonts w:hint="eastAsia" w:ascii="仿宋" w:hAnsi="仿宋" w:eastAsia="仿宋" w:cs="仿宋"/>
          <w:color w:val="auto"/>
          <w:sz w:val="24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</w:rPr>
        <w:tab/>
      </w:r>
      <w:r>
        <w:rPr>
          <w:rFonts w:hint="eastAsia" w:ascii="仿宋" w:hAnsi="仿宋" w:eastAsia="仿宋" w:cs="仿宋"/>
          <w:color w:val="auto"/>
          <w:sz w:val="24"/>
        </w:rPr>
        <w:t>账    号：</w:t>
      </w:r>
    </w:p>
    <w:p w14:paraId="4CBEE510">
      <w:pPr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bCs/>
          <w:color w:val="auto"/>
          <w:sz w:val="24"/>
        </w:rPr>
        <w:tab/>
      </w:r>
      <w:r>
        <w:rPr>
          <w:rFonts w:hint="eastAsia" w:ascii="仿宋" w:hAnsi="仿宋" w:eastAsia="仿宋" w:cs="仿宋"/>
          <w:bCs/>
          <w:color w:val="auto"/>
          <w:sz w:val="24"/>
        </w:rPr>
        <w:tab/>
      </w:r>
      <w:r>
        <w:rPr>
          <w:rFonts w:hint="eastAsia" w:ascii="仿宋" w:hAnsi="仿宋" w:eastAsia="仿宋" w:cs="仿宋"/>
          <w:bCs/>
          <w:color w:val="auto"/>
          <w:sz w:val="24"/>
        </w:rPr>
        <w:tab/>
      </w:r>
      <w:r>
        <w:rPr>
          <w:rFonts w:hint="eastAsia" w:ascii="仿宋" w:hAnsi="仿宋" w:eastAsia="仿宋" w:cs="仿宋"/>
          <w:bCs/>
          <w:color w:val="auto"/>
          <w:sz w:val="24"/>
        </w:rPr>
        <w:tab/>
      </w:r>
      <w:r>
        <w:rPr>
          <w:rFonts w:hint="eastAsia" w:ascii="仿宋" w:hAnsi="仿宋" w:eastAsia="仿宋" w:cs="仿宋"/>
          <w:bCs/>
          <w:color w:val="auto"/>
          <w:sz w:val="24"/>
        </w:rPr>
        <w:tab/>
      </w:r>
      <w:r>
        <w:rPr>
          <w:rFonts w:hint="eastAsia" w:ascii="仿宋" w:hAnsi="仿宋" w:eastAsia="仿宋" w:cs="仿宋"/>
          <w:bCs/>
          <w:color w:val="auto"/>
          <w:sz w:val="24"/>
        </w:rPr>
        <w:tab/>
      </w:r>
      <w:r>
        <w:rPr>
          <w:rFonts w:hint="eastAsia" w:ascii="仿宋" w:hAnsi="仿宋" w:eastAsia="仿宋" w:cs="仿宋"/>
          <w:bCs/>
          <w:color w:val="auto"/>
          <w:sz w:val="24"/>
        </w:rPr>
        <w:t>签订日期：</w:t>
      </w:r>
      <w:r>
        <w:rPr>
          <w:rFonts w:hint="eastAsia" w:ascii="仿宋" w:hAnsi="仿宋" w:eastAsia="仿宋" w:cs="仿宋"/>
          <w:color w:val="auto"/>
          <w:sz w:val="24"/>
        </w:rPr>
        <w:t xml:space="preserve">   年   月   日</w:t>
      </w:r>
    </w:p>
    <w:p w14:paraId="320469EA">
      <w:pPr>
        <w:spacing w:line="360" w:lineRule="auto"/>
        <w:jc w:val="center"/>
        <w:rPr>
          <w:rFonts w:hint="eastAsia" w:ascii="宋体" w:hAnsi="宋体"/>
          <w:color w:val="auto"/>
          <w:sz w:val="24"/>
        </w:rPr>
      </w:pPr>
    </w:p>
    <w:p w14:paraId="040675F4">
      <w:pPr>
        <w:spacing w:line="360" w:lineRule="auto"/>
        <w:jc w:val="center"/>
        <w:rPr>
          <w:rFonts w:hint="eastAsia" w:ascii="宋体" w:hAnsi="宋体"/>
          <w:color w:val="auto"/>
          <w:sz w:val="24"/>
        </w:rPr>
      </w:pPr>
    </w:p>
    <w:p w14:paraId="2921E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C2D1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9EDB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7EB5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06C1C75">
      <w:pPr>
        <w:pStyle w:val="5"/>
        <w:rPr>
          <w:rFonts w:hint="eastAsia"/>
          <w:lang w:val="en-US" w:eastAsia="zh-Hans"/>
        </w:rPr>
      </w:pPr>
    </w:p>
    <w:p w14:paraId="55E1F7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951E43"/>
    <w:rsid w:val="6895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列出段落1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2026-08-11T11:34:00Z</dcterms:created>
  <dc:creator>鳯笯</dc:creator>
  <cp:lastModifiedBy>鳯笯</cp:lastModifiedBy>
  <dcterms:modified xsi:type="dcterms:W3CDTF">2026-08-11T11:36:30Z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C490EA0EE43E423A8C44497F1FA0CADD_11</vt:lpwstr>
  </property>
  <property fmtid="{D5CDD505-2E9C-101B-9397-08002B2CF9AE}" pid="4" name="KSOTemplateDocerSaveRecord">
    <vt:lpwstr>eyJoZGlkIjoiZmVlMTFjZTFjYTIyODliMDFlOGVjYmYxM2ViNjkxM2QiLCJ1c2VySWQiOiI0MjEzMDEwOTYifQ==</vt:lpwstr>
  </property>
</Properties>
</file>